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21B61" w14:textId="77777777" w:rsidR="00040C3A" w:rsidRPr="00256677" w:rsidRDefault="00083E3C" w:rsidP="001E4D7D">
      <w:pPr>
        <w:jc w:val="both"/>
        <w:rPr>
          <w:rFonts w:asciiTheme="majorHAnsi" w:hAnsiTheme="majorHAnsi" w:cs="Univers"/>
          <w:b/>
          <w:bCs/>
          <w:sz w:val="22"/>
          <w:szCs w:val="22"/>
          <w:lang w:val="es-ES_tradnl"/>
        </w:rPr>
      </w:pPr>
      <w:r w:rsidRPr="00256677">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E65F6E5" wp14:editId="18BD6A3D">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93CC31"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HLbpQIAAJ8FAAAOAAAAZHJzL2Uyb0RvYy54bWysVEtv2zAMvg/YfxB0X+ykadMadYogXYYB&#10;QVu0HXpWZCk2JouapMTJfv0o+dGsK3YY5oNgih8/PkTy+uZQK7IX1lWgczoepZQIzaGo9Dan355X&#10;ny4pcZ7pginQIqdH4ejN/OOH68ZkYgIlqEJYgiTaZY3Jaem9yZLE8VLUzI3ACI1KCbZmHkW7TQrL&#10;GmSvVTJJ04ukAVsYC1w4h7e3rZLOI7+Ugvt7KZ3wROUUY/PxtPHchDOZX7Nsa5kpK96Fwf4hippV&#10;Gp0OVLfMM7Kz1R9UdcUtOJB+xKFOQMqKi5gDZjNO32TzVDIjYi5YHGeGMrn/R8vv9g+WVAW+HSWa&#10;1fhEj1g0prdKkHEoT2Nchqgn82BDgs6sgX93qEh+0wTBdZiDtHXAYnrkEGt9HGotDp5wvBxP06tZ&#10;ik/CUXd5NZtdnMXXSFjWmxvr/BcBNQk/ObUYV6wx26+dDwGwrIfEyEBVxapSKgp2u1kqS/YMH/5i&#10;tvh8tgzJoIk7hSkdwBqCWasONzGzNpmYlj8qEXBKPwqJxcLwJzGS2KZi8MM4F9qPW1XJCtG6P0/x&#10;672Hxg4WMZZIGJgl+h+4O4Ie2ZL03G2UHT6Yitjlg3H6t8Ba48EiegbtB+O60mDfI1CYVee5xfdF&#10;aksTqrSB4oitZKGdMWf4qsJ3WzPnH5jFocK3xkXh7/GQCpqcQvdHSQn253v3AY+9jlpKGhzSnLof&#10;O2YFJeqrxim4Gk+nYaqjMD2fTVCwp5rNqUbv6iVgO2CnY3TxN+C96n+lhfoF98kieEUV0xx955R7&#10;2wtL3y4P3EhcLBYRhpNsmF/rJ8MDeahq6Mvnwwuzpmtej31/B/1As+xND7fYYKlhsfMgq9jgr3Xt&#10;6o1bIDZOt7HCmjmVI+p1r85/AQAA//8DAFBLAwQUAAYACAAAACEAadJE5eMAAAAMAQAADwAAAGRy&#10;cy9kb3ducmV2LnhtbEyPS0/DMBCE70j8B2uRuKDWocgmCnEqHkUCJA6UHsrNjZckIraj2Hn037M9&#10;wW12ZzT7bb6ebctG7EPjnYLrZQIMXelN4yoFu8/nRQosRO2Mbr1DBUcMsC7Oz3KdGT+5Dxy3sWJU&#10;4kKmFdQxdhnnoazR6rD0HTryvn1vdaSxr7jp9UTltuWrJJHc6sbRhVp3+Fhj+bMdrIJ0ent4HY/v&#10;aXzZXO2eNvP+a9h7pS4v5vs7YBHn+BeGEz6hQ0FMBz84E1irYCGFoCgJIVfATgkhaXMgcSNuJfAi&#10;5/+fKH4BAAD//wMAUEsBAi0AFAAGAAgAAAAhALaDOJL+AAAA4QEAABMAAAAAAAAAAAAAAAAAAAAA&#10;AFtDb250ZW50X1R5cGVzXS54bWxQSwECLQAUAAYACAAAACEAOP0h/9YAAACUAQAACwAAAAAAAAAA&#10;AAAAAAAvAQAAX3JlbHMvLnJlbHNQSwECLQAUAAYACAAAACEAqnxy26UCAACfBQAADgAAAAAAAAAA&#10;AAAAAAAuAgAAZHJzL2Uyb0RvYy54bWxQSwECLQAUAAYACAAAACEAadJE5eMAAAAMAQAADwAAAAAA&#10;AAAAAAAAAAD/BAAAZHJzL2Rvd25yZXYueG1sUEsFBgAAAAAEAAQA8wAAAA8GAAAAAA==&#10;" fillcolor="#67ae3c" stroked="f" strokeweight="2pt"/>
            </w:pict>
          </mc:Fallback>
        </mc:AlternateContent>
      </w:r>
      <w:r w:rsidRPr="00256677">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5A15EBB" wp14:editId="0ABC0B19">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455EAF" w14:textId="77777777" w:rsidR="00383EEB" w:rsidRDefault="00383EEB">
                            <w:r>
                              <w:rPr>
                                <w:noProof/>
                              </w:rPr>
                              <w:drawing>
                                <wp:inline distT="0" distB="0" distL="0" distR="0" wp14:anchorId="7BDAFB5B" wp14:editId="1AE9D51C">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A15EBB"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FhyigIAAH0FAAAOAAAAZHJzL2Uyb0RvYy54bWysVE1v2zAMvQ/YfxB0X51kSdsZdYqsRYcB&#10;QVusHXpWZKkxaouapCTOfn2fZOcD3S4ddrEp8ZHixyMvLtumZmvlfEWm4MOTAWfKSCor81zwn483&#10;n84580GYUtRkVMG3yvPL6ccPFxubqxEtqS6VY3BifL6xBV+GYPMs83KpGuFPyCoDpSbXiICje85K&#10;Jzbw3tTZaDA4zTbkSutIKu9xe90p+TT511rJcKe1V4HVBUdsIX1d+i7iN5teiPzZCbusZB+G+Ico&#10;GlEZPLp3dS2CYCtX/eGqqaQjTzqcSGoy0rqSKuWAbIaDN9k8LIVVKRcUx9t9mfz/cytv1/eOVSV6&#10;N+TMiAY9elRtYF+pZbhCfTbW54A9WABDi3tgU67ezkm+eECyI0xn4IGO9Wi1a+IfmTIYogXbfdnj&#10;MxKX4/H56ehswpmE7mwyGkOOTg/W1vnwTVHDolBwh7amCMR67kMH3UHiY4ZuqrrGvchrwzYFP/08&#10;GSSDvQbOaxMBKpGkdxPT6CJPUtjWqnPyQ2kUKSUQLxI91VXt2FqAWEJKZUIqVvILdERpBPEewx5/&#10;iOo9xl0eu5fJhL1xUxlyXcPiVB3CLl92IesO3zfSd3nHEoR20aKOUVxQuQUDHHUz5K28qdCNufDh&#10;XjgMDXqLRRDu8NE1oerUS5wtyf3+233Eg8vQcrbBEBbc/1oJpzirvxuw/MtwPI5Tmw7jydkIB3es&#10;WRxrzKq5IrQDREZ0SYz4UO9E7ah5wr6YxVehEkbi7YKHnXgVutWAfSPVbJZAmFMrwtw8WLkjfuTa&#10;Y/sknO0JGUDlW9qNq8jf8LLDxr4amq0C6SqR9lDVvvCY8UT7fh/FJXJ8TqjD1py+AgAA//8DAFBL&#10;AwQUAAYACAAAACEAr9WYz+IAAAAPAQAADwAAAGRycy9kb3ducmV2LnhtbExPTUvDQBC9C/6HZQRv&#10;7cZCwpJmU0qkCKKH1l68TbLTJJjdjdltG/31jie9DPN4M++j2Mx2EBeaQu+dhodlAoJc403vWg3H&#10;t91CgQgRncHBO9LwRQE25e1NgbnxV7enyyG2gkVcyFFDF+OYSxmajiyGpR/JMXfyk8XIcGqlmfDK&#10;4naQqyTJpMXesUOHI1UdNR+Hs9XwXO1ecV+vrPoeqqeX03b8PL6nWt/fzY9rHts1iEhz/PuA3w6c&#10;H0oOVvuzM0EMjFXChaKGRapSEHyhVMZLrSFjRpaF/N+j/AEAAP//AwBQSwECLQAUAAYACAAAACEA&#10;toM4kv4AAADhAQAAEwAAAAAAAAAAAAAAAAAAAAAAW0NvbnRlbnRfVHlwZXNdLnhtbFBLAQItABQA&#10;BgAIAAAAIQA4/SH/1gAAAJQBAAALAAAAAAAAAAAAAAAAAC8BAABfcmVscy8ucmVsc1BLAQItABQA&#10;BgAIAAAAIQBWZFhyigIAAH0FAAAOAAAAAAAAAAAAAAAAAC4CAABkcnMvZTJvRG9jLnhtbFBLAQIt&#10;ABQABgAIAAAAIQCv1ZjP4gAAAA8BAAAPAAAAAAAAAAAAAAAAAOQEAABkcnMvZG93bnJldi54bWxQ&#10;SwUGAAAAAAQABADzAAAA8wUAAAAA&#10;" filled="f" stroked="f" strokeweight=".5pt">
                <v:textbox>
                  <w:txbxContent>
                    <w:p w14:paraId="16455EAF" w14:textId="77777777" w:rsidR="00383EEB" w:rsidRDefault="00383EEB">
                      <w:r>
                        <w:rPr>
                          <w:noProof/>
                        </w:rPr>
                        <w:drawing>
                          <wp:inline distT="0" distB="0" distL="0" distR="0" wp14:anchorId="7BDAFB5B" wp14:editId="1AE9D51C">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3E3138BF" w14:textId="77777777" w:rsidR="00040C3A" w:rsidRPr="00256677" w:rsidRDefault="00040C3A" w:rsidP="00040C3A">
      <w:pPr>
        <w:tabs>
          <w:tab w:val="center" w:pos="5400"/>
        </w:tabs>
        <w:suppressAutoHyphens/>
        <w:jc w:val="both"/>
        <w:rPr>
          <w:rFonts w:asciiTheme="majorHAnsi" w:hAnsiTheme="majorHAnsi"/>
          <w:sz w:val="22"/>
          <w:szCs w:val="22"/>
          <w:lang w:val="es-ES"/>
        </w:rPr>
      </w:pPr>
    </w:p>
    <w:p w14:paraId="015ACF6E" w14:textId="77777777" w:rsidR="00040C3A" w:rsidRPr="00256677" w:rsidRDefault="00040C3A" w:rsidP="00040C3A">
      <w:pPr>
        <w:tabs>
          <w:tab w:val="center" w:pos="5400"/>
        </w:tabs>
        <w:suppressAutoHyphens/>
        <w:jc w:val="both"/>
        <w:rPr>
          <w:rFonts w:asciiTheme="majorHAnsi" w:hAnsiTheme="majorHAnsi"/>
          <w:sz w:val="22"/>
          <w:szCs w:val="22"/>
          <w:lang w:val="es-ES"/>
        </w:rPr>
      </w:pPr>
    </w:p>
    <w:p w14:paraId="13D472D9" w14:textId="77777777" w:rsidR="005128E4" w:rsidRPr="00256677" w:rsidRDefault="005128E4" w:rsidP="00040C3A">
      <w:pPr>
        <w:tabs>
          <w:tab w:val="center" w:pos="5400"/>
        </w:tabs>
        <w:suppressAutoHyphens/>
        <w:rPr>
          <w:rFonts w:asciiTheme="majorHAnsi" w:hAnsiTheme="majorHAnsi"/>
          <w:sz w:val="22"/>
          <w:szCs w:val="22"/>
          <w:lang w:val="es-ES_tradnl"/>
        </w:rPr>
      </w:pPr>
    </w:p>
    <w:p w14:paraId="5846B809" w14:textId="77777777" w:rsidR="005128E4" w:rsidRPr="00256677" w:rsidRDefault="005128E4" w:rsidP="00040C3A">
      <w:pPr>
        <w:tabs>
          <w:tab w:val="center" w:pos="5400"/>
        </w:tabs>
        <w:suppressAutoHyphens/>
        <w:rPr>
          <w:rFonts w:asciiTheme="majorHAnsi" w:hAnsiTheme="majorHAnsi"/>
          <w:sz w:val="22"/>
          <w:szCs w:val="22"/>
          <w:lang w:val="es-ES_tradnl"/>
        </w:rPr>
      </w:pPr>
    </w:p>
    <w:p w14:paraId="2C0F285F" w14:textId="77777777" w:rsidR="005128E4" w:rsidRPr="00256677" w:rsidRDefault="005128E4" w:rsidP="00040C3A">
      <w:pPr>
        <w:tabs>
          <w:tab w:val="center" w:pos="5400"/>
        </w:tabs>
        <w:suppressAutoHyphens/>
        <w:rPr>
          <w:rFonts w:asciiTheme="majorHAnsi" w:hAnsiTheme="majorHAnsi"/>
          <w:sz w:val="22"/>
          <w:szCs w:val="22"/>
          <w:lang w:val="es-ES_tradnl"/>
        </w:rPr>
      </w:pPr>
    </w:p>
    <w:p w14:paraId="5C8C804E" w14:textId="77777777" w:rsidR="00040C3A" w:rsidRPr="00256677" w:rsidRDefault="00040C3A" w:rsidP="005128E4">
      <w:pPr>
        <w:tabs>
          <w:tab w:val="center" w:pos="5400"/>
        </w:tabs>
        <w:suppressAutoHyphens/>
        <w:jc w:val="center"/>
        <w:rPr>
          <w:rFonts w:asciiTheme="majorHAnsi" w:hAnsiTheme="majorHAnsi"/>
          <w:sz w:val="22"/>
          <w:szCs w:val="22"/>
          <w:lang w:val="es-ES_tradnl"/>
        </w:rPr>
      </w:pPr>
    </w:p>
    <w:p w14:paraId="1523083B" w14:textId="77777777" w:rsidR="00040C3A" w:rsidRPr="00256677" w:rsidRDefault="00083E3C" w:rsidP="005128E4">
      <w:pPr>
        <w:tabs>
          <w:tab w:val="center" w:pos="5400"/>
        </w:tabs>
        <w:suppressAutoHyphens/>
        <w:jc w:val="center"/>
        <w:rPr>
          <w:rFonts w:asciiTheme="majorHAnsi" w:hAnsiTheme="majorHAnsi"/>
          <w:sz w:val="22"/>
          <w:szCs w:val="22"/>
          <w:lang w:val="es-ES_tradnl"/>
        </w:rPr>
      </w:pPr>
      <w:r w:rsidRPr="00256677">
        <w:rPr>
          <w:rFonts w:asciiTheme="majorHAnsi" w:hAnsiTheme="majorHAnsi"/>
          <w:noProof/>
          <w:sz w:val="22"/>
          <w:szCs w:val="22"/>
        </w:rPr>
        <mc:AlternateContent>
          <mc:Choice Requires="wps">
            <w:drawing>
              <wp:anchor distT="0" distB="0" distL="114300" distR="114300" simplePos="0" relativeHeight="251657216" behindDoc="0" locked="0" layoutInCell="1" allowOverlap="1" wp14:anchorId="6B02656B" wp14:editId="55F9A192">
                <wp:simplePos x="0" y="0"/>
                <wp:positionH relativeFrom="column">
                  <wp:posOffset>1078230</wp:posOffset>
                </wp:positionH>
                <wp:positionV relativeFrom="paragraph">
                  <wp:posOffset>88900</wp:posOffset>
                </wp:positionV>
                <wp:extent cx="4333875" cy="367792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3875" cy="3677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E43863" w14:textId="77777777" w:rsidR="00383EEB" w:rsidRDefault="00383EEB" w:rsidP="004B7EB6">
                            <w:pPr>
                              <w:spacing w:line="276" w:lineRule="auto"/>
                              <w:rPr>
                                <w:rFonts w:asciiTheme="majorHAnsi" w:hAnsiTheme="majorHAnsi" w:cs="Arial"/>
                                <w:b/>
                                <w:bCs/>
                                <w:color w:val="0D0D0D" w:themeColor="text1" w:themeTint="F2"/>
                                <w:sz w:val="36"/>
                                <w:szCs w:val="40"/>
                              </w:rPr>
                            </w:pPr>
                          </w:p>
                          <w:p w14:paraId="6F53E915" w14:textId="77777777" w:rsidR="00383EEB" w:rsidRDefault="00383EEB" w:rsidP="004B7EB6">
                            <w:pPr>
                              <w:spacing w:line="276" w:lineRule="auto"/>
                              <w:rPr>
                                <w:rFonts w:asciiTheme="majorHAnsi" w:hAnsiTheme="majorHAnsi" w:cs="Arial"/>
                                <w:b/>
                                <w:bCs/>
                                <w:color w:val="0D0D0D" w:themeColor="text1" w:themeTint="F2"/>
                                <w:sz w:val="36"/>
                                <w:szCs w:val="40"/>
                              </w:rPr>
                            </w:pPr>
                          </w:p>
                          <w:p w14:paraId="0121B089" w14:textId="77777777" w:rsidR="00383EEB" w:rsidRDefault="00383EEB" w:rsidP="004B7EB6">
                            <w:pPr>
                              <w:spacing w:line="276" w:lineRule="auto"/>
                              <w:rPr>
                                <w:rFonts w:asciiTheme="majorHAnsi" w:hAnsiTheme="majorHAnsi" w:cs="Arial"/>
                                <w:b/>
                                <w:bCs/>
                                <w:color w:val="0D0D0D" w:themeColor="text1" w:themeTint="F2"/>
                                <w:sz w:val="36"/>
                                <w:szCs w:val="40"/>
                              </w:rPr>
                            </w:pPr>
                          </w:p>
                          <w:p w14:paraId="047E2C73" w14:textId="77777777" w:rsidR="00383EEB" w:rsidRDefault="00383EEB" w:rsidP="004B7EB6">
                            <w:pPr>
                              <w:spacing w:line="276" w:lineRule="auto"/>
                              <w:rPr>
                                <w:rFonts w:asciiTheme="majorHAnsi" w:hAnsiTheme="majorHAnsi" w:cs="Arial"/>
                                <w:b/>
                                <w:bCs/>
                                <w:color w:val="0D0D0D" w:themeColor="text1" w:themeTint="F2"/>
                                <w:sz w:val="36"/>
                                <w:szCs w:val="40"/>
                              </w:rPr>
                            </w:pPr>
                          </w:p>
                          <w:p w14:paraId="777BDF7D" w14:textId="3CFFC47E" w:rsidR="00383EEB" w:rsidRPr="004B7EB6" w:rsidRDefault="00383EEB"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213A12">
                              <w:rPr>
                                <w:rFonts w:asciiTheme="majorHAnsi" w:hAnsiTheme="majorHAnsi" w:cs="Arial"/>
                                <w:b/>
                                <w:bCs/>
                                <w:color w:val="0D0D0D" w:themeColor="text1" w:themeTint="F2"/>
                                <w:sz w:val="36"/>
                                <w:szCs w:val="40"/>
                              </w:rPr>
                              <w:t>462</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21</w:t>
                            </w:r>
                          </w:p>
                          <w:p w14:paraId="6639AE16" w14:textId="77777777" w:rsidR="00383EEB" w:rsidRPr="004B7EB6" w:rsidRDefault="00383EEB"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Pr>
                                <w:rFonts w:asciiTheme="majorHAnsi" w:hAnsiTheme="majorHAnsi" w:cs="Arial"/>
                                <w:b/>
                                <w:bCs/>
                                <w:color w:val="0D0D0D" w:themeColor="text1" w:themeTint="F2"/>
                                <w:sz w:val="36"/>
                                <w:szCs w:val="40"/>
                              </w:rPr>
                              <w:t>12</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505</w:t>
                            </w:r>
                          </w:p>
                          <w:p w14:paraId="4DD85D54" w14:textId="3C0B06BF" w:rsidR="00383EEB" w:rsidRPr="004B7EB6" w:rsidRDefault="00383EEB" w:rsidP="00F45EBF">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Pr>
                                <w:rFonts w:asciiTheme="majorHAnsi" w:hAnsiTheme="majorHAnsi" w:cs="Arial"/>
                                <w:color w:val="0D0D0D" w:themeColor="text1" w:themeTint="F2"/>
                                <w:szCs w:val="22"/>
                              </w:rPr>
                              <w:t xml:space="preserve">THE </w:t>
                            </w:r>
                            <w:r w:rsidRPr="004B7EB6">
                              <w:rPr>
                                <w:rFonts w:asciiTheme="majorHAnsi" w:hAnsiTheme="majorHAnsi" w:cs="Arial"/>
                                <w:color w:val="0D0D0D" w:themeColor="text1" w:themeTint="F2"/>
                                <w:szCs w:val="22"/>
                              </w:rPr>
                              <w:t xml:space="preserve">MERITS </w:t>
                            </w:r>
                            <w:r w:rsidRPr="00213A12">
                              <w:rPr>
                                <w:rFonts w:asciiTheme="majorHAnsi" w:hAnsiTheme="majorHAnsi" w:cs="Arial"/>
                                <w:color w:val="0D0D0D" w:themeColor="text1" w:themeTint="F2"/>
                                <w:szCs w:val="22"/>
                              </w:rPr>
                              <w:t>(PUBLICATION)</w:t>
                            </w:r>
                          </w:p>
                          <w:p w14:paraId="00814978" w14:textId="77777777" w:rsidR="00383EEB" w:rsidRPr="004B7EB6" w:rsidRDefault="00383EEB" w:rsidP="004B7EB6">
                            <w:pPr>
                              <w:spacing w:line="276" w:lineRule="auto"/>
                              <w:rPr>
                                <w:rFonts w:asciiTheme="majorHAnsi" w:hAnsiTheme="majorHAnsi" w:cs="Arial"/>
                                <w:color w:val="0D0D0D" w:themeColor="text1" w:themeTint="F2"/>
                                <w:szCs w:val="22"/>
                              </w:rPr>
                            </w:pPr>
                          </w:p>
                          <w:p w14:paraId="7AEC2DEC" w14:textId="77777777" w:rsidR="00383EEB" w:rsidRDefault="00383EEB" w:rsidP="00191F07">
                            <w:pPr>
                              <w:pStyle w:val="Body"/>
                              <w:suppressAutoHyphens/>
                              <w:rPr>
                                <w:rFonts w:ascii="Cambria" w:eastAsia="Cambria" w:hAnsi="Cambria" w:cs="Cambria"/>
                              </w:rPr>
                            </w:pPr>
                            <w:r>
                              <w:rPr>
                                <w:rFonts w:ascii="Cambria" w:eastAsia="Cambria" w:hAnsi="Cambria" w:cs="Cambria"/>
                              </w:rPr>
                              <w:t>MARLIN GRAY</w:t>
                            </w:r>
                          </w:p>
                          <w:p w14:paraId="51AAB2D1" w14:textId="77777777" w:rsidR="00383EEB" w:rsidRDefault="00383EEB"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UNITED STATES OF AMERICA</w:t>
                            </w:r>
                          </w:p>
                          <w:p w14:paraId="1C9AD984" w14:textId="77777777" w:rsidR="00383EEB" w:rsidRPr="00E57833" w:rsidRDefault="00383EEB" w:rsidP="004B7EB6">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02656B" id="_x0000_t202" coordsize="21600,21600" o:spt="202" path="m,l,21600r21600,l21600,xe">
                <v:stroke joinstyle="miter"/>
                <v:path gradientshapeok="t" o:connecttype="rect"/>
              </v:shapetype>
              <v:shape id="Text Box 5" o:spid="_x0000_s1027" type="#_x0000_t202" style="position:absolute;left:0;text-align:left;margin-left:84.9pt;margin-top:7pt;width:341.25pt;height:28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8JTfwIAAF4FAAAOAAAAZHJzL2Uyb0RvYy54bWysVN9P2zAQfp+0/8Hy+0hLC4WIFHUgpkkV&#10;oMHEs+vYNMLxefa1SffXc3aSFrG9MO3Fufi+O9+P7+7isq0N2yofKrAFHx+NOFNWQlnZ54L/fLz5&#10;csZZQGFLYcCqgu9U4Jfzz58uGperY1iDKZVn5MSGvHEFXyO6PMuCXKtahCNwypJSg68F0q9/zkov&#10;GvJem+x4NDrNGvCl8yBVCHR73Sn5PPnXWkm80zooZKbgFBum06dzFc9sfiHyZy/cupJ9GOIfoqhF&#10;ZenRvatrgYJtfPWHq7qSHgJoPJJQZ6B1JVXKgbIZj95l87AWTqVcqDjB7csU/p9bebt9cPeeYfsV&#10;WmpgSiK4JciXQLXJGhfyHhNrGvJA6Jhoq30dv5QCI0Oq7W5fT9Uik3Q5nUwmZ7MTziTpJqez2flx&#10;qnh2MHc+4DcFNYtCwT01LIUgtsuAMQCRD5D4moWbypjUNGNZU/DTyckoGew1ZGFsxKrU/t7NIfQk&#10;4c6oiDH2h9KsKlMG8SIRT10Zz7aCKCOkVBbHkSbJL6EjSlMQHzHs8YeoPmLc5TG8DBb3xnVlwXcd&#10;i/NyCLt8GULWHb7vZOjyjiXAdtVS4rHllFy8WUG5IyZ46IYkOHlTUVOWIuC98DQV1GOadLyjQxug&#10;4kMvcbYG//tv9xFPZCUtZw1NWcHDr43wijPz3RKNz8fTaRzL9DM9mRE/mH+rWb3V2E19BdSVMe0U&#10;J5MY8WgGUXuon2ghLOKrpBJW0tsFx0G8wm72aaFItVgkEA2iE7i0D04OAxAp99g+Ce96XiJR+haG&#10;eRT5O3p22NheC4sNgq4Sdw9V7etPQ5yI1C+cuCXe/ifUYS3OXwEAAP//AwBQSwMEFAAGAAgAAAAh&#10;AAzERm3lAAAADwEAAA8AAABkcnMvZG93bnJldi54bWxMj0FPwzAMhe9I/IfISNxYSkenrms6TUUT&#10;EoLDxi7c3MZrK5qkNNlW+PWYE1wsP9l+/l6+nkwvzjT6zlkF97MIBNna6c42Cg5v27sUhA9oNfbO&#10;koIv8rAurq9yzLS72B2d96ERbGJ9hgraEIZMSl+3ZNDP3ECWZ0c3Ggwsx0bqES9sbnoZR9FCGuws&#10;f2hxoLKl+mN/Mgqey+0r7qrYpN99+fRy3Ayfh/dEqdub6XHFZbMCEWgKfxfwm4H5oWCwyp2s9qJn&#10;vVgyf+DmgYPxQprEcxCVgmQ5j0EWufyfo/gBAAD//wMAUEsBAi0AFAAGAAgAAAAhALaDOJL+AAAA&#10;4QEAABMAAAAAAAAAAAAAAAAAAAAAAFtDb250ZW50X1R5cGVzXS54bWxQSwECLQAUAAYACAAAACEA&#10;OP0h/9YAAACUAQAACwAAAAAAAAAAAAAAAAAvAQAAX3JlbHMvLnJlbHNQSwECLQAUAAYACAAAACEA&#10;IpvCU38CAABeBQAADgAAAAAAAAAAAAAAAAAuAgAAZHJzL2Uyb0RvYy54bWxQSwECLQAUAAYACAAA&#10;ACEADMRGbeUAAAAPAQAADwAAAAAAAAAAAAAAAADZBAAAZHJzL2Rvd25yZXYueG1sUEsFBgAAAAAE&#10;AAQA8wAAAOsFAAAAAA==&#10;" filled="f" stroked="f" strokeweight=".5pt">
                <v:textbox>
                  <w:txbxContent>
                    <w:p w14:paraId="15E43863" w14:textId="77777777" w:rsidR="00383EEB" w:rsidRDefault="00383EEB" w:rsidP="004B7EB6">
                      <w:pPr>
                        <w:spacing w:line="276" w:lineRule="auto"/>
                        <w:rPr>
                          <w:rFonts w:asciiTheme="majorHAnsi" w:hAnsiTheme="majorHAnsi" w:cs="Arial"/>
                          <w:b/>
                          <w:bCs/>
                          <w:color w:val="0D0D0D" w:themeColor="text1" w:themeTint="F2"/>
                          <w:sz w:val="36"/>
                          <w:szCs w:val="40"/>
                        </w:rPr>
                      </w:pPr>
                    </w:p>
                    <w:p w14:paraId="6F53E915" w14:textId="77777777" w:rsidR="00383EEB" w:rsidRDefault="00383EEB" w:rsidP="004B7EB6">
                      <w:pPr>
                        <w:spacing w:line="276" w:lineRule="auto"/>
                        <w:rPr>
                          <w:rFonts w:asciiTheme="majorHAnsi" w:hAnsiTheme="majorHAnsi" w:cs="Arial"/>
                          <w:b/>
                          <w:bCs/>
                          <w:color w:val="0D0D0D" w:themeColor="text1" w:themeTint="F2"/>
                          <w:sz w:val="36"/>
                          <w:szCs w:val="40"/>
                        </w:rPr>
                      </w:pPr>
                    </w:p>
                    <w:p w14:paraId="0121B089" w14:textId="77777777" w:rsidR="00383EEB" w:rsidRDefault="00383EEB" w:rsidP="004B7EB6">
                      <w:pPr>
                        <w:spacing w:line="276" w:lineRule="auto"/>
                        <w:rPr>
                          <w:rFonts w:asciiTheme="majorHAnsi" w:hAnsiTheme="majorHAnsi" w:cs="Arial"/>
                          <w:b/>
                          <w:bCs/>
                          <w:color w:val="0D0D0D" w:themeColor="text1" w:themeTint="F2"/>
                          <w:sz w:val="36"/>
                          <w:szCs w:val="40"/>
                        </w:rPr>
                      </w:pPr>
                    </w:p>
                    <w:p w14:paraId="047E2C73" w14:textId="77777777" w:rsidR="00383EEB" w:rsidRDefault="00383EEB" w:rsidP="004B7EB6">
                      <w:pPr>
                        <w:spacing w:line="276" w:lineRule="auto"/>
                        <w:rPr>
                          <w:rFonts w:asciiTheme="majorHAnsi" w:hAnsiTheme="majorHAnsi" w:cs="Arial"/>
                          <w:b/>
                          <w:bCs/>
                          <w:color w:val="0D0D0D" w:themeColor="text1" w:themeTint="F2"/>
                          <w:sz w:val="36"/>
                          <w:szCs w:val="40"/>
                        </w:rPr>
                      </w:pPr>
                    </w:p>
                    <w:p w14:paraId="777BDF7D" w14:textId="3CFFC47E" w:rsidR="00383EEB" w:rsidRPr="004B7EB6" w:rsidRDefault="00383EEB"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213A12">
                        <w:rPr>
                          <w:rFonts w:asciiTheme="majorHAnsi" w:hAnsiTheme="majorHAnsi" w:cs="Arial"/>
                          <w:b/>
                          <w:bCs/>
                          <w:color w:val="0D0D0D" w:themeColor="text1" w:themeTint="F2"/>
                          <w:sz w:val="36"/>
                          <w:szCs w:val="40"/>
                        </w:rPr>
                        <w:t>462</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21</w:t>
                      </w:r>
                    </w:p>
                    <w:p w14:paraId="6639AE16" w14:textId="77777777" w:rsidR="00383EEB" w:rsidRPr="004B7EB6" w:rsidRDefault="00383EEB"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Pr>
                          <w:rFonts w:asciiTheme="majorHAnsi" w:hAnsiTheme="majorHAnsi" w:cs="Arial"/>
                          <w:b/>
                          <w:bCs/>
                          <w:color w:val="0D0D0D" w:themeColor="text1" w:themeTint="F2"/>
                          <w:sz w:val="36"/>
                          <w:szCs w:val="40"/>
                        </w:rPr>
                        <w:t>12</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505</w:t>
                      </w:r>
                    </w:p>
                    <w:p w14:paraId="4DD85D54" w14:textId="3C0B06BF" w:rsidR="00383EEB" w:rsidRPr="004B7EB6" w:rsidRDefault="00383EEB" w:rsidP="00F45EBF">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Pr>
                          <w:rFonts w:asciiTheme="majorHAnsi" w:hAnsiTheme="majorHAnsi" w:cs="Arial"/>
                          <w:color w:val="0D0D0D" w:themeColor="text1" w:themeTint="F2"/>
                          <w:szCs w:val="22"/>
                        </w:rPr>
                        <w:t xml:space="preserve">THE </w:t>
                      </w:r>
                      <w:r w:rsidRPr="004B7EB6">
                        <w:rPr>
                          <w:rFonts w:asciiTheme="majorHAnsi" w:hAnsiTheme="majorHAnsi" w:cs="Arial"/>
                          <w:color w:val="0D0D0D" w:themeColor="text1" w:themeTint="F2"/>
                          <w:szCs w:val="22"/>
                        </w:rPr>
                        <w:t xml:space="preserve">MERITS </w:t>
                      </w:r>
                      <w:r w:rsidRPr="00213A12">
                        <w:rPr>
                          <w:rFonts w:asciiTheme="majorHAnsi" w:hAnsiTheme="majorHAnsi" w:cs="Arial"/>
                          <w:color w:val="0D0D0D" w:themeColor="text1" w:themeTint="F2"/>
                          <w:szCs w:val="22"/>
                        </w:rPr>
                        <w:t>(PUBLICATION)</w:t>
                      </w:r>
                    </w:p>
                    <w:p w14:paraId="00814978" w14:textId="77777777" w:rsidR="00383EEB" w:rsidRPr="004B7EB6" w:rsidRDefault="00383EEB" w:rsidP="004B7EB6">
                      <w:pPr>
                        <w:spacing w:line="276" w:lineRule="auto"/>
                        <w:rPr>
                          <w:rFonts w:asciiTheme="majorHAnsi" w:hAnsiTheme="majorHAnsi" w:cs="Arial"/>
                          <w:color w:val="0D0D0D" w:themeColor="text1" w:themeTint="F2"/>
                          <w:szCs w:val="22"/>
                        </w:rPr>
                      </w:pPr>
                    </w:p>
                    <w:p w14:paraId="7AEC2DEC" w14:textId="77777777" w:rsidR="00383EEB" w:rsidRDefault="00383EEB" w:rsidP="00191F07">
                      <w:pPr>
                        <w:pStyle w:val="Body"/>
                        <w:suppressAutoHyphens/>
                        <w:rPr>
                          <w:rFonts w:ascii="Cambria" w:eastAsia="Cambria" w:hAnsi="Cambria" w:cs="Cambria"/>
                        </w:rPr>
                      </w:pPr>
                      <w:r>
                        <w:rPr>
                          <w:rFonts w:ascii="Cambria" w:eastAsia="Cambria" w:hAnsi="Cambria" w:cs="Cambria"/>
                        </w:rPr>
                        <w:t>MARLIN GRAY</w:t>
                      </w:r>
                    </w:p>
                    <w:p w14:paraId="51AAB2D1" w14:textId="77777777" w:rsidR="00383EEB" w:rsidRDefault="00383EEB"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UNITED STATES OF AMERICA</w:t>
                      </w:r>
                    </w:p>
                    <w:p w14:paraId="1C9AD984" w14:textId="77777777" w:rsidR="00383EEB" w:rsidRPr="00E57833" w:rsidRDefault="00383EEB" w:rsidP="004B7EB6">
                      <w:pPr>
                        <w:spacing w:line="276" w:lineRule="auto"/>
                        <w:rPr>
                          <w:rFonts w:asciiTheme="majorHAnsi" w:hAnsiTheme="majorHAnsi"/>
                          <w:color w:val="0D0D0D" w:themeColor="text1" w:themeTint="F2"/>
                        </w:rPr>
                      </w:pPr>
                    </w:p>
                  </w:txbxContent>
                </v:textbox>
              </v:shape>
            </w:pict>
          </mc:Fallback>
        </mc:AlternateContent>
      </w:r>
    </w:p>
    <w:p w14:paraId="7BFF7561" w14:textId="77777777" w:rsidR="005B52B0" w:rsidRPr="00256677" w:rsidRDefault="005B52B0" w:rsidP="005128E4">
      <w:pPr>
        <w:tabs>
          <w:tab w:val="center" w:pos="5400"/>
        </w:tabs>
        <w:suppressAutoHyphens/>
        <w:jc w:val="center"/>
        <w:rPr>
          <w:rFonts w:asciiTheme="majorHAnsi" w:hAnsiTheme="majorHAnsi"/>
          <w:sz w:val="22"/>
          <w:szCs w:val="22"/>
          <w:lang w:val="es-ES_tradnl"/>
        </w:rPr>
      </w:pPr>
    </w:p>
    <w:p w14:paraId="1247020D" w14:textId="77777777" w:rsidR="005B52B0" w:rsidRPr="00256677" w:rsidRDefault="005B52B0" w:rsidP="005128E4">
      <w:pPr>
        <w:tabs>
          <w:tab w:val="center" w:pos="5400"/>
        </w:tabs>
        <w:suppressAutoHyphens/>
        <w:jc w:val="center"/>
        <w:rPr>
          <w:rFonts w:asciiTheme="majorHAnsi" w:hAnsiTheme="majorHAnsi"/>
          <w:sz w:val="22"/>
          <w:szCs w:val="22"/>
          <w:lang w:val="es-ES_tradnl"/>
        </w:rPr>
      </w:pPr>
    </w:p>
    <w:p w14:paraId="49267148" w14:textId="77777777" w:rsidR="005B52B0" w:rsidRPr="00256677" w:rsidRDefault="005B52B0" w:rsidP="005128E4">
      <w:pPr>
        <w:tabs>
          <w:tab w:val="center" w:pos="5400"/>
        </w:tabs>
        <w:suppressAutoHyphens/>
        <w:jc w:val="center"/>
        <w:rPr>
          <w:rFonts w:asciiTheme="majorHAnsi" w:hAnsiTheme="majorHAnsi"/>
          <w:sz w:val="22"/>
          <w:szCs w:val="22"/>
          <w:lang w:val="es-ES_tradnl"/>
        </w:rPr>
      </w:pPr>
    </w:p>
    <w:p w14:paraId="62D4B8B6" w14:textId="77777777" w:rsidR="00040C3A" w:rsidRPr="00256677" w:rsidRDefault="00040C3A" w:rsidP="00040C3A">
      <w:pPr>
        <w:tabs>
          <w:tab w:val="center" w:pos="5400"/>
        </w:tabs>
        <w:suppressAutoHyphens/>
        <w:jc w:val="center"/>
        <w:rPr>
          <w:rFonts w:asciiTheme="majorHAnsi" w:hAnsiTheme="majorHAnsi"/>
          <w:sz w:val="22"/>
          <w:szCs w:val="22"/>
          <w:lang w:val="es-ES_tradnl"/>
        </w:rPr>
      </w:pPr>
    </w:p>
    <w:p w14:paraId="15BF0AFE" w14:textId="77777777" w:rsidR="00040C3A" w:rsidRPr="00256677" w:rsidRDefault="00040C3A" w:rsidP="00040C3A">
      <w:pPr>
        <w:tabs>
          <w:tab w:val="center" w:pos="5400"/>
        </w:tabs>
        <w:suppressAutoHyphens/>
        <w:jc w:val="center"/>
        <w:rPr>
          <w:rFonts w:asciiTheme="majorHAnsi" w:hAnsiTheme="majorHAnsi"/>
          <w:sz w:val="22"/>
          <w:szCs w:val="22"/>
          <w:lang w:val="es-ES_tradnl"/>
        </w:rPr>
      </w:pPr>
    </w:p>
    <w:p w14:paraId="5D1562D3" w14:textId="77777777" w:rsidR="00040C3A" w:rsidRPr="00256677" w:rsidRDefault="00040C3A" w:rsidP="00040C3A">
      <w:pPr>
        <w:tabs>
          <w:tab w:val="center" w:pos="5400"/>
        </w:tabs>
        <w:suppressAutoHyphens/>
        <w:jc w:val="center"/>
        <w:rPr>
          <w:rFonts w:asciiTheme="majorHAnsi" w:hAnsiTheme="majorHAnsi"/>
          <w:sz w:val="22"/>
          <w:szCs w:val="22"/>
          <w:lang w:val="es-ES_tradnl"/>
        </w:rPr>
      </w:pPr>
    </w:p>
    <w:p w14:paraId="187D2D78" w14:textId="77777777" w:rsidR="00040C3A" w:rsidRPr="00256677" w:rsidRDefault="00040C3A" w:rsidP="00040C3A">
      <w:pPr>
        <w:tabs>
          <w:tab w:val="center" w:pos="5400"/>
        </w:tabs>
        <w:suppressAutoHyphens/>
        <w:jc w:val="center"/>
        <w:rPr>
          <w:rFonts w:asciiTheme="majorHAnsi" w:hAnsiTheme="majorHAnsi"/>
          <w:sz w:val="22"/>
          <w:szCs w:val="22"/>
          <w:lang w:val="es-ES_tradnl"/>
        </w:rPr>
      </w:pPr>
    </w:p>
    <w:p w14:paraId="15460EE4" w14:textId="77777777" w:rsidR="00040C3A" w:rsidRPr="00256677" w:rsidRDefault="00083E3C" w:rsidP="00040C3A">
      <w:pPr>
        <w:tabs>
          <w:tab w:val="center" w:pos="5400"/>
        </w:tabs>
        <w:suppressAutoHyphens/>
        <w:jc w:val="center"/>
        <w:rPr>
          <w:rFonts w:asciiTheme="majorHAnsi" w:hAnsiTheme="majorHAnsi"/>
          <w:sz w:val="22"/>
          <w:szCs w:val="22"/>
          <w:lang w:val="es-ES_tradnl"/>
        </w:rPr>
      </w:pPr>
      <w:r w:rsidRPr="00256677">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4B846DD" wp14:editId="0C836A8C">
                <wp:simplePos x="0" y="0"/>
                <wp:positionH relativeFrom="column">
                  <wp:posOffset>-370205</wp:posOffset>
                </wp:positionH>
                <wp:positionV relativeFrom="paragraph">
                  <wp:posOffset>43180</wp:posOffset>
                </wp:positionV>
                <wp:extent cx="1334135" cy="835025"/>
                <wp:effectExtent l="0" t="0" r="0" b="31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135" cy="835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34C64B" w14:textId="77777777" w:rsidR="00383EEB" w:rsidRPr="005F55DC" w:rsidRDefault="00383EEB" w:rsidP="002C1641">
                            <w:pPr>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OEA/</w:t>
                            </w:r>
                            <w:proofErr w:type="spellStart"/>
                            <w:r>
                              <w:rPr>
                                <w:rFonts w:asciiTheme="minorHAnsi" w:hAnsiTheme="minorHAnsi"/>
                                <w:color w:val="FFFFFF" w:themeColor="background1"/>
                                <w:sz w:val="22"/>
                                <w:lang w:val="es-CO"/>
                              </w:rPr>
                              <w:t>Ser.L</w:t>
                            </w:r>
                            <w:proofErr w:type="spellEnd"/>
                            <w:r>
                              <w:rPr>
                                <w:rFonts w:asciiTheme="minorHAnsi" w:hAnsiTheme="minorHAnsi"/>
                                <w:color w:val="FFFFFF" w:themeColor="background1"/>
                                <w:sz w:val="22"/>
                                <w:lang w:val="es-CO"/>
                              </w:rPr>
                              <w:t>/V/II.</w:t>
                            </w:r>
                          </w:p>
                          <w:p w14:paraId="61A832A4" w14:textId="1961E4DD" w:rsidR="00383EEB" w:rsidRPr="00706D7E" w:rsidRDefault="00383EEB"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Doc. </w:t>
                            </w:r>
                            <w:r w:rsidR="00213A12">
                              <w:rPr>
                                <w:rFonts w:asciiTheme="minorHAnsi" w:hAnsiTheme="minorHAnsi"/>
                                <w:color w:val="FFFFFF" w:themeColor="background1"/>
                                <w:sz w:val="22"/>
                              </w:rPr>
                              <w:t>476</w:t>
                            </w:r>
                          </w:p>
                          <w:p w14:paraId="0CABA01D" w14:textId="07CA48DC" w:rsidR="00383EEB" w:rsidRPr="004B7EB6" w:rsidRDefault="009E329A"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31 </w:t>
                            </w:r>
                            <w:r w:rsidR="00383EEB">
                              <w:rPr>
                                <w:rFonts w:asciiTheme="minorHAnsi" w:hAnsiTheme="minorHAnsi"/>
                                <w:color w:val="FFFFFF" w:themeColor="background1"/>
                                <w:sz w:val="22"/>
                              </w:rPr>
                              <w:t>December 2021</w:t>
                            </w:r>
                          </w:p>
                          <w:p w14:paraId="2F2A268B" w14:textId="77777777" w:rsidR="00383EEB" w:rsidRPr="004B7EB6" w:rsidRDefault="00383EEB"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 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B846DD" id="_x0000_t202" coordsize="21600,21600" o:spt="202" path="m,l,21600r21600,l21600,xe">
                <v:stroke joinstyle="miter"/>
                <v:path gradientshapeok="t" o:connecttype="rect"/>
              </v:shapetype>
              <v:shape id="Text Box 8" o:spid="_x0000_s1028" type="#_x0000_t202" style="position:absolute;left:0;text-align:left;margin-left:-29.15pt;margin-top:3.4pt;width:105.05pt;height:6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SoewIAAF0FAAAOAAAAZHJzL2Uyb0RvYy54bWysVEtv2zAMvg/YfxB0X5xn1xl1iixFhwFB&#10;W6wdelZkqTEqi5rExM5+fSnZSYpulw672JT4keLjIy8u29qwnfKhAlvw0WDImbISyso+Ffznw/Wn&#10;c84CClsKA1YVfK8Cv5x//HDRuFyNYQOmVJ6RExvyxhV8g+jyLAtyo2oRBuCUJaUGXwuko3/KSi8a&#10;8l6bbDwcnmUN+NJ5kCoEur3qlHye/GutJN5qHRQyU3CKDdPXp+86frP5hcifvHCbSvZhiH+IohaV&#10;pUePrq4ECrb11R+u6kp6CKBxIKHOQOtKqpQDZTMavsnmfiOcSrlQcYI7lin8P7fyZnfv7jzD9iu0&#10;1MCURHArkM+BapM1LuQ9JtY05IHQMdFW+zr+KQVGhlTb/bGeqkUmo7fJZDqazDiTpDufzIbjWSx4&#10;drJ2PuA3BTWLQsE99StFIHargB30AImPWbiujEk9M5Y1BT8jp8ngqCHnxkasSt3v3ZwiTxLujYoY&#10;Y38ozaoyJRAvEu/U0ni2E8QYIaWyOOqDTuiI0hTEewx7/Cmq9xh3eZBFehksHo3ryoLvGhbH5RR2&#10;+XwIWXf4vpGhyzuWANt1S4kXfByTizdrKPdEBA/djAQnrytqykoEvBOehoJaTIOOt/TRBqj40Euc&#10;bcD//tt9xBNXSctZQ0NW8PBrK7zizHy3xOIvo+k0TmU6TGefx3TwrzXr1xq7rZdAXRnRSnEyiRGP&#10;5iBqD/Uj7YNFfJVUwkp6u+B4EJfYjT7tE6kWiwSiOXQCV/beyQP/I+Ue2kfhXc9LJEbfwGEcRf6G&#10;nh029sfCYougq8TdU1X7+tMMJ/b3+yYuidfnhDptxfkLAAAA//8DAFBLAwQUAAYACAAAACEACxMx&#10;C98AAAAJAQAADwAAAGRycy9kb3ducmV2LnhtbEyPwWrDMBBE74X+g9hCb4mcBAfjWg7BEAqlPSTN&#10;pbe1pdim0sq1lMTt13dzam+zvGF2pthMzoqLGUPvScFinoAw1HjdU6vg+L6bZSBCRNJoPRkF3ybA&#10;pry/KzDX/kp7cznEVnAIhRwVdDEOuZSh6YzDMPeDIWYnPzqMfI6t1CNeOdxZuUyStXTYE3/ocDBV&#10;Z5rPw9kpeKl2b7ivly77sdXz62k7fB0/UqUeH6btE4hopvhnhlt9rg4ld6r9mXQQVsEszVZsVbDm&#10;BTeeLljULFYMZFnI/wvKXwAAAP//AwBQSwECLQAUAAYACAAAACEAtoM4kv4AAADhAQAAEwAAAAAA&#10;AAAAAAAAAAAAAAAAW0NvbnRlbnRfVHlwZXNdLnhtbFBLAQItABQABgAIAAAAIQA4/SH/1gAAAJQB&#10;AAALAAAAAAAAAAAAAAAAAC8BAABfcmVscy8ucmVsc1BLAQItABQABgAIAAAAIQCbZPSoewIAAF0F&#10;AAAOAAAAAAAAAAAAAAAAAC4CAABkcnMvZTJvRG9jLnhtbFBLAQItABQABgAIAAAAIQALEzEL3wAA&#10;AAkBAAAPAAAAAAAAAAAAAAAAANUEAABkcnMvZG93bnJldi54bWxQSwUGAAAAAAQABADzAAAA4QUA&#10;AAAA&#10;" filled="f" stroked="f" strokeweight=".5pt">
                <v:textbox>
                  <w:txbxContent>
                    <w:p w14:paraId="7634C64B" w14:textId="77777777" w:rsidR="00383EEB" w:rsidRPr="005F55DC" w:rsidRDefault="00383EEB" w:rsidP="002C1641">
                      <w:pPr>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OEA/</w:t>
                      </w:r>
                      <w:proofErr w:type="spellStart"/>
                      <w:r>
                        <w:rPr>
                          <w:rFonts w:asciiTheme="minorHAnsi" w:hAnsiTheme="minorHAnsi"/>
                          <w:color w:val="FFFFFF" w:themeColor="background1"/>
                          <w:sz w:val="22"/>
                          <w:lang w:val="es-CO"/>
                        </w:rPr>
                        <w:t>Ser.L</w:t>
                      </w:r>
                      <w:proofErr w:type="spellEnd"/>
                      <w:r>
                        <w:rPr>
                          <w:rFonts w:asciiTheme="minorHAnsi" w:hAnsiTheme="minorHAnsi"/>
                          <w:color w:val="FFFFFF" w:themeColor="background1"/>
                          <w:sz w:val="22"/>
                          <w:lang w:val="es-CO"/>
                        </w:rPr>
                        <w:t>/V/II.</w:t>
                      </w:r>
                    </w:p>
                    <w:p w14:paraId="61A832A4" w14:textId="1961E4DD" w:rsidR="00383EEB" w:rsidRPr="00706D7E" w:rsidRDefault="00383EEB"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Doc. </w:t>
                      </w:r>
                      <w:r w:rsidR="00213A12">
                        <w:rPr>
                          <w:rFonts w:asciiTheme="minorHAnsi" w:hAnsiTheme="minorHAnsi"/>
                          <w:color w:val="FFFFFF" w:themeColor="background1"/>
                          <w:sz w:val="22"/>
                        </w:rPr>
                        <w:t>476</w:t>
                      </w:r>
                    </w:p>
                    <w:p w14:paraId="0CABA01D" w14:textId="07CA48DC" w:rsidR="00383EEB" w:rsidRPr="004B7EB6" w:rsidRDefault="009E329A"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31 </w:t>
                      </w:r>
                      <w:r w:rsidR="00383EEB">
                        <w:rPr>
                          <w:rFonts w:asciiTheme="minorHAnsi" w:hAnsiTheme="minorHAnsi"/>
                          <w:color w:val="FFFFFF" w:themeColor="background1"/>
                          <w:sz w:val="22"/>
                        </w:rPr>
                        <w:t>December 2021</w:t>
                      </w:r>
                    </w:p>
                    <w:p w14:paraId="2F2A268B" w14:textId="77777777" w:rsidR="00383EEB" w:rsidRPr="004B7EB6" w:rsidRDefault="00383EEB"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 English</w:t>
                      </w:r>
                    </w:p>
                  </w:txbxContent>
                </v:textbox>
              </v:shape>
            </w:pict>
          </mc:Fallback>
        </mc:AlternateContent>
      </w:r>
    </w:p>
    <w:p w14:paraId="3BB60071" w14:textId="77777777" w:rsidR="00040C3A" w:rsidRPr="00256677" w:rsidRDefault="00040C3A" w:rsidP="00040C3A">
      <w:pPr>
        <w:tabs>
          <w:tab w:val="center" w:pos="5400"/>
        </w:tabs>
        <w:suppressAutoHyphens/>
        <w:jc w:val="center"/>
        <w:rPr>
          <w:rFonts w:asciiTheme="majorHAnsi" w:hAnsiTheme="majorHAnsi" w:cs="Arial"/>
          <w:sz w:val="22"/>
          <w:szCs w:val="22"/>
          <w:lang w:val="es-ES_tradnl"/>
        </w:rPr>
      </w:pPr>
    </w:p>
    <w:p w14:paraId="503BD10E" w14:textId="77777777" w:rsidR="00040C3A" w:rsidRPr="00256677" w:rsidRDefault="00040C3A" w:rsidP="00040C3A">
      <w:pPr>
        <w:tabs>
          <w:tab w:val="center" w:pos="5400"/>
        </w:tabs>
        <w:suppressAutoHyphens/>
        <w:jc w:val="center"/>
        <w:rPr>
          <w:rFonts w:asciiTheme="majorHAnsi" w:hAnsiTheme="majorHAnsi"/>
          <w:sz w:val="22"/>
          <w:szCs w:val="22"/>
          <w:lang w:val="es-ES_tradnl"/>
        </w:rPr>
      </w:pPr>
    </w:p>
    <w:p w14:paraId="21CFF668" w14:textId="77777777" w:rsidR="00040C3A" w:rsidRPr="00256677" w:rsidRDefault="00040C3A" w:rsidP="00040C3A">
      <w:pPr>
        <w:tabs>
          <w:tab w:val="center" w:pos="5400"/>
        </w:tabs>
        <w:suppressAutoHyphens/>
        <w:jc w:val="center"/>
        <w:rPr>
          <w:rFonts w:asciiTheme="majorHAnsi" w:hAnsiTheme="majorHAnsi"/>
          <w:sz w:val="22"/>
          <w:szCs w:val="22"/>
          <w:lang w:val="es-ES_tradnl"/>
        </w:rPr>
      </w:pPr>
    </w:p>
    <w:p w14:paraId="422CB1F9" w14:textId="77777777" w:rsidR="00040C3A" w:rsidRPr="00256677" w:rsidRDefault="00040C3A" w:rsidP="00040C3A">
      <w:pPr>
        <w:tabs>
          <w:tab w:val="center" w:pos="5400"/>
        </w:tabs>
        <w:suppressAutoHyphens/>
        <w:jc w:val="center"/>
        <w:rPr>
          <w:rFonts w:asciiTheme="majorHAnsi" w:hAnsiTheme="majorHAnsi"/>
          <w:sz w:val="22"/>
          <w:szCs w:val="22"/>
          <w:lang w:val="es-ES_tradnl"/>
        </w:rPr>
      </w:pPr>
    </w:p>
    <w:p w14:paraId="47B46E28" w14:textId="77777777" w:rsidR="00040C3A" w:rsidRPr="00256677" w:rsidRDefault="00040C3A" w:rsidP="00040C3A">
      <w:pPr>
        <w:tabs>
          <w:tab w:val="center" w:pos="5400"/>
        </w:tabs>
        <w:suppressAutoHyphens/>
        <w:jc w:val="center"/>
        <w:rPr>
          <w:rFonts w:asciiTheme="majorHAnsi" w:hAnsiTheme="majorHAnsi"/>
          <w:sz w:val="22"/>
          <w:szCs w:val="22"/>
          <w:lang w:val="es-ES_tradnl"/>
        </w:rPr>
      </w:pPr>
    </w:p>
    <w:p w14:paraId="6FF2C00E" w14:textId="77777777" w:rsidR="005128E4" w:rsidRPr="00256677" w:rsidRDefault="005128E4" w:rsidP="00040C3A">
      <w:pPr>
        <w:tabs>
          <w:tab w:val="center" w:pos="5400"/>
        </w:tabs>
        <w:suppressAutoHyphens/>
        <w:jc w:val="center"/>
        <w:rPr>
          <w:rFonts w:asciiTheme="majorHAnsi" w:hAnsiTheme="majorHAnsi"/>
          <w:sz w:val="22"/>
          <w:szCs w:val="22"/>
          <w:lang w:val="es-ES_tradnl"/>
        </w:rPr>
      </w:pPr>
    </w:p>
    <w:p w14:paraId="4EBEDCE2" w14:textId="77777777" w:rsidR="00040C3A" w:rsidRPr="00256677" w:rsidRDefault="00040C3A" w:rsidP="00040C3A">
      <w:pPr>
        <w:tabs>
          <w:tab w:val="center" w:pos="5400"/>
        </w:tabs>
        <w:suppressAutoHyphens/>
        <w:jc w:val="center"/>
        <w:rPr>
          <w:rFonts w:asciiTheme="majorHAnsi" w:hAnsiTheme="majorHAnsi"/>
          <w:sz w:val="22"/>
          <w:szCs w:val="22"/>
          <w:lang w:val="es-ES_tradnl"/>
        </w:rPr>
      </w:pPr>
    </w:p>
    <w:p w14:paraId="0B2CB76D" w14:textId="77777777" w:rsidR="005128E4" w:rsidRPr="00256677" w:rsidRDefault="005128E4" w:rsidP="00040C3A">
      <w:pPr>
        <w:tabs>
          <w:tab w:val="center" w:pos="5400"/>
        </w:tabs>
        <w:suppressAutoHyphens/>
        <w:jc w:val="center"/>
        <w:rPr>
          <w:rFonts w:asciiTheme="majorHAnsi" w:hAnsiTheme="majorHAnsi"/>
          <w:sz w:val="22"/>
          <w:szCs w:val="22"/>
          <w:lang w:val="es-ES_tradnl"/>
        </w:rPr>
      </w:pPr>
    </w:p>
    <w:p w14:paraId="4D858499" w14:textId="77777777" w:rsidR="005128E4" w:rsidRPr="00256677" w:rsidRDefault="005128E4" w:rsidP="00040C3A">
      <w:pPr>
        <w:tabs>
          <w:tab w:val="center" w:pos="5400"/>
        </w:tabs>
        <w:suppressAutoHyphens/>
        <w:jc w:val="center"/>
        <w:rPr>
          <w:rFonts w:asciiTheme="majorHAnsi" w:hAnsiTheme="majorHAnsi"/>
          <w:sz w:val="22"/>
          <w:szCs w:val="22"/>
          <w:lang w:val="es-ES_tradnl"/>
        </w:rPr>
      </w:pPr>
    </w:p>
    <w:p w14:paraId="163CBDAC" w14:textId="77777777" w:rsidR="005128E4" w:rsidRPr="00256677" w:rsidRDefault="005128E4" w:rsidP="00040C3A">
      <w:pPr>
        <w:tabs>
          <w:tab w:val="center" w:pos="5400"/>
        </w:tabs>
        <w:suppressAutoHyphens/>
        <w:jc w:val="center"/>
        <w:rPr>
          <w:rFonts w:asciiTheme="majorHAnsi" w:hAnsiTheme="majorHAnsi"/>
          <w:sz w:val="22"/>
          <w:szCs w:val="22"/>
          <w:lang w:val="es-ES_tradnl"/>
        </w:rPr>
      </w:pPr>
    </w:p>
    <w:p w14:paraId="33452C07" w14:textId="77777777" w:rsidR="00040C3A" w:rsidRPr="00256677" w:rsidRDefault="00040C3A" w:rsidP="00040C3A">
      <w:pPr>
        <w:tabs>
          <w:tab w:val="center" w:pos="5400"/>
        </w:tabs>
        <w:suppressAutoHyphens/>
        <w:jc w:val="center"/>
        <w:rPr>
          <w:rFonts w:asciiTheme="majorHAnsi" w:hAnsiTheme="majorHAnsi"/>
          <w:sz w:val="22"/>
          <w:szCs w:val="22"/>
          <w:lang w:val="es-ES_tradnl"/>
        </w:rPr>
      </w:pPr>
    </w:p>
    <w:p w14:paraId="7FB6D963" w14:textId="77777777" w:rsidR="00040C3A" w:rsidRPr="00256677" w:rsidRDefault="00040C3A" w:rsidP="00040C3A">
      <w:pPr>
        <w:tabs>
          <w:tab w:val="center" w:pos="5400"/>
        </w:tabs>
        <w:suppressAutoHyphens/>
        <w:jc w:val="center"/>
        <w:rPr>
          <w:rFonts w:asciiTheme="majorHAnsi" w:hAnsiTheme="majorHAnsi"/>
          <w:sz w:val="22"/>
          <w:szCs w:val="22"/>
          <w:lang w:val="es-ES_tradnl"/>
        </w:rPr>
      </w:pPr>
    </w:p>
    <w:p w14:paraId="24BEAACB" w14:textId="77777777" w:rsidR="002C1641" w:rsidRPr="00256677" w:rsidRDefault="002C1641" w:rsidP="00040C3A">
      <w:pPr>
        <w:tabs>
          <w:tab w:val="center" w:pos="5400"/>
        </w:tabs>
        <w:suppressAutoHyphens/>
        <w:jc w:val="center"/>
        <w:rPr>
          <w:rFonts w:asciiTheme="majorHAnsi" w:hAnsiTheme="majorHAnsi"/>
          <w:sz w:val="18"/>
          <w:szCs w:val="22"/>
          <w:lang w:val="es-ES_tradnl"/>
        </w:rPr>
      </w:pPr>
    </w:p>
    <w:p w14:paraId="41AB0317" w14:textId="77777777" w:rsidR="002C1641" w:rsidRPr="00256677" w:rsidRDefault="002C1641" w:rsidP="00040C3A">
      <w:pPr>
        <w:tabs>
          <w:tab w:val="center" w:pos="5400"/>
        </w:tabs>
        <w:suppressAutoHyphens/>
        <w:jc w:val="center"/>
        <w:rPr>
          <w:rFonts w:asciiTheme="majorHAnsi" w:hAnsiTheme="majorHAnsi"/>
          <w:sz w:val="18"/>
          <w:szCs w:val="22"/>
          <w:lang w:val="es-ES_tradnl"/>
        </w:rPr>
      </w:pPr>
    </w:p>
    <w:p w14:paraId="58A25EEC" w14:textId="77777777" w:rsidR="002C1641" w:rsidRPr="00256677" w:rsidRDefault="002C1641" w:rsidP="00040C3A">
      <w:pPr>
        <w:tabs>
          <w:tab w:val="center" w:pos="5400"/>
        </w:tabs>
        <w:suppressAutoHyphens/>
        <w:jc w:val="center"/>
        <w:rPr>
          <w:rFonts w:asciiTheme="majorHAnsi" w:hAnsiTheme="majorHAnsi"/>
          <w:sz w:val="18"/>
          <w:szCs w:val="22"/>
          <w:lang w:val="es-ES_tradnl"/>
        </w:rPr>
      </w:pPr>
    </w:p>
    <w:p w14:paraId="68206E35" w14:textId="77777777" w:rsidR="002C1641" w:rsidRPr="00256677" w:rsidRDefault="002C1641" w:rsidP="00040C3A">
      <w:pPr>
        <w:tabs>
          <w:tab w:val="center" w:pos="5400"/>
        </w:tabs>
        <w:suppressAutoHyphens/>
        <w:jc w:val="center"/>
        <w:rPr>
          <w:rFonts w:asciiTheme="majorHAnsi" w:hAnsiTheme="majorHAnsi"/>
          <w:sz w:val="18"/>
          <w:szCs w:val="22"/>
          <w:lang w:val="es-ES_tradnl"/>
        </w:rPr>
      </w:pPr>
    </w:p>
    <w:p w14:paraId="3F30C55D" w14:textId="77777777" w:rsidR="002C1641" w:rsidRPr="00256677" w:rsidRDefault="002C1641" w:rsidP="00040C3A">
      <w:pPr>
        <w:tabs>
          <w:tab w:val="center" w:pos="5400"/>
        </w:tabs>
        <w:suppressAutoHyphens/>
        <w:jc w:val="center"/>
        <w:rPr>
          <w:rFonts w:asciiTheme="majorHAnsi" w:hAnsiTheme="majorHAnsi"/>
          <w:sz w:val="18"/>
          <w:szCs w:val="22"/>
          <w:lang w:val="es-ES_tradnl"/>
        </w:rPr>
      </w:pPr>
    </w:p>
    <w:p w14:paraId="4D106005" w14:textId="77777777" w:rsidR="002C1641" w:rsidRPr="00256677" w:rsidRDefault="002C1641" w:rsidP="00040C3A">
      <w:pPr>
        <w:tabs>
          <w:tab w:val="center" w:pos="5400"/>
        </w:tabs>
        <w:suppressAutoHyphens/>
        <w:jc w:val="center"/>
        <w:rPr>
          <w:rFonts w:asciiTheme="majorHAnsi" w:hAnsiTheme="majorHAnsi"/>
          <w:sz w:val="18"/>
          <w:szCs w:val="22"/>
          <w:lang w:val="es-ES_tradnl"/>
        </w:rPr>
      </w:pPr>
    </w:p>
    <w:p w14:paraId="0840747D" w14:textId="77777777" w:rsidR="002C1641" w:rsidRPr="00256677" w:rsidRDefault="002C1641" w:rsidP="00040C3A">
      <w:pPr>
        <w:tabs>
          <w:tab w:val="center" w:pos="5400"/>
        </w:tabs>
        <w:suppressAutoHyphens/>
        <w:jc w:val="center"/>
        <w:rPr>
          <w:rFonts w:asciiTheme="majorHAnsi" w:hAnsiTheme="majorHAnsi"/>
          <w:sz w:val="18"/>
          <w:szCs w:val="22"/>
          <w:lang w:val="es-ES_tradnl"/>
        </w:rPr>
      </w:pPr>
    </w:p>
    <w:p w14:paraId="2BC19CA1" w14:textId="77777777" w:rsidR="002C1641" w:rsidRPr="00256677" w:rsidRDefault="002C1641" w:rsidP="00040C3A">
      <w:pPr>
        <w:tabs>
          <w:tab w:val="center" w:pos="5400"/>
        </w:tabs>
        <w:suppressAutoHyphens/>
        <w:jc w:val="center"/>
        <w:rPr>
          <w:rFonts w:asciiTheme="majorHAnsi" w:hAnsiTheme="majorHAnsi"/>
          <w:sz w:val="18"/>
          <w:szCs w:val="22"/>
          <w:lang w:val="es-ES_tradnl"/>
        </w:rPr>
      </w:pPr>
    </w:p>
    <w:p w14:paraId="3DA28F53" w14:textId="77777777" w:rsidR="002C1641" w:rsidRPr="00256677" w:rsidRDefault="002C1641" w:rsidP="00040C3A">
      <w:pPr>
        <w:tabs>
          <w:tab w:val="center" w:pos="5400"/>
        </w:tabs>
        <w:suppressAutoHyphens/>
        <w:jc w:val="center"/>
        <w:rPr>
          <w:rFonts w:asciiTheme="majorHAnsi" w:hAnsiTheme="majorHAnsi"/>
          <w:sz w:val="18"/>
          <w:szCs w:val="22"/>
          <w:lang w:val="es-ES_tradnl"/>
        </w:rPr>
      </w:pPr>
    </w:p>
    <w:p w14:paraId="20613DE5" w14:textId="77777777" w:rsidR="002C1641" w:rsidRPr="00256677" w:rsidRDefault="002C1641" w:rsidP="00040C3A">
      <w:pPr>
        <w:tabs>
          <w:tab w:val="center" w:pos="5400"/>
        </w:tabs>
        <w:suppressAutoHyphens/>
        <w:jc w:val="center"/>
        <w:rPr>
          <w:rFonts w:asciiTheme="majorHAnsi" w:hAnsiTheme="majorHAnsi"/>
          <w:sz w:val="18"/>
          <w:szCs w:val="22"/>
          <w:lang w:val="es-ES_tradnl"/>
        </w:rPr>
      </w:pPr>
    </w:p>
    <w:p w14:paraId="4D902C65" w14:textId="77777777" w:rsidR="002C1641" w:rsidRPr="00256677" w:rsidRDefault="002C1641" w:rsidP="00040C3A">
      <w:pPr>
        <w:tabs>
          <w:tab w:val="center" w:pos="5400"/>
        </w:tabs>
        <w:suppressAutoHyphens/>
        <w:jc w:val="center"/>
        <w:rPr>
          <w:rFonts w:asciiTheme="majorHAnsi" w:hAnsiTheme="majorHAnsi"/>
          <w:sz w:val="18"/>
          <w:szCs w:val="22"/>
          <w:lang w:val="es-ES_tradnl"/>
        </w:rPr>
      </w:pPr>
    </w:p>
    <w:p w14:paraId="2F03ECFE" w14:textId="77777777" w:rsidR="002C1641" w:rsidRPr="00256677" w:rsidRDefault="002C1641" w:rsidP="00040C3A">
      <w:pPr>
        <w:tabs>
          <w:tab w:val="center" w:pos="5400"/>
        </w:tabs>
        <w:suppressAutoHyphens/>
        <w:jc w:val="center"/>
        <w:rPr>
          <w:rFonts w:asciiTheme="majorHAnsi" w:hAnsiTheme="majorHAnsi"/>
          <w:sz w:val="18"/>
          <w:szCs w:val="22"/>
          <w:lang w:val="es-ES_tradnl"/>
        </w:rPr>
      </w:pPr>
    </w:p>
    <w:p w14:paraId="44A79EFF" w14:textId="77777777" w:rsidR="002C1641" w:rsidRPr="00256677" w:rsidRDefault="002C1641" w:rsidP="00040C3A">
      <w:pPr>
        <w:tabs>
          <w:tab w:val="center" w:pos="5400"/>
        </w:tabs>
        <w:suppressAutoHyphens/>
        <w:jc w:val="center"/>
        <w:rPr>
          <w:rFonts w:asciiTheme="majorHAnsi" w:hAnsiTheme="majorHAnsi"/>
          <w:sz w:val="18"/>
          <w:szCs w:val="22"/>
          <w:lang w:val="es-ES_tradnl"/>
        </w:rPr>
      </w:pPr>
    </w:p>
    <w:p w14:paraId="6D8B647E" w14:textId="77777777" w:rsidR="002C1641" w:rsidRPr="00256677" w:rsidRDefault="002C1641" w:rsidP="00040C3A">
      <w:pPr>
        <w:tabs>
          <w:tab w:val="center" w:pos="5400"/>
        </w:tabs>
        <w:suppressAutoHyphens/>
        <w:jc w:val="center"/>
        <w:rPr>
          <w:rFonts w:asciiTheme="majorHAnsi" w:hAnsiTheme="majorHAnsi"/>
          <w:sz w:val="18"/>
          <w:szCs w:val="22"/>
          <w:lang w:val="es-ES_tradnl"/>
        </w:rPr>
      </w:pPr>
    </w:p>
    <w:p w14:paraId="179B1708" w14:textId="77777777" w:rsidR="002C1641" w:rsidRPr="00256677" w:rsidRDefault="00557BA8" w:rsidP="00040C3A">
      <w:pPr>
        <w:tabs>
          <w:tab w:val="center" w:pos="5400"/>
        </w:tabs>
        <w:suppressAutoHyphens/>
        <w:jc w:val="center"/>
        <w:rPr>
          <w:rFonts w:asciiTheme="majorHAnsi" w:hAnsiTheme="majorHAnsi"/>
          <w:sz w:val="18"/>
          <w:szCs w:val="22"/>
          <w:lang w:val="es-ES_tradnl"/>
        </w:rPr>
      </w:pPr>
      <w:r w:rsidRPr="00256677">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289B43AB" wp14:editId="677FC38C">
                <wp:simplePos x="0" y="0"/>
                <wp:positionH relativeFrom="column">
                  <wp:posOffset>1228725</wp:posOffset>
                </wp:positionH>
                <wp:positionV relativeFrom="paragraph">
                  <wp:posOffset>5715</wp:posOffset>
                </wp:positionV>
                <wp:extent cx="4576445" cy="4953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6445"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982035" w14:textId="444156BB" w:rsidR="00383EEB" w:rsidRPr="003C32BC" w:rsidRDefault="00383EEB"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by the Commission</w:t>
                            </w:r>
                            <w:r>
                              <w:rPr>
                                <w:rFonts w:asciiTheme="majorHAnsi" w:hAnsiTheme="majorHAnsi"/>
                                <w:color w:val="0D0D0D" w:themeColor="text1" w:themeTint="F2"/>
                                <w:sz w:val="18"/>
                                <w:szCs w:val="20"/>
                              </w:rPr>
                              <w:t xml:space="preserve"> </w:t>
                            </w:r>
                            <w:r w:rsidRPr="003C32BC">
                              <w:rPr>
                                <w:rFonts w:asciiTheme="majorHAnsi" w:hAnsiTheme="majorHAnsi"/>
                                <w:color w:val="0D0D0D" w:themeColor="text1" w:themeTint="F2"/>
                                <w:sz w:val="18"/>
                                <w:szCs w:val="20"/>
                              </w:rPr>
                              <w:t xml:space="preserve">on </w:t>
                            </w:r>
                            <w:r>
                              <w:rPr>
                                <w:rFonts w:asciiTheme="majorHAnsi" w:hAnsiTheme="majorHAnsi"/>
                                <w:color w:val="0D0D0D" w:themeColor="text1" w:themeTint="F2"/>
                                <w:sz w:val="18"/>
                                <w:szCs w:val="20"/>
                              </w:rPr>
                              <w:t xml:space="preserve">December </w:t>
                            </w:r>
                            <w:r w:rsidR="00213A12">
                              <w:rPr>
                                <w:rFonts w:asciiTheme="majorHAnsi" w:hAnsiTheme="majorHAnsi"/>
                                <w:color w:val="0D0D0D" w:themeColor="text1" w:themeTint="F2"/>
                                <w:sz w:val="18"/>
                                <w:szCs w:val="20"/>
                              </w:rPr>
                              <w:t>31</w:t>
                            </w:r>
                            <w:r>
                              <w:rPr>
                                <w:rFonts w:asciiTheme="majorHAnsi" w:hAnsiTheme="majorHAnsi"/>
                                <w:color w:val="0D0D0D" w:themeColor="text1" w:themeTint="F2"/>
                                <w:sz w:val="18"/>
                                <w:szCs w:val="20"/>
                              </w:rPr>
                              <w:t>, 2021</w:t>
                            </w:r>
                            <w:r w:rsidR="004003A5">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B43AB" id="Text Box 7" o:spid="_x0000_s1029" type="#_x0000_t202" style="position:absolute;left:0;text-align:left;margin-left:96.75pt;margin-top:.45pt;width:360.35pt;height: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Ml7fAIAAF0FAAAOAAAAZHJzL2Uyb0RvYy54bWysVN9P2zAQfp+0/8Hy+0hLWzYiUtSBmCZV&#10;gAYTz65jtxGOz7OvTbq/nrOTtIjthWkvie377vd3d3HZ1obtlA8V2IKPT0acKSuhrOy64D8fbz59&#10;4SygsKUwYFXB9yrwy/nHDxeNy9UpbMCUyjMyYkPeuIJvEF2eZUFuVC3CCThlSajB1wLp6tdZ6UVD&#10;1muTnY5GZ1kDvnQepAqBXq87IZ8n+1oriXdaB4XMFJxiw/T16buK32x+IfK1F25TyT4M8Q9R1KKy&#10;5PRg6lqgYFtf/WGqrqSHABpPJNQZaF1JlXKgbMajN9k8bIRTKRcqTnCHMoX/Z1be7h7cvWfYfoWW&#10;GpiSCG4J8jlQbbLGhbzHxJqGPBA6JtpqX8c/pcBIkWq7P9RTtcgkPU5nn8+m0xlnkmTT89lklAqe&#10;HbWdD/hNQc3ioeCe+pUiELtlwOhf5AMkOrNwUxmTemYsawp+NpmNksJBQhrGRqxK3e/NHCNPJ9wb&#10;FTHG/lCaVWVKID4k3qkr49lOEGOElMriOLIk2SV0RGkK4j2KPf4Y1XuUuzwGz2DxoFxXFnzXsDgu&#10;x7DL5yFk3eH7RoYu71gCbFctJV7wSUwuvqyg3BMRPHQzEpy8qagpSxHwXngaCmoxDTre0UcboOJD&#10;f+JsA/73394jnrhKUs4aGrKCh19b4RVn5rslFp+Pp9M4lelCbDmli38tWb2W2G19BdSVMa0UJ9Mx&#10;4tEMR+2hfqJ9sIheSSSsJN8Fx+F4hd3o0z6RarFIIJpDJ3BpH5wc+B8p99g+Ce96XiIx+haGcRT5&#10;G3p22NheC4stgq4Sd49V7etPM5yI1O+buCRe3xPquBXnLwAAAP//AwBQSwMEFAAGAAgAAAAhAPpA&#10;CZHeAAAABwEAAA8AAABkcnMvZG93bnJldi54bWxMjsFOwzAQRO9I/IO1SNyo00AhCXGqKlKFVMGh&#10;pRdum3ibRMTrELtt6NdjTnAczejNy5eT6cWJRtdZVjCfRSCIa6s7bhTs39d3CQjnkTX2lknBNzlY&#10;FtdXOWbannlLp51vRICwy1BB6/2QSenqlgy6mR2IQ3ewo0Ef4thIPeI5wE0v4yh6lAY7Dg8tDlS2&#10;VH/ujkbBply/4baKTXLpy5fXw2r42n8slLq9mVbPIDxN/m8Mv/pBHYrgVNkjayf6kNP7RZgqSEGE&#10;Op0/xCAqBU9JCrLI5X//4gcAAP//AwBQSwECLQAUAAYACAAAACEAtoM4kv4AAADhAQAAEwAAAAAA&#10;AAAAAAAAAAAAAAAAW0NvbnRlbnRfVHlwZXNdLnhtbFBLAQItABQABgAIAAAAIQA4/SH/1gAAAJQB&#10;AAALAAAAAAAAAAAAAAAAAC8BAABfcmVscy8ucmVsc1BLAQItABQABgAIAAAAIQC5sMl7fAIAAF0F&#10;AAAOAAAAAAAAAAAAAAAAAC4CAABkcnMvZTJvRG9jLnhtbFBLAQItABQABgAIAAAAIQD6QAmR3gAA&#10;AAcBAAAPAAAAAAAAAAAAAAAAANYEAABkcnMvZG93bnJldi54bWxQSwUGAAAAAAQABADzAAAA4QUA&#10;AAAA&#10;" filled="f" stroked="f" strokeweight=".5pt">
                <v:textbox>
                  <w:txbxContent>
                    <w:p w14:paraId="73982035" w14:textId="444156BB" w:rsidR="00383EEB" w:rsidRPr="003C32BC" w:rsidRDefault="00383EEB"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by the Commission</w:t>
                      </w:r>
                      <w:r>
                        <w:rPr>
                          <w:rFonts w:asciiTheme="majorHAnsi" w:hAnsiTheme="majorHAnsi"/>
                          <w:color w:val="0D0D0D" w:themeColor="text1" w:themeTint="F2"/>
                          <w:sz w:val="18"/>
                          <w:szCs w:val="20"/>
                        </w:rPr>
                        <w:t xml:space="preserve"> </w:t>
                      </w:r>
                      <w:r w:rsidRPr="003C32BC">
                        <w:rPr>
                          <w:rFonts w:asciiTheme="majorHAnsi" w:hAnsiTheme="majorHAnsi"/>
                          <w:color w:val="0D0D0D" w:themeColor="text1" w:themeTint="F2"/>
                          <w:sz w:val="18"/>
                          <w:szCs w:val="20"/>
                        </w:rPr>
                        <w:t xml:space="preserve">on </w:t>
                      </w:r>
                      <w:r>
                        <w:rPr>
                          <w:rFonts w:asciiTheme="majorHAnsi" w:hAnsiTheme="majorHAnsi"/>
                          <w:color w:val="0D0D0D" w:themeColor="text1" w:themeTint="F2"/>
                          <w:sz w:val="18"/>
                          <w:szCs w:val="20"/>
                        </w:rPr>
                        <w:t xml:space="preserve">December </w:t>
                      </w:r>
                      <w:r w:rsidR="00213A12">
                        <w:rPr>
                          <w:rFonts w:asciiTheme="majorHAnsi" w:hAnsiTheme="majorHAnsi"/>
                          <w:color w:val="0D0D0D" w:themeColor="text1" w:themeTint="F2"/>
                          <w:sz w:val="18"/>
                          <w:szCs w:val="20"/>
                        </w:rPr>
                        <w:t>31</w:t>
                      </w:r>
                      <w:r>
                        <w:rPr>
                          <w:rFonts w:asciiTheme="majorHAnsi" w:hAnsiTheme="majorHAnsi"/>
                          <w:color w:val="0D0D0D" w:themeColor="text1" w:themeTint="F2"/>
                          <w:sz w:val="18"/>
                          <w:szCs w:val="20"/>
                        </w:rPr>
                        <w:t>, 2021</w:t>
                      </w:r>
                      <w:r w:rsidR="004003A5">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br/>
                      </w:r>
                    </w:p>
                  </w:txbxContent>
                </v:textbox>
              </v:shape>
            </w:pict>
          </mc:Fallback>
        </mc:AlternateContent>
      </w:r>
    </w:p>
    <w:p w14:paraId="33CF5F0E" w14:textId="77777777" w:rsidR="002C1641" w:rsidRPr="00256677" w:rsidRDefault="002C1641" w:rsidP="00040C3A">
      <w:pPr>
        <w:tabs>
          <w:tab w:val="center" w:pos="5400"/>
        </w:tabs>
        <w:suppressAutoHyphens/>
        <w:jc w:val="center"/>
        <w:rPr>
          <w:rFonts w:asciiTheme="majorHAnsi" w:hAnsiTheme="majorHAnsi"/>
          <w:sz w:val="18"/>
          <w:szCs w:val="22"/>
          <w:lang w:val="es-ES_tradnl"/>
        </w:rPr>
      </w:pPr>
    </w:p>
    <w:p w14:paraId="357E6B10" w14:textId="77777777" w:rsidR="002C1641" w:rsidRPr="00256677" w:rsidRDefault="002C1641" w:rsidP="00040C3A">
      <w:pPr>
        <w:tabs>
          <w:tab w:val="center" w:pos="5400"/>
        </w:tabs>
        <w:suppressAutoHyphens/>
        <w:jc w:val="center"/>
        <w:rPr>
          <w:rFonts w:asciiTheme="majorHAnsi" w:hAnsiTheme="majorHAnsi"/>
          <w:sz w:val="18"/>
          <w:szCs w:val="22"/>
          <w:lang w:val="es-ES_tradnl"/>
        </w:rPr>
      </w:pPr>
    </w:p>
    <w:p w14:paraId="4DDE0985" w14:textId="77777777" w:rsidR="002C1641" w:rsidRPr="00256677" w:rsidRDefault="00083E3C" w:rsidP="00040C3A">
      <w:pPr>
        <w:tabs>
          <w:tab w:val="center" w:pos="5400"/>
        </w:tabs>
        <w:suppressAutoHyphens/>
        <w:jc w:val="center"/>
        <w:rPr>
          <w:rFonts w:asciiTheme="majorHAnsi" w:hAnsiTheme="majorHAnsi"/>
          <w:sz w:val="18"/>
          <w:szCs w:val="22"/>
          <w:lang w:val="es-ES_tradnl"/>
        </w:rPr>
      </w:pPr>
      <w:r w:rsidRPr="00256677">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2B7DB631" wp14:editId="10C33199">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7A0848" w14:textId="55DD6739" w:rsidR="00383EEB" w:rsidRPr="003C32BC" w:rsidRDefault="00383EEB" w:rsidP="00F45EBF">
                            <w:pPr>
                              <w:spacing w:line="276" w:lineRule="auto"/>
                              <w:jc w:val="both"/>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213A12">
                              <w:rPr>
                                <w:rFonts w:asciiTheme="majorHAnsi" w:hAnsiTheme="majorHAnsi"/>
                                <w:color w:val="595959" w:themeColor="text1" w:themeTint="A6"/>
                                <w:sz w:val="18"/>
                              </w:rPr>
                              <w:t>462</w:t>
                            </w:r>
                            <w:r w:rsidRPr="00083E3C">
                              <w:rPr>
                                <w:rFonts w:asciiTheme="majorHAnsi" w:hAnsiTheme="majorHAnsi"/>
                                <w:color w:val="595959" w:themeColor="text1" w:themeTint="A6"/>
                                <w:sz w:val="18"/>
                              </w:rPr>
                              <w:t>/</w:t>
                            </w:r>
                            <w:r>
                              <w:rPr>
                                <w:rFonts w:asciiTheme="majorHAnsi" w:hAnsiTheme="majorHAnsi"/>
                                <w:color w:val="595959" w:themeColor="text1" w:themeTint="A6"/>
                                <w:sz w:val="18"/>
                              </w:rPr>
                              <w:t>21</w:t>
                            </w:r>
                            <w:r w:rsidRPr="00083E3C">
                              <w:rPr>
                                <w:rFonts w:asciiTheme="majorHAnsi" w:hAnsiTheme="majorHAnsi"/>
                                <w:color w:val="595959" w:themeColor="text1" w:themeTint="A6"/>
                                <w:sz w:val="18"/>
                              </w:rPr>
                              <w:t xml:space="preserve">. </w:t>
                            </w:r>
                            <w:r>
                              <w:rPr>
                                <w:rFonts w:asciiTheme="majorHAnsi" w:hAnsiTheme="majorHAnsi"/>
                                <w:color w:val="595959" w:themeColor="text1" w:themeTint="A6"/>
                                <w:sz w:val="18"/>
                              </w:rPr>
                              <w:t>Case 12.50</w:t>
                            </w:r>
                            <w:r w:rsidRPr="00E11D68">
                              <w:rPr>
                                <w:rFonts w:asciiTheme="majorHAnsi" w:hAnsiTheme="majorHAnsi"/>
                                <w:color w:val="595959" w:themeColor="text1" w:themeTint="A6"/>
                                <w:sz w:val="18"/>
                              </w:rPr>
                              <w:t>5. Merits</w:t>
                            </w:r>
                            <w:r>
                              <w:rPr>
                                <w:rFonts w:asciiTheme="majorHAnsi" w:hAnsiTheme="majorHAnsi"/>
                                <w:color w:val="595959" w:themeColor="text1" w:themeTint="A6"/>
                                <w:sz w:val="18"/>
                              </w:rPr>
                              <w:t xml:space="preserve"> (Publication)</w:t>
                            </w:r>
                            <w:r w:rsidRPr="00E11D68">
                              <w:rPr>
                                <w:rFonts w:asciiTheme="majorHAnsi" w:hAnsiTheme="majorHAnsi"/>
                                <w:color w:val="595959" w:themeColor="text1" w:themeTint="A6"/>
                                <w:sz w:val="18"/>
                              </w:rPr>
                              <w:t xml:space="preserve">. </w:t>
                            </w:r>
                            <w:r>
                              <w:rPr>
                                <w:rFonts w:asciiTheme="majorHAnsi" w:hAnsiTheme="majorHAnsi"/>
                                <w:color w:val="595959" w:themeColor="text1" w:themeTint="A6"/>
                                <w:sz w:val="18"/>
                              </w:rPr>
                              <w:t>Marlin Gray</w:t>
                            </w:r>
                            <w:r w:rsidRPr="00E11D68">
                              <w:rPr>
                                <w:rFonts w:asciiTheme="majorHAnsi" w:hAnsiTheme="majorHAnsi"/>
                                <w:color w:val="595959" w:themeColor="text1" w:themeTint="A6"/>
                                <w:sz w:val="18"/>
                              </w:rPr>
                              <w:t xml:space="preserve">. </w:t>
                            </w:r>
                            <w:r>
                              <w:rPr>
                                <w:rFonts w:asciiTheme="majorHAnsi" w:hAnsiTheme="majorHAnsi"/>
                                <w:color w:val="595959" w:themeColor="text1" w:themeTint="A6"/>
                                <w:sz w:val="18"/>
                              </w:rPr>
                              <w:t>United States of America.</w:t>
                            </w:r>
                            <w:r w:rsidRPr="007607C4">
                              <w:rPr>
                                <w:rFonts w:asciiTheme="majorHAnsi" w:hAnsiTheme="majorHAnsi"/>
                                <w:color w:val="595959" w:themeColor="text1" w:themeTint="A6"/>
                                <w:sz w:val="18"/>
                              </w:rPr>
                              <w:t xml:space="preserve"> </w:t>
                            </w:r>
                            <w:r>
                              <w:rPr>
                                <w:rFonts w:asciiTheme="majorHAnsi" w:hAnsiTheme="majorHAnsi"/>
                                <w:color w:val="595959" w:themeColor="text1" w:themeTint="A6"/>
                                <w:sz w:val="18"/>
                              </w:rPr>
                              <w:t>December</w:t>
                            </w:r>
                            <w:r w:rsidR="00191C42">
                              <w:rPr>
                                <w:rFonts w:asciiTheme="majorHAnsi" w:hAnsiTheme="majorHAnsi"/>
                                <w:color w:val="595959" w:themeColor="text1" w:themeTint="A6"/>
                                <w:sz w:val="18"/>
                              </w:rPr>
                              <w:t xml:space="preserve"> </w:t>
                            </w:r>
                            <w:r w:rsidR="00213A12">
                              <w:rPr>
                                <w:rFonts w:asciiTheme="majorHAnsi" w:hAnsiTheme="majorHAnsi"/>
                                <w:color w:val="595959" w:themeColor="text1" w:themeTint="A6"/>
                                <w:sz w:val="18"/>
                              </w:rPr>
                              <w:t>31</w:t>
                            </w:r>
                            <w:r>
                              <w:rPr>
                                <w:rFonts w:asciiTheme="majorHAnsi" w:hAnsiTheme="majorHAnsi"/>
                                <w:color w:val="595959" w:themeColor="text1" w:themeTint="A6"/>
                                <w:sz w:val="18"/>
                              </w:rPr>
                              <w:t>, 2021</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7DB631" id="_x0000_t202" coordsize="21600,21600" o:spt="202" path="m,l,21600r21600,l21600,xe">
                <v:stroke joinstyle="miter"/>
                <v:path gradientshapeok="t" o:connecttype="rect"/>
              </v:shapetype>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da0ewIAAF0FAAAOAAAAZHJzL2Uyb0RvYy54bWysVN9P2zAQfp+0/8Hy+0jaFQYRKepATJMq&#10;QIOJZ9exaYTj8+xrk+6v5+wkLWJ7YdpLYvu++/3dnV90jWFb5UMNtuSTo5wzZSVUtX0q+c+H60+n&#10;nAUUthIGrCr5TgV+Mf/44bx1hZrCGkylPCMjNhStK/ka0RVZFuRaNSIcgVOWhBp8I5Cu/imrvGjJ&#10;emOyaZ6fZC34ynmQKgR6veqFfJ7sa60k3modFDJTcooN09en7yp+s/m5KJ68cOtaDmGIf4iiEbUl&#10;p3tTVwIF2/j6D1NNLT0E0HgkoclA61qqlANlM8nfZHO/Fk6lXKg4we3LFP6fWXmzvXd3nmH3FTpq&#10;YEoiuCXI50C1yVoXigETaxqKQOiYaKd9E/+UAiNFqu1uX0/VIZP0ODudzvKzY84kyU7ys5M8FTw7&#10;aDsf8JuChsVDyT31K0UgtsuA0b8oRkh0ZuG6Nib1zFjWktHPx3lS2EtIw9iIVan7g5lD5OmEO6Mi&#10;xtgfSrO6SgnEh8Q7dWk82wpijJBSWZxEliS7hI4oTUG8R3HAH6J6j3Kfx+gZLO6Vm9qC7xsWx+UQ&#10;dvU8hqx7/NDI0OcdS4DdqqPEqUcxufiygmpHRPDQz0hw8rqmpixFwDvhaSioxTToeEsfbYCKD8OJ&#10;szX43397j3jiKkk5a2nISh5+bYRXnJnvllh8NpnN4lSmy+z4y5Qu/rVk9VpiN80lUFcmtFKcTMeI&#10;RzMetYfmkfbBInolkbCSfJccx+Ml9qNP+0SqxSKBaA6dwKW9d3Lkf6TcQ/covBt4icToGxjHURRv&#10;6NljY3stLDYIuk7cPVR1qD/NcCLSsG/iknh9T6jDVpy/AAAA//8DAFBLAwQUAAYACAAAACEAnoaU&#10;heIAAAAPAQAADwAAAGRycy9kb3ducmV2LnhtbExPTU/DMAy9I/EfIiNxY8kqirau6TQVTUgIDhu7&#10;cEsbr61onNJkW+HXY05wsf38nj9evp5cL844hs6ThvlMgUCqve2o0XB4294tQIRoyJreE2r4wgDr&#10;4voqN5n1F9rheR8bwUsoZEZDG+OQSRnqFp0JMz8gMXf0ozOR4dhIO5oLL3e9TJR6kM50xBdaM2DZ&#10;Yv2xPzkNz+X21eyqxC2++/Lp5bgZPg/vqda3N9PjisNmBSLiFP8m4NcD/w8FP1b5E9kgesZLlbKU&#10;i3vOLFimKgFRcWPOjCxy+d9H8QMAAP//AwBQSwECLQAUAAYACAAAACEAtoM4kv4AAADhAQAAEwAA&#10;AAAAAAAAAAAAAAAAAAAAW0NvbnRlbnRfVHlwZXNdLnhtbFBLAQItABQABgAIAAAAIQA4/SH/1gAA&#10;AJQBAAALAAAAAAAAAAAAAAAAAC8BAABfcmVscy8ucmVsc1BLAQItABQABgAIAAAAIQBN7da0ewIA&#10;AF0FAAAOAAAAAAAAAAAAAAAAAC4CAABkcnMvZTJvRG9jLnhtbFBLAQItABQABgAIAAAAIQCehpSF&#10;4gAAAA8BAAAPAAAAAAAAAAAAAAAAANUEAABkcnMvZG93bnJldi54bWxQSwUGAAAAAAQABADzAAAA&#10;5AUAAAAA&#10;" filled="f" stroked="f" strokeweight=".5pt">
                <v:textbox>
                  <w:txbxContent>
                    <w:p w14:paraId="7F7A0848" w14:textId="55DD6739" w:rsidR="00383EEB" w:rsidRPr="003C32BC" w:rsidRDefault="00383EEB" w:rsidP="00F45EBF">
                      <w:pPr>
                        <w:spacing w:line="276" w:lineRule="auto"/>
                        <w:jc w:val="both"/>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213A12">
                        <w:rPr>
                          <w:rFonts w:asciiTheme="majorHAnsi" w:hAnsiTheme="majorHAnsi"/>
                          <w:color w:val="595959" w:themeColor="text1" w:themeTint="A6"/>
                          <w:sz w:val="18"/>
                        </w:rPr>
                        <w:t>462</w:t>
                      </w:r>
                      <w:r w:rsidRPr="00083E3C">
                        <w:rPr>
                          <w:rFonts w:asciiTheme="majorHAnsi" w:hAnsiTheme="majorHAnsi"/>
                          <w:color w:val="595959" w:themeColor="text1" w:themeTint="A6"/>
                          <w:sz w:val="18"/>
                        </w:rPr>
                        <w:t>/</w:t>
                      </w:r>
                      <w:r>
                        <w:rPr>
                          <w:rFonts w:asciiTheme="majorHAnsi" w:hAnsiTheme="majorHAnsi"/>
                          <w:color w:val="595959" w:themeColor="text1" w:themeTint="A6"/>
                          <w:sz w:val="18"/>
                        </w:rPr>
                        <w:t>21</w:t>
                      </w:r>
                      <w:r w:rsidRPr="00083E3C">
                        <w:rPr>
                          <w:rFonts w:asciiTheme="majorHAnsi" w:hAnsiTheme="majorHAnsi"/>
                          <w:color w:val="595959" w:themeColor="text1" w:themeTint="A6"/>
                          <w:sz w:val="18"/>
                        </w:rPr>
                        <w:t xml:space="preserve">. </w:t>
                      </w:r>
                      <w:r>
                        <w:rPr>
                          <w:rFonts w:asciiTheme="majorHAnsi" w:hAnsiTheme="majorHAnsi"/>
                          <w:color w:val="595959" w:themeColor="text1" w:themeTint="A6"/>
                          <w:sz w:val="18"/>
                        </w:rPr>
                        <w:t>Case 12.50</w:t>
                      </w:r>
                      <w:r w:rsidRPr="00E11D68">
                        <w:rPr>
                          <w:rFonts w:asciiTheme="majorHAnsi" w:hAnsiTheme="majorHAnsi"/>
                          <w:color w:val="595959" w:themeColor="text1" w:themeTint="A6"/>
                          <w:sz w:val="18"/>
                        </w:rPr>
                        <w:t>5. Merits</w:t>
                      </w:r>
                      <w:r>
                        <w:rPr>
                          <w:rFonts w:asciiTheme="majorHAnsi" w:hAnsiTheme="majorHAnsi"/>
                          <w:color w:val="595959" w:themeColor="text1" w:themeTint="A6"/>
                          <w:sz w:val="18"/>
                        </w:rPr>
                        <w:t xml:space="preserve"> (Publication)</w:t>
                      </w:r>
                      <w:r w:rsidRPr="00E11D68">
                        <w:rPr>
                          <w:rFonts w:asciiTheme="majorHAnsi" w:hAnsiTheme="majorHAnsi"/>
                          <w:color w:val="595959" w:themeColor="text1" w:themeTint="A6"/>
                          <w:sz w:val="18"/>
                        </w:rPr>
                        <w:t xml:space="preserve">. </w:t>
                      </w:r>
                      <w:r>
                        <w:rPr>
                          <w:rFonts w:asciiTheme="majorHAnsi" w:hAnsiTheme="majorHAnsi"/>
                          <w:color w:val="595959" w:themeColor="text1" w:themeTint="A6"/>
                          <w:sz w:val="18"/>
                        </w:rPr>
                        <w:t>Marlin Gray</w:t>
                      </w:r>
                      <w:r w:rsidRPr="00E11D68">
                        <w:rPr>
                          <w:rFonts w:asciiTheme="majorHAnsi" w:hAnsiTheme="majorHAnsi"/>
                          <w:color w:val="595959" w:themeColor="text1" w:themeTint="A6"/>
                          <w:sz w:val="18"/>
                        </w:rPr>
                        <w:t xml:space="preserve">. </w:t>
                      </w:r>
                      <w:r>
                        <w:rPr>
                          <w:rFonts w:asciiTheme="majorHAnsi" w:hAnsiTheme="majorHAnsi"/>
                          <w:color w:val="595959" w:themeColor="text1" w:themeTint="A6"/>
                          <w:sz w:val="18"/>
                        </w:rPr>
                        <w:t>United States of America.</w:t>
                      </w:r>
                      <w:r w:rsidRPr="007607C4">
                        <w:rPr>
                          <w:rFonts w:asciiTheme="majorHAnsi" w:hAnsiTheme="majorHAnsi"/>
                          <w:color w:val="595959" w:themeColor="text1" w:themeTint="A6"/>
                          <w:sz w:val="18"/>
                        </w:rPr>
                        <w:t xml:space="preserve"> </w:t>
                      </w:r>
                      <w:r>
                        <w:rPr>
                          <w:rFonts w:asciiTheme="majorHAnsi" w:hAnsiTheme="majorHAnsi"/>
                          <w:color w:val="595959" w:themeColor="text1" w:themeTint="A6"/>
                          <w:sz w:val="18"/>
                        </w:rPr>
                        <w:t>December</w:t>
                      </w:r>
                      <w:r w:rsidR="00191C42">
                        <w:rPr>
                          <w:rFonts w:asciiTheme="majorHAnsi" w:hAnsiTheme="majorHAnsi"/>
                          <w:color w:val="595959" w:themeColor="text1" w:themeTint="A6"/>
                          <w:sz w:val="18"/>
                        </w:rPr>
                        <w:t xml:space="preserve"> </w:t>
                      </w:r>
                      <w:r w:rsidR="00213A12">
                        <w:rPr>
                          <w:rFonts w:asciiTheme="majorHAnsi" w:hAnsiTheme="majorHAnsi"/>
                          <w:color w:val="595959" w:themeColor="text1" w:themeTint="A6"/>
                          <w:sz w:val="18"/>
                        </w:rPr>
                        <w:t>31</w:t>
                      </w:r>
                      <w:r>
                        <w:rPr>
                          <w:rFonts w:asciiTheme="majorHAnsi" w:hAnsiTheme="majorHAnsi"/>
                          <w:color w:val="595959" w:themeColor="text1" w:themeTint="A6"/>
                          <w:sz w:val="18"/>
                        </w:rPr>
                        <w:t>, 2021</w:t>
                      </w:r>
                      <w:r w:rsidRPr="007607C4">
                        <w:rPr>
                          <w:rFonts w:asciiTheme="majorHAnsi" w:hAnsiTheme="majorHAnsi"/>
                          <w:color w:val="595959" w:themeColor="text1" w:themeTint="A6"/>
                          <w:sz w:val="18"/>
                        </w:rPr>
                        <w:t>.</w:t>
                      </w:r>
                    </w:p>
                  </w:txbxContent>
                </v:textbox>
              </v:shape>
            </w:pict>
          </mc:Fallback>
        </mc:AlternateContent>
      </w:r>
    </w:p>
    <w:p w14:paraId="5A2022CF" w14:textId="77777777" w:rsidR="002C1641" w:rsidRPr="00256677" w:rsidRDefault="002C1641" w:rsidP="00040C3A">
      <w:pPr>
        <w:tabs>
          <w:tab w:val="center" w:pos="5400"/>
        </w:tabs>
        <w:suppressAutoHyphens/>
        <w:jc w:val="center"/>
        <w:rPr>
          <w:rFonts w:asciiTheme="majorHAnsi" w:hAnsiTheme="majorHAnsi"/>
          <w:sz w:val="18"/>
          <w:szCs w:val="22"/>
          <w:lang w:val="es-ES_tradnl"/>
        </w:rPr>
      </w:pPr>
    </w:p>
    <w:p w14:paraId="1DE443D5" w14:textId="77777777" w:rsidR="002C1641" w:rsidRPr="00256677" w:rsidRDefault="002C1641" w:rsidP="00040C3A">
      <w:pPr>
        <w:tabs>
          <w:tab w:val="center" w:pos="5400"/>
        </w:tabs>
        <w:suppressAutoHyphens/>
        <w:jc w:val="center"/>
        <w:rPr>
          <w:rFonts w:asciiTheme="majorHAnsi" w:hAnsiTheme="majorHAnsi"/>
          <w:sz w:val="18"/>
          <w:szCs w:val="22"/>
          <w:lang w:val="es-ES_tradnl"/>
        </w:rPr>
      </w:pPr>
    </w:p>
    <w:p w14:paraId="590AF3AE" w14:textId="77777777" w:rsidR="003C32BC" w:rsidRPr="00256677" w:rsidRDefault="003C32BC" w:rsidP="003C32BC">
      <w:pPr>
        <w:tabs>
          <w:tab w:val="center" w:pos="5400"/>
        </w:tabs>
        <w:suppressAutoHyphens/>
        <w:jc w:val="center"/>
        <w:rPr>
          <w:rFonts w:asciiTheme="majorHAnsi" w:hAnsiTheme="majorHAnsi"/>
          <w:sz w:val="18"/>
          <w:szCs w:val="22"/>
        </w:rPr>
      </w:pPr>
    </w:p>
    <w:p w14:paraId="143347FC" w14:textId="77777777" w:rsidR="003C32BC" w:rsidRPr="00256677" w:rsidRDefault="00083E3C" w:rsidP="003C32BC">
      <w:pPr>
        <w:tabs>
          <w:tab w:val="center" w:pos="5400"/>
        </w:tabs>
        <w:suppressAutoHyphens/>
        <w:jc w:val="center"/>
        <w:rPr>
          <w:rFonts w:asciiTheme="majorHAnsi" w:hAnsiTheme="majorHAnsi"/>
          <w:sz w:val="18"/>
          <w:szCs w:val="22"/>
        </w:rPr>
      </w:pPr>
      <w:r w:rsidRPr="00256677">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B526C1C" wp14:editId="140A4A7D">
                <wp:simplePos x="0" y="0"/>
                <wp:positionH relativeFrom="column">
                  <wp:posOffset>-299085</wp:posOffset>
                </wp:positionH>
                <wp:positionV relativeFrom="paragraph">
                  <wp:posOffset>859155</wp:posOffset>
                </wp:positionV>
                <wp:extent cx="1181100" cy="3327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9E634E" w14:textId="77777777" w:rsidR="00383EEB" w:rsidRPr="004B7EB6" w:rsidRDefault="00383EEB"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26C1C"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ab7jg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VXSCSWG&#10;aWzRs2gD+QItmcTqNNYXCFpahIUWn7HLKVNvF8BfPUKyE0yn4BEdq9FKp+Mf8ySoiA3YH4oevfBo&#10;Lb/K8xGKOMomk/HlNHUlO2pb58NXAZrEQ0kdNjVFwHYLH6J/VgyQ6MzAfa1UaqwypCnpxeR8lBQO&#10;EtRQJmJFokhvJqbRRZ5OYa9ExCjzXUgsUUogPiRyilvlyI4hrRjnwoQ8FivZRXRESQziPYo9/hjV&#10;e5S7PAbPYMJBWdcGXNewOFPHsKvXIWTZ4ftG+i7vWILQrtrEjfOBCSuo9kgEB90gecvva2zKgvnw&#10;xBxODvYRt0F4xI9UgMWH/kTJBtyvv71HPBIapZQ0OIkl9T+3zAlK1DeDVP+cT5ESJKTL9PxyjBd3&#10;KlmdSsxW3wJ2Jce9Y3k6RnxQw1E60C+4NObRK4qY4ei7pGE43oZuP+DS4WI+TyAcVsvCwiwtH/gf&#10;KffcvjBne14GZPQDDDPLijf07LCxvQbm2wCyTtyNde6q2tcfBz0RqV9KcZOc3hPquDpnvwEAAP//&#10;AwBQSwMEFAAGAAgAAAAhAGVR7mDlAAAAEAEAAA8AAABkcnMvZG93bnJldi54bWxMT01PwkAQvZv4&#10;HzZj4g22ULG1dEtIDTExeAC5eJt2l7ZxP2p3geqvdzjpZTKT9+Z95KvRaHZWg++cFTCbRsCUrZ3s&#10;bCPg8L6ZpMB8QCtRO6sEfCsPq+L2JsdMuovdqfM+NIxErM9QQBtCn3Hu61YZ9FPXK0vY0Q0GA51D&#10;w+WAFxI3ms+j6JEb7Cw5tNirslX15/5kBLyWmzfcVXOT/ujyZXtc91+Hj4UQ93fj85LGegksqDH8&#10;fcC1A+WHgoJV7mSlZ1rA5CGZEZWAeBEDuzLi9AlYRUuaJMCLnP8vUvwCAAD//wMAUEsBAi0AFAAG&#10;AAgAAAAhALaDOJL+AAAA4QEAABMAAAAAAAAAAAAAAAAAAAAAAFtDb250ZW50X1R5cGVzXS54bWxQ&#10;SwECLQAUAAYACAAAACEAOP0h/9YAAACUAQAACwAAAAAAAAAAAAAAAAAvAQAAX3JlbHMvLnJlbHNQ&#10;SwECLQAUAAYACAAAACEAV0Gm+44CAACCBQAADgAAAAAAAAAAAAAAAAAuAgAAZHJzL2Uyb0RvYy54&#10;bWxQSwECLQAUAAYACAAAACEAZVHuYOUAAAAQAQAADwAAAAAAAAAAAAAAAADoBAAAZHJzL2Rvd25y&#10;ZXYueG1sUEsFBgAAAAAEAAQA8wAAAPoFAAAAAA==&#10;" filled="f" stroked="f" strokeweight=".5pt">
                <v:textbox>
                  <w:txbxContent>
                    <w:p w14:paraId="219E634E" w14:textId="77777777" w:rsidR="00383EEB" w:rsidRPr="004B7EB6" w:rsidRDefault="00383EEB"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256677">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69D8487E" wp14:editId="38DADA91">
                <wp:simplePos x="0" y="0"/>
                <wp:positionH relativeFrom="column">
                  <wp:posOffset>1208405</wp:posOffset>
                </wp:positionH>
                <wp:positionV relativeFrom="paragraph">
                  <wp:posOffset>722630</wp:posOffset>
                </wp:positionV>
                <wp:extent cx="2085975" cy="4857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6E1E38" w14:textId="7DE94B40" w:rsidR="00383EEB" w:rsidRDefault="004003A5">
                            <w:r>
                              <w:rPr>
                                <w:noProof/>
                              </w:rPr>
                              <w:drawing>
                                <wp:inline distT="0" distB="0" distL="0" distR="0" wp14:anchorId="79F8C01F" wp14:editId="613EE0C2">
                                  <wp:extent cx="1519555" cy="387985"/>
                                  <wp:effectExtent l="0" t="0" r="4445"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8487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OGpgwIAAIUFAAAOAAAAZHJzL2Uyb0RvYy54bWysVEtv2zAMvg/YfxB0X5xkSZMadYqsRYYB&#10;QVusHXpWZKkRKouapMTOfn0p2Xm066XDLjYlfiTFj4+Ly6bSZCucV2AKOuj1KRGGQ6nMU0F/PSy+&#10;TCnxgZmSaTCioDvh6eXs86eL2uZiCGvQpXAEnRif17ag6xBsnmWer0XFfA+sMKiU4CoW8OiestKx&#10;Gr1XOhv2+2dZDa60DrjwHm+vWyWdJf9SCh5upfQiEF1QfFtIX5e+q/jNZhcsf3LMrhXvnsH+4RUV&#10;UwaDHlxds8DIxqm/XFWKO/AgQ49DlYGUiouUA2Yz6L/J5n7NrEi5IDneHmjy/88tv9ne2ztHQvMN&#10;GixgSsLbJfBnj9xktfV5h4mc+twjOibaSFfFP6ZA0BC53R34FE0gHC+H/en4fDKmhKNuNB1PUI5O&#10;j9bW+fBdQEWiUFCH9UovYNulDy10D4nBPGhVLpTW6RB7RFxpR7YMq6vDoHP+CqUNqQt69nXcT44N&#10;RPPWszbRjUhd0oU7ZpiksNMiYrT5KSRRZUr0ndiMc2EO8RM6oiSG+ohhhz++6iPGbR5okSKDCQfj&#10;ShlwbWFfU1Y+7ymTLb4ruG/zjhSEZtVg4shgJDferKDcYcM4aGfJW75QWLwl8+GOORwebAVcCOEW&#10;P1IDkg+dRMka3J/37iMeexq1lNQ4jAX1vzfMCUr0D4Pdfj4YjeL0psNoPBniwZ1qVqcas6muADti&#10;gKvH8iRGfNB7UTqoHnFvzGNUVDHDMXZBw168Cu2KwL3DxXyeQDivloWlubd8PyexNR+aR+Zs178B&#10;O/8G9mPL8jdt3GJjfQzMNwGkSj1+ZLXjH2c9TUm3l+IyOT0n1HF7zl4AAAD//wMAUEsDBBQABgAI&#10;AAAAIQBl0WVw3QAAAAsBAAAPAAAAZHJzL2Rvd25yZXYueG1sTE9NS8NAFLwL/Q/LK3gRu4mhWtNs&#10;iogf4M2mVbxts69JMPs2ZLdJ/Pc+QdDbDDPMR7aZbCsG7H3jSEG8iEAglc40VCnYFY+XKxA+aDK6&#10;dYQKvtDDJp+dZTo1bqRXHLahEhxCPtUK6hC6VEpf1mi1X7gOibWj660OTPtKml6PHG5beRVF19Lq&#10;hrih1h3e11h+bk9WwcdF9f7ip6f9mCyT7uF5KG7eTKHU+Xy6W4MIOIU/M/zM5+mQ86aDO5HxomV+&#10;GyVsZRAn/IEdy3jF4PAryTyT/z/k3wAAAP//AwBQSwECLQAUAAYACAAAACEAtoM4kv4AAADhAQAA&#10;EwAAAAAAAAAAAAAAAAAAAAAAW0NvbnRlbnRfVHlwZXNdLnhtbFBLAQItABQABgAIAAAAIQA4/SH/&#10;1gAAAJQBAAALAAAAAAAAAAAAAAAAAC8BAABfcmVscy8ucmVsc1BLAQItABQABgAIAAAAIQAKTOGp&#10;gwIAAIUFAAAOAAAAAAAAAAAAAAAAAC4CAABkcnMvZTJvRG9jLnhtbFBLAQItABQABgAIAAAAIQBl&#10;0WVw3QAAAAsBAAAPAAAAAAAAAAAAAAAAAN0EAABkcnMvZG93bnJldi54bWxQSwUGAAAAAAQABADz&#10;AAAA5wUAAAAA&#10;" fillcolor="white [3201]" stroked="f" strokeweight=".5pt">
                <v:textbox>
                  <w:txbxContent>
                    <w:p w14:paraId="476E1E38" w14:textId="7DE94B40" w:rsidR="00383EEB" w:rsidRDefault="004003A5">
                      <w:r>
                        <w:rPr>
                          <w:noProof/>
                        </w:rPr>
                        <w:drawing>
                          <wp:inline distT="0" distB="0" distL="0" distR="0" wp14:anchorId="79F8C01F" wp14:editId="613EE0C2">
                            <wp:extent cx="1519555" cy="387985"/>
                            <wp:effectExtent l="0" t="0" r="4445"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0E5D45FF" w14:textId="77777777" w:rsidR="007607C4" w:rsidRPr="00256677" w:rsidRDefault="007607C4" w:rsidP="003C32BC">
      <w:pPr>
        <w:tabs>
          <w:tab w:val="center" w:pos="5400"/>
        </w:tabs>
        <w:suppressAutoHyphens/>
        <w:jc w:val="center"/>
        <w:rPr>
          <w:rFonts w:asciiTheme="majorHAnsi" w:hAnsiTheme="majorHAnsi"/>
          <w:sz w:val="18"/>
          <w:szCs w:val="22"/>
        </w:rPr>
        <w:sectPr w:rsidR="007607C4" w:rsidRPr="00256677">
          <w:headerReference w:type="even" r:id="rId11"/>
          <w:headerReference w:type="default" r:id="rId12"/>
          <w:footerReference w:type="default" r:id="rId13"/>
          <w:footerReference w:type="first" r:id="rId14"/>
          <w:type w:val="oddPage"/>
          <w:pgSz w:w="12240" w:h="15840"/>
          <w:pgMar w:top="1440" w:right="1440" w:bottom="1440" w:left="1440" w:header="720" w:footer="720" w:gutter="0"/>
          <w:pgNumType w:start="0"/>
          <w:cols w:space="720"/>
          <w:titlePg/>
          <w:docGrid w:linePitch="326"/>
        </w:sectPr>
      </w:pPr>
    </w:p>
    <w:p w14:paraId="2B530B00" w14:textId="77777777" w:rsidR="00FC3EB4" w:rsidRPr="00256677" w:rsidRDefault="00FC3EB4" w:rsidP="00FC3EB4">
      <w:pPr>
        <w:tabs>
          <w:tab w:val="center" w:pos="5400"/>
        </w:tabs>
        <w:suppressAutoHyphens/>
        <w:spacing w:line="276" w:lineRule="auto"/>
        <w:jc w:val="center"/>
        <w:rPr>
          <w:rFonts w:asciiTheme="majorHAnsi" w:hAnsiTheme="majorHAnsi"/>
          <w:b/>
          <w:sz w:val="18"/>
          <w:szCs w:val="18"/>
        </w:rPr>
      </w:pPr>
      <w:r w:rsidRPr="00256677">
        <w:rPr>
          <w:rFonts w:asciiTheme="majorHAnsi" w:hAnsiTheme="majorHAnsi"/>
          <w:b/>
          <w:sz w:val="18"/>
          <w:szCs w:val="18"/>
        </w:rPr>
        <w:lastRenderedPageBreak/>
        <w:t>INDEX</w:t>
      </w:r>
    </w:p>
    <w:p w14:paraId="2BD9BDCB" w14:textId="77777777" w:rsidR="007607C4" w:rsidRPr="00256677" w:rsidRDefault="007607C4" w:rsidP="00145EDC">
      <w:pPr>
        <w:tabs>
          <w:tab w:val="center" w:pos="5400"/>
        </w:tabs>
        <w:suppressAutoHyphens/>
        <w:spacing w:line="276" w:lineRule="auto"/>
        <w:rPr>
          <w:rFonts w:asciiTheme="majorHAnsi" w:hAnsiTheme="majorHAnsi"/>
          <w:sz w:val="18"/>
          <w:szCs w:val="18"/>
        </w:rPr>
      </w:pPr>
    </w:p>
    <w:p w14:paraId="5B52D076" w14:textId="77777777" w:rsidR="007607C4" w:rsidRPr="00B86A06" w:rsidRDefault="007607C4" w:rsidP="00145EDC">
      <w:pPr>
        <w:tabs>
          <w:tab w:val="center" w:pos="5400"/>
        </w:tabs>
        <w:suppressAutoHyphens/>
        <w:spacing w:line="276" w:lineRule="auto"/>
        <w:rPr>
          <w:rFonts w:asciiTheme="majorHAnsi" w:hAnsiTheme="majorHAnsi"/>
          <w:sz w:val="20"/>
          <w:szCs w:val="20"/>
        </w:rPr>
      </w:pPr>
    </w:p>
    <w:p w14:paraId="7823C5D7" w14:textId="6902E877" w:rsidR="00383EEB" w:rsidRPr="004003A5" w:rsidRDefault="00E200F9" w:rsidP="004003A5">
      <w:pPr>
        <w:pStyle w:val="TOC1"/>
        <w:ind w:hanging="720"/>
        <w:rPr>
          <w:rFonts w:eastAsiaTheme="minorEastAsia" w:cstheme="minorBidi"/>
          <w:bdr w:val="none" w:sz="0" w:space="0" w:color="auto"/>
          <w:lang w:val="en-US" w:eastAsia="zh-CN"/>
        </w:rPr>
      </w:pPr>
      <w:r w:rsidRPr="00DE1726">
        <w:fldChar w:fldCharType="begin"/>
      </w:r>
      <w:r w:rsidRPr="00DE1726">
        <w:rPr>
          <w:lang w:val="en-US"/>
        </w:rPr>
        <w:instrText xml:space="preserve"> TOC \o "1-3" </w:instrText>
      </w:r>
      <w:r w:rsidRPr="00DE1726">
        <w:fldChar w:fldCharType="separate"/>
      </w:r>
      <w:r w:rsidR="00383EEB" w:rsidRPr="004003A5">
        <w:rPr>
          <w:lang w:val="en-US"/>
        </w:rPr>
        <w:t>I.</w:t>
      </w:r>
      <w:r w:rsidR="00383EEB" w:rsidRPr="004003A5">
        <w:rPr>
          <w:rFonts w:eastAsiaTheme="minorEastAsia" w:cstheme="minorBidi"/>
          <w:bdr w:val="none" w:sz="0" w:space="0" w:color="auto"/>
          <w:lang w:val="en-US" w:eastAsia="zh-CN"/>
        </w:rPr>
        <w:tab/>
      </w:r>
      <w:r w:rsidR="00383EEB" w:rsidRPr="004003A5">
        <w:rPr>
          <w:lang w:val="en-US"/>
        </w:rPr>
        <w:t>INTRODUCTION</w:t>
      </w:r>
      <w:r w:rsidR="00383EEB" w:rsidRPr="004003A5">
        <w:rPr>
          <w:lang w:val="en-US"/>
        </w:rPr>
        <w:tab/>
      </w:r>
      <w:r w:rsidR="00383EEB" w:rsidRPr="00DE1726">
        <w:fldChar w:fldCharType="begin"/>
      </w:r>
      <w:r w:rsidR="00383EEB" w:rsidRPr="004003A5">
        <w:rPr>
          <w:lang w:val="en-US"/>
        </w:rPr>
        <w:instrText xml:space="preserve"> PAGEREF _Toc90284132 \h </w:instrText>
      </w:r>
      <w:r w:rsidR="00383EEB" w:rsidRPr="00DE1726">
        <w:fldChar w:fldCharType="separate"/>
      </w:r>
      <w:r w:rsidR="00383EEB" w:rsidRPr="004003A5">
        <w:rPr>
          <w:lang w:val="en-US"/>
        </w:rPr>
        <w:t>2</w:t>
      </w:r>
      <w:r w:rsidR="00383EEB" w:rsidRPr="00DE1726">
        <w:fldChar w:fldCharType="end"/>
      </w:r>
    </w:p>
    <w:p w14:paraId="0F69C437" w14:textId="32A0C5F5" w:rsidR="00383EEB" w:rsidRPr="004003A5" w:rsidRDefault="00383EEB" w:rsidP="004003A5">
      <w:pPr>
        <w:pStyle w:val="TOC1"/>
        <w:ind w:hanging="720"/>
        <w:rPr>
          <w:rFonts w:eastAsiaTheme="minorEastAsia" w:cstheme="minorBidi"/>
          <w:bdr w:val="none" w:sz="0" w:space="0" w:color="auto"/>
          <w:lang w:val="en-US" w:eastAsia="zh-CN"/>
        </w:rPr>
      </w:pPr>
      <w:r w:rsidRPr="004003A5">
        <w:rPr>
          <w:lang w:val="en-US"/>
        </w:rPr>
        <w:t>II.</w:t>
      </w:r>
      <w:r w:rsidRPr="004003A5">
        <w:rPr>
          <w:rFonts w:eastAsiaTheme="minorEastAsia" w:cstheme="minorBidi"/>
          <w:bdr w:val="none" w:sz="0" w:space="0" w:color="auto"/>
          <w:lang w:val="en-US" w:eastAsia="zh-CN"/>
        </w:rPr>
        <w:tab/>
      </w:r>
      <w:r w:rsidRPr="004003A5">
        <w:rPr>
          <w:lang w:val="en-US"/>
        </w:rPr>
        <w:t>POSITIONS OF THE PARTIES</w:t>
      </w:r>
      <w:r w:rsidRPr="004003A5">
        <w:rPr>
          <w:lang w:val="en-US"/>
        </w:rPr>
        <w:tab/>
      </w:r>
      <w:r w:rsidRPr="00DE1726">
        <w:fldChar w:fldCharType="begin"/>
      </w:r>
      <w:r w:rsidRPr="004003A5">
        <w:rPr>
          <w:lang w:val="en-US"/>
        </w:rPr>
        <w:instrText xml:space="preserve"> PAGEREF _Toc90284133 \h </w:instrText>
      </w:r>
      <w:r w:rsidRPr="00DE1726">
        <w:fldChar w:fldCharType="separate"/>
      </w:r>
      <w:r w:rsidRPr="004003A5">
        <w:rPr>
          <w:lang w:val="en-US"/>
        </w:rPr>
        <w:t>2</w:t>
      </w:r>
      <w:r w:rsidRPr="00DE1726">
        <w:fldChar w:fldCharType="end"/>
      </w:r>
    </w:p>
    <w:p w14:paraId="6799363D" w14:textId="225CDC1D" w:rsidR="00383EEB" w:rsidRPr="004003A5" w:rsidRDefault="00383EEB" w:rsidP="004003A5">
      <w:pPr>
        <w:pStyle w:val="TOC2"/>
        <w:ind w:left="720" w:firstLine="0"/>
        <w:rPr>
          <w:rFonts w:asciiTheme="majorHAnsi" w:eastAsiaTheme="minorEastAsia" w:hAnsiTheme="majorHAnsi" w:cstheme="minorBidi"/>
          <w:noProof/>
          <w:sz w:val="20"/>
          <w:szCs w:val="20"/>
          <w:bdr w:val="none" w:sz="0" w:space="0" w:color="auto"/>
          <w:lang w:eastAsia="zh-CN"/>
        </w:rPr>
      </w:pPr>
      <w:r w:rsidRPr="00DE1726">
        <w:rPr>
          <w:rFonts w:asciiTheme="majorHAnsi" w:hAnsiTheme="majorHAnsi"/>
          <w:noProof/>
          <w:sz w:val="20"/>
          <w:szCs w:val="20"/>
        </w:rPr>
        <w:t>A.</w:t>
      </w:r>
      <w:r w:rsidRPr="004003A5">
        <w:rPr>
          <w:rFonts w:asciiTheme="majorHAnsi" w:eastAsiaTheme="minorEastAsia" w:hAnsiTheme="majorHAnsi" w:cstheme="minorBidi"/>
          <w:noProof/>
          <w:sz w:val="20"/>
          <w:szCs w:val="20"/>
          <w:bdr w:val="none" w:sz="0" w:space="0" w:color="auto"/>
          <w:lang w:eastAsia="zh-CN"/>
        </w:rPr>
        <w:tab/>
      </w:r>
      <w:r w:rsidRPr="00DE1726">
        <w:rPr>
          <w:rFonts w:asciiTheme="majorHAnsi" w:hAnsiTheme="majorHAnsi"/>
          <w:noProof/>
          <w:sz w:val="20"/>
          <w:szCs w:val="20"/>
        </w:rPr>
        <w:t>Petitioners</w:t>
      </w:r>
      <w:r w:rsidRPr="00DE1726">
        <w:rPr>
          <w:rFonts w:asciiTheme="majorHAnsi" w:hAnsiTheme="majorHAnsi"/>
          <w:noProof/>
          <w:sz w:val="20"/>
          <w:szCs w:val="20"/>
        </w:rPr>
        <w:tab/>
      </w:r>
      <w:r w:rsidRPr="00DE1726">
        <w:rPr>
          <w:rFonts w:asciiTheme="majorHAnsi" w:hAnsiTheme="majorHAnsi"/>
          <w:noProof/>
          <w:sz w:val="20"/>
          <w:szCs w:val="20"/>
        </w:rPr>
        <w:fldChar w:fldCharType="begin"/>
      </w:r>
      <w:r w:rsidRPr="00DE1726">
        <w:rPr>
          <w:rFonts w:asciiTheme="majorHAnsi" w:hAnsiTheme="majorHAnsi"/>
          <w:noProof/>
          <w:sz w:val="20"/>
          <w:szCs w:val="20"/>
        </w:rPr>
        <w:instrText xml:space="preserve"> PAGEREF _Toc90284134 \h </w:instrText>
      </w:r>
      <w:r w:rsidRPr="00DE1726">
        <w:rPr>
          <w:rFonts w:asciiTheme="majorHAnsi" w:hAnsiTheme="majorHAnsi"/>
          <w:noProof/>
          <w:sz w:val="20"/>
          <w:szCs w:val="20"/>
        </w:rPr>
      </w:r>
      <w:r w:rsidRPr="00DE1726">
        <w:rPr>
          <w:rFonts w:asciiTheme="majorHAnsi" w:hAnsiTheme="majorHAnsi"/>
          <w:noProof/>
          <w:sz w:val="20"/>
          <w:szCs w:val="20"/>
        </w:rPr>
        <w:fldChar w:fldCharType="separate"/>
      </w:r>
      <w:r w:rsidRPr="00DE1726">
        <w:rPr>
          <w:rFonts w:asciiTheme="majorHAnsi" w:hAnsiTheme="majorHAnsi"/>
          <w:noProof/>
          <w:sz w:val="20"/>
          <w:szCs w:val="20"/>
        </w:rPr>
        <w:t>2</w:t>
      </w:r>
      <w:r w:rsidRPr="00DE1726">
        <w:rPr>
          <w:rFonts w:asciiTheme="majorHAnsi" w:hAnsiTheme="majorHAnsi"/>
          <w:noProof/>
          <w:sz w:val="20"/>
          <w:szCs w:val="20"/>
        </w:rPr>
        <w:fldChar w:fldCharType="end"/>
      </w:r>
    </w:p>
    <w:p w14:paraId="7BC2AE34" w14:textId="01C3B865" w:rsidR="00383EEB" w:rsidRPr="004003A5" w:rsidRDefault="00383EEB" w:rsidP="004003A5">
      <w:pPr>
        <w:pStyle w:val="TOC2"/>
        <w:ind w:left="720" w:firstLine="0"/>
        <w:rPr>
          <w:rFonts w:asciiTheme="majorHAnsi" w:eastAsiaTheme="minorEastAsia" w:hAnsiTheme="majorHAnsi" w:cstheme="minorBidi"/>
          <w:noProof/>
          <w:sz w:val="20"/>
          <w:szCs w:val="20"/>
          <w:bdr w:val="none" w:sz="0" w:space="0" w:color="auto"/>
          <w:lang w:eastAsia="zh-CN"/>
        </w:rPr>
      </w:pPr>
      <w:r w:rsidRPr="00DE1726">
        <w:rPr>
          <w:rFonts w:asciiTheme="majorHAnsi" w:hAnsiTheme="majorHAnsi"/>
          <w:noProof/>
          <w:sz w:val="20"/>
          <w:szCs w:val="20"/>
        </w:rPr>
        <w:t>B.</w:t>
      </w:r>
      <w:r w:rsidRPr="004003A5">
        <w:rPr>
          <w:rFonts w:asciiTheme="majorHAnsi" w:eastAsiaTheme="minorEastAsia" w:hAnsiTheme="majorHAnsi" w:cstheme="minorBidi"/>
          <w:noProof/>
          <w:sz w:val="20"/>
          <w:szCs w:val="20"/>
          <w:bdr w:val="none" w:sz="0" w:space="0" w:color="auto"/>
          <w:lang w:eastAsia="zh-CN"/>
        </w:rPr>
        <w:tab/>
      </w:r>
      <w:r w:rsidRPr="00DE1726">
        <w:rPr>
          <w:rFonts w:asciiTheme="majorHAnsi" w:hAnsiTheme="majorHAnsi"/>
          <w:noProof/>
          <w:sz w:val="20"/>
          <w:szCs w:val="20"/>
        </w:rPr>
        <w:t>State</w:t>
      </w:r>
      <w:r w:rsidRPr="00DE1726">
        <w:rPr>
          <w:rFonts w:asciiTheme="majorHAnsi" w:hAnsiTheme="majorHAnsi"/>
          <w:noProof/>
          <w:sz w:val="20"/>
          <w:szCs w:val="20"/>
        </w:rPr>
        <w:tab/>
      </w:r>
      <w:r w:rsidRPr="00DE1726">
        <w:rPr>
          <w:rFonts w:asciiTheme="majorHAnsi" w:hAnsiTheme="majorHAnsi"/>
          <w:noProof/>
          <w:sz w:val="20"/>
          <w:szCs w:val="20"/>
        </w:rPr>
        <w:fldChar w:fldCharType="begin"/>
      </w:r>
      <w:r w:rsidRPr="00DE1726">
        <w:rPr>
          <w:rFonts w:asciiTheme="majorHAnsi" w:hAnsiTheme="majorHAnsi"/>
          <w:noProof/>
          <w:sz w:val="20"/>
          <w:szCs w:val="20"/>
        </w:rPr>
        <w:instrText xml:space="preserve"> PAGEREF _Toc90284135 \h </w:instrText>
      </w:r>
      <w:r w:rsidRPr="00DE1726">
        <w:rPr>
          <w:rFonts w:asciiTheme="majorHAnsi" w:hAnsiTheme="majorHAnsi"/>
          <w:noProof/>
          <w:sz w:val="20"/>
          <w:szCs w:val="20"/>
        </w:rPr>
      </w:r>
      <w:r w:rsidRPr="00DE1726">
        <w:rPr>
          <w:rFonts w:asciiTheme="majorHAnsi" w:hAnsiTheme="majorHAnsi"/>
          <w:noProof/>
          <w:sz w:val="20"/>
          <w:szCs w:val="20"/>
        </w:rPr>
        <w:fldChar w:fldCharType="separate"/>
      </w:r>
      <w:r w:rsidRPr="00DE1726">
        <w:rPr>
          <w:rFonts w:asciiTheme="majorHAnsi" w:hAnsiTheme="majorHAnsi"/>
          <w:noProof/>
          <w:sz w:val="20"/>
          <w:szCs w:val="20"/>
        </w:rPr>
        <w:t>3</w:t>
      </w:r>
      <w:r w:rsidRPr="00DE1726">
        <w:rPr>
          <w:rFonts w:asciiTheme="majorHAnsi" w:hAnsiTheme="majorHAnsi"/>
          <w:noProof/>
          <w:sz w:val="20"/>
          <w:szCs w:val="20"/>
        </w:rPr>
        <w:fldChar w:fldCharType="end"/>
      </w:r>
    </w:p>
    <w:p w14:paraId="76A1FE3E" w14:textId="6BC5605D" w:rsidR="00383EEB" w:rsidRPr="004003A5" w:rsidRDefault="00383EEB" w:rsidP="004003A5">
      <w:pPr>
        <w:pStyle w:val="TOC1"/>
        <w:ind w:hanging="720"/>
        <w:rPr>
          <w:rFonts w:eastAsiaTheme="minorEastAsia" w:cstheme="minorBidi"/>
          <w:bdr w:val="none" w:sz="0" w:space="0" w:color="auto"/>
          <w:lang w:val="en-US" w:eastAsia="zh-CN"/>
        </w:rPr>
      </w:pPr>
      <w:r w:rsidRPr="004003A5">
        <w:rPr>
          <w:lang w:val="en-US"/>
        </w:rPr>
        <w:t>III.</w:t>
      </w:r>
      <w:r w:rsidRPr="004003A5">
        <w:rPr>
          <w:rFonts w:eastAsiaTheme="minorEastAsia" w:cstheme="minorBidi"/>
          <w:bdr w:val="none" w:sz="0" w:space="0" w:color="auto"/>
          <w:lang w:val="en-US" w:eastAsia="zh-CN"/>
        </w:rPr>
        <w:tab/>
      </w:r>
      <w:r w:rsidRPr="004003A5">
        <w:rPr>
          <w:lang w:val="en-US"/>
        </w:rPr>
        <w:t>FINDINGS OF FACT</w:t>
      </w:r>
      <w:r w:rsidRPr="004003A5">
        <w:rPr>
          <w:lang w:val="en-US"/>
        </w:rPr>
        <w:tab/>
      </w:r>
      <w:r w:rsidRPr="00DE1726">
        <w:fldChar w:fldCharType="begin"/>
      </w:r>
      <w:r w:rsidRPr="004003A5">
        <w:rPr>
          <w:lang w:val="en-US"/>
        </w:rPr>
        <w:instrText xml:space="preserve"> PAGEREF _Toc90284136 \h </w:instrText>
      </w:r>
      <w:r w:rsidRPr="00DE1726">
        <w:fldChar w:fldCharType="separate"/>
      </w:r>
      <w:r w:rsidRPr="004003A5">
        <w:rPr>
          <w:lang w:val="en-US"/>
        </w:rPr>
        <w:t>4</w:t>
      </w:r>
      <w:r w:rsidRPr="00DE1726">
        <w:fldChar w:fldCharType="end"/>
      </w:r>
    </w:p>
    <w:p w14:paraId="3FA38C61" w14:textId="431AFE1B" w:rsidR="00383EEB" w:rsidRPr="004003A5" w:rsidRDefault="00383EEB" w:rsidP="004003A5">
      <w:pPr>
        <w:pStyle w:val="TOC2"/>
        <w:ind w:left="720" w:firstLine="0"/>
        <w:rPr>
          <w:rFonts w:asciiTheme="majorHAnsi" w:eastAsiaTheme="minorEastAsia" w:hAnsiTheme="majorHAnsi" w:cstheme="minorBidi"/>
          <w:noProof/>
          <w:sz w:val="20"/>
          <w:szCs w:val="20"/>
          <w:bdr w:val="none" w:sz="0" w:space="0" w:color="auto"/>
          <w:lang w:eastAsia="zh-CN"/>
        </w:rPr>
      </w:pPr>
      <w:r w:rsidRPr="00DE1726">
        <w:rPr>
          <w:rFonts w:asciiTheme="majorHAnsi" w:hAnsiTheme="majorHAnsi"/>
          <w:noProof/>
          <w:sz w:val="20"/>
          <w:szCs w:val="20"/>
        </w:rPr>
        <w:t>A.</w:t>
      </w:r>
      <w:r w:rsidRPr="004003A5">
        <w:rPr>
          <w:rFonts w:asciiTheme="majorHAnsi" w:eastAsiaTheme="minorEastAsia" w:hAnsiTheme="majorHAnsi" w:cstheme="minorBidi"/>
          <w:noProof/>
          <w:sz w:val="20"/>
          <w:szCs w:val="20"/>
          <w:bdr w:val="none" w:sz="0" w:space="0" w:color="auto"/>
          <w:lang w:eastAsia="zh-CN"/>
        </w:rPr>
        <w:tab/>
      </w:r>
      <w:r w:rsidRPr="00DE1726">
        <w:rPr>
          <w:rFonts w:asciiTheme="majorHAnsi" w:hAnsiTheme="majorHAnsi"/>
          <w:noProof/>
          <w:sz w:val="20"/>
          <w:szCs w:val="20"/>
        </w:rPr>
        <w:t>Relevant legal framework and applicable case law</w:t>
      </w:r>
      <w:r w:rsidRPr="00DE1726">
        <w:rPr>
          <w:rFonts w:asciiTheme="majorHAnsi" w:hAnsiTheme="majorHAnsi"/>
          <w:noProof/>
          <w:sz w:val="20"/>
          <w:szCs w:val="20"/>
        </w:rPr>
        <w:tab/>
      </w:r>
      <w:r w:rsidRPr="00DE1726">
        <w:rPr>
          <w:rFonts w:asciiTheme="majorHAnsi" w:hAnsiTheme="majorHAnsi"/>
          <w:noProof/>
          <w:sz w:val="20"/>
          <w:szCs w:val="20"/>
        </w:rPr>
        <w:fldChar w:fldCharType="begin"/>
      </w:r>
      <w:r w:rsidRPr="00DE1726">
        <w:rPr>
          <w:rFonts w:asciiTheme="majorHAnsi" w:hAnsiTheme="majorHAnsi"/>
          <w:noProof/>
          <w:sz w:val="20"/>
          <w:szCs w:val="20"/>
        </w:rPr>
        <w:instrText xml:space="preserve"> PAGEREF _Toc90284137 \h </w:instrText>
      </w:r>
      <w:r w:rsidRPr="00DE1726">
        <w:rPr>
          <w:rFonts w:asciiTheme="majorHAnsi" w:hAnsiTheme="majorHAnsi"/>
          <w:noProof/>
          <w:sz w:val="20"/>
          <w:szCs w:val="20"/>
        </w:rPr>
      </w:r>
      <w:r w:rsidRPr="00DE1726">
        <w:rPr>
          <w:rFonts w:asciiTheme="majorHAnsi" w:hAnsiTheme="majorHAnsi"/>
          <w:noProof/>
          <w:sz w:val="20"/>
          <w:szCs w:val="20"/>
        </w:rPr>
        <w:fldChar w:fldCharType="separate"/>
      </w:r>
      <w:r w:rsidRPr="00DE1726">
        <w:rPr>
          <w:rFonts w:asciiTheme="majorHAnsi" w:hAnsiTheme="majorHAnsi"/>
          <w:noProof/>
          <w:sz w:val="20"/>
          <w:szCs w:val="20"/>
        </w:rPr>
        <w:t>4</w:t>
      </w:r>
      <w:r w:rsidRPr="00DE1726">
        <w:rPr>
          <w:rFonts w:asciiTheme="majorHAnsi" w:hAnsiTheme="majorHAnsi"/>
          <w:noProof/>
          <w:sz w:val="20"/>
          <w:szCs w:val="20"/>
        </w:rPr>
        <w:fldChar w:fldCharType="end"/>
      </w:r>
    </w:p>
    <w:p w14:paraId="004D48D2" w14:textId="1B69E97F" w:rsidR="00383EEB" w:rsidRPr="004003A5" w:rsidRDefault="00383EEB" w:rsidP="004003A5">
      <w:pPr>
        <w:pStyle w:val="TOC2"/>
        <w:ind w:left="720" w:firstLine="0"/>
        <w:rPr>
          <w:rFonts w:asciiTheme="majorHAnsi" w:eastAsiaTheme="minorEastAsia" w:hAnsiTheme="majorHAnsi" w:cstheme="minorBidi"/>
          <w:noProof/>
          <w:sz w:val="20"/>
          <w:szCs w:val="20"/>
          <w:bdr w:val="none" w:sz="0" w:space="0" w:color="auto"/>
          <w:lang w:eastAsia="zh-CN"/>
        </w:rPr>
      </w:pPr>
      <w:r w:rsidRPr="00DE1726">
        <w:rPr>
          <w:rFonts w:asciiTheme="majorHAnsi" w:hAnsiTheme="majorHAnsi"/>
          <w:noProof/>
          <w:sz w:val="20"/>
          <w:szCs w:val="20"/>
        </w:rPr>
        <w:t>B.</w:t>
      </w:r>
      <w:r w:rsidRPr="004003A5">
        <w:rPr>
          <w:rFonts w:asciiTheme="majorHAnsi" w:eastAsiaTheme="minorEastAsia" w:hAnsiTheme="majorHAnsi" w:cstheme="minorBidi"/>
          <w:noProof/>
          <w:sz w:val="20"/>
          <w:szCs w:val="20"/>
          <w:bdr w:val="none" w:sz="0" w:space="0" w:color="auto"/>
          <w:lang w:eastAsia="zh-CN"/>
        </w:rPr>
        <w:tab/>
      </w:r>
      <w:r w:rsidRPr="00DE1726">
        <w:rPr>
          <w:rFonts w:asciiTheme="majorHAnsi" w:hAnsiTheme="majorHAnsi"/>
          <w:noProof/>
          <w:sz w:val="20"/>
          <w:szCs w:val="20"/>
        </w:rPr>
        <w:t>Factual background</w:t>
      </w:r>
      <w:r w:rsidRPr="00DE1726">
        <w:rPr>
          <w:rFonts w:asciiTheme="majorHAnsi" w:hAnsiTheme="majorHAnsi"/>
          <w:noProof/>
          <w:sz w:val="20"/>
          <w:szCs w:val="20"/>
        </w:rPr>
        <w:tab/>
      </w:r>
      <w:r w:rsidRPr="00DE1726">
        <w:rPr>
          <w:rFonts w:asciiTheme="majorHAnsi" w:hAnsiTheme="majorHAnsi"/>
          <w:noProof/>
          <w:sz w:val="20"/>
          <w:szCs w:val="20"/>
        </w:rPr>
        <w:fldChar w:fldCharType="begin"/>
      </w:r>
      <w:r w:rsidRPr="00DE1726">
        <w:rPr>
          <w:rFonts w:asciiTheme="majorHAnsi" w:hAnsiTheme="majorHAnsi"/>
          <w:noProof/>
          <w:sz w:val="20"/>
          <w:szCs w:val="20"/>
        </w:rPr>
        <w:instrText xml:space="preserve"> PAGEREF _Toc90284138 \h </w:instrText>
      </w:r>
      <w:r w:rsidRPr="00DE1726">
        <w:rPr>
          <w:rFonts w:asciiTheme="majorHAnsi" w:hAnsiTheme="majorHAnsi"/>
          <w:noProof/>
          <w:sz w:val="20"/>
          <w:szCs w:val="20"/>
        </w:rPr>
      </w:r>
      <w:r w:rsidRPr="00DE1726">
        <w:rPr>
          <w:rFonts w:asciiTheme="majorHAnsi" w:hAnsiTheme="majorHAnsi"/>
          <w:noProof/>
          <w:sz w:val="20"/>
          <w:szCs w:val="20"/>
        </w:rPr>
        <w:fldChar w:fldCharType="separate"/>
      </w:r>
      <w:r w:rsidRPr="00DE1726">
        <w:rPr>
          <w:rFonts w:asciiTheme="majorHAnsi" w:hAnsiTheme="majorHAnsi"/>
          <w:noProof/>
          <w:sz w:val="20"/>
          <w:szCs w:val="20"/>
        </w:rPr>
        <w:t>6</w:t>
      </w:r>
      <w:r w:rsidRPr="00DE1726">
        <w:rPr>
          <w:rFonts w:asciiTheme="majorHAnsi" w:hAnsiTheme="majorHAnsi"/>
          <w:noProof/>
          <w:sz w:val="20"/>
          <w:szCs w:val="20"/>
        </w:rPr>
        <w:fldChar w:fldCharType="end"/>
      </w:r>
    </w:p>
    <w:p w14:paraId="2FEF6320" w14:textId="3AA2E284" w:rsidR="00383EEB" w:rsidRPr="004003A5" w:rsidRDefault="00383EEB" w:rsidP="004003A5">
      <w:pPr>
        <w:pStyle w:val="TOC2"/>
        <w:ind w:left="720" w:firstLine="0"/>
        <w:rPr>
          <w:rFonts w:asciiTheme="majorHAnsi" w:eastAsiaTheme="minorEastAsia" w:hAnsiTheme="majorHAnsi" w:cstheme="minorBidi"/>
          <w:noProof/>
          <w:sz w:val="20"/>
          <w:szCs w:val="20"/>
          <w:bdr w:val="none" w:sz="0" w:space="0" w:color="auto"/>
          <w:lang w:eastAsia="zh-CN"/>
        </w:rPr>
      </w:pPr>
      <w:r w:rsidRPr="00DE1726">
        <w:rPr>
          <w:rFonts w:asciiTheme="majorHAnsi" w:hAnsiTheme="majorHAnsi"/>
          <w:noProof/>
          <w:sz w:val="20"/>
          <w:szCs w:val="20"/>
        </w:rPr>
        <w:t>C.</w:t>
      </w:r>
      <w:r w:rsidRPr="004003A5">
        <w:rPr>
          <w:rFonts w:asciiTheme="majorHAnsi" w:eastAsiaTheme="minorEastAsia" w:hAnsiTheme="majorHAnsi" w:cstheme="minorBidi"/>
          <w:noProof/>
          <w:sz w:val="20"/>
          <w:szCs w:val="20"/>
          <w:bdr w:val="none" w:sz="0" w:space="0" w:color="auto"/>
          <w:lang w:eastAsia="zh-CN"/>
        </w:rPr>
        <w:tab/>
      </w:r>
      <w:r w:rsidRPr="00DE1726">
        <w:rPr>
          <w:rFonts w:asciiTheme="majorHAnsi" w:hAnsiTheme="majorHAnsi"/>
          <w:noProof/>
          <w:sz w:val="20"/>
          <w:szCs w:val="20"/>
        </w:rPr>
        <w:t>Trial and death sentence</w:t>
      </w:r>
      <w:r w:rsidRPr="00DE1726">
        <w:rPr>
          <w:rFonts w:asciiTheme="majorHAnsi" w:hAnsiTheme="majorHAnsi"/>
          <w:noProof/>
          <w:sz w:val="20"/>
          <w:szCs w:val="20"/>
        </w:rPr>
        <w:tab/>
      </w:r>
      <w:r w:rsidRPr="00DE1726">
        <w:rPr>
          <w:rFonts w:asciiTheme="majorHAnsi" w:hAnsiTheme="majorHAnsi"/>
          <w:noProof/>
          <w:sz w:val="20"/>
          <w:szCs w:val="20"/>
        </w:rPr>
        <w:fldChar w:fldCharType="begin"/>
      </w:r>
      <w:r w:rsidRPr="00DE1726">
        <w:rPr>
          <w:rFonts w:asciiTheme="majorHAnsi" w:hAnsiTheme="majorHAnsi"/>
          <w:noProof/>
          <w:sz w:val="20"/>
          <w:szCs w:val="20"/>
        </w:rPr>
        <w:instrText xml:space="preserve"> PAGEREF _Toc90284139 \h </w:instrText>
      </w:r>
      <w:r w:rsidRPr="00DE1726">
        <w:rPr>
          <w:rFonts w:asciiTheme="majorHAnsi" w:hAnsiTheme="majorHAnsi"/>
          <w:noProof/>
          <w:sz w:val="20"/>
          <w:szCs w:val="20"/>
        </w:rPr>
      </w:r>
      <w:r w:rsidRPr="00DE1726">
        <w:rPr>
          <w:rFonts w:asciiTheme="majorHAnsi" w:hAnsiTheme="majorHAnsi"/>
          <w:noProof/>
          <w:sz w:val="20"/>
          <w:szCs w:val="20"/>
        </w:rPr>
        <w:fldChar w:fldCharType="separate"/>
      </w:r>
      <w:r w:rsidRPr="00DE1726">
        <w:rPr>
          <w:rFonts w:asciiTheme="majorHAnsi" w:hAnsiTheme="majorHAnsi"/>
          <w:noProof/>
          <w:sz w:val="20"/>
          <w:szCs w:val="20"/>
        </w:rPr>
        <w:t>7</w:t>
      </w:r>
      <w:r w:rsidRPr="00DE1726">
        <w:rPr>
          <w:rFonts w:asciiTheme="majorHAnsi" w:hAnsiTheme="majorHAnsi"/>
          <w:noProof/>
          <w:sz w:val="20"/>
          <w:szCs w:val="20"/>
        </w:rPr>
        <w:fldChar w:fldCharType="end"/>
      </w:r>
    </w:p>
    <w:p w14:paraId="0DBA9D5E" w14:textId="2EB34003" w:rsidR="00383EEB" w:rsidRPr="004003A5" w:rsidRDefault="00383EEB" w:rsidP="004003A5">
      <w:pPr>
        <w:pStyle w:val="TOC2"/>
        <w:ind w:left="720" w:firstLine="0"/>
        <w:rPr>
          <w:rFonts w:asciiTheme="majorHAnsi" w:eastAsiaTheme="minorEastAsia" w:hAnsiTheme="majorHAnsi" w:cstheme="minorBidi"/>
          <w:noProof/>
          <w:sz w:val="20"/>
          <w:szCs w:val="20"/>
          <w:bdr w:val="none" w:sz="0" w:space="0" w:color="auto"/>
          <w:lang w:eastAsia="zh-CN"/>
        </w:rPr>
      </w:pPr>
      <w:r w:rsidRPr="00DE1726">
        <w:rPr>
          <w:rFonts w:asciiTheme="majorHAnsi" w:hAnsiTheme="majorHAnsi"/>
          <w:noProof/>
          <w:sz w:val="20"/>
          <w:szCs w:val="20"/>
        </w:rPr>
        <w:t>D.</w:t>
      </w:r>
      <w:r w:rsidRPr="004003A5">
        <w:rPr>
          <w:rFonts w:asciiTheme="majorHAnsi" w:eastAsiaTheme="minorEastAsia" w:hAnsiTheme="majorHAnsi" w:cstheme="minorBidi"/>
          <w:noProof/>
          <w:sz w:val="20"/>
          <w:szCs w:val="20"/>
          <w:bdr w:val="none" w:sz="0" w:space="0" w:color="auto"/>
          <w:lang w:eastAsia="zh-CN"/>
        </w:rPr>
        <w:tab/>
      </w:r>
      <w:r w:rsidRPr="00DE1726">
        <w:rPr>
          <w:rFonts w:asciiTheme="majorHAnsi" w:hAnsiTheme="majorHAnsi"/>
          <w:noProof/>
          <w:sz w:val="20"/>
          <w:szCs w:val="20"/>
        </w:rPr>
        <w:t>Post-conviction proceedings</w:t>
      </w:r>
      <w:r w:rsidRPr="00DE1726">
        <w:rPr>
          <w:rFonts w:asciiTheme="majorHAnsi" w:hAnsiTheme="majorHAnsi"/>
          <w:noProof/>
          <w:sz w:val="20"/>
          <w:szCs w:val="20"/>
        </w:rPr>
        <w:tab/>
      </w:r>
      <w:r w:rsidRPr="00DE1726">
        <w:rPr>
          <w:rFonts w:asciiTheme="majorHAnsi" w:hAnsiTheme="majorHAnsi"/>
          <w:noProof/>
          <w:sz w:val="20"/>
          <w:szCs w:val="20"/>
        </w:rPr>
        <w:fldChar w:fldCharType="begin"/>
      </w:r>
      <w:r w:rsidRPr="00DE1726">
        <w:rPr>
          <w:rFonts w:asciiTheme="majorHAnsi" w:hAnsiTheme="majorHAnsi"/>
          <w:noProof/>
          <w:sz w:val="20"/>
          <w:szCs w:val="20"/>
        </w:rPr>
        <w:instrText xml:space="preserve"> PAGEREF _Toc90284140 \h </w:instrText>
      </w:r>
      <w:r w:rsidRPr="00DE1726">
        <w:rPr>
          <w:rFonts w:asciiTheme="majorHAnsi" w:hAnsiTheme="majorHAnsi"/>
          <w:noProof/>
          <w:sz w:val="20"/>
          <w:szCs w:val="20"/>
        </w:rPr>
      </w:r>
      <w:r w:rsidRPr="00DE1726">
        <w:rPr>
          <w:rFonts w:asciiTheme="majorHAnsi" w:hAnsiTheme="majorHAnsi"/>
          <w:noProof/>
          <w:sz w:val="20"/>
          <w:szCs w:val="20"/>
        </w:rPr>
        <w:fldChar w:fldCharType="separate"/>
      </w:r>
      <w:r w:rsidRPr="00DE1726">
        <w:rPr>
          <w:rFonts w:asciiTheme="majorHAnsi" w:hAnsiTheme="majorHAnsi"/>
          <w:noProof/>
          <w:sz w:val="20"/>
          <w:szCs w:val="20"/>
        </w:rPr>
        <w:t>9</w:t>
      </w:r>
      <w:r w:rsidRPr="00DE1726">
        <w:rPr>
          <w:rFonts w:asciiTheme="majorHAnsi" w:hAnsiTheme="majorHAnsi"/>
          <w:noProof/>
          <w:sz w:val="20"/>
          <w:szCs w:val="20"/>
        </w:rPr>
        <w:fldChar w:fldCharType="end"/>
      </w:r>
    </w:p>
    <w:p w14:paraId="4B33DFBC" w14:textId="6980B56F" w:rsidR="00383EEB" w:rsidRPr="004003A5" w:rsidRDefault="00383EEB" w:rsidP="004003A5">
      <w:pPr>
        <w:pStyle w:val="TOC1"/>
        <w:ind w:hanging="720"/>
        <w:rPr>
          <w:rFonts w:eastAsiaTheme="minorEastAsia" w:cstheme="minorBidi"/>
          <w:bdr w:val="none" w:sz="0" w:space="0" w:color="auto"/>
          <w:lang w:val="en-US" w:eastAsia="zh-CN"/>
        </w:rPr>
      </w:pPr>
      <w:r w:rsidRPr="004003A5">
        <w:rPr>
          <w:lang w:val="en-US"/>
        </w:rPr>
        <w:t>IV.</w:t>
      </w:r>
      <w:r w:rsidRPr="004003A5">
        <w:rPr>
          <w:rFonts w:eastAsiaTheme="minorEastAsia" w:cstheme="minorBidi"/>
          <w:bdr w:val="none" w:sz="0" w:space="0" w:color="auto"/>
          <w:lang w:val="en-US" w:eastAsia="zh-CN"/>
        </w:rPr>
        <w:tab/>
      </w:r>
      <w:r w:rsidRPr="004003A5">
        <w:rPr>
          <w:lang w:val="en-US"/>
        </w:rPr>
        <w:t>ANALYSIS OF LAW</w:t>
      </w:r>
      <w:r w:rsidRPr="004003A5">
        <w:rPr>
          <w:lang w:val="en-US"/>
        </w:rPr>
        <w:tab/>
      </w:r>
      <w:r w:rsidRPr="00DE1726">
        <w:fldChar w:fldCharType="begin"/>
      </w:r>
      <w:r w:rsidRPr="004003A5">
        <w:rPr>
          <w:lang w:val="en-US"/>
        </w:rPr>
        <w:instrText xml:space="preserve"> PAGEREF _Toc90284141 \h </w:instrText>
      </w:r>
      <w:r w:rsidRPr="00DE1726">
        <w:fldChar w:fldCharType="separate"/>
      </w:r>
      <w:r w:rsidRPr="004003A5">
        <w:rPr>
          <w:lang w:val="en-US"/>
        </w:rPr>
        <w:t>10</w:t>
      </w:r>
      <w:r w:rsidRPr="00DE1726">
        <w:fldChar w:fldCharType="end"/>
      </w:r>
    </w:p>
    <w:p w14:paraId="201B1F2B" w14:textId="6290CA53" w:rsidR="00383EEB" w:rsidRPr="004003A5" w:rsidRDefault="00383EEB" w:rsidP="004003A5">
      <w:pPr>
        <w:pStyle w:val="TOC2"/>
        <w:ind w:left="720" w:firstLine="0"/>
        <w:rPr>
          <w:rFonts w:asciiTheme="majorHAnsi" w:eastAsiaTheme="minorEastAsia" w:hAnsiTheme="majorHAnsi" w:cstheme="minorBidi"/>
          <w:noProof/>
          <w:sz w:val="20"/>
          <w:szCs w:val="20"/>
          <w:bdr w:val="none" w:sz="0" w:space="0" w:color="auto"/>
          <w:lang w:eastAsia="zh-CN"/>
        </w:rPr>
      </w:pPr>
      <w:r w:rsidRPr="00DE1726">
        <w:rPr>
          <w:rFonts w:asciiTheme="majorHAnsi" w:hAnsiTheme="majorHAnsi"/>
          <w:noProof/>
          <w:sz w:val="20"/>
          <w:szCs w:val="20"/>
        </w:rPr>
        <w:t>A.</w:t>
      </w:r>
      <w:r w:rsidRPr="004003A5">
        <w:rPr>
          <w:rFonts w:asciiTheme="majorHAnsi" w:eastAsiaTheme="minorEastAsia" w:hAnsiTheme="majorHAnsi" w:cstheme="minorBidi"/>
          <w:noProof/>
          <w:sz w:val="20"/>
          <w:szCs w:val="20"/>
          <w:bdr w:val="none" w:sz="0" w:space="0" w:color="auto"/>
          <w:lang w:eastAsia="zh-CN"/>
        </w:rPr>
        <w:tab/>
      </w:r>
      <w:r w:rsidRPr="00DE1726">
        <w:rPr>
          <w:rFonts w:asciiTheme="majorHAnsi" w:hAnsiTheme="majorHAnsi"/>
          <w:noProof/>
          <w:sz w:val="20"/>
          <w:szCs w:val="20"/>
        </w:rPr>
        <w:t>Preliminary considerations</w:t>
      </w:r>
      <w:r w:rsidRPr="00DE1726">
        <w:rPr>
          <w:rFonts w:asciiTheme="majorHAnsi" w:hAnsiTheme="majorHAnsi"/>
          <w:noProof/>
          <w:sz w:val="20"/>
          <w:szCs w:val="20"/>
        </w:rPr>
        <w:tab/>
      </w:r>
      <w:r w:rsidRPr="00DE1726">
        <w:rPr>
          <w:rFonts w:asciiTheme="majorHAnsi" w:hAnsiTheme="majorHAnsi"/>
          <w:noProof/>
          <w:sz w:val="20"/>
          <w:szCs w:val="20"/>
        </w:rPr>
        <w:fldChar w:fldCharType="begin"/>
      </w:r>
      <w:r w:rsidRPr="00DE1726">
        <w:rPr>
          <w:rFonts w:asciiTheme="majorHAnsi" w:hAnsiTheme="majorHAnsi"/>
          <w:noProof/>
          <w:sz w:val="20"/>
          <w:szCs w:val="20"/>
        </w:rPr>
        <w:instrText xml:space="preserve"> PAGEREF _Toc90284142 \h </w:instrText>
      </w:r>
      <w:r w:rsidRPr="00DE1726">
        <w:rPr>
          <w:rFonts w:asciiTheme="majorHAnsi" w:hAnsiTheme="majorHAnsi"/>
          <w:noProof/>
          <w:sz w:val="20"/>
          <w:szCs w:val="20"/>
        </w:rPr>
      </w:r>
      <w:r w:rsidRPr="00DE1726">
        <w:rPr>
          <w:rFonts w:asciiTheme="majorHAnsi" w:hAnsiTheme="majorHAnsi"/>
          <w:noProof/>
          <w:sz w:val="20"/>
          <w:szCs w:val="20"/>
        </w:rPr>
        <w:fldChar w:fldCharType="separate"/>
      </w:r>
      <w:r w:rsidRPr="00DE1726">
        <w:rPr>
          <w:rFonts w:asciiTheme="majorHAnsi" w:hAnsiTheme="majorHAnsi"/>
          <w:noProof/>
          <w:sz w:val="20"/>
          <w:szCs w:val="20"/>
        </w:rPr>
        <w:t>10</w:t>
      </w:r>
      <w:r w:rsidRPr="00DE1726">
        <w:rPr>
          <w:rFonts w:asciiTheme="majorHAnsi" w:hAnsiTheme="majorHAnsi"/>
          <w:noProof/>
          <w:sz w:val="20"/>
          <w:szCs w:val="20"/>
        </w:rPr>
        <w:fldChar w:fldCharType="end"/>
      </w:r>
    </w:p>
    <w:p w14:paraId="4B876F5D" w14:textId="594E439D" w:rsidR="00383EEB" w:rsidRPr="004003A5" w:rsidRDefault="00383EEB" w:rsidP="004003A5">
      <w:pPr>
        <w:pStyle w:val="TOC2"/>
        <w:ind w:left="720" w:firstLine="0"/>
        <w:rPr>
          <w:rFonts w:asciiTheme="majorHAnsi" w:eastAsiaTheme="minorEastAsia" w:hAnsiTheme="majorHAnsi" w:cstheme="minorBidi"/>
          <w:noProof/>
          <w:sz w:val="20"/>
          <w:szCs w:val="20"/>
          <w:bdr w:val="none" w:sz="0" w:space="0" w:color="auto"/>
          <w:lang w:eastAsia="zh-CN"/>
        </w:rPr>
      </w:pPr>
      <w:r w:rsidRPr="00DE1726">
        <w:rPr>
          <w:rFonts w:asciiTheme="majorHAnsi" w:hAnsiTheme="majorHAnsi"/>
          <w:noProof/>
          <w:sz w:val="20"/>
          <w:szCs w:val="20"/>
        </w:rPr>
        <w:t>B.</w:t>
      </w:r>
      <w:r w:rsidRPr="004003A5">
        <w:rPr>
          <w:rFonts w:asciiTheme="majorHAnsi" w:eastAsiaTheme="minorEastAsia" w:hAnsiTheme="majorHAnsi" w:cstheme="minorBidi"/>
          <w:noProof/>
          <w:sz w:val="20"/>
          <w:szCs w:val="20"/>
          <w:bdr w:val="none" w:sz="0" w:space="0" w:color="auto"/>
          <w:lang w:eastAsia="zh-CN"/>
        </w:rPr>
        <w:tab/>
      </w:r>
      <w:r w:rsidRPr="00DE1726">
        <w:rPr>
          <w:rFonts w:asciiTheme="majorHAnsi" w:hAnsiTheme="majorHAnsi"/>
          <w:noProof/>
          <w:sz w:val="20"/>
          <w:szCs w:val="20"/>
        </w:rPr>
        <w:t>Right to life and the imposition of the death penalty only for the most serious crimes</w:t>
      </w:r>
      <w:r w:rsidRPr="00DE1726">
        <w:rPr>
          <w:rFonts w:asciiTheme="majorHAnsi" w:hAnsiTheme="majorHAnsi"/>
          <w:noProof/>
          <w:sz w:val="20"/>
          <w:szCs w:val="20"/>
        </w:rPr>
        <w:tab/>
      </w:r>
      <w:r w:rsidRPr="00DE1726">
        <w:rPr>
          <w:rFonts w:asciiTheme="majorHAnsi" w:hAnsiTheme="majorHAnsi"/>
          <w:noProof/>
          <w:sz w:val="20"/>
          <w:szCs w:val="20"/>
        </w:rPr>
        <w:fldChar w:fldCharType="begin"/>
      </w:r>
      <w:r w:rsidRPr="00DE1726">
        <w:rPr>
          <w:rFonts w:asciiTheme="majorHAnsi" w:hAnsiTheme="majorHAnsi"/>
          <w:noProof/>
          <w:sz w:val="20"/>
          <w:szCs w:val="20"/>
        </w:rPr>
        <w:instrText xml:space="preserve"> PAGEREF _Toc90284143 \h </w:instrText>
      </w:r>
      <w:r w:rsidRPr="00DE1726">
        <w:rPr>
          <w:rFonts w:asciiTheme="majorHAnsi" w:hAnsiTheme="majorHAnsi"/>
          <w:noProof/>
          <w:sz w:val="20"/>
          <w:szCs w:val="20"/>
        </w:rPr>
      </w:r>
      <w:r w:rsidRPr="00DE1726">
        <w:rPr>
          <w:rFonts w:asciiTheme="majorHAnsi" w:hAnsiTheme="majorHAnsi"/>
          <w:noProof/>
          <w:sz w:val="20"/>
          <w:szCs w:val="20"/>
        </w:rPr>
        <w:fldChar w:fldCharType="separate"/>
      </w:r>
      <w:r w:rsidRPr="00DE1726">
        <w:rPr>
          <w:rFonts w:asciiTheme="majorHAnsi" w:hAnsiTheme="majorHAnsi"/>
          <w:noProof/>
          <w:sz w:val="20"/>
          <w:szCs w:val="20"/>
        </w:rPr>
        <w:t>11</w:t>
      </w:r>
      <w:r w:rsidRPr="00DE1726">
        <w:rPr>
          <w:rFonts w:asciiTheme="majorHAnsi" w:hAnsiTheme="majorHAnsi"/>
          <w:noProof/>
          <w:sz w:val="20"/>
          <w:szCs w:val="20"/>
        </w:rPr>
        <w:fldChar w:fldCharType="end"/>
      </w:r>
    </w:p>
    <w:p w14:paraId="25C82C36" w14:textId="2E049631" w:rsidR="00383EEB" w:rsidRPr="004003A5" w:rsidRDefault="00383EEB" w:rsidP="004003A5">
      <w:pPr>
        <w:pStyle w:val="TOC3"/>
        <w:ind w:left="720" w:firstLine="810"/>
        <w:rPr>
          <w:rFonts w:asciiTheme="majorHAnsi" w:eastAsiaTheme="minorEastAsia" w:hAnsiTheme="majorHAnsi" w:cstheme="minorBidi"/>
          <w:noProof/>
          <w:sz w:val="20"/>
          <w:szCs w:val="20"/>
          <w:bdr w:val="none" w:sz="0" w:space="0" w:color="auto"/>
          <w:lang w:eastAsia="zh-CN"/>
        </w:rPr>
      </w:pPr>
      <w:r w:rsidRPr="00DE1726">
        <w:rPr>
          <w:rFonts w:asciiTheme="majorHAnsi" w:hAnsiTheme="majorHAnsi"/>
          <w:noProof/>
          <w:sz w:val="20"/>
          <w:szCs w:val="20"/>
        </w:rPr>
        <w:t>1.</w:t>
      </w:r>
      <w:r w:rsidRPr="004003A5">
        <w:rPr>
          <w:rFonts w:asciiTheme="majorHAnsi" w:eastAsiaTheme="minorEastAsia" w:hAnsiTheme="majorHAnsi" w:cstheme="minorBidi"/>
          <w:noProof/>
          <w:sz w:val="20"/>
          <w:szCs w:val="20"/>
          <w:bdr w:val="none" w:sz="0" w:space="0" w:color="auto"/>
          <w:lang w:eastAsia="zh-CN"/>
        </w:rPr>
        <w:tab/>
      </w:r>
      <w:r w:rsidRPr="00DE1726">
        <w:rPr>
          <w:rFonts w:asciiTheme="majorHAnsi" w:hAnsiTheme="majorHAnsi"/>
          <w:noProof/>
          <w:sz w:val="20"/>
          <w:szCs w:val="20"/>
        </w:rPr>
        <w:t>General considerations</w:t>
      </w:r>
      <w:r w:rsidRPr="00DE1726">
        <w:rPr>
          <w:rFonts w:asciiTheme="majorHAnsi" w:hAnsiTheme="majorHAnsi"/>
          <w:noProof/>
          <w:sz w:val="20"/>
          <w:szCs w:val="20"/>
        </w:rPr>
        <w:tab/>
      </w:r>
      <w:r w:rsidRPr="00DE1726">
        <w:rPr>
          <w:rFonts w:asciiTheme="majorHAnsi" w:hAnsiTheme="majorHAnsi"/>
          <w:noProof/>
          <w:sz w:val="20"/>
          <w:szCs w:val="20"/>
        </w:rPr>
        <w:fldChar w:fldCharType="begin"/>
      </w:r>
      <w:r w:rsidRPr="00DE1726">
        <w:rPr>
          <w:rFonts w:asciiTheme="majorHAnsi" w:hAnsiTheme="majorHAnsi"/>
          <w:noProof/>
          <w:sz w:val="20"/>
          <w:szCs w:val="20"/>
        </w:rPr>
        <w:instrText xml:space="preserve"> PAGEREF _Toc90284144 \h </w:instrText>
      </w:r>
      <w:r w:rsidRPr="00DE1726">
        <w:rPr>
          <w:rFonts w:asciiTheme="majorHAnsi" w:hAnsiTheme="majorHAnsi"/>
          <w:noProof/>
          <w:sz w:val="20"/>
          <w:szCs w:val="20"/>
        </w:rPr>
      </w:r>
      <w:r w:rsidRPr="00DE1726">
        <w:rPr>
          <w:rFonts w:asciiTheme="majorHAnsi" w:hAnsiTheme="majorHAnsi"/>
          <w:noProof/>
          <w:sz w:val="20"/>
          <w:szCs w:val="20"/>
        </w:rPr>
        <w:fldChar w:fldCharType="separate"/>
      </w:r>
      <w:r w:rsidRPr="00DE1726">
        <w:rPr>
          <w:rFonts w:asciiTheme="majorHAnsi" w:hAnsiTheme="majorHAnsi"/>
          <w:noProof/>
          <w:sz w:val="20"/>
          <w:szCs w:val="20"/>
        </w:rPr>
        <w:t>11</w:t>
      </w:r>
      <w:r w:rsidRPr="00DE1726">
        <w:rPr>
          <w:rFonts w:asciiTheme="majorHAnsi" w:hAnsiTheme="majorHAnsi"/>
          <w:noProof/>
          <w:sz w:val="20"/>
          <w:szCs w:val="20"/>
        </w:rPr>
        <w:fldChar w:fldCharType="end"/>
      </w:r>
    </w:p>
    <w:p w14:paraId="0B54DCE7" w14:textId="1D0B17C8" w:rsidR="00383EEB" w:rsidRPr="004003A5" w:rsidRDefault="00383EEB" w:rsidP="004003A5">
      <w:pPr>
        <w:pStyle w:val="TOC3"/>
        <w:ind w:left="720" w:firstLine="810"/>
        <w:rPr>
          <w:rFonts w:asciiTheme="majorHAnsi" w:eastAsiaTheme="minorEastAsia" w:hAnsiTheme="majorHAnsi" w:cstheme="minorBidi"/>
          <w:noProof/>
          <w:sz w:val="20"/>
          <w:szCs w:val="20"/>
          <w:bdr w:val="none" w:sz="0" w:space="0" w:color="auto"/>
          <w:lang w:eastAsia="zh-CN"/>
        </w:rPr>
      </w:pPr>
      <w:r w:rsidRPr="00DE1726">
        <w:rPr>
          <w:rFonts w:asciiTheme="majorHAnsi" w:hAnsiTheme="majorHAnsi"/>
          <w:noProof/>
          <w:sz w:val="20"/>
          <w:szCs w:val="20"/>
        </w:rPr>
        <w:t>2.</w:t>
      </w:r>
      <w:r w:rsidRPr="004003A5">
        <w:rPr>
          <w:rFonts w:asciiTheme="majorHAnsi" w:eastAsiaTheme="minorEastAsia" w:hAnsiTheme="majorHAnsi" w:cstheme="minorBidi"/>
          <w:noProof/>
          <w:sz w:val="20"/>
          <w:szCs w:val="20"/>
          <w:bdr w:val="none" w:sz="0" w:space="0" w:color="auto"/>
          <w:lang w:eastAsia="zh-CN"/>
        </w:rPr>
        <w:tab/>
      </w:r>
      <w:r w:rsidRPr="00DE1726">
        <w:rPr>
          <w:rFonts w:asciiTheme="majorHAnsi" w:hAnsiTheme="majorHAnsi"/>
          <w:noProof/>
          <w:sz w:val="20"/>
          <w:szCs w:val="20"/>
        </w:rPr>
        <w:t>Analysis of the case</w:t>
      </w:r>
      <w:r w:rsidRPr="00DE1726">
        <w:rPr>
          <w:rFonts w:asciiTheme="majorHAnsi" w:hAnsiTheme="majorHAnsi"/>
          <w:noProof/>
          <w:sz w:val="20"/>
          <w:szCs w:val="20"/>
        </w:rPr>
        <w:tab/>
      </w:r>
      <w:r w:rsidRPr="00DE1726">
        <w:rPr>
          <w:rFonts w:asciiTheme="majorHAnsi" w:hAnsiTheme="majorHAnsi"/>
          <w:noProof/>
          <w:sz w:val="20"/>
          <w:szCs w:val="20"/>
        </w:rPr>
        <w:fldChar w:fldCharType="begin"/>
      </w:r>
      <w:r w:rsidRPr="00DE1726">
        <w:rPr>
          <w:rFonts w:asciiTheme="majorHAnsi" w:hAnsiTheme="majorHAnsi"/>
          <w:noProof/>
          <w:sz w:val="20"/>
          <w:szCs w:val="20"/>
        </w:rPr>
        <w:instrText xml:space="preserve"> PAGEREF _Toc90284145 \h </w:instrText>
      </w:r>
      <w:r w:rsidRPr="00DE1726">
        <w:rPr>
          <w:rFonts w:asciiTheme="majorHAnsi" w:hAnsiTheme="majorHAnsi"/>
          <w:noProof/>
          <w:sz w:val="20"/>
          <w:szCs w:val="20"/>
        </w:rPr>
      </w:r>
      <w:r w:rsidRPr="00DE1726">
        <w:rPr>
          <w:rFonts w:asciiTheme="majorHAnsi" w:hAnsiTheme="majorHAnsi"/>
          <w:noProof/>
          <w:sz w:val="20"/>
          <w:szCs w:val="20"/>
        </w:rPr>
        <w:fldChar w:fldCharType="separate"/>
      </w:r>
      <w:r w:rsidRPr="00DE1726">
        <w:rPr>
          <w:rFonts w:asciiTheme="majorHAnsi" w:hAnsiTheme="majorHAnsi"/>
          <w:noProof/>
          <w:sz w:val="20"/>
          <w:szCs w:val="20"/>
        </w:rPr>
        <w:t>12</w:t>
      </w:r>
      <w:r w:rsidRPr="00DE1726">
        <w:rPr>
          <w:rFonts w:asciiTheme="majorHAnsi" w:hAnsiTheme="majorHAnsi"/>
          <w:noProof/>
          <w:sz w:val="20"/>
          <w:szCs w:val="20"/>
        </w:rPr>
        <w:fldChar w:fldCharType="end"/>
      </w:r>
    </w:p>
    <w:p w14:paraId="51AB2FC2" w14:textId="689C0080" w:rsidR="00383EEB" w:rsidRPr="004003A5" w:rsidRDefault="00383EEB" w:rsidP="004003A5">
      <w:pPr>
        <w:pStyle w:val="TOC2"/>
        <w:ind w:left="720" w:firstLine="0"/>
        <w:rPr>
          <w:rFonts w:asciiTheme="majorHAnsi" w:eastAsiaTheme="minorEastAsia" w:hAnsiTheme="majorHAnsi" w:cstheme="minorBidi"/>
          <w:noProof/>
          <w:sz w:val="20"/>
          <w:szCs w:val="20"/>
          <w:bdr w:val="none" w:sz="0" w:space="0" w:color="auto"/>
          <w:lang w:eastAsia="zh-CN"/>
        </w:rPr>
      </w:pPr>
      <w:r w:rsidRPr="00DE1726">
        <w:rPr>
          <w:rFonts w:asciiTheme="majorHAnsi" w:hAnsiTheme="majorHAnsi"/>
          <w:noProof/>
          <w:sz w:val="20"/>
          <w:szCs w:val="20"/>
        </w:rPr>
        <w:t>C.</w:t>
      </w:r>
      <w:r w:rsidRPr="004003A5">
        <w:rPr>
          <w:rFonts w:asciiTheme="majorHAnsi" w:eastAsiaTheme="minorEastAsia" w:hAnsiTheme="majorHAnsi" w:cstheme="minorBidi"/>
          <w:noProof/>
          <w:sz w:val="20"/>
          <w:szCs w:val="20"/>
          <w:bdr w:val="none" w:sz="0" w:space="0" w:color="auto"/>
          <w:lang w:eastAsia="zh-CN"/>
        </w:rPr>
        <w:tab/>
      </w:r>
      <w:r w:rsidRPr="00DE1726">
        <w:rPr>
          <w:rFonts w:asciiTheme="majorHAnsi" w:hAnsiTheme="majorHAnsi"/>
          <w:noProof/>
          <w:sz w:val="20"/>
          <w:szCs w:val="20"/>
        </w:rPr>
        <w:t>The deprivation of liberty on death row and the right of protection against cruel, infamous or unusual punishment</w:t>
      </w:r>
      <w:r w:rsidRPr="00DE1726">
        <w:rPr>
          <w:rFonts w:asciiTheme="majorHAnsi" w:hAnsiTheme="majorHAnsi"/>
          <w:noProof/>
          <w:sz w:val="20"/>
          <w:szCs w:val="20"/>
        </w:rPr>
        <w:tab/>
      </w:r>
      <w:r w:rsidRPr="00DE1726">
        <w:rPr>
          <w:rFonts w:asciiTheme="majorHAnsi" w:hAnsiTheme="majorHAnsi"/>
          <w:noProof/>
          <w:sz w:val="20"/>
          <w:szCs w:val="20"/>
        </w:rPr>
        <w:fldChar w:fldCharType="begin"/>
      </w:r>
      <w:r w:rsidRPr="00DE1726">
        <w:rPr>
          <w:rFonts w:asciiTheme="majorHAnsi" w:hAnsiTheme="majorHAnsi"/>
          <w:noProof/>
          <w:sz w:val="20"/>
          <w:szCs w:val="20"/>
        </w:rPr>
        <w:instrText xml:space="preserve"> PAGEREF _Toc90284146 \h </w:instrText>
      </w:r>
      <w:r w:rsidRPr="00DE1726">
        <w:rPr>
          <w:rFonts w:asciiTheme="majorHAnsi" w:hAnsiTheme="majorHAnsi"/>
          <w:noProof/>
          <w:sz w:val="20"/>
          <w:szCs w:val="20"/>
        </w:rPr>
      </w:r>
      <w:r w:rsidRPr="00DE1726">
        <w:rPr>
          <w:rFonts w:asciiTheme="majorHAnsi" w:hAnsiTheme="majorHAnsi"/>
          <w:noProof/>
          <w:sz w:val="20"/>
          <w:szCs w:val="20"/>
        </w:rPr>
        <w:fldChar w:fldCharType="separate"/>
      </w:r>
      <w:r w:rsidRPr="00DE1726">
        <w:rPr>
          <w:rFonts w:asciiTheme="majorHAnsi" w:hAnsiTheme="majorHAnsi"/>
          <w:noProof/>
          <w:sz w:val="20"/>
          <w:szCs w:val="20"/>
        </w:rPr>
        <w:t>14</w:t>
      </w:r>
      <w:r w:rsidRPr="00DE1726">
        <w:rPr>
          <w:rFonts w:asciiTheme="majorHAnsi" w:hAnsiTheme="majorHAnsi"/>
          <w:noProof/>
          <w:sz w:val="20"/>
          <w:szCs w:val="20"/>
        </w:rPr>
        <w:fldChar w:fldCharType="end"/>
      </w:r>
    </w:p>
    <w:p w14:paraId="2F53F4E7" w14:textId="0D0166C1" w:rsidR="00383EEB" w:rsidRPr="004003A5" w:rsidRDefault="00383EEB" w:rsidP="004003A5">
      <w:pPr>
        <w:pStyle w:val="TOC2"/>
        <w:ind w:left="720" w:firstLine="0"/>
        <w:rPr>
          <w:rFonts w:asciiTheme="majorHAnsi" w:eastAsiaTheme="minorEastAsia" w:hAnsiTheme="majorHAnsi" w:cstheme="minorBidi"/>
          <w:noProof/>
          <w:sz w:val="20"/>
          <w:szCs w:val="20"/>
          <w:bdr w:val="none" w:sz="0" w:space="0" w:color="auto"/>
          <w:lang w:eastAsia="zh-CN"/>
        </w:rPr>
      </w:pPr>
      <w:r w:rsidRPr="00DE1726">
        <w:rPr>
          <w:rFonts w:asciiTheme="majorHAnsi" w:hAnsiTheme="majorHAnsi"/>
          <w:noProof/>
          <w:sz w:val="20"/>
          <w:szCs w:val="20"/>
        </w:rPr>
        <w:t>D.</w:t>
      </w:r>
      <w:r w:rsidRPr="004003A5">
        <w:rPr>
          <w:rFonts w:asciiTheme="majorHAnsi" w:eastAsiaTheme="minorEastAsia" w:hAnsiTheme="majorHAnsi" w:cstheme="minorBidi"/>
          <w:noProof/>
          <w:sz w:val="20"/>
          <w:szCs w:val="20"/>
          <w:bdr w:val="none" w:sz="0" w:space="0" w:color="auto"/>
          <w:lang w:eastAsia="zh-CN"/>
        </w:rPr>
        <w:tab/>
      </w:r>
      <w:r w:rsidRPr="00DE1726">
        <w:rPr>
          <w:rFonts w:asciiTheme="majorHAnsi" w:hAnsiTheme="majorHAnsi"/>
          <w:noProof/>
          <w:sz w:val="20"/>
          <w:szCs w:val="20"/>
        </w:rPr>
        <w:t>Right to petition and right to life</w:t>
      </w:r>
      <w:r w:rsidRPr="00DE1726">
        <w:rPr>
          <w:rFonts w:asciiTheme="majorHAnsi" w:hAnsiTheme="majorHAnsi"/>
          <w:noProof/>
          <w:sz w:val="20"/>
          <w:szCs w:val="20"/>
        </w:rPr>
        <w:tab/>
      </w:r>
      <w:r w:rsidRPr="00DE1726">
        <w:rPr>
          <w:rFonts w:asciiTheme="majorHAnsi" w:hAnsiTheme="majorHAnsi"/>
          <w:noProof/>
          <w:sz w:val="20"/>
          <w:szCs w:val="20"/>
        </w:rPr>
        <w:fldChar w:fldCharType="begin"/>
      </w:r>
      <w:r w:rsidRPr="00DE1726">
        <w:rPr>
          <w:rFonts w:asciiTheme="majorHAnsi" w:hAnsiTheme="majorHAnsi"/>
          <w:noProof/>
          <w:sz w:val="20"/>
          <w:szCs w:val="20"/>
        </w:rPr>
        <w:instrText xml:space="preserve"> PAGEREF _Toc90284147 \h </w:instrText>
      </w:r>
      <w:r w:rsidRPr="00DE1726">
        <w:rPr>
          <w:rFonts w:asciiTheme="majorHAnsi" w:hAnsiTheme="majorHAnsi"/>
          <w:noProof/>
          <w:sz w:val="20"/>
          <w:szCs w:val="20"/>
        </w:rPr>
      </w:r>
      <w:r w:rsidRPr="00DE1726">
        <w:rPr>
          <w:rFonts w:asciiTheme="majorHAnsi" w:hAnsiTheme="majorHAnsi"/>
          <w:noProof/>
          <w:sz w:val="20"/>
          <w:szCs w:val="20"/>
        </w:rPr>
        <w:fldChar w:fldCharType="separate"/>
      </w:r>
      <w:r w:rsidRPr="00DE1726">
        <w:rPr>
          <w:rFonts w:asciiTheme="majorHAnsi" w:hAnsiTheme="majorHAnsi"/>
          <w:noProof/>
          <w:sz w:val="20"/>
          <w:szCs w:val="20"/>
        </w:rPr>
        <w:t>15</w:t>
      </w:r>
      <w:r w:rsidRPr="00DE1726">
        <w:rPr>
          <w:rFonts w:asciiTheme="majorHAnsi" w:hAnsiTheme="majorHAnsi"/>
          <w:noProof/>
          <w:sz w:val="20"/>
          <w:szCs w:val="20"/>
        </w:rPr>
        <w:fldChar w:fldCharType="end"/>
      </w:r>
    </w:p>
    <w:p w14:paraId="42E70A13" w14:textId="27CCCB36" w:rsidR="00383EEB" w:rsidRPr="004003A5" w:rsidRDefault="00383EEB" w:rsidP="004003A5">
      <w:pPr>
        <w:pStyle w:val="TOC1"/>
        <w:ind w:hanging="720"/>
        <w:rPr>
          <w:rFonts w:eastAsiaTheme="minorEastAsia" w:cstheme="minorBidi"/>
          <w:bdr w:val="none" w:sz="0" w:space="0" w:color="auto"/>
          <w:lang w:val="en-US" w:eastAsia="zh-CN"/>
        </w:rPr>
      </w:pPr>
      <w:r w:rsidRPr="004003A5">
        <w:rPr>
          <w:lang w:val="en-US"/>
        </w:rPr>
        <w:t>V.</w:t>
      </w:r>
      <w:r w:rsidRPr="004003A5">
        <w:rPr>
          <w:rFonts w:eastAsiaTheme="minorEastAsia" w:cstheme="minorBidi"/>
          <w:bdr w:val="none" w:sz="0" w:space="0" w:color="auto"/>
          <w:lang w:val="en-US" w:eastAsia="zh-CN"/>
        </w:rPr>
        <w:tab/>
      </w:r>
      <w:r w:rsidRPr="004003A5">
        <w:rPr>
          <w:lang w:val="en-US"/>
        </w:rPr>
        <w:t>REPORT No. 241/19 AND INFORMATION ABOUT COMPLIANCE</w:t>
      </w:r>
      <w:r w:rsidRPr="004003A5">
        <w:rPr>
          <w:lang w:val="en-US"/>
        </w:rPr>
        <w:tab/>
      </w:r>
      <w:r w:rsidRPr="00DE1726">
        <w:fldChar w:fldCharType="begin"/>
      </w:r>
      <w:r w:rsidRPr="004003A5">
        <w:rPr>
          <w:lang w:val="en-US"/>
        </w:rPr>
        <w:instrText xml:space="preserve"> PAGEREF _Toc90284148 \h </w:instrText>
      </w:r>
      <w:r w:rsidRPr="00DE1726">
        <w:fldChar w:fldCharType="separate"/>
      </w:r>
      <w:r w:rsidRPr="004003A5">
        <w:rPr>
          <w:lang w:val="en-US"/>
        </w:rPr>
        <w:t>16</w:t>
      </w:r>
      <w:r w:rsidRPr="00DE1726">
        <w:fldChar w:fldCharType="end"/>
      </w:r>
    </w:p>
    <w:p w14:paraId="347A51AC" w14:textId="5236D3E2" w:rsidR="00383EEB" w:rsidRPr="004003A5" w:rsidRDefault="00383EEB" w:rsidP="004003A5">
      <w:pPr>
        <w:pStyle w:val="TOC1"/>
        <w:ind w:hanging="720"/>
        <w:rPr>
          <w:rFonts w:eastAsiaTheme="minorEastAsia" w:cstheme="minorBidi"/>
          <w:bdr w:val="none" w:sz="0" w:space="0" w:color="auto"/>
          <w:lang w:val="en-US" w:eastAsia="zh-CN"/>
        </w:rPr>
      </w:pPr>
      <w:r w:rsidRPr="004003A5">
        <w:rPr>
          <w:lang w:val="en-US"/>
        </w:rPr>
        <w:t>VI.</w:t>
      </w:r>
      <w:r w:rsidRPr="004003A5">
        <w:rPr>
          <w:rFonts w:eastAsiaTheme="minorEastAsia" w:cstheme="minorBidi"/>
          <w:bdr w:val="none" w:sz="0" w:space="0" w:color="auto"/>
          <w:lang w:val="en-US" w:eastAsia="zh-CN"/>
        </w:rPr>
        <w:tab/>
      </w:r>
      <w:r w:rsidRPr="004003A5">
        <w:rPr>
          <w:lang w:val="en-US"/>
        </w:rPr>
        <w:t>ACTIONS SUBSEQUENT TO REPORT No. 327/21</w:t>
      </w:r>
      <w:r w:rsidRPr="004003A5">
        <w:rPr>
          <w:lang w:val="en-US"/>
        </w:rPr>
        <w:tab/>
      </w:r>
      <w:r w:rsidRPr="00DE1726">
        <w:fldChar w:fldCharType="begin"/>
      </w:r>
      <w:r w:rsidRPr="004003A5">
        <w:rPr>
          <w:lang w:val="en-US"/>
        </w:rPr>
        <w:instrText xml:space="preserve"> PAGEREF _Toc90284149 \h </w:instrText>
      </w:r>
      <w:r w:rsidRPr="00DE1726">
        <w:fldChar w:fldCharType="separate"/>
      </w:r>
      <w:r w:rsidRPr="004003A5">
        <w:rPr>
          <w:lang w:val="en-US"/>
        </w:rPr>
        <w:t>17</w:t>
      </w:r>
      <w:r w:rsidRPr="00DE1726">
        <w:fldChar w:fldCharType="end"/>
      </w:r>
    </w:p>
    <w:p w14:paraId="539BF3FF" w14:textId="24A74F7D" w:rsidR="00383EEB" w:rsidRPr="004003A5" w:rsidRDefault="00383EEB" w:rsidP="004003A5">
      <w:pPr>
        <w:pStyle w:val="TOC1"/>
        <w:ind w:hanging="720"/>
        <w:rPr>
          <w:rFonts w:eastAsiaTheme="minorEastAsia" w:cstheme="minorBidi"/>
          <w:bdr w:val="none" w:sz="0" w:space="0" w:color="auto"/>
          <w:lang w:val="en-US" w:eastAsia="zh-CN"/>
        </w:rPr>
      </w:pPr>
      <w:r w:rsidRPr="004003A5">
        <w:rPr>
          <w:lang w:val="en-US"/>
        </w:rPr>
        <w:t>VII.</w:t>
      </w:r>
      <w:r w:rsidRPr="004003A5">
        <w:rPr>
          <w:rFonts w:eastAsiaTheme="minorEastAsia" w:cstheme="minorBidi"/>
          <w:bdr w:val="none" w:sz="0" w:space="0" w:color="auto"/>
          <w:lang w:val="en-US" w:eastAsia="zh-CN"/>
        </w:rPr>
        <w:tab/>
      </w:r>
      <w:r w:rsidRPr="004003A5">
        <w:rPr>
          <w:lang w:val="en-US"/>
        </w:rPr>
        <w:t>FINAL CONCLUSIONS AND RECOMMENDATIONS</w:t>
      </w:r>
      <w:r w:rsidRPr="004003A5">
        <w:rPr>
          <w:lang w:val="en-US"/>
        </w:rPr>
        <w:tab/>
      </w:r>
      <w:r w:rsidRPr="00DE1726">
        <w:fldChar w:fldCharType="begin"/>
      </w:r>
      <w:r w:rsidRPr="004003A5">
        <w:rPr>
          <w:lang w:val="en-US"/>
        </w:rPr>
        <w:instrText xml:space="preserve"> PAGEREF _Toc90284150 \h </w:instrText>
      </w:r>
      <w:r w:rsidRPr="00DE1726">
        <w:fldChar w:fldCharType="separate"/>
      </w:r>
      <w:r w:rsidRPr="004003A5">
        <w:rPr>
          <w:lang w:val="en-US"/>
        </w:rPr>
        <w:t>17</w:t>
      </w:r>
      <w:r w:rsidRPr="00DE1726">
        <w:fldChar w:fldCharType="end"/>
      </w:r>
    </w:p>
    <w:p w14:paraId="20EC668A" w14:textId="08B3BDF0" w:rsidR="00383EEB" w:rsidRPr="00DE1726" w:rsidRDefault="00383EEB" w:rsidP="004003A5">
      <w:pPr>
        <w:pStyle w:val="TOC1"/>
        <w:ind w:hanging="720"/>
        <w:rPr>
          <w:rFonts w:eastAsiaTheme="minorEastAsia" w:cstheme="minorBidi"/>
          <w:bdr w:val="none" w:sz="0" w:space="0" w:color="auto"/>
          <w:lang w:val="es-US" w:eastAsia="zh-CN"/>
        </w:rPr>
      </w:pPr>
      <w:r w:rsidRPr="00DE1726">
        <w:t>VIII.</w:t>
      </w:r>
      <w:r w:rsidRPr="00DE1726">
        <w:rPr>
          <w:rFonts w:eastAsiaTheme="minorEastAsia" w:cstheme="minorBidi"/>
          <w:bdr w:val="none" w:sz="0" w:space="0" w:color="auto"/>
          <w:lang w:val="es-US" w:eastAsia="zh-CN"/>
        </w:rPr>
        <w:tab/>
      </w:r>
      <w:r w:rsidRPr="00DE1726">
        <w:t>PUBLICATION</w:t>
      </w:r>
      <w:r w:rsidRPr="00DE1726">
        <w:tab/>
      </w:r>
      <w:r w:rsidRPr="00DE1726">
        <w:fldChar w:fldCharType="begin"/>
      </w:r>
      <w:r w:rsidRPr="00DE1726">
        <w:instrText xml:space="preserve"> PAGEREF _Toc90284151 \h </w:instrText>
      </w:r>
      <w:r w:rsidRPr="00DE1726">
        <w:fldChar w:fldCharType="separate"/>
      </w:r>
      <w:r w:rsidRPr="00DE1726">
        <w:t>17</w:t>
      </w:r>
      <w:r w:rsidRPr="00DE1726">
        <w:fldChar w:fldCharType="end"/>
      </w:r>
    </w:p>
    <w:p w14:paraId="5306F6B0" w14:textId="28267B00" w:rsidR="007607C4" w:rsidRPr="00256677" w:rsidRDefault="00E200F9" w:rsidP="004003A5">
      <w:pPr>
        <w:tabs>
          <w:tab w:val="left" w:pos="1080"/>
          <w:tab w:val="center" w:pos="5400"/>
        </w:tabs>
        <w:suppressAutoHyphens/>
        <w:spacing w:line="276" w:lineRule="auto"/>
        <w:ind w:left="720" w:hanging="720"/>
        <w:rPr>
          <w:rFonts w:asciiTheme="majorHAnsi" w:hAnsiTheme="majorHAnsi"/>
          <w:sz w:val="20"/>
          <w:szCs w:val="18"/>
        </w:rPr>
      </w:pPr>
      <w:r w:rsidRPr="00DE1726">
        <w:rPr>
          <w:rFonts w:asciiTheme="majorHAnsi" w:hAnsiTheme="majorHAnsi"/>
          <w:noProof/>
          <w:sz w:val="20"/>
          <w:szCs w:val="20"/>
          <w:lang w:val="es-ES_tradnl"/>
        </w:rPr>
        <w:fldChar w:fldCharType="end"/>
      </w:r>
    </w:p>
    <w:p w14:paraId="4D32A9D5" w14:textId="77777777" w:rsidR="007607C4" w:rsidRPr="00256677" w:rsidRDefault="007607C4" w:rsidP="00145EDC">
      <w:pPr>
        <w:tabs>
          <w:tab w:val="center" w:pos="5400"/>
        </w:tabs>
        <w:suppressAutoHyphens/>
        <w:spacing w:line="276" w:lineRule="auto"/>
        <w:rPr>
          <w:rFonts w:asciiTheme="majorHAnsi" w:hAnsiTheme="majorHAnsi"/>
          <w:sz w:val="20"/>
          <w:szCs w:val="18"/>
        </w:rPr>
      </w:pPr>
    </w:p>
    <w:p w14:paraId="2BAA3FCD" w14:textId="77777777" w:rsidR="007607C4" w:rsidRPr="00256677" w:rsidRDefault="007607C4" w:rsidP="00145EDC">
      <w:pPr>
        <w:tabs>
          <w:tab w:val="center" w:pos="5400"/>
        </w:tabs>
        <w:suppressAutoHyphens/>
        <w:spacing w:line="276" w:lineRule="auto"/>
        <w:rPr>
          <w:rFonts w:asciiTheme="majorHAnsi" w:hAnsiTheme="majorHAnsi"/>
          <w:sz w:val="20"/>
          <w:szCs w:val="18"/>
        </w:rPr>
      </w:pPr>
    </w:p>
    <w:p w14:paraId="3D5E52C5" w14:textId="77777777" w:rsidR="007607C4" w:rsidRPr="00256677" w:rsidRDefault="007607C4" w:rsidP="00145EDC">
      <w:pPr>
        <w:tabs>
          <w:tab w:val="center" w:pos="5400"/>
        </w:tabs>
        <w:suppressAutoHyphens/>
        <w:spacing w:line="276" w:lineRule="auto"/>
        <w:rPr>
          <w:rFonts w:asciiTheme="majorHAnsi" w:hAnsiTheme="majorHAnsi"/>
          <w:sz w:val="20"/>
          <w:szCs w:val="20"/>
        </w:rPr>
      </w:pPr>
    </w:p>
    <w:p w14:paraId="669A2B5A" w14:textId="77777777" w:rsidR="007607C4" w:rsidRPr="00256677" w:rsidRDefault="007607C4" w:rsidP="00145EDC">
      <w:pPr>
        <w:tabs>
          <w:tab w:val="center" w:pos="5400"/>
        </w:tabs>
        <w:suppressAutoHyphens/>
        <w:spacing w:line="276" w:lineRule="auto"/>
        <w:rPr>
          <w:rFonts w:asciiTheme="majorHAnsi" w:hAnsiTheme="majorHAnsi"/>
          <w:sz w:val="20"/>
          <w:szCs w:val="20"/>
        </w:rPr>
      </w:pPr>
    </w:p>
    <w:p w14:paraId="437E0917" w14:textId="77777777" w:rsidR="007607C4" w:rsidRPr="00256677" w:rsidRDefault="007607C4" w:rsidP="00145EDC">
      <w:pPr>
        <w:tabs>
          <w:tab w:val="center" w:pos="5400"/>
        </w:tabs>
        <w:suppressAutoHyphens/>
        <w:spacing w:line="276" w:lineRule="auto"/>
        <w:rPr>
          <w:rFonts w:asciiTheme="majorHAnsi" w:hAnsiTheme="majorHAnsi"/>
          <w:sz w:val="20"/>
          <w:szCs w:val="20"/>
        </w:rPr>
      </w:pPr>
    </w:p>
    <w:p w14:paraId="552F98B0" w14:textId="77777777" w:rsidR="007607C4" w:rsidRPr="00256677" w:rsidRDefault="007607C4" w:rsidP="00145EDC">
      <w:pPr>
        <w:tabs>
          <w:tab w:val="center" w:pos="5400"/>
        </w:tabs>
        <w:suppressAutoHyphens/>
        <w:spacing w:line="276" w:lineRule="auto"/>
        <w:rPr>
          <w:rFonts w:asciiTheme="majorHAnsi" w:hAnsiTheme="majorHAnsi"/>
          <w:sz w:val="20"/>
          <w:szCs w:val="20"/>
        </w:rPr>
      </w:pPr>
    </w:p>
    <w:p w14:paraId="1E016FE8" w14:textId="77777777" w:rsidR="007607C4" w:rsidRPr="00256677" w:rsidRDefault="00A84A45" w:rsidP="00452DAB">
      <w:pPr>
        <w:rPr>
          <w:rFonts w:asciiTheme="majorHAnsi" w:hAnsiTheme="majorHAnsi"/>
          <w:b/>
          <w:sz w:val="18"/>
          <w:szCs w:val="20"/>
        </w:rPr>
      </w:pPr>
      <w:r w:rsidRPr="00256677">
        <w:rPr>
          <w:rFonts w:asciiTheme="majorHAnsi" w:hAnsiTheme="majorHAnsi"/>
          <w:b/>
          <w:sz w:val="18"/>
          <w:szCs w:val="20"/>
        </w:rPr>
        <w:br w:type="page"/>
      </w:r>
    </w:p>
    <w:p w14:paraId="382ED433" w14:textId="77777777" w:rsidR="001C4006" w:rsidRPr="00256677" w:rsidRDefault="00830E88" w:rsidP="009D0D81">
      <w:pPr>
        <w:pStyle w:val="Heading1"/>
        <w:spacing w:before="0"/>
        <w:ind w:left="360"/>
        <w:rPr>
          <w:color w:val="auto"/>
          <w:sz w:val="20"/>
          <w:szCs w:val="20"/>
        </w:rPr>
      </w:pPr>
      <w:bookmarkStart w:id="0" w:name="_Toc90284132"/>
      <w:r w:rsidRPr="00256677">
        <w:rPr>
          <w:color w:val="auto"/>
          <w:sz w:val="20"/>
          <w:szCs w:val="20"/>
        </w:rPr>
        <w:lastRenderedPageBreak/>
        <w:t>INTRODUCTION</w:t>
      </w:r>
      <w:bookmarkEnd w:id="0"/>
      <w:r w:rsidR="001C4006" w:rsidRPr="00256677">
        <w:rPr>
          <w:color w:val="auto"/>
          <w:sz w:val="20"/>
          <w:szCs w:val="20"/>
        </w:rPr>
        <w:t xml:space="preserve"> </w:t>
      </w:r>
    </w:p>
    <w:p w14:paraId="778F75DA" w14:textId="77777777" w:rsidR="001C4006" w:rsidRPr="00256677" w:rsidRDefault="001C4006" w:rsidP="00BB5A59">
      <w:pPr>
        <w:suppressAutoHyphens/>
        <w:ind w:left="1440" w:hanging="720"/>
        <w:rPr>
          <w:rFonts w:asciiTheme="majorHAnsi" w:hAnsiTheme="majorHAnsi"/>
          <w:b/>
          <w:sz w:val="20"/>
          <w:szCs w:val="20"/>
        </w:rPr>
      </w:pPr>
    </w:p>
    <w:p w14:paraId="55A9176B" w14:textId="77777777" w:rsidR="008A0F37" w:rsidRPr="00256677" w:rsidRDefault="008A0F37" w:rsidP="009D0D8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color w:val="000000" w:themeColor="text1"/>
          <w:sz w:val="20"/>
          <w:szCs w:val="20"/>
        </w:rPr>
      </w:pPr>
      <w:r w:rsidRPr="00256677">
        <w:rPr>
          <w:rFonts w:asciiTheme="majorHAnsi" w:eastAsia="Times New Roman" w:hAnsiTheme="majorHAnsi"/>
          <w:sz w:val="20"/>
          <w:szCs w:val="20"/>
        </w:rPr>
        <w:t xml:space="preserve">On April 26, 2004, the Inter-American Commission on Human Rights (hereinafter </w:t>
      </w:r>
      <w:r w:rsidR="00734033" w:rsidRPr="00256677">
        <w:rPr>
          <w:rFonts w:asciiTheme="majorHAnsi" w:eastAsia="Times New Roman" w:hAnsiTheme="majorHAnsi"/>
          <w:sz w:val="20"/>
          <w:szCs w:val="20"/>
        </w:rPr>
        <w:t xml:space="preserve">the </w:t>
      </w:r>
      <w:r w:rsidRPr="00256677">
        <w:rPr>
          <w:rFonts w:asciiTheme="majorHAnsi" w:eastAsia="Times New Roman" w:hAnsiTheme="majorHAnsi"/>
          <w:sz w:val="20"/>
          <w:szCs w:val="20"/>
        </w:rPr>
        <w:t xml:space="preserve">“Commission” or </w:t>
      </w:r>
      <w:r w:rsidR="00734033" w:rsidRPr="00256677">
        <w:rPr>
          <w:rFonts w:asciiTheme="majorHAnsi" w:eastAsia="Times New Roman" w:hAnsiTheme="majorHAnsi"/>
          <w:sz w:val="20"/>
          <w:szCs w:val="20"/>
        </w:rPr>
        <w:t xml:space="preserve">the </w:t>
      </w:r>
      <w:r w:rsidRPr="00256677">
        <w:rPr>
          <w:rFonts w:asciiTheme="majorHAnsi" w:eastAsia="Times New Roman" w:hAnsiTheme="majorHAnsi"/>
          <w:sz w:val="20"/>
          <w:szCs w:val="20"/>
        </w:rPr>
        <w:t>“IACHR”) received a petition</w:t>
      </w:r>
      <w:r w:rsidR="00890066" w:rsidRPr="00256677">
        <w:rPr>
          <w:rStyle w:val="FootnoteReference"/>
          <w:rFonts w:asciiTheme="majorHAnsi" w:eastAsia="Times New Roman" w:hAnsiTheme="majorHAnsi"/>
          <w:sz w:val="20"/>
          <w:szCs w:val="20"/>
        </w:rPr>
        <w:footnoteReference w:id="2"/>
      </w:r>
      <w:r w:rsidRPr="00256677">
        <w:rPr>
          <w:rFonts w:asciiTheme="majorHAnsi" w:eastAsia="Times New Roman" w:hAnsiTheme="majorHAnsi"/>
          <w:sz w:val="20"/>
          <w:szCs w:val="20"/>
        </w:rPr>
        <w:t xml:space="preserve"> filed by Mr. David L. Sloss, assistant professor of law at Saint Louis University School of Law and Ms. Joanne M. Descher, from Devereux Murphy LLC (hereinafter “the Petitioners”) against the Government of the United States of America (hereinafter the “United States” or </w:t>
      </w:r>
      <w:r w:rsidR="000620DE" w:rsidRPr="00256677">
        <w:rPr>
          <w:rFonts w:asciiTheme="majorHAnsi" w:eastAsia="Times New Roman" w:hAnsiTheme="majorHAnsi"/>
          <w:sz w:val="20"/>
          <w:szCs w:val="20"/>
        </w:rPr>
        <w:t xml:space="preserve">the </w:t>
      </w:r>
      <w:r w:rsidRPr="00256677">
        <w:rPr>
          <w:rFonts w:asciiTheme="majorHAnsi" w:eastAsia="Times New Roman" w:hAnsiTheme="majorHAnsi"/>
          <w:sz w:val="20"/>
          <w:szCs w:val="20"/>
        </w:rPr>
        <w:t>“State”).  The petition was presented on behalf of Marlin Gray (hereinafter “Mr. Gray”) who at the time of the petition was in</w:t>
      </w:r>
      <w:r w:rsidR="00361744" w:rsidRPr="00256677">
        <w:rPr>
          <w:rFonts w:asciiTheme="majorHAnsi" w:eastAsia="Times New Roman" w:hAnsiTheme="majorHAnsi"/>
          <w:sz w:val="20"/>
          <w:szCs w:val="20"/>
        </w:rPr>
        <w:t>carcerated on death row in the s</w:t>
      </w:r>
      <w:r w:rsidRPr="00256677">
        <w:rPr>
          <w:rFonts w:asciiTheme="majorHAnsi" w:eastAsia="Times New Roman" w:hAnsiTheme="majorHAnsi"/>
          <w:sz w:val="20"/>
          <w:szCs w:val="20"/>
        </w:rPr>
        <w:t xml:space="preserve">tate of Missouri.  </w:t>
      </w:r>
      <w:r w:rsidR="000038CF" w:rsidRPr="00256677">
        <w:rPr>
          <w:rFonts w:asciiTheme="majorHAnsi" w:eastAsia="Times New Roman" w:hAnsiTheme="majorHAnsi"/>
          <w:sz w:val="20"/>
          <w:szCs w:val="20"/>
        </w:rPr>
        <w:t xml:space="preserve">Mr. Gray was executed </w:t>
      </w:r>
      <w:r w:rsidRPr="00256677">
        <w:rPr>
          <w:rFonts w:asciiTheme="majorHAnsi" w:eastAsia="Times New Roman" w:hAnsiTheme="majorHAnsi"/>
          <w:sz w:val="20"/>
          <w:szCs w:val="20"/>
        </w:rPr>
        <w:t>on October 26, 2005.  </w:t>
      </w:r>
    </w:p>
    <w:p w14:paraId="52F43B03" w14:textId="77777777" w:rsidR="00F0764A" w:rsidRPr="00256677" w:rsidRDefault="00F0764A" w:rsidP="009D0D81">
      <w:pPr>
        <w:tabs>
          <w:tab w:val="left" w:pos="360"/>
        </w:tabs>
        <w:rPr>
          <w:sz w:val="20"/>
          <w:szCs w:val="20"/>
        </w:rPr>
      </w:pPr>
    </w:p>
    <w:p w14:paraId="7E88C571" w14:textId="77777777" w:rsidR="001C4006" w:rsidRPr="00256677" w:rsidRDefault="00EA425E" w:rsidP="009D0D8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color w:val="000000" w:themeColor="text1"/>
          <w:sz w:val="20"/>
          <w:szCs w:val="20"/>
        </w:rPr>
      </w:pPr>
      <w:r w:rsidRPr="00256677">
        <w:rPr>
          <w:rFonts w:asciiTheme="majorHAnsi" w:hAnsiTheme="majorHAnsi"/>
          <w:color w:val="000000" w:themeColor="text1"/>
          <w:sz w:val="20"/>
          <w:szCs w:val="20"/>
        </w:rPr>
        <w:t xml:space="preserve">The Commission approved its admissibility report </w:t>
      </w:r>
      <w:r w:rsidR="00203307" w:rsidRPr="00256677">
        <w:rPr>
          <w:rFonts w:ascii="Cambria" w:eastAsia="Cambria" w:hAnsi="Cambria" w:cs="Cambria"/>
          <w:sz w:val="20"/>
          <w:szCs w:val="20"/>
        </w:rPr>
        <w:t>No. 79</w:t>
      </w:r>
      <w:r w:rsidRPr="00256677">
        <w:rPr>
          <w:rFonts w:ascii="Cambria" w:eastAsia="Cambria" w:hAnsi="Cambria" w:cs="Cambria"/>
          <w:sz w:val="20"/>
          <w:szCs w:val="20"/>
        </w:rPr>
        <w:t xml:space="preserve">/05 on </w:t>
      </w:r>
      <w:r w:rsidR="00203307" w:rsidRPr="00256677">
        <w:rPr>
          <w:rFonts w:ascii="Cambria" w:eastAsia="Cambria" w:hAnsi="Cambria" w:cs="Cambria"/>
          <w:sz w:val="20"/>
          <w:szCs w:val="20"/>
        </w:rPr>
        <w:t>October 24</w:t>
      </w:r>
      <w:r w:rsidRPr="00256677">
        <w:rPr>
          <w:rFonts w:ascii="Cambria" w:eastAsia="Cambria" w:hAnsi="Cambria" w:cs="Cambria"/>
          <w:sz w:val="20"/>
          <w:szCs w:val="20"/>
        </w:rPr>
        <w:t>, 2005</w:t>
      </w:r>
      <w:r w:rsidR="008A6254" w:rsidRPr="00256677">
        <w:rPr>
          <w:rFonts w:ascii="Cambria" w:eastAsia="Cambria" w:hAnsi="Cambria" w:cs="Cambria"/>
          <w:sz w:val="20"/>
          <w:szCs w:val="20"/>
        </w:rPr>
        <w:t>,</w:t>
      </w:r>
      <w:r w:rsidR="005028FE" w:rsidRPr="00256677">
        <w:rPr>
          <w:rStyle w:val="FootnoteReference"/>
          <w:rFonts w:ascii="Cambria" w:eastAsia="Cambria" w:hAnsi="Cambria"/>
          <w:sz w:val="20"/>
          <w:szCs w:val="20"/>
        </w:rPr>
        <w:footnoteReference w:id="3"/>
      </w:r>
      <w:r w:rsidR="007E5C9F" w:rsidRPr="00256677">
        <w:rPr>
          <w:rFonts w:ascii="Cambria" w:eastAsia="Cambria" w:hAnsi="Cambria" w:cs="Cambria"/>
          <w:sz w:val="20"/>
          <w:szCs w:val="20"/>
        </w:rPr>
        <w:t xml:space="preserve"> and </w:t>
      </w:r>
      <w:r w:rsidR="001C4006" w:rsidRPr="00256677">
        <w:rPr>
          <w:rFonts w:asciiTheme="majorHAnsi" w:hAnsiTheme="majorHAnsi"/>
          <w:color w:val="000000" w:themeColor="text1"/>
          <w:sz w:val="20"/>
          <w:szCs w:val="20"/>
        </w:rPr>
        <w:t>notified th</w:t>
      </w:r>
      <w:r w:rsidR="00DA7151" w:rsidRPr="00256677">
        <w:rPr>
          <w:rFonts w:asciiTheme="majorHAnsi" w:hAnsiTheme="majorHAnsi"/>
          <w:color w:val="000000" w:themeColor="text1"/>
          <w:sz w:val="20"/>
          <w:szCs w:val="20"/>
        </w:rPr>
        <w:t>e</w:t>
      </w:r>
      <w:r w:rsidR="001C4006" w:rsidRPr="00256677">
        <w:rPr>
          <w:rFonts w:asciiTheme="majorHAnsi" w:hAnsiTheme="majorHAnsi"/>
          <w:color w:val="000000" w:themeColor="text1"/>
          <w:sz w:val="20"/>
          <w:szCs w:val="20"/>
        </w:rPr>
        <w:t xml:space="preserve"> report to the parties</w:t>
      </w:r>
      <w:r w:rsidR="007E5C9F" w:rsidRPr="00256677">
        <w:rPr>
          <w:rFonts w:asciiTheme="majorHAnsi" w:hAnsiTheme="majorHAnsi"/>
          <w:color w:val="000000" w:themeColor="text1"/>
          <w:sz w:val="20"/>
          <w:szCs w:val="20"/>
        </w:rPr>
        <w:t>, placing</w:t>
      </w:r>
      <w:r w:rsidR="001C4006" w:rsidRPr="00256677">
        <w:rPr>
          <w:rFonts w:asciiTheme="majorHAnsi" w:hAnsiTheme="majorHAnsi"/>
          <w:color w:val="000000" w:themeColor="text1"/>
          <w:sz w:val="20"/>
          <w:szCs w:val="20"/>
        </w:rPr>
        <w:t xml:space="preserve"> itself at the</w:t>
      </w:r>
      <w:r w:rsidR="007E5C9F" w:rsidRPr="00256677">
        <w:rPr>
          <w:rFonts w:asciiTheme="majorHAnsi" w:hAnsiTheme="majorHAnsi"/>
          <w:color w:val="000000" w:themeColor="text1"/>
          <w:sz w:val="20"/>
          <w:szCs w:val="20"/>
        </w:rPr>
        <w:t>ir</w:t>
      </w:r>
      <w:r w:rsidR="001C4006" w:rsidRPr="00256677">
        <w:rPr>
          <w:rFonts w:asciiTheme="majorHAnsi" w:hAnsiTheme="majorHAnsi"/>
          <w:color w:val="000000" w:themeColor="text1"/>
          <w:sz w:val="20"/>
          <w:szCs w:val="20"/>
        </w:rPr>
        <w:t xml:space="preserve"> disposition to reach a friendly settlement. The parties </w:t>
      </w:r>
      <w:r w:rsidR="00092817" w:rsidRPr="00256677">
        <w:rPr>
          <w:rFonts w:asciiTheme="majorHAnsi" w:hAnsiTheme="majorHAnsi"/>
          <w:color w:val="000000" w:themeColor="text1"/>
          <w:sz w:val="20"/>
          <w:szCs w:val="20"/>
        </w:rPr>
        <w:t xml:space="preserve">were allocated </w:t>
      </w:r>
      <w:r w:rsidR="001C4006" w:rsidRPr="00256677">
        <w:rPr>
          <w:rFonts w:asciiTheme="majorHAnsi" w:hAnsiTheme="majorHAnsi"/>
          <w:color w:val="000000" w:themeColor="text1"/>
          <w:sz w:val="20"/>
          <w:szCs w:val="20"/>
        </w:rPr>
        <w:t>the time periods provided for in the IACHR’s Rules of Procedure to present additional observations on the merits</w:t>
      </w:r>
      <w:r w:rsidR="00092817" w:rsidRPr="00256677">
        <w:rPr>
          <w:rFonts w:asciiTheme="majorHAnsi" w:hAnsiTheme="majorHAnsi"/>
          <w:color w:val="000000" w:themeColor="text1"/>
          <w:sz w:val="20"/>
          <w:szCs w:val="20"/>
        </w:rPr>
        <w:t xml:space="preserve"> of the case</w:t>
      </w:r>
      <w:r w:rsidR="001C4006" w:rsidRPr="00256677">
        <w:rPr>
          <w:rFonts w:asciiTheme="majorHAnsi" w:hAnsiTheme="majorHAnsi"/>
          <w:color w:val="000000" w:themeColor="text1"/>
          <w:sz w:val="20"/>
          <w:szCs w:val="20"/>
        </w:rPr>
        <w:t xml:space="preserve">. All </w:t>
      </w:r>
      <w:r w:rsidR="00092817" w:rsidRPr="00256677">
        <w:rPr>
          <w:rFonts w:asciiTheme="majorHAnsi" w:hAnsiTheme="majorHAnsi"/>
          <w:color w:val="000000" w:themeColor="text1"/>
          <w:sz w:val="20"/>
          <w:szCs w:val="20"/>
        </w:rPr>
        <w:t xml:space="preserve">of </w:t>
      </w:r>
      <w:r w:rsidR="001C4006" w:rsidRPr="00256677">
        <w:rPr>
          <w:rFonts w:asciiTheme="majorHAnsi" w:hAnsiTheme="majorHAnsi"/>
          <w:color w:val="000000" w:themeColor="text1"/>
          <w:sz w:val="20"/>
          <w:szCs w:val="20"/>
        </w:rPr>
        <w:t xml:space="preserve">the information received by the </w:t>
      </w:r>
      <w:r w:rsidR="00DA7151" w:rsidRPr="00256677">
        <w:rPr>
          <w:rFonts w:asciiTheme="majorHAnsi" w:hAnsiTheme="majorHAnsi"/>
          <w:color w:val="000000" w:themeColor="text1"/>
          <w:sz w:val="20"/>
          <w:szCs w:val="20"/>
        </w:rPr>
        <w:t>IACHR</w:t>
      </w:r>
      <w:r w:rsidR="001C4006" w:rsidRPr="00256677">
        <w:rPr>
          <w:rFonts w:asciiTheme="majorHAnsi" w:hAnsiTheme="majorHAnsi"/>
          <w:color w:val="000000" w:themeColor="text1"/>
          <w:sz w:val="20"/>
          <w:szCs w:val="20"/>
        </w:rPr>
        <w:t xml:space="preserve"> was duly transmitted to the parties. </w:t>
      </w:r>
    </w:p>
    <w:p w14:paraId="600B7AB5" w14:textId="77777777" w:rsidR="001C4006" w:rsidRPr="00256677" w:rsidRDefault="001C4006" w:rsidP="009D0D81">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suppressAutoHyphens/>
        <w:rPr>
          <w:rFonts w:asciiTheme="majorHAnsi" w:hAnsiTheme="majorHAnsi"/>
          <w:color w:val="000000" w:themeColor="text1"/>
          <w:sz w:val="20"/>
          <w:szCs w:val="20"/>
        </w:rPr>
      </w:pPr>
    </w:p>
    <w:p w14:paraId="336F58EE" w14:textId="77777777" w:rsidR="001C4006" w:rsidRPr="00256677" w:rsidRDefault="001C4006" w:rsidP="009D0D81">
      <w:pPr>
        <w:pStyle w:val="Heading1"/>
        <w:tabs>
          <w:tab w:val="left" w:pos="360"/>
        </w:tabs>
        <w:spacing w:before="0"/>
        <w:ind w:hanging="720"/>
        <w:rPr>
          <w:color w:val="auto"/>
          <w:sz w:val="20"/>
          <w:szCs w:val="20"/>
        </w:rPr>
      </w:pPr>
      <w:bookmarkStart w:id="1" w:name="_Toc90284133"/>
      <w:r w:rsidRPr="00256677">
        <w:rPr>
          <w:color w:val="auto"/>
          <w:sz w:val="20"/>
          <w:szCs w:val="20"/>
        </w:rPr>
        <w:t>POSITIONS OF THE PARTIES</w:t>
      </w:r>
      <w:bookmarkEnd w:id="1"/>
    </w:p>
    <w:p w14:paraId="51B380DF" w14:textId="77777777" w:rsidR="001C4006" w:rsidRPr="00256677" w:rsidRDefault="001C4006" w:rsidP="009D0D81">
      <w:pPr>
        <w:tabs>
          <w:tab w:val="left" w:pos="360"/>
        </w:tabs>
        <w:suppressAutoHyphens/>
        <w:ind w:left="1440" w:hanging="720"/>
        <w:rPr>
          <w:rFonts w:asciiTheme="majorHAnsi" w:hAnsiTheme="majorHAnsi"/>
          <w:sz w:val="20"/>
          <w:szCs w:val="20"/>
        </w:rPr>
      </w:pPr>
    </w:p>
    <w:p w14:paraId="6E63BFC1" w14:textId="77777777" w:rsidR="005C164F" w:rsidRPr="00256677" w:rsidRDefault="005C164F" w:rsidP="009D0D81">
      <w:pPr>
        <w:pStyle w:val="Heading2"/>
        <w:numPr>
          <w:ilvl w:val="0"/>
          <w:numId w:val="58"/>
        </w:numPr>
        <w:tabs>
          <w:tab w:val="left" w:pos="360"/>
        </w:tabs>
        <w:spacing w:before="0"/>
        <w:ind w:hanging="720"/>
        <w:rPr>
          <w:color w:val="auto"/>
          <w:sz w:val="20"/>
          <w:szCs w:val="20"/>
        </w:rPr>
      </w:pPr>
      <w:bookmarkStart w:id="2" w:name="_Toc90284134"/>
      <w:r w:rsidRPr="00256677">
        <w:rPr>
          <w:color w:val="auto"/>
          <w:sz w:val="20"/>
          <w:szCs w:val="20"/>
        </w:rPr>
        <w:t>P</w:t>
      </w:r>
      <w:r w:rsidR="00262ECA" w:rsidRPr="00256677">
        <w:rPr>
          <w:color w:val="auto"/>
          <w:sz w:val="20"/>
          <w:szCs w:val="20"/>
        </w:rPr>
        <w:t>etitioners</w:t>
      </w:r>
      <w:bookmarkEnd w:id="2"/>
    </w:p>
    <w:p w14:paraId="03C039AA" w14:textId="77777777" w:rsidR="005C164F" w:rsidRPr="00256677" w:rsidRDefault="005C164F" w:rsidP="00BB5A59">
      <w:pPr>
        <w:suppressAutoHyphens/>
        <w:ind w:left="1440" w:hanging="720"/>
        <w:rPr>
          <w:rFonts w:asciiTheme="majorHAnsi" w:hAnsiTheme="majorHAnsi"/>
          <w:sz w:val="20"/>
          <w:szCs w:val="20"/>
        </w:rPr>
      </w:pPr>
    </w:p>
    <w:p w14:paraId="0070EDA0" w14:textId="77777777" w:rsidR="00A80D3F" w:rsidRPr="00256677" w:rsidRDefault="00A80D3F" w:rsidP="001A022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eastAsia="Times New Roman" w:hAnsiTheme="majorHAnsi"/>
          <w:sz w:val="20"/>
          <w:szCs w:val="20"/>
        </w:rPr>
      </w:pPr>
      <w:r w:rsidRPr="00256677">
        <w:rPr>
          <w:rFonts w:asciiTheme="majorHAnsi" w:eastAsia="Times New Roman" w:hAnsiTheme="majorHAnsi"/>
          <w:sz w:val="20"/>
          <w:szCs w:val="20"/>
        </w:rPr>
        <w:t xml:space="preserve">The Petitioners assert that there was a violation of Mr. Gray’s right to judicial protection as he was convicted of first-degree murder on </w:t>
      </w:r>
      <w:r w:rsidR="00330B23" w:rsidRPr="00256677">
        <w:rPr>
          <w:rFonts w:asciiTheme="majorHAnsi" w:eastAsia="Times New Roman" w:hAnsiTheme="majorHAnsi"/>
          <w:sz w:val="20"/>
          <w:szCs w:val="20"/>
        </w:rPr>
        <w:t xml:space="preserve">an accomplice liability theory and on </w:t>
      </w:r>
      <w:r w:rsidRPr="00256677">
        <w:rPr>
          <w:rFonts w:asciiTheme="majorHAnsi" w:eastAsia="Times New Roman" w:hAnsiTheme="majorHAnsi"/>
          <w:sz w:val="20"/>
          <w:szCs w:val="20"/>
        </w:rPr>
        <w:t xml:space="preserve">the basis of insufficient evidence; the Missouri Supreme Court made critical legal and factual errors when it heard Mr. Gray’s initial appeal; no other U.S court corrected the errors made by the Missouri Supreme Court; and the Missouri Supreme Court refused to stay Mr. Gray’s execution </w:t>
      </w:r>
      <w:r w:rsidR="005F2254" w:rsidRPr="00256677">
        <w:rPr>
          <w:rFonts w:asciiTheme="majorHAnsi" w:eastAsia="Times New Roman" w:hAnsiTheme="majorHAnsi"/>
          <w:sz w:val="20"/>
          <w:szCs w:val="20"/>
        </w:rPr>
        <w:t xml:space="preserve">without explanation or comment on legal arguments, </w:t>
      </w:r>
      <w:r w:rsidRPr="00256677">
        <w:rPr>
          <w:rFonts w:asciiTheme="majorHAnsi" w:eastAsia="Times New Roman" w:hAnsiTheme="majorHAnsi"/>
          <w:sz w:val="20"/>
          <w:szCs w:val="20"/>
        </w:rPr>
        <w:t>while his case was pending before the Inter-American Commission.</w:t>
      </w:r>
    </w:p>
    <w:p w14:paraId="0758D5D1" w14:textId="77777777" w:rsidR="0035777A" w:rsidRPr="00256677" w:rsidRDefault="0035777A" w:rsidP="0035777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Theme="majorHAnsi" w:eastAsia="Times New Roman" w:hAnsiTheme="majorHAnsi"/>
          <w:sz w:val="20"/>
          <w:szCs w:val="20"/>
        </w:rPr>
      </w:pPr>
    </w:p>
    <w:p w14:paraId="760F595D" w14:textId="77777777" w:rsidR="0035777A" w:rsidRPr="00256677" w:rsidRDefault="0035777A" w:rsidP="001A022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eastAsia="Times New Roman" w:hAnsiTheme="majorHAnsi"/>
          <w:sz w:val="20"/>
          <w:szCs w:val="20"/>
        </w:rPr>
      </w:pPr>
      <w:r w:rsidRPr="00256677">
        <w:rPr>
          <w:rFonts w:asciiTheme="majorHAnsi" w:eastAsia="Times New Roman" w:hAnsiTheme="majorHAnsi"/>
          <w:sz w:val="20"/>
          <w:szCs w:val="20"/>
        </w:rPr>
        <w:t>The Petitioners claim that the Missouri Supreme Court’s account of “threats to kill made either by the defendant or in the defendant’s presence… [and] [d]efendant continued in the criminal enterprise after the threats to kill the victims were made</w:t>
      </w:r>
      <w:r w:rsidR="000620DE" w:rsidRPr="00256677">
        <w:rPr>
          <w:rFonts w:asciiTheme="majorHAnsi" w:eastAsia="Times New Roman" w:hAnsiTheme="majorHAnsi"/>
          <w:sz w:val="20"/>
          <w:szCs w:val="20"/>
        </w:rPr>
        <w:t>,</w:t>
      </w:r>
      <w:r w:rsidRPr="00256677">
        <w:rPr>
          <w:rFonts w:asciiTheme="majorHAnsi" w:eastAsia="Times New Roman" w:hAnsiTheme="majorHAnsi"/>
          <w:sz w:val="20"/>
          <w:szCs w:val="20"/>
        </w:rPr>
        <w:t>”</w:t>
      </w:r>
      <w:r w:rsidR="005F724E" w:rsidRPr="00256677">
        <w:rPr>
          <w:rFonts w:asciiTheme="majorHAnsi" w:eastAsia="Times New Roman" w:hAnsiTheme="majorHAnsi"/>
          <w:sz w:val="20"/>
          <w:szCs w:val="20"/>
        </w:rPr>
        <w:t xml:space="preserve"> and Mr. Gray as having a “role as a leader and enforcer of the group</w:t>
      </w:r>
      <w:r w:rsidR="000620DE" w:rsidRPr="00256677">
        <w:rPr>
          <w:rFonts w:asciiTheme="majorHAnsi" w:eastAsia="Times New Roman" w:hAnsiTheme="majorHAnsi"/>
          <w:sz w:val="20"/>
          <w:szCs w:val="20"/>
        </w:rPr>
        <w:t>,</w:t>
      </w:r>
      <w:r w:rsidR="005F724E" w:rsidRPr="00256677">
        <w:rPr>
          <w:rFonts w:asciiTheme="majorHAnsi" w:eastAsia="Times New Roman" w:hAnsiTheme="majorHAnsi"/>
          <w:sz w:val="20"/>
          <w:szCs w:val="20"/>
        </w:rPr>
        <w:t>”</w:t>
      </w:r>
      <w:r w:rsidR="005F724E" w:rsidRPr="00256677">
        <w:rPr>
          <w:rStyle w:val="FootnoteReference"/>
          <w:rFonts w:asciiTheme="majorHAnsi" w:eastAsia="Times New Roman" w:hAnsiTheme="majorHAnsi"/>
          <w:sz w:val="20"/>
          <w:szCs w:val="20"/>
        </w:rPr>
        <w:footnoteReference w:id="4"/>
      </w:r>
      <w:r w:rsidR="00DB4573" w:rsidRPr="00256677">
        <w:rPr>
          <w:rFonts w:asciiTheme="majorHAnsi" w:eastAsia="Times New Roman" w:hAnsiTheme="majorHAnsi"/>
          <w:sz w:val="20"/>
          <w:szCs w:val="20"/>
        </w:rPr>
        <w:t xml:space="preserve"> were legally insufficient to support a conviction of first-degree murder. This, the Petitioners claim</w:t>
      </w:r>
      <w:r w:rsidR="000620DE" w:rsidRPr="00256677">
        <w:rPr>
          <w:rFonts w:asciiTheme="majorHAnsi" w:eastAsia="Times New Roman" w:hAnsiTheme="majorHAnsi"/>
          <w:sz w:val="20"/>
          <w:szCs w:val="20"/>
        </w:rPr>
        <w:t>,</w:t>
      </w:r>
      <w:r w:rsidR="00DB4573" w:rsidRPr="00256677">
        <w:rPr>
          <w:rFonts w:asciiTheme="majorHAnsi" w:eastAsia="Times New Roman" w:hAnsiTheme="majorHAnsi"/>
          <w:sz w:val="20"/>
          <w:szCs w:val="20"/>
        </w:rPr>
        <w:t xml:space="preserve"> is attributed to a lack of testimony </w:t>
      </w:r>
      <w:r w:rsidR="00647ECE" w:rsidRPr="00256677">
        <w:rPr>
          <w:rFonts w:asciiTheme="majorHAnsi" w:eastAsia="Times New Roman" w:hAnsiTheme="majorHAnsi"/>
          <w:sz w:val="20"/>
          <w:szCs w:val="20"/>
        </w:rPr>
        <w:t>by either of the</w:t>
      </w:r>
      <w:r w:rsidR="00DB4573" w:rsidRPr="00256677">
        <w:rPr>
          <w:rFonts w:asciiTheme="majorHAnsi" w:eastAsia="Times New Roman" w:hAnsiTheme="majorHAnsi"/>
          <w:sz w:val="20"/>
          <w:szCs w:val="20"/>
        </w:rPr>
        <w:t xml:space="preserve"> participants </w:t>
      </w:r>
      <w:r w:rsidR="009C56A5" w:rsidRPr="00256677">
        <w:rPr>
          <w:rFonts w:asciiTheme="majorHAnsi" w:eastAsia="Times New Roman" w:hAnsiTheme="majorHAnsi"/>
          <w:sz w:val="20"/>
          <w:szCs w:val="20"/>
        </w:rPr>
        <w:t xml:space="preserve">to the rape </w:t>
      </w:r>
      <w:r w:rsidR="00DB4573" w:rsidRPr="00256677">
        <w:rPr>
          <w:rFonts w:asciiTheme="majorHAnsi" w:eastAsia="Times New Roman" w:hAnsiTheme="majorHAnsi"/>
          <w:sz w:val="20"/>
          <w:szCs w:val="20"/>
        </w:rPr>
        <w:t>or Mr. Cummins</w:t>
      </w:r>
      <w:r w:rsidR="009C56A5" w:rsidRPr="00256677">
        <w:rPr>
          <w:rFonts w:asciiTheme="majorHAnsi" w:eastAsia="Times New Roman" w:hAnsiTheme="majorHAnsi"/>
          <w:sz w:val="20"/>
          <w:szCs w:val="20"/>
        </w:rPr>
        <w:t xml:space="preserve">, the </w:t>
      </w:r>
      <w:r w:rsidR="00DA18BD" w:rsidRPr="00256677">
        <w:rPr>
          <w:rFonts w:asciiTheme="majorHAnsi" w:eastAsia="Times New Roman" w:hAnsiTheme="majorHAnsi"/>
          <w:sz w:val="20"/>
          <w:szCs w:val="20"/>
        </w:rPr>
        <w:t xml:space="preserve">surviving </w:t>
      </w:r>
      <w:r w:rsidR="009C56A5" w:rsidRPr="00256677">
        <w:rPr>
          <w:rFonts w:asciiTheme="majorHAnsi" w:eastAsia="Times New Roman" w:hAnsiTheme="majorHAnsi"/>
          <w:sz w:val="20"/>
          <w:szCs w:val="20"/>
        </w:rPr>
        <w:t>victim</w:t>
      </w:r>
      <w:r w:rsidR="00DB4573" w:rsidRPr="00256677">
        <w:rPr>
          <w:rFonts w:asciiTheme="majorHAnsi" w:eastAsia="Times New Roman" w:hAnsiTheme="majorHAnsi"/>
          <w:sz w:val="20"/>
          <w:szCs w:val="20"/>
        </w:rPr>
        <w:t xml:space="preserve">; </w:t>
      </w:r>
      <w:r w:rsidR="00647ECE" w:rsidRPr="00256677">
        <w:rPr>
          <w:rFonts w:asciiTheme="majorHAnsi" w:eastAsia="Times New Roman" w:hAnsiTheme="majorHAnsi"/>
          <w:sz w:val="20"/>
          <w:szCs w:val="20"/>
        </w:rPr>
        <w:t xml:space="preserve">and </w:t>
      </w:r>
      <w:r w:rsidR="00DB4573" w:rsidRPr="00256677">
        <w:rPr>
          <w:rFonts w:asciiTheme="majorHAnsi" w:eastAsia="Times New Roman" w:hAnsiTheme="majorHAnsi"/>
          <w:sz w:val="20"/>
          <w:szCs w:val="20"/>
        </w:rPr>
        <w:t>further</w:t>
      </w:r>
      <w:r w:rsidR="00647ECE" w:rsidRPr="00256677">
        <w:rPr>
          <w:rFonts w:asciiTheme="majorHAnsi" w:eastAsia="Times New Roman" w:hAnsiTheme="majorHAnsi"/>
          <w:sz w:val="20"/>
          <w:szCs w:val="20"/>
        </w:rPr>
        <w:t xml:space="preserve"> to the non-enforcement by Mr. Gray of his alleged threat to</w:t>
      </w:r>
      <w:r w:rsidR="00DB4573" w:rsidRPr="00256677">
        <w:rPr>
          <w:rFonts w:asciiTheme="majorHAnsi" w:eastAsia="Times New Roman" w:hAnsiTheme="majorHAnsi"/>
          <w:sz w:val="20"/>
          <w:szCs w:val="20"/>
        </w:rPr>
        <w:t xml:space="preserve"> </w:t>
      </w:r>
      <w:r w:rsidR="00647ECE" w:rsidRPr="00256677">
        <w:rPr>
          <w:rFonts w:asciiTheme="majorHAnsi" w:eastAsia="Times New Roman" w:hAnsiTheme="majorHAnsi"/>
          <w:sz w:val="20"/>
          <w:szCs w:val="20"/>
        </w:rPr>
        <w:t xml:space="preserve">force </w:t>
      </w:r>
      <w:r w:rsidR="00DB4573" w:rsidRPr="00256677">
        <w:rPr>
          <w:rFonts w:asciiTheme="majorHAnsi" w:eastAsia="Times New Roman" w:hAnsiTheme="majorHAnsi"/>
          <w:sz w:val="20"/>
          <w:szCs w:val="20"/>
        </w:rPr>
        <w:t>Mr. Winfrey</w:t>
      </w:r>
      <w:r w:rsidR="00647ECE" w:rsidRPr="00256677">
        <w:rPr>
          <w:rFonts w:asciiTheme="majorHAnsi" w:eastAsia="Times New Roman" w:hAnsiTheme="majorHAnsi"/>
          <w:sz w:val="20"/>
          <w:szCs w:val="20"/>
        </w:rPr>
        <w:t xml:space="preserve"> </w:t>
      </w:r>
      <w:r w:rsidR="00DB4573" w:rsidRPr="00256677">
        <w:rPr>
          <w:rFonts w:asciiTheme="majorHAnsi" w:eastAsia="Times New Roman" w:hAnsiTheme="majorHAnsi"/>
          <w:sz w:val="20"/>
          <w:szCs w:val="20"/>
        </w:rPr>
        <w:t xml:space="preserve">to participate in the rape. </w:t>
      </w:r>
    </w:p>
    <w:p w14:paraId="45E43118" w14:textId="77777777" w:rsidR="0094103C" w:rsidRPr="00256677" w:rsidRDefault="0094103C" w:rsidP="0094103C">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Theme="majorHAnsi" w:eastAsia="Times New Roman" w:hAnsiTheme="majorHAnsi"/>
          <w:sz w:val="20"/>
          <w:szCs w:val="20"/>
        </w:rPr>
      </w:pPr>
    </w:p>
    <w:p w14:paraId="5E3C41F4" w14:textId="77777777" w:rsidR="0094103C" w:rsidRPr="00256677" w:rsidRDefault="0094103C" w:rsidP="0094103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rPr>
      </w:pPr>
      <w:r w:rsidRPr="00256677">
        <w:rPr>
          <w:rFonts w:asciiTheme="majorHAnsi" w:hAnsiTheme="majorHAnsi"/>
          <w:sz w:val="20"/>
          <w:szCs w:val="20"/>
        </w:rPr>
        <w:t>The petition asserts that the Missouri Supreme Court “committed several significant legal and factual errors that undermine the validity of [</w:t>
      </w:r>
      <w:r w:rsidR="0007563A" w:rsidRPr="00256677">
        <w:rPr>
          <w:rFonts w:asciiTheme="majorHAnsi" w:hAnsiTheme="majorHAnsi"/>
          <w:sz w:val="20"/>
          <w:szCs w:val="20"/>
        </w:rPr>
        <w:t>its</w:t>
      </w:r>
      <w:r w:rsidRPr="00256677">
        <w:rPr>
          <w:rFonts w:asciiTheme="majorHAnsi" w:hAnsiTheme="majorHAnsi"/>
          <w:sz w:val="20"/>
          <w:szCs w:val="20"/>
        </w:rPr>
        <w:t>] conclusion [affirming a first-degree murder conviction]</w:t>
      </w:r>
      <w:r w:rsidR="009F3B22" w:rsidRPr="00256677">
        <w:rPr>
          <w:rFonts w:asciiTheme="majorHAnsi" w:hAnsiTheme="majorHAnsi"/>
          <w:sz w:val="20"/>
          <w:szCs w:val="20"/>
        </w:rPr>
        <w:t>.</w:t>
      </w:r>
      <w:r w:rsidRPr="00256677">
        <w:rPr>
          <w:rFonts w:asciiTheme="majorHAnsi" w:hAnsiTheme="majorHAnsi"/>
          <w:sz w:val="20"/>
          <w:szCs w:val="20"/>
        </w:rPr>
        <w:t xml:space="preserve">” </w:t>
      </w:r>
      <w:r w:rsidR="00DB1DA3" w:rsidRPr="00256677">
        <w:rPr>
          <w:rFonts w:asciiTheme="majorHAnsi" w:hAnsiTheme="majorHAnsi"/>
          <w:sz w:val="20"/>
          <w:szCs w:val="20"/>
        </w:rPr>
        <w:t>The Petitioners claim that there were three crucial errors</w:t>
      </w:r>
      <w:r w:rsidR="009F3B22" w:rsidRPr="00256677">
        <w:rPr>
          <w:rFonts w:asciiTheme="majorHAnsi" w:hAnsiTheme="majorHAnsi"/>
          <w:sz w:val="20"/>
          <w:szCs w:val="20"/>
        </w:rPr>
        <w:t xml:space="preserve">. First, they allege </w:t>
      </w:r>
      <w:r w:rsidR="00DB1DA3" w:rsidRPr="00256677">
        <w:rPr>
          <w:rFonts w:asciiTheme="majorHAnsi" w:hAnsiTheme="majorHAnsi"/>
          <w:sz w:val="20"/>
          <w:szCs w:val="20"/>
        </w:rPr>
        <w:t>that the court attributed to Mr. Gray statements that he did not make</w:t>
      </w:r>
      <w:r w:rsidR="00AB09C5" w:rsidRPr="00256677">
        <w:rPr>
          <w:rFonts w:asciiTheme="majorHAnsi" w:hAnsiTheme="majorHAnsi"/>
          <w:sz w:val="20"/>
          <w:szCs w:val="20"/>
        </w:rPr>
        <w:t xml:space="preserve"> regarding</w:t>
      </w:r>
      <w:r w:rsidR="0007563A" w:rsidRPr="00256677">
        <w:rPr>
          <w:rFonts w:asciiTheme="majorHAnsi" w:hAnsiTheme="majorHAnsi"/>
          <w:sz w:val="20"/>
          <w:szCs w:val="20"/>
        </w:rPr>
        <w:t xml:space="preserve"> a</w:t>
      </w:r>
      <w:r w:rsidR="00AB09C5" w:rsidRPr="00256677">
        <w:rPr>
          <w:rFonts w:asciiTheme="majorHAnsi" w:hAnsiTheme="majorHAnsi"/>
          <w:sz w:val="20"/>
          <w:szCs w:val="20"/>
        </w:rPr>
        <w:t xml:space="preserve"> discussion about whether Mr. Cummins should be killed</w:t>
      </w:r>
      <w:r w:rsidR="009F3B22" w:rsidRPr="00256677">
        <w:rPr>
          <w:rFonts w:asciiTheme="majorHAnsi" w:hAnsiTheme="majorHAnsi"/>
          <w:sz w:val="20"/>
          <w:szCs w:val="20"/>
        </w:rPr>
        <w:t>.</w:t>
      </w:r>
      <w:r w:rsidR="00DB1DA3" w:rsidRPr="00256677">
        <w:rPr>
          <w:rFonts w:asciiTheme="majorHAnsi" w:hAnsiTheme="majorHAnsi"/>
          <w:sz w:val="20"/>
          <w:szCs w:val="20"/>
        </w:rPr>
        <w:t xml:space="preserve"> </w:t>
      </w:r>
      <w:r w:rsidR="009F3B22" w:rsidRPr="00256677">
        <w:rPr>
          <w:rFonts w:asciiTheme="majorHAnsi" w:hAnsiTheme="majorHAnsi"/>
          <w:sz w:val="20"/>
          <w:szCs w:val="20"/>
        </w:rPr>
        <w:t xml:space="preserve">Second, Petitioners claim that </w:t>
      </w:r>
      <w:r w:rsidR="00DB1DA3" w:rsidRPr="00256677">
        <w:rPr>
          <w:rFonts w:asciiTheme="majorHAnsi" w:hAnsiTheme="majorHAnsi"/>
          <w:sz w:val="20"/>
          <w:szCs w:val="20"/>
        </w:rPr>
        <w:t>the court drew impermissible inferences from Mr. Gray’s confession</w:t>
      </w:r>
      <w:r w:rsidR="00DE174A" w:rsidRPr="00256677">
        <w:rPr>
          <w:rFonts w:asciiTheme="majorHAnsi" w:hAnsiTheme="majorHAnsi"/>
          <w:sz w:val="20"/>
          <w:szCs w:val="20"/>
        </w:rPr>
        <w:t>, making specific reference to</w:t>
      </w:r>
      <w:r w:rsidR="00DB1DA3" w:rsidRPr="00256677">
        <w:rPr>
          <w:rFonts w:asciiTheme="majorHAnsi" w:hAnsiTheme="majorHAnsi"/>
          <w:sz w:val="20"/>
          <w:szCs w:val="20"/>
        </w:rPr>
        <w:t xml:space="preserve"> </w:t>
      </w:r>
      <w:r w:rsidR="00DE174A" w:rsidRPr="00256677">
        <w:rPr>
          <w:rFonts w:asciiTheme="majorHAnsi" w:hAnsiTheme="majorHAnsi"/>
          <w:sz w:val="20"/>
          <w:szCs w:val="20"/>
        </w:rPr>
        <w:t>the use of his</w:t>
      </w:r>
      <w:r w:rsidR="00DB1DA3" w:rsidRPr="00256677">
        <w:rPr>
          <w:rFonts w:asciiTheme="majorHAnsi" w:hAnsiTheme="majorHAnsi"/>
          <w:sz w:val="20"/>
          <w:szCs w:val="20"/>
        </w:rPr>
        <w:t xml:space="preserve"> statement </w:t>
      </w:r>
      <w:r w:rsidR="00DE174A" w:rsidRPr="00256677">
        <w:rPr>
          <w:rFonts w:asciiTheme="majorHAnsi" w:hAnsiTheme="majorHAnsi"/>
          <w:sz w:val="20"/>
          <w:szCs w:val="20"/>
        </w:rPr>
        <w:t>that he</w:t>
      </w:r>
      <w:r w:rsidR="00DB1DA3" w:rsidRPr="00256677">
        <w:rPr>
          <w:rFonts w:asciiTheme="majorHAnsi" w:hAnsiTheme="majorHAnsi"/>
          <w:sz w:val="20"/>
          <w:szCs w:val="20"/>
        </w:rPr>
        <w:t xml:space="preserve"> “thought that Richardson ha</w:t>
      </w:r>
      <w:r w:rsidR="000620DE" w:rsidRPr="00256677">
        <w:rPr>
          <w:rFonts w:asciiTheme="majorHAnsi" w:hAnsiTheme="majorHAnsi"/>
          <w:sz w:val="20"/>
          <w:szCs w:val="20"/>
        </w:rPr>
        <w:t>[d]</w:t>
      </w:r>
      <w:r w:rsidR="00DB1DA3" w:rsidRPr="00256677">
        <w:rPr>
          <w:rFonts w:asciiTheme="majorHAnsi" w:hAnsiTheme="majorHAnsi"/>
          <w:sz w:val="20"/>
          <w:szCs w:val="20"/>
        </w:rPr>
        <w:t xml:space="preserve"> taken [Julie Kerry] to the end of the bridge, where he could take her by the river and maybe drown her or something</w:t>
      </w:r>
      <w:r w:rsidR="0007563A" w:rsidRPr="00256677">
        <w:rPr>
          <w:rFonts w:asciiTheme="majorHAnsi" w:hAnsiTheme="majorHAnsi"/>
          <w:sz w:val="20"/>
          <w:szCs w:val="20"/>
        </w:rPr>
        <w:t>,</w:t>
      </w:r>
      <w:r w:rsidR="00DB1DA3" w:rsidRPr="00256677">
        <w:rPr>
          <w:rFonts w:asciiTheme="majorHAnsi" w:hAnsiTheme="majorHAnsi"/>
          <w:sz w:val="20"/>
          <w:szCs w:val="20"/>
        </w:rPr>
        <w:t>”</w:t>
      </w:r>
      <w:r w:rsidR="00CD57D3" w:rsidRPr="00256677">
        <w:rPr>
          <w:rStyle w:val="FootnoteReference"/>
          <w:rFonts w:asciiTheme="majorHAnsi" w:hAnsiTheme="majorHAnsi"/>
          <w:sz w:val="20"/>
          <w:szCs w:val="20"/>
        </w:rPr>
        <w:footnoteReference w:id="5"/>
      </w:r>
      <w:r w:rsidR="00DB1DA3" w:rsidRPr="00256677">
        <w:rPr>
          <w:rFonts w:asciiTheme="majorHAnsi" w:hAnsiTheme="majorHAnsi"/>
          <w:sz w:val="20"/>
          <w:szCs w:val="20"/>
        </w:rPr>
        <w:t xml:space="preserve"> as sufficient evidence to permit inference of intent</w:t>
      </w:r>
      <w:r w:rsidR="009F3B22" w:rsidRPr="00256677">
        <w:rPr>
          <w:rFonts w:asciiTheme="majorHAnsi" w:hAnsiTheme="majorHAnsi"/>
          <w:sz w:val="20"/>
          <w:szCs w:val="20"/>
        </w:rPr>
        <w:t>. Third, they argue that</w:t>
      </w:r>
      <w:r w:rsidR="00AB09C5" w:rsidRPr="00256677">
        <w:rPr>
          <w:rFonts w:asciiTheme="majorHAnsi" w:hAnsiTheme="majorHAnsi"/>
          <w:sz w:val="20"/>
          <w:szCs w:val="20"/>
        </w:rPr>
        <w:t xml:space="preserve"> the court made an incorrect statement about</w:t>
      </w:r>
      <w:r w:rsidR="009F3B22" w:rsidRPr="00256677">
        <w:rPr>
          <w:rFonts w:asciiTheme="majorHAnsi" w:hAnsiTheme="majorHAnsi"/>
          <w:sz w:val="20"/>
          <w:szCs w:val="20"/>
        </w:rPr>
        <w:t xml:space="preserve"> Mr.</w:t>
      </w:r>
      <w:r w:rsidR="00AB09C5" w:rsidRPr="00256677">
        <w:rPr>
          <w:rFonts w:asciiTheme="majorHAnsi" w:hAnsiTheme="majorHAnsi"/>
          <w:sz w:val="20"/>
          <w:szCs w:val="20"/>
        </w:rPr>
        <w:t xml:space="preserve"> Gray having a gun based on the testimony of Mr. Cummins who expressed that Mr. Gray “said he would shoot</w:t>
      </w:r>
      <w:r w:rsidR="000620DE" w:rsidRPr="00256677">
        <w:rPr>
          <w:rFonts w:asciiTheme="majorHAnsi" w:hAnsiTheme="majorHAnsi"/>
          <w:sz w:val="20"/>
          <w:szCs w:val="20"/>
        </w:rPr>
        <w:t xml:space="preserve">” him </w:t>
      </w:r>
      <w:r w:rsidR="00AB09C5" w:rsidRPr="00256677">
        <w:rPr>
          <w:rFonts w:asciiTheme="majorHAnsi" w:hAnsiTheme="majorHAnsi"/>
          <w:sz w:val="20"/>
          <w:szCs w:val="20"/>
        </w:rPr>
        <w:t xml:space="preserve">if </w:t>
      </w:r>
      <w:r w:rsidR="000620DE" w:rsidRPr="00256677">
        <w:rPr>
          <w:rFonts w:asciiTheme="majorHAnsi" w:hAnsiTheme="majorHAnsi"/>
          <w:sz w:val="20"/>
          <w:szCs w:val="20"/>
        </w:rPr>
        <w:t>he</w:t>
      </w:r>
      <w:r w:rsidR="00AB09C5" w:rsidRPr="00256677">
        <w:rPr>
          <w:rFonts w:asciiTheme="majorHAnsi" w:hAnsiTheme="majorHAnsi"/>
          <w:sz w:val="20"/>
          <w:szCs w:val="20"/>
        </w:rPr>
        <w:t xml:space="preserve"> looked up.</w:t>
      </w:r>
    </w:p>
    <w:p w14:paraId="48BB1E7C" w14:textId="77777777" w:rsidR="00E82A9C" w:rsidRPr="00256677" w:rsidRDefault="00E82A9C" w:rsidP="00E82A9C">
      <w:pPr>
        <w:pStyle w:val="ListParagraph"/>
        <w:rPr>
          <w:rFonts w:asciiTheme="majorHAnsi" w:hAnsiTheme="majorHAnsi"/>
          <w:sz w:val="20"/>
          <w:szCs w:val="20"/>
        </w:rPr>
      </w:pPr>
    </w:p>
    <w:p w14:paraId="4D8D43A7" w14:textId="77777777" w:rsidR="00582E54" w:rsidRPr="00256677" w:rsidRDefault="00E82A9C" w:rsidP="00582E5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eastAsia="Times New Roman" w:hAnsiTheme="majorHAnsi"/>
          <w:sz w:val="20"/>
          <w:szCs w:val="20"/>
        </w:rPr>
      </w:pPr>
      <w:r w:rsidRPr="00256677">
        <w:rPr>
          <w:rFonts w:asciiTheme="majorHAnsi" w:eastAsia="Times New Roman" w:hAnsiTheme="majorHAnsi"/>
          <w:sz w:val="20"/>
          <w:szCs w:val="20"/>
        </w:rPr>
        <w:t>The Petitioners submit that the Government’s response misrepresented the facts of the case; as none of the testimonies given spoke of Mr. Gray as a “ringleader” or “instigator</w:t>
      </w:r>
      <w:r w:rsidR="0007563A" w:rsidRPr="00256677">
        <w:rPr>
          <w:rFonts w:asciiTheme="majorHAnsi" w:eastAsia="Times New Roman" w:hAnsiTheme="majorHAnsi"/>
          <w:sz w:val="20"/>
          <w:szCs w:val="20"/>
        </w:rPr>
        <w:t>,</w:t>
      </w:r>
      <w:r w:rsidRPr="00256677">
        <w:rPr>
          <w:rFonts w:asciiTheme="majorHAnsi" w:eastAsia="Times New Roman" w:hAnsiTheme="majorHAnsi"/>
          <w:sz w:val="20"/>
          <w:szCs w:val="20"/>
        </w:rPr>
        <w:t>” however</w:t>
      </w:r>
      <w:r w:rsidR="00AE4B8D" w:rsidRPr="00256677">
        <w:rPr>
          <w:rFonts w:asciiTheme="majorHAnsi" w:eastAsia="Times New Roman" w:hAnsiTheme="majorHAnsi"/>
          <w:sz w:val="20"/>
          <w:szCs w:val="20"/>
        </w:rPr>
        <w:t>,</w:t>
      </w:r>
      <w:r w:rsidRPr="00256677">
        <w:rPr>
          <w:rFonts w:asciiTheme="majorHAnsi" w:eastAsia="Times New Roman" w:hAnsiTheme="majorHAnsi"/>
          <w:sz w:val="20"/>
          <w:szCs w:val="20"/>
        </w:rPr>
        <w:t xml:space="preserve"> this was the argument submitted to convict Mr. Gray of murder. On this argument, the Petitioners refer to the lead prosecutor’s submissions during the determination of guilt at trial, which tried to persuade the jury that Mr. Gray was the ringleader.</w:t>
      </w:r>
      <w:r w:rsidR="005E7CF8" w:rsidRPr="00256677">
        <w:rPr>
          <w:rFonts w:asciiTheme="majorHAnsi" w:eastAsia="Times New Roman" w:hAnsiTheme="majorHAnsi"/>
          <w:sz w:val="20"/>
          <w:szCs w:val="20"/>
        </w:rPr>
        <w:t xml:space="preserve"> With regards to the discussion on the killing of Mr. Cummins, t</w:t>
      </w:r>
      <w:r w:rsidR="00582E54" w:rsidRPr="00256677">
        <w:rPr>
          <w:rFonts w:asciiTheme="majorHAnsi" w:eastAsia="Times New Roman" w:hAnsiTheme="majorHAnsi"/>
          <w:sz w:val="20"/>
          <w:szCs w:val="20"/>
        </w:rPr>
        <w:t xml:space="preserve">he Petitioners assert however that </w:t>
      </w:r>
      <w:r w:rsidR="00582E54" w:rsidRPr="00256677">
        <w:rPr>
          <w:rFonts w:asciiTheme="majorHAnsi" w:hAnsiTheme="majorHAnsi"/>
          <w:sz w:val="20"/>
          <w:szCs w:val="20"/>
        </w:rPr>
        <w:t xml:space="preserve">the testimony of Mr. Cummins expressed that he, Mr. Cummins, was not able to identify the people who discussed whether </w:t>
      </w:r>
      <w:r w:rsidR="00582E54" w:rsidRPr="00256677">
        <w:rPr>
          <w:rFonts w:asciiTheme="majorHAnsi" w:hAnsiTheme="majorHAnsi"/>
          <w:sz w:val="20"/>
          <w:szCs w:val="20"/>
        </w:rPr>
        <w:lastRenderedPageBreak/>
        <w:t>he should be killed as his coat was pulled over his head</w:t>
      </w:r>
      <w:r w:rsidR="00AC6A4A" w:rsidRPr="00256677">
        <w:rPr>
          <w:rFonts w:asciiTheme="majorHAnsi" w:hAnsiTheme="majorHAnsi"/>
          <w:sz w:val="20"/>
          <w:szCs w:val="20"/>
        </w:rPr>
        <w:t>. R</w:t>
      </w:r>
      <w:r w:rsidR="00582E54" w:rsidRPr="00256677">
        <w:rPr>
          <w:rFonts w:asciiTheme="majorHAnsi" w:eastAsia="Times New Roman" w:hAnsiTheme="majorHAnsi"/>
          <w:sz w:val="20"/>
          <w:szCs w:val="20"/>
        </w:rPr>
        <w:t>egarding Mr. Gray</w:t>
      </w:r>
      <w:r w:rsidR="00BE59EF" w:rsidRPr="00256677">
        <w:rPr>
          <w:rFonts w:asciiTheme="majorHAnsi" w:eastAsia="Times New Roman" w:hAnsiTheme="majorHAnsi"/>
          <w:sz w:val="20"/>
          <w:szCs w:val="20"/>
        </w:rPr>
        <w:t>’</w:t>
      </w:r>
      <w:r w:rsidR="00582E54" w:rsidRPr="00256677">
        <w:rPr>
          <w:rFonts w:asciiTheme="majorHAnsi" w:eastAsia="Times New Roman" w:hAnsiTheme="majorHAnsi"/>
          <w:sz w:val="20"/>
          <w:szCs w:val="20"/>
        </w:rPr>
        <w:t xml:space="preserve">s confession statement, </w:t>
      </w:r>
      <w:r w:rsidR="00AC6A4A" w:rsidRPr="00256677">
        <w:rPr>
          <w:rFonts w:asciiTheme="majorHAnsi" w:eastAsia="Times New Roman" w:hAnsiTheme="majorHAnsi"/>
          <w:sz w:val="20"/>
          <w:szCs w:val="20"/>
        </w:rPr>
        <w:t xml:space="preserve">the Petitioners claim </w:t>
      </w:r>
      <w:r w:rsidR="00582E54" w:rsidRPr="00256677">
        <w:rPr>
          <w:rFonts w:asciiTheme="majorHAnsi" w:eastAsia="Times New Roman" w:hAnsiTheme="majorHAnsi"/>
          <w:sz w:val="20"/>
          <w:szCs w:val="20"/>
        </w:rPr>
        <w:t xml:space="preserve">that the inference that should </w:t>
      </w:r>
      <w:r w:rsidR="00AC6A4A" w:rsidRPr="00256677">
        <w:rPr>
          <w:rFonts w:asciiTheme="majorHAnsi" w:eastAsia="Times New Roman" w:hAnsiTheme="majorHAnsi"/>
          <w:sz w:val="20"/>
          <w:szCs w:val="20"/>
        </w:rPr>
        <w:t xml:space="preserve">have </w:t>
      </w:r>
      <w:r w:rsidR="00582E54" w:rsidRPr="00256677">
        <w:rPr>
          <w:rFonts w:asciiTheme="majorHAnsi" w:eastAsia="Times New Roman" w:hAnsiTheme="majorHAnsi"/>
          <w:sz w:val="20"/>
          <w:szCs w:val="20"/>
        </w:rPr>
        <w:t>follow</w:t>
      </w:r>
      <w:r w:rsidR="00AC6A4A" w:rsidRPr="00256677">
        <w:rPr>
          <w:rFonts w:asciiTheme="majorHAnsi" w:eastAsia="Times New Roman" w:hAnsiTheme="majorHAnsi"/>
          <w:sz w:val="20"/>
          <w:szCs w:val="20"/>
        </w:rPr>
        <w:t>ed</w:t>
      </w:r>
      <w:r w:rsidR="00582E54" w:rsidRPr="00256677">
        <w:rPr>
          <w:rFonts w:asciiTheme="majorHAnsi" w:eastAsia="Times New Roman" w:hAnsiTheme="majorHAnsi"/>
          <w:sz w:val="20"/>
          <w:szCs w:val="20"/>
        </w:rPr>
        <w:t xml:space="preserve"> is that Mr. Gra</w:t>
      </w:r>
      <w:r w:rsidR="005E7CF8" w:rsidRPr="00256677">
        <w:rPr>
          <w:rFonts w:asciiTheme="majorHAnsi" w:eastAsia="Times New Roman" w:hAnsiTheme="majorHAnsi"/>
          <w:sz w:val="20"/>
          <w:szCs w:val="20"/>
        </w:rPr>
        <w:t xml:space="preserve">y did not know where or how </w:t>
      </w:r>
      <w:r w:rsidR="00582E54" w:rsidRPr="00256677">
        <w:rPr>
          <w:rFonts w:asciiTheme="majorHAnsi" w:eastAsia="Times New Roman" w:hAnsiTheme="majorHAnsi"/>
          <w:sz w:val="20"/>
          <w:szCs w:val="20"/>
        </w:rPr>
        <w:t xml:space="preserve">Mr. Clemons and Mr. Richardson intended to kill the Kerry sisters and lastly, there was no other evidence apart from the testimony of Mr. Cummins on Mr. Gray’s threatening statement, to support that Mr. Gray had a gun. </w:t>
      </w:r>
    </w:p>
    <w:p w14:paraId="3F6937E2" w14:textId="77777777" w:rsidR="003C1E38" w:rsidRPr="00256677" w:rsidRDefault="003C1E38" w:rsidP="00366FA7">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Theme="majorHAnsi" w:hAnsiTheme="majorHAnsi"/>
          <w:sz w:val="20"/>
          <w:szCs w:val="20"/>
        </w:rPr>
      </w:pPr>
    </w:p>
    <w:p w14:paraId="4291A740" w14:textId="77777777" w:rsidR="0024722E" w:rsidRPr="00256677" w:rsidRDefault="0024722E" w:rsidP="0024722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rPr>
      </w:pPr>
      <w:r w:rsidRPr="00256677">
        <w:rPr>
          <w:rFonts w:asciiTheme="majorHAnsi" w:eastAsia="Calibri" w:hAnsiTheme="majorHAnsi" w:cs="Calibri"/>
          <w:sz w:val="20"/>
          <w:szCs w:val="20"/>
        </w:rPr>
        <w:t>T</w:t>
      </w:r>
      <w:r w:rsidRPr="00256677">
        <w:rPr>
          <w:rFonts w:asciiTheme="majorHAnsi" w:eastAsia="Times New Roman" w:hAnsiTheme="majorHAnsi"/>
          <w:sz w:val="20"/>
          <w:szCs w:val="20"/>
        </w:rPr>
        <w:t>he Petitioners claim that</w:t>
      </w:r>
      <w:r w:rsidR="00BE59EF" w:rsidRPr="00256677">
        <w:rPr>
          <w:rFonts w:asciiTheme="majorHAnsi" w:eastAsia="Times New Roman" w:hAnsiTheme="majorHAnsi"/>
          <w:sz w:val="20"/>
          <w:szCs w:val="20"/>
        </w:rPr>
        <w:t>,</w:t>
      </w:r>
      <w:r w:rsidRPr="00256677">
        <w:rPr>
          <w:rFonts w:asciiTheme="majorHAnsi" w:eastAsia="Times New Roman" w:hAnsiTheme="majorHAnsi"/>
          <w:sz w:val="20"/>
          <w:szCs w:val="20"/>
        </w:rPr>
        <w:t xml:space="preserve"> by applying the death penalty to an individual who did not personally kill anyone, and did not request or instruct others to commit murder, the State has then failed to restrict application of the death penalty to crimes of “exceptional gravity</w:t>
      </w:r>
      <w:r w:rsidR="008054CB" w:rsidRPr="00256677">
        <w:rPr>
          <w:rFonts w:asciiTheme="majorHAnsi" w:eastAsia="Times New Roman" w:hAnsiTheme="majorHAnsi"/>
          <w:sz w:val="20"/>
          <w:szCs w:val="20"/>
        </w:rPr>
        <w:t>,</w:t>
      </w:r>
      <w:r w:rsidRPr="00256677">
        <w:rPr>
          <w:rFonts w:asciiTheme="majorHAnsi" w:eastAsia="Times New Roman" w:hAnsiTheme="majorHAnsi"/>
          <w:sz w:val="20"/>
          <w:szCs w:val="20"/>
        </w:rPr>
        <w:t>” and that subjecting Mr. Gray to capital punishment would violate the prohibition against arbitrary deprivation of life.</w:t>
      </w:r>
      <w:r w:rsidRPr="00256677">
        <w:rPr>
          <w:rFonts w:asciiTheme="majorHAnsi" w:eastAsia="Cambria" w:hAnsiTheme="majorHAnsi" w:cs="Cambria"/>
          <w:sz w:val="20"/>
          <w:szCs w:val="20"/>
        </w:rPr>
        <w:t xml:space="preserve"> </w:t>
      </w:r>
      <w:r w:rsidR="008054CB" w:rsidRPr="00256677">
        <w:rPr>
          <w:rFonts w:asciiTheme="majorHAnsi" w:eastAsia="Times New Roman" w:hAnsiTheme="majorHAnsi"/>
          <w:sz w:val="20"/>
          <w:szCs w:val="20"/>
        </w:rPr>
        <w:t>T</w:t>
      </w:r>
      <w:r w:rsidRPr="00256677">
        <w:rPr>
          <w:rFonts w:asciiTheme="majorHAnsi" w:eastAsia="Times New Roman" w:hAnsiTheme="majorHAnsi"/>
          <w:sz w:val="20"/>
          <w:szCs w:val="20"/>
        </w:rPr>
        <w:t>he Petitioners argue that the individual circumstances of Mr. Gray and his crime do not satisfy the requirements of a crime of exceptional gravity essentially due to the insufficient nexus between Mr. Gray and the crimes for which he has been convicted and sentenced, and that he has been unable to obtain a judicial remedy within the United States for his circumstances.</w:t>
      </w:r>
      <w:r w:rsidR="008D3FC2" w:rsidRPr="00256677">
        <w:rPr>
          <w:rFonts w:asciiTheme="majorHAnsi" w:eastAsia="Times New Roman" w:hAnsiTheme="majorHAnsi"/>
          <w:sz w:val="20"/>
          <w:szCs w:val="20"/>
        </w:rPr>
        <w:t xml:space="preserve"> </w:t>
      </w:r>
    </w:p>
    <w:p w14:paraId="68CA2D65" w14:textId="77777777" w:rsidR="00460C26" w:rsidRPr="00256677" w:rsidRDefault="00460C26" w:rsidP="00460C2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Theme="majorHAnsi" w:eastAsia="Times New Roman" w:hAnsiTheme="majorHAnsi"/>
          <w:sz w:val="20"/>
          <w:szCs w:val="20"/>
        </w:rPr>
      </w:pPr>
    </w:p>
    <w:p w14:paraId="2F3C7228" w14:textId="77777777" w:rsidR="00460C26" w:rsidRPr="00256677" w:rsidRDefault="00460C26" w:rsidP="001A022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eastAsia="Times New Roman" w:hAnsiTheme="majorHAnsi"/>
          <w:sz w:val="20"/>
          <w:szCs w:val="20"/>
        </w:rPr>
      </w:pPr>
      <w:r w:rsidRPr="00256677">
        <w:rPr>
          <w:rFonts w:asciiTheme="majorHAnsi" w:eastAsia="Times New Roman" w:hAnsiTheme="majorHAnsi"/>
          <w:sz w:val="20"/>
          <w:szCs w:val="20"/>
        </w:rPr>
        <w:t>The Petitioners further submit that the standard for what constitutes a crime of exceptional gravity under international law is different from the standard for what constitutes first-degree murder under Missouri law. It is claimed that under international law there is a determination which requires an evaluation of individual moral culpability; however with Missouri law, this determination hinges on whether the defendant made a decision to kill “after deliberation upon the matter</w:t>
      </w:r>
      <w:r w:rsidR="008054CB" w:rsidRPr="00256677">
        <w:rPr>
          <w:rFonts w:asciiTheme="majorHAnsi" w:eastAsia="Times New Roman" w:hAnsiTheme="majorHAnsi"/>
          <w:sz w:val="20"/>
          <w:szCs w:val="20"/>
        </w:rPr>
        <w:t>,</w:t>
      </w:r>
      <w:r w:rsidRPr="00256677">
        <w:rPr>
          <w:rFonts w:asciiTheme="majorHAnsi" w:eastAsia="Times New Roman" w:hAnsiTheme="majorHAnsi"/>
          <w:sz w:val="20"/>
          <w:szCs w:val="20"/>
        </w:rPr>
        <w:t>”</w:t>
      </w:r>
      <w:r w:rsidRPr="00256677">
        <w:rPr>
          <w:rStyle w:val="FootnoteReference"/>
          <w:rFonts w:asciiTheme="majorHAnsi" w:eastAsia="Times New Roman" w:hAnsiTheme="majorHAnsi"/>
          <w:sz w:val="20"/>
          <w:szCs w:val="20"/>
        </w:rPr>
        <w:footnoteReference w:id="6"/>
      </w:r>
      <w:r w:rsidRPr="00256677">
        <w:rPr>
          <w:rFonts w:asciiTheme="majorHAnsi" w:eastAsia="Times New Roman" w:hAnsiTheme="majorHAnsi"/>
          <w:sz w:val="20"/>
          <w:szCs w:val="20"/>
        </w:rPr>
        <w:t xml:space="preserve"> and not necessarily with the type of individual culpability required for crimes of exceptional gravity. </w:t>
      </w:r>
    </w:p>
    <w:p w14:paraId="3CF422AD" w14:textId="77777777" w:rsidR="000A0445" w:rsidRPr="00256677" w:rsidRDefault="000A0445" w:rsidP="009D0D81">
      <w:pPr>
        <w:tabs>
          <w:tab w:val="left" w:pos="360"/>
        </w:tabs>
        <w:rPr>
          <w:rFonts w:asciiTheme="majorHAnsi" w:eastAsia="Times New Roman" w:hAnsiTheme="majorHAnsi"/>
          <w:sz w:val="20"/>
          <w:szCs w:val="20"/>
        </w:rPr>
      </w:pPr>
    </w:p>
    <w:p w14:paraId="7CE31EE3" w14:textId="77777777" w:rsidR="0094103C" w:rsidRPr="00256677" w:rsidRDefault="008054CB" w:rsidP="0094103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rPr>
      </w:pPr>
      <w:r w:rsidRPr="00256677">
        <w:rPr>
          <w:rFonts w:asciiTheme="majorHAnsi" w:eastAsia="Times New Roman" w:hAnsiTheme="majorHAnsi"/>
          <w:sz w:val="20"/>
          <w:szCs w:val="20"/>
        </w:rPr>
        <w:t>Finally, t</w:t>
      </w:r>
      <w:r w:rsidR="00427487" w:rsidRPr="00256677">
        <w:rPr>
          <w:rFonts w:asciiTheme="majorHAnsi" w:eastAsia="Times New Roman" w:hAnsiTheme="majorHAnsi"/>
          <w:sz w:val="20"/>
          <w:szCs w:val="20"/>
        </w:rPr>
        <w:t>he Petitioners claim that although the US Supreme Court has traditionally embraced the principle that capital punishment should be reserved for crimes of exceptional gravity, jurisprudence from the Court has permitted the application of the death penalty to individuals who neither took life, attempted to take life, nor intended to take life.  The Petitioners therefore argue that prevailing US jurisprudence is inconsistent with the requirements under the American Declaration and has prevented Mr. Gray from obtaining a judicial remedy despite several attempts to do so.  </w:t>
      </w:r>
    </w:p>
    <w:p w14:paraId="3024D4B7" w14:textId="77777777" w:rsidR="00427487" w:rsidRPr="00256677" w:rsidRDefault="0094103C" w:rsidP="0094103C">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Theme="majorHAnsi" w:hAnsiTheme="majorHAnsi"/>
          <w:sz w:val="20"/>
          <w:szCs w:val="20"/>
        </w:rPr>
      </w:pPr>
      <w:r w:rsidRPr="00256677">
        <w:rPr>
          <w:rFonts w:asciiTheme="majorHAnsi" w:hAnsiTheme="majorHAnsi"/>
          <w:sz w:val="20"/>
          <w:szCs w:val="20"/>
        </w:rPr>
        <w:t xml:space="preserve"> </w:t>
      </w:r>
    </w:p>
    <w:p w14:paraId="100139D7" w14:textId="77777777" w:rsidR="001C4006" w:rsidRPr="00256677" w:rsidRDefault="001C4006" w:rsidP="009D0D81">
      <w:pPr>
        <w:pStyle w:val="Heading2"/>
        <w:numPr>
          <w:ilvl w:val="0"/>
          <w:numId w:val="58"/>
        </w:numPr>
        <w:spacing w:before="0"/>
        <w:ind w:left="360"/>
        <w:rPr>
          <w:color w:val="auto"/>
          <w:sz w:val="20"/>
          <w:szCs w:val="20"/>
        </w:rPr>
      </w:pPr>
      <w:bookmarkStart w:id="3" w:name="_Toc90284135"/>
      <w:r w:rsidRPr="00256677">
        <w:rPr>
          <w:color w:val="auto"/>
          <w:sz w:val="20"/>
          <w:szCs w:val="20"/>
        </w:rPr>
        <w:t>S</w:t>
      </w:r>
      <w:r w:rsidR="00262ECA" w:rsidRPr="00256677">
        <w:rPr>
          <w:color w:val="auto"/>
          <w:sz w:val="20"/>
          <w:szCs w:val="20"/>
        </w:rPr>
        <w:t>tate</w:t>
      </w:r>
      <w:bookmarkEnd w:id="3"/>
    </w:p>
    <w:p w14:paraId="1A1499EA" w14:textId="77777777" w:rsidR="00B945B3" w:rsidRPr="00256677" w:rsidRDefault="00B945B3" w:rsidP="00B945B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14:paraId="23617150" w14:textId="77777777" w:rsidR="009D0D81" w:rsidRPr="00256677" w:rsidRDefault="009D0D81" w:rsidP="009D0D8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eastAsia="Times New Roman" w:hAnsiTheme="majorHAnsi"/>
          <w:sz w:val="20"/>
          <w:szCs w:val="20"/>
        </w:rPr>
      </w:pPr>
      <w:r w:rsidRPr="00256677">
        <w:rPr>
          <w:rFonts w:asciiTheme="majorHAnsi" w:eastAsia="Times New Roman" w:hAnsiTheme="majorHAnsi"/>
          <w:sz w:val="20"/>
          <w:szCs w:val="20"/>
        </w:rPr>
        <w:t xml:space="preserve">In its response to the Petitioner’s observations on the merits, the State </w:t>
      </w:r>
      <w:r w:rsidR="00C94B6D" w:rsidRPr="00256677">
        <w:rPr>
          <w:rFonts w:asciiTheme="majorHAnsi" w:eastAsia="Times New Roman" w:hAnsiTheme="majorHAnsi"/>
          <w:sz w:val="20"/>
          <w:szCs w:val="20"/>
        </w:rPr>
        <w:t>reiterated its stance within</w:t>
      </w:r>
      <w:r w:rsidRPr="00256677">
        <w:rPr>
          <w:rFonts w:asciiTheme="majorHAnsi" w:eastAsia="Times New Roman" w:hAnsiTheme="majorHAnsi"/>
          <w:sz w:val="20"/>
          <w:szCs w:val="20"/>
        </w:rPr>
        <w:t xml:space="preserve"> its submission filed during the admissibility stage</w:t>
      </w:r>
      <w:r w:rsidR="00B27C65" w:rsidRPr="00256677">
        <w:rPr>
          <w:rFonts w:asciiTheme="majorHAnsi" w:eastAsia="Times New Roman" w:hAnsiTheme="majorHAnsi"/>
          <w:sz w:val="20"/>
          <w:szCs w:val="20"/>
        </w:rPr>
        <w:t>.</w:t>
      </w:r>
      <w:r w:rsidRPr="00256677">
        <w:rPr>
          <w:rFonts w:asciiTheme="majorHAnsi" w:eastAsia="Times New Roman" w:hAnsiTheme="majorHAnsi"/>
          <w:sz w:val="20"/>
          <w:szCs w:val="20"/>
        </w:rPr>
        <w:t xml:space="preserve"> This section </w:t>
      </w:r>
      <w:r w:rsidR="00C94B6D" w:rsidRPr="00256677">
        <w:rPr>
          <w:rFonts w:asciiTheme="majorHAnsi" w:eastAsia="Times New Roman" w:hAnsiTheme="majorHAnsi"/>
          <w:sz w:val="20"/>
          <w:szCs w:val="20"/>
        </w:rPr>
        <w:t xml:space="preserve">is thus based on arguments within the State observations that refer to those made </w:t>
      </w:r>
      <w:r w:rsidRPr="00256677">
        <w:rPr>
          <w:rFonts w:asciiTheme="majorHAnsi" w:eastAsia="Times New Roman" w:hAnsiTheme="majorHAnsi"/>
          <w:sz w:val="20"/>
          <w:szCs w:val="20"/>
        </w:rPr>
        <w:t>during the admissibility stage related to the merits.</w:t>
      </w:r>
    </w:p>
    <w:p w14:paraId="6C44D297" w14:textId="77777777" w:rsidR="009D0D81" w:rsidRPr="00256677" w:rsidRDefault="009D0D81" w:rsidP="009D0D8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14:paraId="274FE477" w14:textId="77777777" w:rsidR="007070DC" w:rsidRPr="00256677" w:rsidRDefault="005C6EDD" w:rsidP="007070D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rPr>
      </w:pPr>
      <w:r w:rsidRPr="00256677">
        <w:rPr>
          <w:rFonts w:asciiTheme="majorHAnsi" w:eastAsia="Times New Roman" w:hAnsiTheme="majorHAnsi"/>
          <w:sz w:val="20"/>
          <w:szCs w:val="20"/>
        </w:rPr>
        <w:t xml:space="preserve">The State argues that both the state and federal courts had reviewed and affirmed Mr. Gray’s conviction and sentence pursuant to due process of law, and their findings legally and factually support the first-degree murder conviction and sentence of death. </w:t>
      </w:r>
      <w:r w:rsidR="00427C8F" w:rsidRPr="00256677">
        <w:rPr>
          <w:rFonts w:asciiTheme="majorHAnsi" w:eastAsia="Times New Roman" w:hAnsiTheme="majorHAnsi"/>
          <w:sz w:val="20"/>
          <w:szCs w:val="20"/>
        </w:rPr>
        <w:t>With regards to the P</w:t>
      </w:r>
      <w:r w:rsidR="007070DC" w:rsidRPr="00256677">
        <w:rPr>
          <w:rFonts w:asciiTheme="majorHAnsi" w:eastAsia="Times New Roman" w:hAnsiTheme="majorHAnsi"/>
          <w:sz w:val="20"/>
          <w:szCs w:val="20"/>
        </w:rPr>
        <w:t xml:space="preserve">etitioner’s assertions that the Missouri Supreme Court committed several significant legal and factual errors that undermine the validity of its conclusion in affirming a first-degree murder conviction; the State explains that Mr. Gray bore the burden of rebutting by clear and convincing evidence the presumption of correctness of any state court’s factual determination; and Mr. Gray in the circumstances did not meet his burden of demonstrating any significant factual inaccuracies. </w:t>
      </w:r>
    </w:p>
    <w:p w14:paraId="3EFC7B94" w14:textId="77777777" w:rsidR="007070DC" w:rsidRPr="00256677" w:rsidRDefault="007070DC" w:rsidP="007070DC">
      <w:pPr>
        <w:pStyle w:val="ListParagraph"/>
        <w:rPr>
          <w:rFonts w:asciiTheme="majorHAnsi" w:eastAsia="Times New Roman" w:hAnsiTheme="majorHAnsi"/>
          <w:sz w:val="20"/>
          <w:szCs w:val="20"/>
        </w:rPr>
      </w:pPr>
    </w:p>
    <w:p w14:paraId="771DA824" w14:textId="77777777" w:rsidR="005C6EDD" w:rsidRPr="00256677" w:rsidRDefault="005C6EDD" w:rsidP="007070D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rPr>
      </w:pPr>
      <w:r w:rsidRPr="00256677">
        <w:rPr>
          <w:rFonts w:asciiTheme="majorHAnsi" w:eastAsia="Times New Roman" w:hAnsiTheme="majorHAnsi"/>
          <w:sz w:val="20"/>
          <w:szCs w:val="20"/>
        </w:rPr>
        <w:t xml:space="preserve">With regards to the claim that there was not sufficient evidence to convict of first-degree murder because Mr. Gray did not have the requisite intent to kill, the State relies on </w:t>
      </w:r>
      <w:r w:rsidR="007070DC" w:rsidRPr="00256677">
        <w:rPr>
          <w:rFonts w:asciiTheme="majorHAnsi" w:eastAsia="Times New Roman" w:hAnsiTheme="majorHAnsi"/>
          <w:sz w:val="20"/>
          <w:szCs w:val="20"/>
        </w:rPr>
        <w:t>observations by the Missouri Supreme Court, which noted Mr. Gray’s “role as a leader and enforcer in the group”</w:t>
      </w:r>
      <w:r w:rsidR="007070DC" w:rsidRPr="00256677">
        <w:rPr>
          <w:rStyle w:val="FootnoteReference"/>
          <w:rFonts w:asciiTheme="majorHAnsi" w:eastAsia="Times New Roman" w:hAnsiTheme="majorHAnsi"/>
          <w:sz w:val="20"/>
          <w:szCs w:val="20"/>
        </w:rPr>
        <w:footnoteReference w:id="7"/>
      </w:r>
      <w:r w:rsidR="007070DC" w:rsidRPr="00256677">
        <w:rPr>
          <w:rFonts w:asciiTheme="majorHAnsi" w:eastAsia="Times New Roman" w:hAnsiTheme="majorHAnsi"/>
          <w:sz w:val="20"/>
          <w:szCs w:val="20"/>
        </w:rPr>
        <w:t xml:space="preserve"> which permitted an inference of deliberation as required for first-degree murder. </w:t>
      </w:r>
      <w:r w:rsidR="007070DC" w:rsidRPr="00256677">
        <w:rPr>
          <w:rFonts w:asciiTheme="majorHAnsi" w:hAnsiTheme="majorHAnsi"/>
          <w:sz w:val="20"/>
          <w:szCs w:val="20"/>
        </w:rPr>
        <w:t xml:space="preserve">The State also relies on </w:t>
      </w:r>
      <w:r w:rsidRPr="00256677">
        <w:rPr>
          <w:rFonts w:asciiTheme="majorHAnsi" w:eastAsia="Times New Roman" w:hAnsiTheme="majorHAnsi"/>
          <w:sz w:val="20"/>
          <w:szCs w:val="20"/>
        </w:rPr>
        <w:t>the ruling of the Eight Circuit Court which expressed that there “is ample evidence here of participation and deliberation to justify a verdict of guilty on charges of first-degree murder”</w:t>
      </w:r>
      <w:r w:rsidRPr="00256677">
        <w:rPr>
          <w:rStyle w:val="FootnoteReference"/>
          <w:rFonts w:asciiTheme="majorHAnsi" w:eastAsia="Times New Roman" w:hAnsiTheme="majorHAnsi"/>
          <w:sz w:val="20"/>
          <w:szCs w:val="20"/>
        </w:rPr>
        <w:footnoteReference w:id="8"/>
      </w:r>
      <w:r w:rsidRPr="00256677">
        <w:rPr>
          <w:rFonts w:asciiTheme="majorHAnsi" w:eastAsia="Times New Roman" w:hAnsiTheme="majorHAnsi"/>
          <w:sz w:val="20"/>
          <w:szCs w:val="20"/>
        </w:rPr>
        <w:t xml:space="preserve"> which was a reference of Gray v Bowersox, 281 F.3d at 753. </w:t>
      </w:r>
      <w:r w:rsidR="007070DC" w:rsidRPr="00256677">
        <w:rPr>
          <w:rFonts w:asciiTheme="majorHAnsi" w:eastAsia="Times New Roman" w:hAnsiTheme="majorHAnsi"/>
          <w:sz w:val="20"/>
          <w:szCs w:val="20"/>
        </w:rPr>
        <w:t>Further reliance was made to Missouri law whereby “cool reflection for any length of time no matter how brief” constitutes the requisite deliberation to justify a verdict of guilty on charges of first-degree murder.</w:t>
      </w:r>
    </w:p>
    <w:p w14:paraId="47C862F1" w14:textId="77777777" w:rsidR="005C6EDD" w:rsidRPr="00256677" w:rsidRDefault="005C6EDD" w:rsidP="005C6EDD">
      <w:pPr>
        <w:pStyle w:val="ListParagraph"/>
        <w:rPr>
          <w:rFonts w:asciiTheme="majorHAnsi" w:eastAsia="Times New Roman" w:hAnsiTheme="majorHAnsi"/>
          <w:sz w:val="20"/>
          <w:szCs w:val="20"/>
        </w:rPr>
      </w:pPr>
    </w:p>
    <w:p w14:paraId="6D8886BF" w14:textId="77777777" w:rsidR="00273645" w:rsidRPr="00256677" w:rsidRDefault="00B945B3" w:rsidP="009D0D8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rPr>
      </w:pPr>
      <w:r w:rsidRPr="00256677">
        <w:rPr>
          <w:rFonts w:asciiTheme="majorHAnsi" w:eastAsia="Times New Roman" w:hAnsiTheme="majorHAnsi"/>
          <w:sz w:val="20"/>
          <w:szCs w:val="20"/>
        </w:rPr>
        <w:lastRenderedPageBreak/>
        <w:t xml:space="preserve">The State </w:t>
      </w:r>
      <w:r w:rsidR="00A27941" w:rsidRPr="00256677">
        <w:rPr>
          <w:rFonts w:asciiTheme="majorHAnsi" w:eastAsia="Times New Roman" w:hAnsiTheme="majorHAnsi"/>
          <w:sz w:val="20"/>
          <w:szCs w:val="20"/>
        </w:rPr>
        <w:t xml:space="preserve">affirms that a duly constituted jury imposed a sentence of death for the conviction, finding six statutory aggravating circumstances in each count of murder as a basis for considering capital punishment. It further </w:t>
      </w:r>
      <w:r w:rsidRPr="00256677">
        <w:rPr>
          <w:rFonts w:asciiTheme="majorHAnsi" w:eastAsia="Times New Roman" w:hAnsiTheme="majorHAnsi"/>
          <w:sz w:val="20"/>
          <w:szCs w:val="20"/>
        </w:rPr>
        <w:t>argues that the U.S. courts properly considered the individual circumstances of Mr. Gray’s crime</w:t>
      </w:r>
      <w:r w:rsidR="004641C1" w:rsidRPr="00256677">
        <w:rPr>
          <w:rFonts w:asciiTheme="majorHAnsi" w:eastAsia="Times New Roman" w:hAnsiTheme="majorHAnsi"/>
          <w:sz w:val="20"/>
          <w:szCs w:val="20"/>
        </w:rPr>
        <w:t>, and his sentence</w:t>
      </w:r>
      <w:r w:rsidR="00BC5C8F" w:rsidRPr="00256677">
        <w:rPr>
          <w:rFonts w:asciiTheme="majorHAnsi" w:eastAsia="Times New Roman" w:hAnsiTheme="majorHAnsi"/>
          <w:sz w:val="20"/>
          <w:szCs w:val="20"/>
        </w:rPr>
        <w:t xml:space="preserve"> </w:t>
      </w:r>
      <w:r w:rsidRPr="00256677">
        <w:rPr>
          <w:rFonts w:asciiTheme="majorHAnsi" w:eastAsia="Times New Roman" w:hAnsiTheme="majorHAnsi"/>
          <w:sz w:val="20"/>
          <w:szCs w:val="20"/>
        </w:rPr>
        <w:t>is not arbitrary and was imposed in accordance with full due process protections. In particular, the State contends that the U.S. Courts have reviewed the issue of the gravity of Mr. Gray’s crime extensively, and their findings</w:t>
      </w:r>
      <w:r w:rsidR="003D5176" w:rsidRPr="00256677">
        <w:rPr>
          <w:rFonts w:asciiTheme="majorHAnsi" w:eastAsia="Times New Roman" w:hAnsiTheme="majorHAnsi"/>
          <w:sz w:val="20"/>
          <w:szCs w:val="20"/>
        </w:rPr>
        <w:t xml:space="preserve"> legally and factually support the sentence of death</w:t>
      </w:r>
      <w:r w:rsidRPr="00256677">
        <w:rPr>
          <w:rFonts w:asciiTheme="majorHAnsi" w:eastAsia="Times New Roman" w:hAnsiTheme="majorHAnsi"/>
          <w:sz w:val="20"/>
          <w:szCs w:val="20"/>
        </w:rPr>
        <w:t xml:space="preserve">.  </w:t>
      </w:r>
    </w:p>
    <w:p w14:paraId="29A64D5E" w14:textId="77777777" w:rsidR="00006F2E" w:rsidRPr="00256677" w:rsidRDefault="00006F2E" w:rsidP="00006F2E">
      <w:pPr>
        <w:pStyle w:val="ListParagraph"/>
        <w:rPr>
          <w:rFonts w:asciiTheme="majorHAnsi" w:hAnsiTheme="majorHAnsi"/>
          <w:sz w:val="20"/>
          <w:szCs w:val="20"/>
        </w:rPr>
      </w:pPr>
    </w:p>
    <w:p w14:paraId="6BF2CBEA" w14:textId="77777777" w:rsidR="00006F2E" w:rsidRPr="00256677" w:rsidRDefault="00006F2E" w:rsidP="009D0D8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rPr>
      </w:pPr>
      <w:r w:rsidRPr="00256677">
        <w:rPr>
          <w:rFonts w:asciiTheme="majorHAnsi" w:hAnsiTheme="majorHAnsi"/>
          <w:sz w:val="20"/>
          <w:szCs w:val="20"/>
        </w:rPr>
        <w:t xml:space="preserve">With regard to the submission by the Petitioners that Mr. Gray did not commit a crime of “exceptional gravity” under international law, the State reiterated that the U.S. courts had reviewed the issue of gravity of Mr. Gray’s crime extensively, and that their findings legally and factually support a sentence of death. </w:t>
      </w:r>
      <w:r w:rsidR="0054316E" w:rsidRPr="00256677">
        <w:rPr>
          <w:rFonts w:asciiTheme="majorHAnsi" w:hAnsiTheme="majorHAnsi"/>
          <w:sz w:val="20"/>
          <w:szCs w:val="20"/>
        </w:rPr>
        <w:t>The State disputes the submission claiming that the evidence presented amply supported Mr. Gray’s conviction as an accomplice to first-degree murder, as defined under Missouri law. The State refers specifically to Missouri law under which the courts are guided, which states that:</w:t>
      </w:r>
      <w:r w:rsidR="00C92214" w:rsidRPr="00256677">
        <w:rPr>
          <w:rStyle w:val="FootnoteReference"/>
          <w:rFonts w:asciiTheme="majorHAnsi" w:hAnsiTheme="majorHAnsi"/>
          <w:sz w:val="20"/>
          <w:szCs w:val="20"/>
        </w:rPr>
        <w:footnoteReference w:id="9"/>
      </w:r>
    </w:p>
    <w:p w14:paraId="5C85B5C2" w14:textId="77777777" w:rsidR="0054316E" w:rsidRPr="00256677" w:rsidRDefault="0054316E" w:rsidP="0054316E">
      <w:pPr>
        <w:pStyle w:val="ListParagraph"/>
        <w:rPr>
          <w:rFonts w:asciiTheme="majorHAnsi" w:hAnsiTheme="majorHAnsi"/>
          <w:sz w:val="20"/>
          <w:szCs w:val="20"/>
        </w:rPr>
      </w:pPr>
    </w:p>
    <w:p w14:paraId="109AC718" w14:textId="77777777" w:rsidR="00DC5165" w:rsidRPr="00256677" w:rsidRDefault="0054316E" w:rsidP="00B27C65">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360" w:right="360"/>
        <w:jc w:val="both"/>
        <w:rPr>
          <w:rFonts w:asciiTheme="majorHAnsi" w:hAnsiTheme="majorHAnsi"/>
          <w:sz w:val="18"/>
          <w:szCs w:val="18"/>
        </w:rPr>
      </w:pPr>
      <w:r w:rsidRPr="00256677">
        <w:rPr>
          <w:rFonts w:asciiTheme="majorHAnsi" w:hAnsiTheme="majorHAnsi"/>
          <w:sz w:val="18"/>
          <w:szCs w:val="18"/>
        </w:rPr>
        <w:t>“Either before or during the commission of an offense with the purpose of promoting the commission of an offense, [a person] aids or agrees to aid or attempts to aid such other person in planning, committing or attempting to commit the offense.”</w:t>
      </w:r>
    </w:p>
    <w:p w14:paraId="1CD4A19D" w14:textId="77777777" w:rsidR="00273645" w:rsidRPr="00256677" w:rsidRDefault="00273645" w:rsidP="00273645">
      <w:pPr>
        <w:jc w:val="both"/>
        <w:rPr>
          <w:rFonts w:asciiTheme="majorHAnsi" w:eastAsia="Times New Roman" w:hAnsiTheme="majorHAnsi"/>
          <w:sz w:val="20"/>
          <w:szCs w:val="20"/>
        </w:rPr>
      </w:pPr>
    </w:p>
    <w:p w14:paraId="2448B8DD" w14:textId="77777777" w:rsidR="008F40FD" w:rsidRPr="00256677" w:rsidRDefault="008F40FD" w:rsidP="008F40F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rPr>
      </w:pPr>
      <w:r w:rsidRPr="00256677">
        <w:rPr>
          <w:rFonts w:asciiTheme="majorHAnsi" w:hAnsiTheme="majorHAnsi"/>
          <w:sz w:val="20"/>
          <w:szCs w:val="20"/>
        </w:rPr>
        <w:t>Finally, the State argues that the Commission lacks the authority to request precautionary measures of States that have not ratified the American Convention, essentially because the provision governing such measures is contained in the Commissions’ Rules rather than in its Statute.</w:t>
      </w:r>
    </w:p>
    <w:p w14:paraId="14E8ABF0" w14:textId="77777777" w:rsidR="008F40FD" w:rsidRPr="00256677" w:rsidRDefault="008F40FD" w:rsidP="00273645">
      <w:pPr>
        <w:jc w:val="both"/>
        <w:rPr>
          <w:rFonts w:asciiTheme="majorHAnsi" w:eastAsia="Times New Roman" w:hAnsiTheme="majorHAnsi"/>
          <w:sz w:val="20"/>
          <w:szCs w:val="20"/>
        </w:rPr>
      </w:pPr>
    </w:p>
    <w:p w14:paraId="3D18CBC3" w14:textId="77777777" w:rsidR="001C4006" w:rsidRPr="00256677" w:rsidRDefault="001C4006" w:rsidP="009D0D81">
      <w:pPr>
        <w:pStyle w:val="Heading1"/>
        <w:spacing w:before="0"/>
        <w:ind w:left="360"/>
        <w:rPr>
          <w:color w:val="auto"/>
          <w:sz w:val="20"/>
          <w:szCs w:val="20"/>
        </w:rPr>
      </w:pPr>
      <w:bookmarkStart w:id="4" w:name="_Toc90284136"/>
      <w:r w:rsidRPr="00256677">
        <w:rPr>
          <w:color w:val="auto"/>
          <w:sz w:val="20"/>
          <w:szCs w:val="20"/>
        </w:rPr>
        <w:t>FINDINGS OF FACT</w:t>
      </w:r>
      <w:bookmarkEnd w:id="4"/>
    </w:p>
    <w:p w14:paraId="7B4DCCCE" w14:textId="77777777" w:rsidR="00707116" w:rsidRPr="00256677" w:rsidRDefault="00707116" w:rsidP="0070711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b/>
          <w:sz w:val="20"/>
          <w:szCs w:val="20"/>
        </w:rPr>
      </w:pPr>
    </w:p>
    <w:p w14:paraId="72B6FA49" w14:textId="77777777" w:rsidR="00A3773C" w:rsidRPr="00256677" w:rsidRDefault="0004390C" w:rsidP="009D0D8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256677">
        <w:rPr>
          <w:rFonts w:ascii="Cambria" w:hAnsi="Cambria"/>
          <w:sz w:val="20"/>
          <w:szCs w:val="20"/>
        </w:rPr>
        <w:t xml:space="preserve">In application of Article 43(1) of its Rules of Procedure, the IACHR will examine the arguments and </w:t>
      </w:r>
      <w:r w:rsidR="00427C8F" w:rsidRPr="00256677">
        <w:rPr>
          <w:rFonts w:ascii="Cambria" w:hAnsi="Cambria"/>
          <w:sz w:val="20"/>
          <w:szCs w:val="20"/>
        </w:rPr>
        <w:t>evidence provided by the P</w:t>
      </w:r>
      <w:r w:rsidRPr="00256677">
        <w:rPr>
          <w:rFonts w:ascii="Cambria" w:hAnsi="Cambria"/>
          <w:sz w:val="20"/>
          <w:szCs w:val="20"/>
        </w:rPr>
        <w:t xml:space="preserve">etitioners and the State. Likewise, the Commission will take into account publicly available information that may be relevant </w:t>
      </w:r>
      <w:r w:rsidR="00143E4B" w:rsidRPr="00256677">
        <w:rPr>
          <w:rFonts w:ascii="Cambria" w:hAnsi="Cambria"/>
          <w:sz w:val="20"/>
          <w:szCs w:val="20"/>
        </w:rPr>
        <w:t xml:space="preserve">to </w:t>
      </w:r>
      <w:r w:rsidRPr="00256677">
        <w:rPr>
          <w:rFonts w:ascii="Cambria" w:hAnsi="Cambria"/>
          <w:sz w:val="20"/>
          <w:szCs w:val="20"/>
        </w:rPr>
        <w:t>the analysis and decision of the instant case.</w:t>
      </w:r>
    </w:p>
    <w:p w14:paraId="70ACC1AC" w14:textId="77777777" w:rsidR="009207F2" w:rsidRPr="00256677" w:rsidRDefault="009207F2" w:rsidP="00866353">
      <w:pPr>
        <w:tabs>
          <w:tab w:val="left" w:pos="360"/>
        </w:tabs>
        <w:rPr>
          <w:rFonts w:asciiTheme="majorHAnsi" w:hAnsiTheme="majorHAnsi"/>
          <w:sz w:val="20"/>
          <w:szCs w:val="20"/>
        </w:rPr>
      </w:pPr>
    </w:p>
    <w:p w14:paraId="2E8EC6C4" w14:textId="77777777" w:rsidR="000615CF" w:rsidRPr="00256677" w:rsidRDefault="000615CF" w:rsidP="006E07EB">
      <w:pPr>
        <w:pStyle w:val="Heading2"/>
        <w:numPr>
          <w:ilvl w:val="0"/>
          <w:numId w:val="73"/>
        </w:numPr>
        <w:spacing w:before="0"/>
        <w:ind w:left="360"/>
        <w:jc w:val="both"/>
        <w:rPr>
          <w:color w:val="auto"/>
          <w:sz w:val="20"/>
          <w:szCs w:val="20"/>
        </w:rPr>
      </w:pPr>
      <w:bookmarkStart w:id="5" w:name="_Toc90284137"/>
      <w:r w:rsidRPr="00256677">
        <w:rPr>
          <w:color w:val="auto"/>
          <w:sz w:val="20"/>
          <w:szCs w:val="20"/>
        </w:rPr>
        <w:t>Relevant legal framework</w:t>
      </w:r>
      <w:r w:rsidR="00F5237B" w:rsidRPr="00256677">
        <w:rPr>
          <w:color w:val="auto"/>
          <w:sz w:val="20"/>
          <w:szCs w:val="20"/>
        </w:rPr>
        <w:t xml:space="preserve"> and applicable case law</w:t>
      </w:r>
      <w:bookmarkEnd w:id="5"/>
    </w:p>
    <w:p w14:paraId="366C1A9B" w14:textId="77777777" w:rsidR="000615CF" w:rsidRPr="00256677" w:rsidRDefault="000615CF" w:rsidP="00657A39">
      <w:pPr>
        <w:pStyle w:val="ListParagraph"/>
        <w:tabs>
          <w:tab w:val="left" w:pos="360"/>
        </w:tabs>
        <w:rPr>
          <w:rFonts w:asciiTheme="majorHAnsi" w:hAnsiTheme="majorHAnsi"/>
          <w:sz w:val="20"/>
          <w:szCs w:val="20"/>
        </w:rPr>
      </w:pPr>
    </w:p>
    <w:p w14:paraId="6C457822" w14:textId="77777777" w:rsidR="00ED1C8D" w:rsidRPr="00256677" w:rsidRDefault="00ED1C8D" w:rsidP="00ED1C8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256677">
        <w:rPr>
          <w:rFonts w:ascii="Cambria" w:hAnsi="Cambria"/>
          <w:sz w:val="20"/>
          <w:szCs w:val="20"/>
        </w:rPr>
        <w:t xml:space="preserve">Chapter 565 of Title XXXVIII </w:t>
      </w:r>
      <w:r w:rsidR="00C92214" w:rsidRPr="00256677">
        <w:rPr>
          <w:rFonts w:ascii="Cambria" w:hAnsi="Cambria"/>
          <w:sz w:val="20"/>
          <w:szCs w:val="20"/>
        </w:rPr>
        <w:t xml:space="preserve">(crimes and punishment; peace officers and public defenders) </w:t>
      </w:r>
      <w:r w:rsidRPr="00256677">
        <w:rPr>
          <w:rFonts w:ascii="Cambria" w:hAnsi="Cambria"/>
          <w:sz w:val="20"/>
          <w:szCs w:val="20"/>
        </w:rPr>
        <w:t>of the</w:t>
      </w:r>
      <w:r w:rsidR="00C92214" w:rsidRPr="00256677">
        <w:rPr>
          <w:rFonts w:ascii="Cambria" w:hAnsi="Cambria"/>
          <w:sz w:val="20"/>
          <w:szCs w:val="20"/>
        </w:rPr>
        <w:t xml:space="preserve"> state of</w:t>
      </w:r>
      <w:r w:rsidRPr="00256677">
        <w:rPr>
          <w:rFonts w:ascii="Cambria" w:hAnsi="Cambria"/>
          <w:sz w:val="20"/>
          <w:szCs w:val="20"/>
        </w:rPr>
        <w:t xml:space="preserve"> Missouri Statute</w:t>
      </w:r>
      <w:r w:rsidR="00C92214" w:rsidRPr="00256677">
        <w:rPr>
          <w:rFonts w:ascii="Cambria" w:hAnsi="Cambria"/>
          <w:sz w:val="20"/>
          <w:szCs w:val="20"/>
        </w:rPr>
        <w:t>s</w:t>
      </w:r>
      <w:r w:rsidRPr="00256677">
        <w:rPr>
          <w:rFonts w:ascii="Cambria" w:hAnsi="Cambria"/>
          <w:sz w:val="20"/>
          <w:szCs w:val="20"/>
        </w:rPr>
        <w:t xml:space="preserve"> establishes the following:</w:t>
      </w:r>
    </w:p>
    <w:p w14:paraId="401EA9A9" w14:textId="77777777" w:rsidR="00ED1C8D" w:rsidRPr="00256677" w:rsidRDefault="00ED1C8D" w:rsidP="00657A39">
      <w:pPr>
        <w:pStyle w:val="ListParagraph"/>
        <w:tabs>
          <w:tab w:val="left" w:pos="360"/>
        </w:tabs>
        <w:ind w:left="0"/>
        <w:jc w:val="both"/>
        <w:rPr>
          <w:rFonts w:eastAsia="Arial Unicode MS" w:cs="Times New Roman"/>
          <w:color w:val="auto"/>
          <w:sz w:val="20"/>
          <w:szCs w:val="20"/>
          <w:lang w:eastAsia="en-US"/>
        </w:rPr>
      </w:pPr>
    </w:p>
    <w:p w14:paraId="735F953A" w14:textId="77777777" w:rsidR="0060445F" w:rsidRPr="00256677" w:rsidRDefault="0060445F" w:rsidP="00657A39">
      <w:pPr>
        <w:pStyle w:val="ListParagraph"/>
        <w:tabs>
          <w:tab w:val="left" w:pos="360"/>
        </w:tabs>
        <w:ind w:left="360" w:right="360"/>
        <w:jc w:val="both"/>
        <w:rPr>
          <w:rFonts w:eastAsia="Arial Unicode MS" w:cs="Times New Roman"/>
          <w:color w:val="auto"/>
          <w:sz w:val="20"/>
          <w:szCs w:val="20"/>
          <w:lang w:eastAsia="en-US"/>
        </w:rPr>
      </w:pPr>
      <w:r w:rsidRPr="00256677">
        <w:rPr>
          <w:rFonts w:eastAsia="Arial Unicode MS" w:cs="Times New Roman"/>
          <w:i/>
          <w:color w:val="auto"/>
          <w:sz w:val="20"/>
          <w:szCs w:val="20"/>
          <w:lang w:eastAsia="en-US"/>
        </w:rPr>
        <w:t>565.002. Definitions.</w:t>
      </w:r>
      <w:r w:rsidRPr="00256677">
        <w:rPr>
          <w:rFonts w:eastAsia="Arial Unicode MS" w:cs="Times New Roman"/>
          <w:color w:val="auto"/>
          <w:sz w:val="20"/>
          <w:szCs w:val="20"/>
          <w:lang w:eastAsia="en-US"/>
        </w:rPr>
        <w:t xml:space="preserve"> — As used in this chapter, unless a different meaning is otherwise plainly required the following terms mean:</w:t>
      </w:r>
    </w:p>
    <w:p w14:paraId="34ECD44C" w14:textId="77777777" w:rsidR="0060445F" w:rsidRPr="00256677" w:rsidRDefault="0060445F" w:rsidP="00657A39">
      <w:pPr>
        <w:pStyle w:val="ListParagraph"/>
        <w:tabs>
          <w:tab w:val="left" w:pos="360"/>
        </w:tabs>
        <w:ind w:left="360" w:right="360"/>
        <w:jc w:val="both"/>
        <w:rPr>
          <w:rFonts w:eastAsia="Arial Unicode MS" w:cs="Times New Roman"/>
          <w:color w:val="auto"/>
          <w:sz w:val="20"/>
          <w:szCs w:val="20"/>
          <w:lang w:eastAsia="en-US"/>
        </w:rPr>
      </w:pPr>
      <w:r w:rsidRPr="00256677">
        <w:rPr>
          <w:rFonts w:eastAsia="Arial Unicode MS" w:cs="Times New Roman"/>
          <w:color w:val="auto"/>
          <w:sz w:val="20"/>
          <w:szCs w:val="20"/>
          <w:lang w:eastAsia="en-US"/>
        </w:rPr>
        <w:t>[…]</w:t>
      </w:r>
    </w:p>
    <w:p w14:paraId="7C9935C2" w14:textId="77777777" w:rsidR="0060445F" w:rsidRPr="00256677" w:rsidRDefault="0060445F" w:rsidP="00657A39">
      <w:pPr>
        <w:pStyle w:val="ListParagraph"/>
        <w:tabs>
          <w:tab w:val="left" w:pos="360"/>
        </w:tabs>
        <w:ind w:left="360" w:right="360"/>
        <w:jc w:val="both"/>
        <w:rPr>
          <w:rFonts w:eastAsia="Arial Unicode MS" w:cs="Times New Roman"/>
          <w:color w:val="auto"/>
          <w:sz w:val="20"/>
          <w:szCs w:val="20"/>
          <w:lang w:eastAsia="en-US"/>
        </w:rPr>
      </w:pPr>
      <w:r w:rsidRPr="00256677">
        <w:rPr>
          <w:rFonts w:eastAsia="Arial Unicode MS" w:cs="Times New Roman"/>
          <w:color w:val="auto"/>
          <w:sz w:val="20"/>
          <w:szCs w:val="20"/>
          <w:lang w:eastAsia="en-US"/>
        </w:rPr>
        <w:t>(5) “Deliberation”, cool reflection for any length of time no matter how brief;</w:t>
      </w:r>
    </w:p>
    <w:p w14:paraId="1CB03EA0" w14:textId="77777777" w:rsidR="0060445F" w:rsidRPr="00256677" w:rsidRDefault="0060445F" w:rsidP="00657A39">
      <w:pPr>
        <w:pStyle w:val="ListParagraph"/>
        <w:tabs>
          <w:tab w:val="left" w:pos="360"/>
        </w:tabs>
        <w:ind w:left="360" w:right="360"/>
        <w:jc w:val="both"/>
        <w:rPr>
          <w:rFonts w:eastAsia="Arial Unicode MS" w:cs="Times New Roman"/>
          <w:color w:val="auto"/>
          <w:sz w:val="20"/>
          <w:szCs w:val="20"/>
          <w:lang w:eastAsia="en-US"/>
        </w:rPr>
      </w:pPr>
      <w:r w:rsidRPr="00256677">
        <w:rPr>
          <w:rFonts w:eastAsia="Arial Unicode MS" w:cs="Times New Roman"/>
          <w:color w:val="auto"/>
          <w:sz w:val="20"/>
          <w:szCs w:val="20"/>
          <w:lang w:eastAsia="en-US"/>
        </w:rPr>
        <w:t>[…]</w:t>
      </w:r>
    </w:p>
    <w:p w14:paraId="305F5060" w14:textId="77777777" w:rsidR="0060445F" w:rsidRPr="00256677" w:rsidRDefault="0060445F" w:rsidP="00657A39">
      <w:pPr>
        <w:pStyle w:val="ListParagraph"/>
        <w:tabs>
          <w:tab w:val="left" w:pos="360"/>
        </w:tabs>
        <w:ind w:left="360" w:right="360"/>
        <w:jc w:val="both"/>
        <w:rPr>
          <w:rFonts w:eastAsia="Arial Unicode MS" w:cs="Times New Roman"/>
          <w:color w:val="auto"/>
          <w:sz w:val="20"/>
          <w:szCs w:val="20"/>
          <w:lang w:eastAsia="en-US"/>
        </w:rPr>
      </w:pPr>
    </w:p>
    <w:p w14:paraId="539B3AF5" w14:textId="77777777" w:rsidR="00C92214" w:rsidRPr="00256677" w:rsidRDefault="00ED1C8D" w:rsidP="00557BA8">
      <w:pPr>
        <w:pStyle w:val="norm"/>
        <w:shd w:val="clear" w:color="auto" w:fill="FFFFFF" w:themeFill="background1"/>
        <w:spacing w:before="0" w:beforeAutospacing="0" w:after="0"/>
        <w:ind w:left="360" w:right="360"/>
        <w:jc w:val="both"/>
        <w:rPr>
          <w:rFonts w:ascii="Cambria" w:eastAsia="Arial Unicode MS" w:hAnsi="Cambria"/>
          <w:bCs/>
          <w:i/>
          <w:sz w:val="20"/>
          <w:szCs w:val="20"/>
          <w:bdr w:val="nil"/>
        </w:rPr>
      </w:pPr>
      <w:r w:rsidRPr="00256677">
        <w:rPr>
          <w:rFonts w:ascii="Cambria" w:eastAsia="Arial Unicode MS" w:hAnsi="Cambria"/>
          <w:bCs/>
          <w:i/>
          <w:sz w:val="20"/>
          <w:szCs w:val="20"/>
          <w:bdr w:val="nil"/>
        </w:rPr>
        <w:t xml:space="preserve">565.020. First degree murder, penalty </w:t>
      </w:r>
      <w:r w:rsidR="00C92214" w:rsidRPr="00256677">
        <w:rPr>
          <w:rFonts w:ascii="Cambria" w:eastAsia="Arial Unicode MS" w:hAnsi="Cambria"/>
          <w:bCs/>
          <w:i/>
          <w:sz w:val="20"/>
          <w:szCs w:val="20"/>
          <w:bdr w:val="nil"/>
        </w:rPr>
        <w:t>[…]</w:t>
      </w:r>
      <w:r w:rsidRPr="00256677">
        <w:rPr>
          <w:rFonts w:ascii="Cambria" w:eastAsia="Arial Unicode MS" w:hAnsi="Cambria"/>
          <w:bCs/>
          <w:i/>
          <w:sz w:val="20"/>
          <w:szCs w:val="20"/>
          <w:bdr w:val="nil"/>
        </w:rPr>
        <w:t xml:space="preserve"> </w:t>
      </w:r>
    </w:p>
    <w:p w14:paraId="053198CE" w14:textId="77777777" w:rsidR="00ED1C8D" w:rsidRPr="00557BA8" w:rsidRDefault="00ED1C8D" w:rsidP="00557BA8">
      <w:pPr>
        <w:pStyle w:val="norm"/>
        <w:shd w:val="clear" w:color="auto" w:fill="FFFFFF" w:themeFill="background1"/>
        <w:spacing w:before="0" w:beforeAutospacing="0" w:after="0"/>
        <w:ind w:left="360" w:right="360"/>
        <w:jc w:val="both"/>
        <w:rPr>
          <w:rFonts w:ascii="Cambria" w:eastAsia="Arial Unicode MS" w:hAnsi="Cambria"/>
          <w:sz w:val="20"/>
          <w:szCs w:val="20"/>
          <w:bdr w:val="nil"/>
        </w:rPr>
      </w:pPr>
      <w:r w:rsidRPr="00557BA8">
        <w:rPr>
          <w:rFonts w:ascii="Cambria" w:eastAsia="Arial Unicode MS" w:hAnsi="Cambria"/>
          <w:sz w:val="20"/>
          <w:szCs w:val="20"/>
          <w:bdr w:val="nil"/>
        </w:rPr>
        <w:t>1.  A person commits the offense of murder in the first degree if he or she knowingly causes the death of another person after deliberation upon the matter.</w:t>
      </w:r>
    </w:p>
    <w:p w14:paraId="5ABFDB78" w14:textId="77777777" w:rsidR="00ED1C8D" w:rsidRPr="00557BA8" w:rsidRDefault="00ED1C8D" w:rsidP="00557BA8">
      <w:pPr>
        <w:pStyle w:val="norm"/>
        <w:shd w:val="clear" w:color="auto" w:fill="FFFFFF" w:themeFill="background1"/>
        <w:spacing w:before="0" w:beforeAutospacing="0" w:after="0"/>
        <w:ind w:left="360" w:right="360"/>
        <w:jc w:val="both"/>
        <w:rPr>
          <w:rFonts w:ascii="Cambria" w:eastAsia="Arial Unicode MS" w:hAnsi="Cambria"/>
          <w:sz w:val="20"/>
          <w:szCs w:val="20"/>
          <w:bdr w:val="nil"/>
        </w:rPr>
      </w:pPr>
      <w:r w:rsidRPr="00557BA8">
        <w:rPr>
          <w:rFonts w:ascii="Cambria" w:eastAsia="Arial Unicode MS" w:hAnsi="Cambria"/>
          <w:sz w:val="20"/>
          <w:szCs w:val="20"/>
          <w:bdr w:val="nil"/>
        </w:rPr>
        <w:t>2.  The offense of murder in the first degree is a class A felony</w:t>
      </w:r>
      <w:r w:rsidR="003C3FC6" w:rsidRPr="00557BA8">
        <w:rPr>
          <w:rFonts w:ascii="Cambria" w:eastAsia="Arial Unicode MS" w:hAnsi="Cambria"/>
          <w:sz w:val="20"/>
          <w:szCs w:val="20"/>
          <w:bdr w:val="nil"/>
        </w:rPr>
        <w:t xml:space="preserve">, and, if a person is eighteen years of age or older at the time of the offense, the punishment shall be either death or imprisonment for life without eligibility for probation or parole, or release except by act of the governor </w:t>
      </w:r>
      <w:r w:rsidR="00C92214" w:rsidRPr="00557BA8">
        <w:rPr>
          <w:rFonts w:ascii="Cambria" w:eastAsia="Arial Unicode MS" w:hAnsi="Cambria"/>
          <w:sz w:val="20"/>
          <w:szCs w:val="20"/>
          <w:bdr w:val="nil"/>
        </w:rPr>
        <w:t>[…].</w:t>
      </w:r>
      <w:r w:rsidRPr="00557BA8">
        <w:rPr>
          <w:rFonts w:ascii="Cambria" w:eastAsia="Arial Unicode MS" w:hAnsi="Cambria"/>
          <w:sz w:val="20"/>
          <w:szCs w:val="20"/>
          <w:bdr w:val="nil"/>
        </w:rPr>
        <w:t xml:space="preserve"> </w:t>
      </w:r>
    </w:p>
    <w:p w14:paraId="0D53731F" w14:textId="77777777" w:rsidR="009207F2" w:rsidRPr="00557BA8" w:rsidRDefault="009207F2" w:rsidP="00557BA8">
      <w:pPr>
        <w:shd w:val="clear" w:color="auto" w:fill="FFFFFF" w:themeFill="background1"/>
        <w:tabs>
          <w:tab w:val="left" w:pos="360"/>
        </w:tabs>
        <w:rPr>
          <w:rFonts w:asciiTheme="majorHAnsi" w:eastAsia="Times New Roman" w:hAnsiTheme="majorHAnsi"/>
          <w:sz w:val="20"/>
          <w:szCs w:val="20"/>
        </w:rPr>
      </w:pPr>
    </w:p>
    <w:p w14:paraId="652E6D98" w14:textId="77777777" w:rsidR="001E555D" w:rsidRPr="00557BA8" w:rsidRDefault="001E555D" w:rsidP="00557BA8">
      <w:pPr>
        <w:pStyle w:val="norm"/>
        <w:shd w:val="clear" w:color="auto" w:fill="FFFFFF" w:themeFill="background1"/>
        <w:spacing w:before="0" w:beforeAutospacing="0" w:after="0"/>
        <w:ind w:left="360" w:right="360"/>
        <w:jc w:val="both"/>
        <w:rPr>
          <w:rStyle w:val="bold1"/>
          <w:rFonts w:asciiTheme="majorHAnsi" w:hAnsiTheme="majorHAnsi" w:cs="Arial"/>
          <w:b w:val="0"/>
          <w:i/>
          <w:sz w:val="20"/>
          <w:szCs w:val="20"/>
          <w:lang w:val="en"/>
        </w:rPr>
      </w:pPr>
      <w:r w:rsidRPr="00557BA8">
        <w:rPr>
          <w:rStyle w:val="bold1"/>
          <w:rFonts w:asciiTheme="majorHAnsi" w:hAnsiTheme="majorHAnsi" w:cs="Arial"/>
          <w:b w:val="0"/>
          <w:i/>
          <w:sz w:val="20"/>
          <w:szCs w:val="20"/>
          <w:lang w:val="en"/>
        </w:rPr>
        <w:t xml:space="preserve">565.032. Evidence to be considered in assessing punishment in first degree murder cases for which death penalty authorized. </w:t>
      </w:r>
    </w:p>
    <w:p w14:paraId="412F5183" w14:textId="77777777" w:rsidR="001E555D" w:rsidRPr="00557BA8" w:rsidRDefault="001E555D" w:rsidP="00557BA8">
      <w:pPr>
        <w:pStyle w:val="norm"/>
        <w:shd w:val="clear" w:color="auto" w:fill="FFFFFF" w:themeFill="background1"/>
        <w:spacing w:before="0" w:beforeAutospacing="0" w:after="0"/>
        <w:ind w:left="360" w:right="360"/>
        <w:jc w:val="both"/>
        <w:rPr>
          <w:rFonts w:asciiTheme="majorHAnsi" w:hAnsiTheme="majorHAnsi" w:cs="Arial"/>
          <w:sz w:val="20"/>
          <w:szCs w:val="20"/>
          <w:lang w:val="en"/>
        </w:rPr>
      </w:pPr>
      <w:r w:rsidRPr="00557BA8">
        <w:rPr>
          <w:rFonts w:asciiTheme="majorHAnsi" w:hAnsiTheme="majorHAnsi" w:cs="Arial"/>
          <w:sz w:val="20"/>
          <w:szCs w:val="20"/>
          <w:lang w:val="en"/>
        </w:rPr>
        <w:t>1.  In all cases of murder in the first degree for which the death penalty is authorized, the judge in a jury-waived trial shall consider, or shall include in his or her instructions to the jury for it to consider:</w:t>
      </w:r>
    </w:p>
    <w:p w14:paraId="4F56DAA4" w14:textId="77777777" w:rsidR="001E555D" w:rsidRPr="00557BA8" w:rsidRDefault="001E555D" w:rsidP="00557BA8">
      <w:pPr>
        <w:pStyle w:val="norm"/>
        <w:shd w:val="clear" w:color="auto" w:fill="FFFFFF" w:themeFill="background1"/>
        <w:spacing w:before="0" w:beforeAutospacing="0" w:after="0"/>
        <w:ind w:left="360" w:right="360"/>
        <w:jc w:val="both"/>
        <w:rPr>
          <w:rFonts w:asciiTheme="majorHAnsi" w:hAnsiTheme="majorHAnsi" w:cs="Arial"/>
          <w:sz w:val="20"/>
          <w:szCs w:val="20"/>
          <w:lang w:val="en"/>
        </w:rPr>
      </w:pPr>
      <w:r w:rsidRPr="00557BA8">
        <w:rPr>
          <w:rFonts w:asciiTheme="majorHAnsi" w:hAnsiTheme="majorHAnsi" w:cs="Arial"/>
          <w:sz w:val="20"/>
          <w:szCs w:val="20"/>
          <w:lang w:val="en"/>
        </w:rPr>
        <w:t>(1)  Whether a statutory aggravating circumstance or circumstances enumerated in subsection 2 of this section is established by the evidence beyond a reasonable doubt; and</w:t>
      </w:r>
    </w:p>
    <w:p w14:paraId="520EAD6E" w14:textId="77777777" w:rsidR="001E555D" w:rsidRPr="00557BA8" w:rsidRDefault="001E555D" w:rsidP="00557BA8">
      <w:pPr>
        <w:pStyle w:val="norm"/>
        <w:shd w:val="clear" w:color="auto" w:fill="FFFFFF" w:themeFill="background1"/>
        <w:spacing w:before="0" w:beforeAutospacing="0" w:after="0"/>
        <w:ind w:left="360" w:right="360"/>
        <w:jc w:val="both"/>
        <w:rPr>
          <w:rFonts w:asciiTheme="majorHAnsi" w:hAnsiTheme="majorHAnsi" w:cs="Arial"/>
          <w:sz w:val="20"/>
          <w:szCs w:val="20"/>
          <w:lang w:val="en"/>
        </w:rPr>
      </w:pPr>
      <w:r w:rsidRPr="00557BA8">
        <w:rPr>
          <w:rFonts w:asciiTheme="majorHAnsi" w:hAnsiTheme="majorHAnsi" w:cs="Arial"/>
          <w:sz w:val="20"/>
          <w:szCs w:val="20"/>
          <w:lang w:val="en"/>
        </w:rPr>
        <w:lastRenderedPageBreak/>
        <w:t>(2)  If a statutory aggravating circumstance or circumstances is proven beyond a reasonable doubt, whether the evidence as a whole justifies a sentence of death or a sentence of life imprisonment without eligibility for probation, parole, or release except by act of the governor.</w:t>
      </w:r>
    </w:p>
    <w:p w14:paraId="1820255D" w14:textId="77777777" w:rsidR="001E555D" w:rsidRPr="00557BA8" w:rsidRDefault="001E555D" w:rsidP="00557BA8">
      <w:pPr>
        <w:pStyle w:val="tiny"/>
        <w:shd w:val="clear" w:color="auto" w:fill="FFFFFF" w:themeFill="background1"/>
        <w:spacing w:before="0" w:beforeAutospacing="0" w:after="0" w:afterAutospacing="0"/>
        <w:ind w:left="360" w:right="360"/>
        <w:jc w:val="both"/>
        <w:rPr>
          <w:rFonts w:asciiTheme="majorHAnsi" w:hAnsiTheme="majorHAnsi" w:cs="Arial"/>
          <w:sz w:val="20"/>
          <w:szCs w:val="20"/>
          <w:lang w:val="en"/>
        </w:rPr>
      </w:pPr>
      <w:r w:rsidRPr="00557BA8">
        <w:rPr>
          <w:rFonts w:asciiTheme="majorHAnsi" w:hAnsiTheme="majorHAnsi" w:cs="Arial"/>
          <w:sz w:val="20"/>
          <w:szCs w:val="20"/>
          <w:lang w:val="en"/>
        </w:rPr>
        <w:softHyphen/>
      </w:r>
      <w:r w:rsidRPr="00557BA8">
        <w:rPr>
          <w:rFonts w:asciiTheme="majorHAnsi" w:hAnsiTheme="majorHAnsi" w:cs="Arial"/>
          <w:sz w:val="20"/>
          <w:szCs w:val="20"/>
          <w:lang w:val="en"/>
        </w:rPr>
        <w:softHyphen/>
      </w:r>
    </w:p>
    <w:p w14:paraId="24461071" w14:textId="77777777" w:rsidR="001E555D" w:rsidRPr="00557BA8" w:rsidRDefault="001E555D" w:rsidP="00557BA8">
      <w:pPr>
        <w:shd w:val="clear" w:color="auto" w:fill="FFFFFF" w:themeFill="background1"/>
        <w:ind w:left="360" w:right="360"/>
        <w:jc w:val="both"/>
        <w:rPr>
          <w:rFonts w:asciiTheme="majorHAnsi" w:hAnsiTheme="majorHAnsi" w:cs="Arial"/>
          <w:sz w:val="20"/>
          <w:szCs w:val="20"/>
          <w:lang w:val="en"/>
        </w:rPr>
      </w:pPr>
      <w:r w:rsidRPr="00557BA8">
        <w:rPr>
          <w:rFonts w:asciiTheme="majorHAnsi" w:hAnsiTheme="majorHAnsi" w:cs="Arial"/>
          <w:sz w:val="20"/>
          <w:szCs w:val="20"/>
          <w:lang w:val="en"/>
        </w:rPr>
        <w:t>In determining the issues enumerated in subdivisions (1) and (2) of this subsection, the trier shall consider all evidence which it finds to be in aggravation or mitigation of punishment, including evidence received during the first stage of the trial and evidence supporting any of the statutory aggravating or mitigating circumstances set out in subsections 2 and 3 of this section.  If the trier is a jury, it shall not be instructed upon any specific evidence which may be in aggravation or mitigation of punishment, but shall be instructed that each juror shall consider any evidence which he or she considers to be aggravating or mitigating.</w:t>
      </w:r>
    </w:p>
    <w:p w14:paraId="2EF1869C" w14:textId="77777777" w:rsidR="001E555D" w:rsidRPr="00557BA8" w:rsidRDefault="001E555D" w:rsidP="00557BA8">
      <w:pPr>
        <w:pStyle w:val="norm"/>
        <w:shd w:val="clear" w:color="auto" w:fill="FFFFFF" w:themeFill="background1"/>
        <w:spacing w:before="0" w:beforeAutospacing="0" w:after="0"/>
        <w:ind w:left="360" w:right="360"/>
        <w:jc w:val="both"/>
        <w:rPr>
          <w:rFonts w:asciiTheme="majorHAnsi" w:hAnsiTheme="majorHAnsi" w:cs="Arial"/>
          <w:sz w:val="20"/>
          <w:szCs w:val="20"/>
          <w:lang w:val="en"/>
        </w:rPr>
      </w:pPr>
      <w:r w:rsidRPr="00557BA8">
        <w:rPr>
          <w:rFonts w:asciiTheme="majorHAnsi" w:hAnsiTheme="majorHAnsi" w:cs="Arial"/>
          <w:sz w:val="20"/>
          <w:szCs w:val="20"/>
          <w:lang w:val="en"/>
        </w:rPr>
        <w:t> </w:t>
      </w:r>
    </w:p>
    <w:p w14:paraId="02C5D40F" w14:textId="77777777" w:rsidR="001E555D" w:rsidRPr="00557BA8" w:rsidRDefault="001E555D" w:rsidP="00557BA8">
      <w:pPr>
        <w:pStyle w:val="norm"/>
        <w:shd w:val="clear" w:color="auto" w:fill="FFFFFF" w:themeFill="background1"/>
        <w:spacing w:before="0" w:beforeAutospacing="0" w:after="0"/>
        <w:ind w:left="360" w:right="360"/>
        <w:jc w:val="both"/>
        <w:rPr>
          <w:rFonts w:asciiTheme="majorHAnsi" w:hAnsiTheme="majorHAnsi" w:cs="Arial"/>
          <w:sz w:val="20"/>
          <w:szCs w:val="20"/>
          <w:lang w:val="en"/>
        </w:rPr>
      </w:pPr>
      <w:r w:rsidRPr="00557BA8">
        <w:rPr>
          <w:rFonts w:asciiTheme="majorHAnsi" w:hAnsiTheme="majorHAnsi" w:cs="Arial"/>
          <w:sz w:val="20"/>
          <w:szCs w:val="20"/>
          <w:lang w:val="en"/>
        </w:rPr>
        <w:t>2.  Statutory aggravating circumstances for a murder in the first degree offense shall be limited to the following:</w:t>
      </w:r>
    </w:p>
    <w:p w14:paraId="7A64FE90" w14:textId="77777777" w:rsidR="001E555D" w:rsidRPr="00557BA8" w:rsidRDefault="001E555D" w:rsidP="00557BA8">
      <w:pPr>
        <w:pStyle w:val="norm"/>
        <w:shd w:val="clear" w:color="auto" w:fill="FFFFFF" w:themeFill="background1"/>
        <w:spacing w:before="0" w:beforeAutospacing="0" w:after="0"/>
        <w:ind w:left="360" w:right="360"/>
        <w:jc w:val="both"/>
        <w:rPr>
          <w:rFonts w:asciiTheme="majorHAnsi" w:hAnsiTheme="majorHAnsi" w:cs="Arial"/>
          <w:sz w:val="20"/>
          <w:szCs w:val="20"/>
          <w:lang w:val="en"/>
        </w:rPr>
      </w:pPr>
      <w:r w:rsidRPr="00557BA8">
        <w:rPr>
          <w:rFonts w:asciiTheme="majorHAnsi" w:hAnsiTheme="majorHAnsi" w:cs="Arial"/>
          <w:sz w:val="20"/>
          <w:szCs w:val="20"/>
          <w:lang w:val="en"/>
        </w:rPr>
        <w:t>(1)  The offense was committed by a person with a prior record of conviction for murder in the first degree, or the offense was committed by a person who has one or more serious assaultive criminal convictions;</w:t>
      </w:r>
    </w:p>
    <w:p w14:paraId="0F86E695" w14:textId="77777777" w:rsidR="001E555D" w:rsidRPr="00557BA8" w:rsidRDefault="001E555D" w:rsidP="00557BA8">
      <w:pPr>
        <w:pStyle w:val="norm"/>
        <w:shd w:val="clear" w:color="auto" w:fill="FFFFFF" w:themeFill="background1"/>
        <w:spacing w:before="0" w:beforeAutospacing="0" w:after="0"/>
        <w:ind w:left="360" w:right="360"/>
        <w:jc w:val="both"/>
        <w:rPr>
          <w:rFonts w:asciiTheme="majorHAnsi" w:hAnsiTheme="majorHAnsi" w:cs="Arial"/>
          <w:sz w:val="20"/>
          <w:szCs w:val="20"/>
          <w:lang w:val="en"/>
        </w:rPr>
      </w:pPr>
      <w:r w:rsidRPr="00557BA8">
        <w:rPr>
          <w:rFonts w:asciiTheme="majorHAnsi" w:hAnsiTheme="majorHAnsi" w:cs="Arial"/>
          <w:sz w:val="20"/>
          <w:szCs w:val="20"/>
          <w:lang w:val="en"/>
        </w:rPr>
        <w:t>(2)  The murder in the first degree offense was committed while the offender was engaged in the commission or attempted commission of another unlawful homicide;</w:t>
      </w:r>
    </w:p>
    <w:p w14:paraId="4548ADE2" w14:textId="77777777" w:rsidR="001E555D" w:rsidRPr="00557BA8" w:rsidRDefault="001E555D" w:rsidP="00557BA8">
      <w:pPr>
        <w:pStyle w:val="norm"/>
        <w:shd w:val="clear" w:color="auto" w:fill="FFFFFF" w:themeFill="background1"/>
        <w:spacing w:before="0" w:beforeAutospacing="0" w:after="0"/>
        <w:ind w:left="360" w:right="360"/>
        <w:jc w:val="both"/>
        <w:rPr>
          <w:rFonts w:asciiTheme="majorHAnsi" w:hAnsiTheme="majorHAnsi" w:cs="Arial"/>
          <w:sz w:val="20"/>
          <w:szCs w:val="20"/>
          <w:lang w:val="en"/>
        </w:rPr>
      </w:pPr>
      <w:r w:rsidRPr="00557BA8">
        <w:rPr>
          <w:rFonts w:asciiTheme="majorHAnsi" w:hAnsiTheme="majorHAnsi" w:cs="Arial"/>
          <w:sz w:val="20"/>
          <w:szCs w:val="20"/>
          <w:lang w:val="en"/>
        </w:rPr>
        <w:t>(3)  The offender by his or her act of murder in the first degree knowingly created a great risk of death to more than one person by means of a weapon or device which would normally be hazardous to the lives of more than one person;</w:t>
      </w:r>
    </w:p>
    <w:p w14:paraId="10438315" w14:textId="77777777" w:rsidR="001E555D" w:rsidRPr="00557BA8" w:rsidRDefault="001E555D" w:rsidP="00557BA8">
      <w:pPr>
        <w:pStyle w:val="norm"/>
        <w:shd w:val="clear" w:color="auto" w:fill="FFFFFF" w:themeFill="background1"/>
        <w:spacing w:before="0" w:beforeAutospacing="0" w:after="0"/>
        <w:ind w:left="360" w:right="360"/>
        <w:jc w:val="both"/>
        <w:rPr>
          <w:rFonts w:asciiTheme="majorHAnsi" w:hAnsiTheme="majorHAnsi" w:cs="Arial"/>
          <w:sz w:val="20"/>
          <w:szCs w:val="20"/>
          <w:lang w:val="en"/>
        </w:rPr>
      </w:pPr>
      <w:r w:rsidRPr="00557BA8">
        <w:rPr>
          <w:rFonts w:asciiTheme="majorHAnsi" w:hAnsiTheme="majorHAnsi" w:cs="Arial"/>
          <w:sz w:val="20"/>
          <w:szCs w:val="20"/>
          <w:lang w:val="en"/>
        </w:rPr>
        <w:t>(4)  The offender committed the offense of murder in the first degree for himself or herself or another, for the purpose of receiving money or any other thing of monetary value from the victim of the murder or another;</w:t>
      </w:r>
    </w:p>
    <w:p w14:paraId="09087727" w14:textId="77777777" w:rsidR="001E555D" w:rsidRPr="00557BA8" w:rsidRDefault="001E555D" w:rsidP="00557BA8">
      <w:pPr>
        <w:pStyle w:val="norm"/>
        <w:shd w:val="clear" w:color="auto" w:fill="FFFFFF" w:themeFill="background1"/>
        <w:spacing w:before="0" w:beforeAutospacing="0" w:after="0"/>
        <w:ind w:left="360" w:right="360"/>
        <w:jc w:val="both"/>
        <w:rPr>
          <w:rFonts w:asciiTheme="majorHAnsi" w:hAnsiTheme="majorHAnsi" w:cs="Arial"/>
          <w:sz w:val="20"/>
          <w:szCs w:val="20"/>
          <w:lang w:val="en"/>
        </w:rPr>
      </w:pPr>
      <w:r w:rsidRPr="00557BA8">
        <w:rPr>
          <w:rFonts w:asciiTheme="majorHAnsi" w:hAnsiTheme="majorHAnsi" w:cs="Arial"/>
          <w:sz w:val="20"/>
          <w:szCs w:val="20"/>
          <w:lang w:val="en"/>
        </w:rPr>
        <w:t>(5)  The murder in the first degree was committed against a judicial officer, former judicial officer, prosecuting attorney or former prosecuting attorney, circuit attorney or former circuit attorney, assistant prosecuting attorney or former assistant prosecuting attorney, assistant circuit attorney or former assistant circuit attorney, peace officer or former peace officer, elected official or former elected official during or because of the exercise of his official duty;</w:t>
      </w:r>
    </w:p>
    <w:p w14:paraId="24CFC153" w14:textId="77777777" w:rsidR="001E555D" w:rsidRPr="00557BA8" w:rsidRDefault="001E555D" w:rsidP="00557BA8">
      <w:pPr>
        <w:pStyle w:val="norm"/>
        <w:shd w:val="clear" w:color="auto" w:fill="FFFFFF" w:themeFill="background1"/>
        <w:spacing w:before="0" w:beforeAutospacing="0" w:after="0"/>
        <w:ind w:left="360" w:right="360"/>
        <w:jc w:val="both"/>
        <w:rPr>
          <w:rFonts w:asciiTheme="majorHAnsi" w:hAnsiTheme="majorHAnsi" w:cs="Arial"/>
          <w:sz w:val="20"/>
          <w:szCs w:val="20"/>
          <w:lang w:val="en"/>
        </w:rPr>
      </w:pPr>
      <w:r w:rsidRPr="00557BA8">
        <w:rPr>
          <w:rFonts w:asciiTheme="majorHAnsi" w:hAnsiTheme="majorHAnsi" w:cs="Arial"/>
          <w:sz w:val="20"/>
          <w:szCs w:val="20"/>
          <w:lang w:val="en"/>
        </w:rPr>
        <w:t>(6)  The offender caused or directed another to commit murder in the first degree or committed murder in the first degree as an agent or employee of another person;</w:t>
      </w:r>
    </w:p>
    <w:p w14:paraId="513862CB" w14:textId="77777777" w:rsidR="001E555D" w:rsidRPr="00557BA8" w:rsidRDefault="001E555D" w:rsidP="00557BA8">
      <w:pPr>
        <w:pStyle w:val="norm"/>
        <w:shd w:val="clear" w:color="auto" w:fill="FFFFFF" w:themeFill="background1"/>
        <w:spacing w:before="0" w:beforeAutospacing="0" w:after="0"/>
        <w:ind w:left="360" w:right="360"/>
        <w:jc w:val="both"/>
        <w:rPr>
          <w:rFonts w:asciiTheme="majorHAnsi" w:hAnsiTheme="majorHAnsi" w:cs="Arial"/>
          <w:sz w:val="20"/>
          <w:szCs w:val="20"/>
          <w:lang w:val="en"/>
        </w:rPr>
      </w:pPr>
      <w:r w:rsidRPr="00557BA8">
        <w:rPr>
          <w:rFonts w:asciiTheme="majorHAnsi" w:hAnsiTheme="majorHAnsi" w:cs="Arial"/>
          <w:sz w:val="20"/>
          <w:szCs w:val="20"/>
          <w:lang w:val="en"/>
        </w:rPr>
        <w:t>(7)  The murder in the first degree was outrageously or wantonly vile, horrible or inhuman in that it involved torture, or depravity of mind;</w:t>
      </w:r>
    </w:p>
    <w:p w14:paraId="7B32F72F" w14:textId="77777777" w:rsidR="001E555D" w:rsidRPr="00557BA8" w:rsidRDefault="001E555D" w:rsidP="00557BA8">
      <w:pPr>
        <w:pStyle w:val="norm"/>
        <w:shd w:val="clear" w:color="auto" w:fill="FFFFFF" w:themeFill="background1"/>
        <w:spacing w:before="0" w:beforeAutospacing="0" w:after="0"/>
        <w:ind w:left="360" w:right="360"/>
        <w:jc w:val="both"/>
        <w:rPr>
          <w:rFonts w:asciiTheme="majorHAnsi" w:hAnsiTheme="majorHAnsi" w:cs="Arial"/>
          <w:sz w:val="20"/>
          <w:szCs w:val="20"/>
          <w:lang w:val="en"/>
        </w:rPr>
      </w:pPr>
      <w:r w:rsidRPr="00557BA8">
        <w:rPr>
          <w:rFonts w:asciiTheme="majorHAnsi" w:hAnsiTheme="majorHAnsi" w:cs="Arial"/>
          <w:sz w:val="20"/>
          <w:szCs w:val="20"/>
          <w:lang w:val="en"/>
        </w:rPr>
        <w:t>(8)  The murder in the first degree was committed against any peace officer, or fireman while engaged in the performance of his or her official duty;</w:t>
      </w:r>
    </w:p>
    <w:p w14:paraId="6D41C66D" w14:textId="77777777" w:rsidR="001E555D" w:rsidRPr="00557BA8" w:rsidRDefault="001E555D" w:rsidP="00557BA8">
      <w:pPr>
        <w:pStyle w:val="norm"/>
        <w:shd w:val="clear" w:color="auto" w:fill="FFFFFF" w:themeFill="background1"/>
        <w:spacing w:before="0" w:beforeAutospacing="0" w:after="0"/>
        <w:ind w:left="360" w:right="360"/>
        <w:jc w:val="both"/>
        <w:rPr>
          <w:rFonts w:asciiTheme="majorHAnsi" w:hAnsiTheme="majorHAnsi" w:cs="Arial"/>
          <w:sz w:val="20"/>
          <w:szCs w:val="20"/>
          <w:lang w:val="en"/>
        </w:rPr>
      </w:pPr>
      <w:r w:rsidRPr="00557BA8">
        <w:rPr>
          <w:rFonts w:asciiTheme="majorHAnsi" w:hAnsiTheme="majorHAnsi" w:cs="Arial"/>
          <w:sz w:val="20"/>
          <w:szCs w:val="20"/>
          <w:lang w:val="en"/>
        </w:rPr>
        <w:t>(9)  The murder in the first degree was committed by a person in, or who has escaped from, the lawful custody of a peace officer or place of lawful confinement;</w:t>
      </w:r>
    </w:p>
    <w:p w14:paraId="0F662349" w14:textId="77777777" w:rsidR="001E555D" w:rsidRPr="00557BA8" w:rsidRDefault="001E555D" w:rsidP="00557BA8">
      <w:pPr>
        <w:pStyle w:val="norm"/>
        <w:shd w:val="clear" w:color="auto" w:fill="FFFFFF" w:themeFill="background1"/>
        <w:spacing w:before="0" w:beforeAutospacing="0" w:after="0"/>
        <w:ind w:left="360" w:right="360"/>
        <w:jc w:val="both"/>
        <w:rPr>
          <w:rFonts w:asciiTheme="majorHAnsi" w:hAnsiTheme="majorHAnsi" w:cs="Arial"/>
          <w:sz w:val="20"/>
          <w:szCs w:val="20"/>
          <w:lang w:val="en"/>
        </w:rPr>
      </w:pPr>
      <w:r w:rsidRPr="00557BA8">
        <w:rPr>
          <w:rFonts w:asciiTheme="majorHAnsi" w:hAnsiTheme="majorHAnsi" w:cs="Arial"/>
          <w:sz w:val="20"/>
          <w:szCs w:val="20"/>
          <w:lang w:val="en"/>
        </w:rPr>
        <w:t>(10)  The murder in the first degree was committed for the purpose of avoiding, interfering with, or preventing a lawful arrest or custody in a place of lawful confinement, of himself or herself or another;</w:t>
      </w:r>
    </w:p>
    <w:p w14:paraId="5C645958" w14:textId="77777777" w:rsidR="001E555D" w:rsidRPr="00557BA8" w:rsidRDefault="001E555D" w:rsidP="00557BA8">
      <w:pPr>
        <w:pStyle w:val="norm"/>
        <w:shd w:val="clear" w:color="auto" w:fill="FFFFFF" w:themeFill="background1"/>
        <w:spacing w:before="0" w:beforeAutospacing="0" w:after="0"/>
        <w:ind w:left="360" w:right="360"/>
        <w:jc w:val="both"/>
        <w:rPr>
          <w:rFonts w:asciiTheme="majorHAnsi" w:hAnsiTheme="majorHAnsi" w:cs="Arial"/>
          <w:sz w:val="20"/>
          <w:szCs w:val="20"/>
          <w:lang w:val="en"/>
        </w:rPr>
      </w:pPr>
      <w:r w:rsidRPr="00557BA8">
        <w:rPr>
          <w:rFonts w:asciiTheme="majorHAnsi" w:hAnsiTheme="majorHAnsi" w:cs="Arial"/>
          <w:sz w:val="20"/>
          <w:szCs w:val="20"/>
          <w:lang w:val="en"/>
        </w:rPr>
        <w:t xml:space="preserve">(11)  The murder in the first degree was committed while the defendant was engaged in the perpetration or was aiding or encouraging another person to perpetrate or attempt to perpetrate a felony of any degree of rape, sodomy, burglary, robbery, kidnapping, or any felony offense in </w:t>
      </w:r>
      <w:hyperlink r:id="rId15" w:history="1">
        <w:r w:rsidRPr="00557BA8">
          <w:rPr>
            <w:rFonts w:asciiTheme="majorHAnsi" w:hAnsiTheme="majorHAnsi" w:cs="Arial"/>
            <w:sz w:val="20"/>
            <w:szCs w:val="20"/>
            <w:lang w:val="en"/>
          </w:rPr>
          <w:t>chapter 195</w:t>
        </w:r>
      </w:hyperlink>
      <w:r w:rsidRPr="00557BA8">
        <w:rPr>
          <w:rFonts w:asciiTheme="majorHAnsi" w:hAnsiTheme="majorHAnsi" w:cs="Arial"/>
          <w:sz w:val="20"/>
          <w:szCs w:val="20"/>
          <w:lang w:val="en"/>
        </w:rPr>
        <w:t xml:space="preserve"> or </w:t>
      </w:r>
      <w:hyperlink r:id="rId16" w:history="1">
        <w:r w:rsidRPr="00557BA8">
          <w:rPr>
            <w:rFonts w:asciiTheme="majorHAnsi" w:hAnsiTheme="majorHAnsi" w:cs="Arial"/>
            <w:sz w:val="20"/>
            <w:szCs w:val="20"/>
            <w:lang w:val="en"/>
          </w:rPr>
          <w:t>579</w:t>
        </w:r>
      </w:hyperlink>
      <w:r w:rsidRPr="00557BA8">
        <w:rPr>
          <w:rFonts w:asciiTheme="majorHAnsi" w:hAnsiTheme="majorHAnsi" w:cs="Arial"/>
          <w:sz w:val="20"/>
          <w:szCs w:val="20"/>
          <w:lang w:val="en"/>
        </w:rPr>
        <w:t>;</w:t>
      </w:r>
    </w:p>
    <w:p w14:paraId="10C47D28" w14:textId="77777777" w:rsidR="001E555D" w:rsidRPr="00557BA8" w:rsidRDefault="001E555D" w:rsidP="00557BA8">
      <w:pPr>
        <w:pStyle w:val="norm"/>
        <w:shd w:val="clear" w:color="auto" w:fill="FFFFFF" w:themeFill="background1"/>
        <w:spacing w:before="0" w:beforeAutospacing="0" w:after="0"/>
        <w:ind w:left="360" w:right="360"/>
        <w:jc w:val="both"/>
        <w:rPr>
          <w:rFonts w:asciiTheme="majorHAnsi" w:hAnsiTheme="majorHAnsi" w:cs="Arial"/>
          <w:sz w:val="20"/>
          <w:szCs w:val="20"/>
          <w:lang w:val="en"/>
        </w:rPr>
      </w:pPr>
      <w:r w:rsidRPr="00557BA8">
        <w:rPr>
          <w:rFonts w:asciiTheme="majorHAnsi" w:hAnsiTheme="majorHAnsi" w:cs="Arial"/>
          <w:sz w:val="20"/>
          <w:szCs w:val="20"/>
          <w:lang w:val="en"/>
        </w:rPr>
        <w:t>(12)  The murdered individual was a witness or potential witness in any past or pending investigation or past or pending prosecution, and was killed as a result of his or her status as a witness or potential witness;</w:t>
      </w:r>
    </w:p>
    <w:p w14:paraId="5D02287E" w14:textId="77777777" w:rsidR="001E555D" w:rsidRPr="00557BA8" w:rsidRDefault="001E555D" w:rsidP="00557BA8">
      <w:pPr>
        <w:pStyle w:val="norm"/>
        <w:shd w:val="clear" w:color="auto" w:fill="FFFFFF" w:themeFill="background1"/>
        <w:spacing w:before="0" w:beforeAutospacing="0" w:after="0"/>
        <w:ind w:left="360" w:right="360"/>
        <w:jc w:val="both"/>
        <w:rPr>
          <w:rFonts w:asciiTheme="majorHAnsi" w:hAnsiTheme="majorHAnsi" w:cs="Arial"/>
          <w:sz w:val="20"/>
          <w:szCs w:val="20"/>
          <w:lang w:val="en"/>
        </w:rPr>
      </w:pPr>
      <w:r w:rsidRPr="00557BA8">
        <w:rPr>
          <w:rFonts w:asciiTheme="majorHAnsi" w:hAnsiTheme="majorHAnsi" w:cs="Arial"/>
          <w:sz w:val="20"/>
          <w:szCs w:val="20"/>
          <w:lang w:val="en"/>
        </w:rPr>
        <w:t>(13)  The murdered individual was an employee of an institution or facility of the department of corrections of this state or local correction agency and was killed in the course of performing his or her official duties, or the murdered individual was an inmate of such institution or facility;</w:t>
      </w:r>
    </w:p>
    <w:p w14:paraId="36D8561F" w14:textId="77777777" w:rsidR="001E555D" w:rsidRPr="00557BA8" w:rsidRDefault="001E555D" w:rsidP="00557BA8">
      <w:pPr>
        <w:pStyle w:val="norm"/>
        <w:shd w:val="clear" w:color="auto" w:fill="FFFFFF" w:themeFill="background1"/>
        <w:spacing w:before="0" w:beforeAutospacing="0" w:after="0"/>
        <w:ind w:left="360" w:right="360"/>
        <w:jc w:val="both"/>
        <w:rPr>
          <w:rFonts w:asciiTheme="majorHAnsi" w:hAnsiTheme="majorHAnsi" w:cs="Arial"/>
          <w:sz w:val="20"/>
          <w:szCs w:val="20"/>
          <w:lang w:val="en"/>
        </w:rPr>
      </w:pPr>
      <w:r w:rsidRPr="00557BA8">
        <w:rPr>
          <w:rFonts w:asciiTheme="majorHAnsi" w:hAnsiTheme="majorHAnsi" w:cs="Arial"/>
          <w:sz w:val="20"/>
          <w:szCs w:val="20"/>
          <w:lang w:val="en"/>
        </w:rPr>
        <w:t>(14)  The murdered individual was killed as a result of the hijacking of an airplane, train, ship, bus or other public conveyance;</w:t>
      </w:r>
    </w:p>
    <w:p w14:paraId="246CAFC4" w14:textId="77777777" w:rsidR="001E555D" w:rsidRPr="00557BA8" w:rsidRDefault="001E555D" w:rsidP="00557BA8">
      <w:pPr>
        <w:pStyle w:val="norm"/>
        <w:shd w:val="clear" w:color="auto" w:fill="FFFFFF" w:themeFill="background1"/>
        <w:spacing w:before="0" w:beforeAutospacing="0" w:after="0"/>
        <w:ind w:left="360" w:right="360"/>
        <w:jc w:val="both"/>
        <w:rPr>
          <w:rFonts w:asciiTheme="majorHAnsi" w:hAnsiTheme="majorHAnsi" w:cs="Arial"/>
          <w:sz w:val="20"/>
          <w:szCs w:val="20"/>
          <w:lang w:val="en"/>
        </w:rPr>
      </w:pPr>
      <w:r w:rsidRPr="00557BA8">
        <w:rPr>
          <w:rFonts w:asciiTheme="majorHAnsi" w:hAnsiTheme="majorHAnsi" w:cs="Arial"/>
          <w:sz w:val="20"/>
          <w:szCs w:val="20"/>
          <w:lang w:val="en"/>
        </w:rPr>
        <w:t xml:space="preserve">(15)  The murder was committed for the purpose of concealing or attempting to conceal any felony offense defined in </w:t>
      </w:r>
      <w:hyperlink r:id="rId17" w:history="1">
        <w:r w:rsidRPr="00557BA8">
          <w:rPr>
            <w:rFonts w:asciiTheme="majorHAnsi" w:hAnsiTheme="majorHAnsi" w:cs="Arial"/>
            <w:sz w:val="20"/>
            <w:szCs w:val="20"/>
            <w:lang w:val="en"/>
          </w:rPr>
          <w:t>chapter 195</w:t>
        </w:r>
      </w:hyperlink>
      <w:r w:rsidRPr="00557BA8">
        <w:rPr>
          <w:rFonts w:asciiTheme="majorHAnsi" w:hAnsiTheme="majorHAnsi" w:cs="Arial"/>
          <w:sz w:val="20"/>
          <w:szCs w:val="20"/>
          <w:lang w:val="en"/>
        </w:rPr>
        <w:t xml:space="preserve"> or </w:t>
      </w:r>
      <w:hyperlink r:id="rId18" w:history="1">
        <w:r w:rsidRPr="00557BA8">
          <w:rPr>
            <w:rFonts w:asciiTheme="majorHAnsi" w:hAnsiTheme="majorHAnsi" w:cs="Arial"/>
            <w:sz w:val="20"/>
            <w:szCs w:val="20"/>
            <w:lang w:val="en"/>
          </w:rPr>
          <w:t>579</w:t>
        </w:r>
      </w:hyperlink>
      <w:r w:rsidRPr="00557BA8">
        <w:rPr>
          <w:rFonts w:asciiTheme="majorHAnsi" w:hAnsiTheme="majorHAnsi" w:cs="Arial"/>
          <w:sz w:val="20"/>
          <w:szCs w:val="20"/>
          <w:lang w:val="en"/>
        </w:rPr>
        <w:t>;</w:t>
      </w:r>
    </w:p>
    <w:p w14:paraId="789FB722" w14:textId="77777777" w:rsidR="001E555D" w:rsidRPr="00557BA8" w:rsidRDefault="001E555D" w:rsidP="00557BA8">
      <w:pPr>
        <w:pStyle w:val="norm"/>
        <w:shd w:val="clear" w:color="auto" w:fill="FFFFFF" w:themeFill="background1"/>
        <w:spacing w:before="0" w:beforeAutospacing="0" w:after="0"/>
        <w:ind w:left="360" w:right="360"/>
        <w:jc w:val="both"/>
        <w:rPr>
          <w:rFonts w:asciiTheme="majorHAnsi" w:hAnsiTheme="majorHAnsi" w:cs="Arial"/>
          <w:sz w:val="20"/>
          <w:szCs w:val="20"/>
          <w:lang w:val="en"/>
        </w:rPr>
      </w:pPr>
      <w:r w:rsidRPr="00557BA8">
        <w:rPr>
          <w:rFonts w:asciiTheme="majorHAnsi" w:hAnsiTheme="majorHAnsi" w:cs="Arial"/>
          <w:sz w:val="20"/>
          <w:szCs w:val="20"/>
          <w:lang w:val="en"/>
        </w:rPr>
        <w:lastRenderedPageBreak/>
        <w:t xml:space="preserve">(16)  The murder was committed for the purpose of causing or attempting to cause a person to refrain from initiating or aiding in the prosecution of a felony offense defined in </w:t>
      </w:r>
      <w:hyperlink r:id="rId19" w:history="1">
        <w:r w:rsidRPr="00557BA8">
          <w:rPr>
            <w:rFonts w:asciiTheme="majorHAnsi" w:hAnsiTheme="majorHAnsi"/>
            <w:sz w:val="20"/>
            <w:szCs w:val="20"/>
          </w:rPr>
          <w:t>chapter 195</w:t>
        </w:r>
      </w:hyperlink>
      <w:r w:rsidRPr="00557BA8">
        <w:rPr>
          <w:rFonts w:asciiTheme="majorHAnsi" w:hAnsiTheme="majorHAnsi" w:cs="Arial"/>
          <w:sz w:val="20"/>
          <w:szCs w:val="20"/>
          <w:lang w:val="en"/>
        </w:rPr>
        <w:t xml:space="preserve"> or </w:t>
      </w:r>
      <w:hyperlink r:id="rId20" w:history="1">
        <w:r w:rsidRPr="00557BA8">
          <w:rPr>
            <w:rFonts w:asciiTheme="majorHAnsi" w:hAnsiTheme="majorHAnsi"/>
            <w:sz w:val="20"/>
            <w:szCs w:val="20"/>
          </w:rPr>
          <w:t>579</w:t>
        </w:r>
      </w:hyperlink>
      <w:r w:rsidRPr="00557BA8">
        <w:rPr>
          <w:rFonts w:asciiTheme="majorHAnsi" w:hAnsiTheme="majorHAnsi" w:cs="Arial"/>
          <w:sz w:val="20"/>
          <w:szCs w:val="20"/>
          <w:lang w:val="en"/>
        </w:rPr>
        <w:t>;</w:t>
      </w:r>
    </w:p>
    <w:p w14:paraId="224197C1" w14:textId="77777777" w:rsidR="001E555D" w:rsidRPr="00557BA8" w:rsidRDefault="001E555D" w:rsidP="00557BA8">
      <w:pPr>
        <w:pStyle w:val="norm"/>
        <w:shd w:val="clear" w:color="auto" w:fill="FFFFFF" w:themeFill="background1"/>
        <w:spacing w:before="0" w:beforeAutospacing="0" w:after="0"/>
        <w:ind w:left="360" w:right="360"/>
        <w:jc w:val="both"/>
        <w:rPr>
          <w:rFonts w:asciiTheme="majorHAnsi" w:hAnsiTheme="majorHAnsi" w:cs="Arial"/>
          <w:sz w:val="20"/>
          <w:szCs w:val="20"/>
          <w:lang w:val="en"/>
        </w:rPr>
      </w:pPr>
      <w:r w:rsidRPr="00557BA8">
        <w:rPr>
          <w:rFonts w:asciiTheme="majorHAnsi" w:hAnsiTheme="majorHAnsi" w:cs="Arial"/>
          <w:sz w:val="20"/>
          <w:szCs w:val="20"/>
          <w:lang w:val="en"/>
        </w:rPr>
        <w:t xml:space="preserve">(17)  The murder was committed during the commission of an offense which is part of a pattern of criminal street gang activity as defined in section </w:t>
      </w:r>
      <w:hyperlink r:id="rId21" w:history="1">
        <w:r w:rsidRPr="00557BA8">
          <w:rPr>
            <w:rFonts w:asciiTheme="majorHAnsi" w:hAnsiTheme="majorHAnsi"/>
            <w:sz w:val="20"/>
            <w:szCs w:val="20"/>
          </w:rPr>
          <w:t>578.421</w:t>
        </w:r>
      </w:hyperlink>
      <w:r w:rsidRPr="00557BA8">
        <w:rPr>
          <w:rFonts w:asciiTheme="majorHAnsi" w:hAnsiTheme="majorHAnsi" w:cs="Arial"/>
          <w:sz w:val="20"/>
          <w:szCs w:val="20"/>
          <w:lang w:val="en"/>
        </w:rPr>
        <w:t>.</w:t>
      </w:r>
    </w:p>
    <w:p w14:paraId="49677917" w14:textId="77777777" w:rsidR="001E555D" w:rsidRPr="00557BA8" w:rsidRDefault="001E555D" w:rsidP="00557BA8">
      <w:pPr>
        <w:pStyle w:val="norm"/>
        <w:shd w:val="clear" w:color="auto" w:fill="FFFFFF" w:themeFill="background1"/>
        <w:spacing w:before="0" w:beforeAutospacing="0" w:after="0"/>
        <w:ind w:left="360" w:right="360"/>
        <w:jc w:val="both"/>
        <w:rPr>
          <w:rFonts w:asciiTheme="majorHAnsi" w:hAnsiTheme="majorHAnsi" w:cs="Arial"/>
          <w:sz w:val="20"/>
          <w:szCs w:val="20"/>
          <w:lang w:val="en"/>
        </w:rPr>
      </w:pPr>
      <w:r w:rsidRPr="00557BA8">
        <w:rPr>
          <w:rFonts w:asciiTheme="majorHAnsi" w:hAnsiTheme="majorHAnsi" w:cs="Arial"/>
          <w:sz w:val="20"/>
          <w:szCs w:val="20"/>
          <w:lang w:val="en"/>
        </w:rPr>
        <w:t> </w:t>
      </w:r>
      <w:r w:rsidRPr="00557BA8">
        <w:rPr>
          <w:rFonts w:asciiTheme="majorHAnsi" w:hAnsiTheme="majorHAnsi" w:cs="Arial"/>
          <w:sz w:val="20"/>
          <w:szCs w:val="20"/>
          <w:lang w:val="en"/>
        </w:rPr>
        <w:t> </w:t>
      </w:r>
    </w:p>
    <w:p w14:paraId="219D471E" w14:textId="77777777" w:rsidR="001E555D" w:rsidRPr="00557BA8" w:rsidRDefault="001E555D" w:rsidP="00557BA8">
      <w:pPr>
        <w:pStyle w:val="norm"/>
        <w:shd w:val="clear" w:color="auto" w:fill="FFFFFF" w:themeFill="background1"/>
        <w:spacing w:before="0" w:beforeAutospacing="0" w:after="0"/>
        <w:ind w:left="360" w:right="360"/>
        <w:jc w:val="both"/>
        <w:rPr>
          <w:rFonts w:asciiTheme="majorHAnsi" w:hAnsiTheme="majorHAnsi" w:cs="Arial"/>
          <w:sz w:val="20"/>
          <w:szCs w:val="20"/>
          <w:lang w:val="en"/>
        </w:rPr>
      </w:pPr>
      <w:r w:rsidRPr="00557BA8">
        <w:rPr>
          <w:rFonts w:asciiTheme="majorHAnsi" w:hAnsiTheme="majorHAnsi" w:cs="Arial"/>
          <w:sz w:val="20"/>
          <w:szCs w:val="20"/>
          <w:lang w:val="en"/>
        </w:rPr>
        <w:t>3.  Statutory mitigating circumstances shall include the following:</w:t>
      </w:r>
    </w:p>
    <w:p w14:paraId="29BE029F" w14:textId="77777777" w:rsidR="001E555D" w:rsidRPr="00557BA8" w:rsidRDefault="001E555D" w:rsidP="00557BA8">
      <w:pPr>
        <w:pStyle w:val="norm"/>
        <w:shd w:val="clear" w:color="auto" w:fill="FFFFFF" w:themeFill="background1"/>
        <w:spacing w:before="0" w:beforeAutospacing="0" w:after="0"/>
        <w:ind w:left="360" w:right="360"/>
        <w:jc w:val="both"/>
        <w:rPr>
          <w:rFonts w:asciiTheme="majorHAnsi" w:hAnsiTheme="majorHAnsi" w:cs="Arial"/>
          <w:sz w:val="20"/>
          <w:szCs w:val="20"/>
          <w:lang w:val="en"/>
        </w:rPr>
      </w:pPr>
      <w:r w:rsidRPr="00557BA8">
        <w:rPr>
          <w:rFonts w:asciiTheme="majorHAnsi" w:hAnsiTheme="majorHAnsi" w:cs="Arial"/>
          <w:sz w:val="20"/>
          <w:szCs w:val="20"/>
          <w:lang w:val="en"/>
        </w:rPr>
        <w:t>(1)  The defendant has no significant history of prior criminal activity;</w:t>
      </w:r>
    </w:p>
    <w:p w14:paraId="7977547E" w14:textId="77777777" w:rsidR="001E555D" w:rsidRPr="00557BA8" w:rsidRDefault="001E555D" w:rsidP="00557BA8">
      <w:pPr>
        <w:pStyle w:val="norm"/>
        <w:shd w:val="clear" w:color="auto" w:fill="FFFFFF" w:themeFill="background1"/>
        <w:spacing w:before="0" w:beforeAutospacing="0" w:after="0"/>
        <w:ind w:left="360" w:right="360"/>
        <w:jc w:val="both"/>
        <w:rPr>
          <w:rFonts w:asciiTheme="majorHAnsi" w:hAnsiTheme="majorHAnsi" w:cs="Arial"/>
          <w:sz w:val="20"/>
          <w:szCs w:val="20"/>
          <w:lang w:val="en"/>
        </w:rPr>
      </w:pPr>
      <w:r w:rsidRPr="00557BA8">
        <w:rPr>
          <w:rFonts w:asciiTheme="majorHAnsi" w:hAnsiTheme="majorHAnsi" w:cs="Arial"/>
          <w:sz w:val="20"/>
          <w:szCs w:val="20"/>
          <w:lang w:val="en"/>
        </w:rPr>
        <w:t>(2)  The murder in the first degree was committed while the defendant was under the influence of extreme mental or emotional disturbance;</w:t>
      </w:r>
    </w:p>
    <w:p w14:paraId="71F15198" w14:textId="77777777" w:rsidR="001E555D" w:rsidRPr="00557BA8" w:rsidRDefault="001E555D" w:rsidP="00557BA8">
      <w:pPr>
        <w:pStyle w:val="norm"/>
        <w:shd w:val="clear" w:color="auto" w:fill="FFFFFF" w:themeFill="background1"/>
        <w:spacing w:before="0" w:beforeAutospacing="0" w:after="0"/>
        <w:ind w:left="360" w:right="360"/>
        <w:jc w:val="both"/>
        <w:rPr>
          <w:rFonts w:asciiTheme="majorHAnsi" w:hAnsiTheme="majorHAnsi" w:cs="Arial"/>
          <w:sz w:val="20"/>
          <w:szCs w:val="20"/>
          <w:lang w:val="en"/>
        </w:rPr>
      </w:pPr>
      <w:r w:rsidRPr="00557BA8">
        <w:rPr>
          <w:rFonts w:asciiTheme="majorHAnsi" w:hAnsiTheme="majorHAnsi" w:cs="Arial"/>
          <w:sz w:val="20"/>
          <w:szCs w:val="20"/>
          <w:lang w:val="en"/>
        </w:rPr>
        <w:t>(3)  The victim was a participant in the defendant's conduct or consented to the act;</w:t>
      </w:r>
    </w:p>
    <w:p w14:paraId="51D41CBE" w14:textId="77777777" w:rsidR="001E555D" w:rsidRPr="00557BA8" w:rsidRDefault="001E555D" w:rsidP="00557BA8">
      <w:pPr>
        <w:pStyle w:val="norm"/>
        <w:shd w:val="clear" w:color="auto" w:fill="FFFFFF" w:themeFill="background1"/>
        <w:spacing w:before="0" w:beforeAutospacing="0" w:after="0"/>
        <w:ind w:left="360" w:right="360"/>
        <w:jc w:val="both"/>
        <w:rPr>
          <w:rFonts w:asciiTheme="majorHAnsi" w:hAnsiTheme="majorHAnsi" w:cs="Arial"/>
          <w:sz w:val="20"/>
          <w:szCs w:val="20"/>
          <w:lang w:val="en"/>
        </w:rPr>
      </w:pPr>
      <w:r w:rsidRPr="00557BA8">
        <w:rPr>
          <w:rFonts w:asciiTheme="majorHAnsi" w:hAnsiTheme="majorHAnsi" w:cs="Arial"/>
          <w:sz w:val="20"/>
          <w:szCs w:val="20"/>
          <w:lang w:val="en"/>
        </w:rPr>
        <w:t>(4)  The defendant was an accomplice in the murder in the first degree committed by another person and his or her participation was relatively minor;</w:t>
      </w:r>
    </w:p>
    <w:p w14:paraId="515F8DD9" w14:textId="77777777" w:rsidR="001E555D" w:rsidRPr="00557BA8" w:rsidRDefault="001E555D" w:rsidP="00557BA8">
      <w:pPr>
        <w:pStyle w:val="norm"/>
        <w:shd w:val="clear" w:color="auto" w:fill="FFFFFF" w:themeFill="background1"/>
        <w:spacing w:before="0" w:beforeAutospacing="0" w:after="0"/>
        <w:ind w:left="360" w:right="360"/>
        <w:jc w:val="both"/>
        <w:rPr>
          <w:rFonts w:asciiTheme="majorHAnsi" w:hAnsiTheme="majorHAnsi" w:cs="Arial"/>
          <w:sz w:val="20"/>
          <w:szCs w:val="20"/>
          <w:lang w:val="en"/>
        </w:rPr>
      </w:pPr>
      <w:r w:rsidRPr="00557BA8">
        <w:rPr>
          <w:rFonts w:asciiTheme="majorHAnsi" w:hAnsiTheme="majorHAnsi" w:cs="Arial"/>
          <w:sz w:val="20"/>
          <w:szCs w:val="20"/>
          <w:lang w:val="en"/>
        </w:rPr>
        <w:t>(5)  The defendant acted under extreme duress or under the substantial domination of another person;</w:t>
      </w:r>
    </w:p>
    <w:p w14:paraId="59D19C17" w14:textId="77777777" w:rsidR="001E555D" w:rsidRPr="00557BA8" w:rsidRDefault="001E555D" w:rsidP="00557BA8">
      <w:pPr>
        <w:pStyle w:val="norm"/>
        <w:shd w:val="clear" w:color="auto" w:fill="FFFFFF" w:themeFill="background1"/>
        <w:spacing w:before="0" w:beforeAutospacing="0" w:after="0"/>
        <w:ind w:left="360" w:right="360"/>
        <w:jc w:val="both"/>
        <w:rPr>
          <w:rFonts w:asciiTheme="majorHAnsi" w:hAnsiTheme="majorHAnsi" w:cs="Arial"/>
          <w:sz w:val="20"/>
          <w:szCs w:val="20"/>
          <w:lang w:val="en"/>
        </w:rPr>
      </w:pPr>
      <w:r w:rsidRPr="00557BA8">
        <w:rPr>
          <w:rFonts w:asciiTheme="majorHAnsi" w:hAnsiTheme="majorHAnsi" w:cs="Arial"/>
          <w:sz w:val="20"/>
          <w:szCs w:val="20"/>
          <w:lang w:val="en"/>
        </w:rPr>
        <w:t>(6)  The capacity of the defendant to appreciate the criminality of his or her conduct or to conform his or her conduct to the requirements of law was substantially impaired;</w:t>
      </w:r>
    </w:p>
    <w:p w14:paraId="595E0B86" w14:textId="77777777" w:rsidR="001E555D" w:rsidRPr="00256677" w:rsidRDefault="001E555D" w:rsidP="00557BA8">
      <w:pPr>
        <w:pStyle w:val="norm"/>
        <w:shd w:val="clear" w:color="auto" w:fill="FFFFFF" w:themeFill="background1"/>
        <w:spacing w:before="0" w:beforeAutospacing="0" w:after="0"/>
        <w:ind w:left="360" w:right="360"/>
        <w:jc w:val="both"/>
        <w:rPr>
          <w:rFonts w:asciiTheme="majorHAnsi" w:hAnsiTheme="majorHAnsi" w:cs="Arial"/>
          <w:sz w:val="20"/>
          <w:szCs w:val="20"/>
          <w:lang w:val="en"/>
        </w:rPr>
      </w:pPr>
      <w:r w:rsidRPr="00557BA8">
        <w:rPr>
          <w:rFonts w:asciiTheme="majorHAnsi" w:hAnsiTheme="majorHAnsi" w:cs="Arial"/>
          <w:sz w:val="20"/>
          <w:szCs w:val="20"/>
          <w:lang w:val="en"/>
        </w:rPr>
        <w:t>(7)  The age of the defendant at the time of the offense.</w:t>
      </w:r>
    </w:p>
    <w:p w14:paraId="07ED0679" w14:textId="77777777" w:rsidR="001E555D" w:rsidRPr="00256677" w:rsidRDefault="001E555D" w:rsidP="00111F1D">
      <w:pPr>
        <w:tabs>
          <w:tab w:val="left" w:pos="360"/>
        </w:tabs>
        <w:rPr>
          <w:rFonts w:asciiTheme="majorHAnsi" w:eastAsia="Times New Roman" w:hAnsiTheme="majorHAnsi"/>
          <w:sz w:val="20"/>
          <w:szCs w:val="20"/>
          <w:lang w:val="en"/>
        </w:rPr>
      </w:pPr>
    </w:p>
    <w:p w14:paraId="2B1E0DED" w14:textId="77777777" w:rsidR="00F5237B" w:rsidRPr="00256677" w:rsidRDefault="00F5237B" w:rsidP="00F5237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rPr>
      </w:pPr>
      <w:r w:rsidRPr="00256677">
        <w:rPr>
          <w:rFonts w:ascii="Cambria" w:hAnsi="Cambria"/>
          <w:sz w:val="20"/>
          <w:szCs w:val="20"/>
        </w:rPr>
        <w:t>Circumstances permitting inference that an accomplice deliberated upon murder include:</w:t>
      </w:r>
    </w:p>
    <w:p w14:paraId="3B08F8E4" w14:textId="77777777" w:rsidR="001741DD" w:rsidRPr="00256677" w:rsidRDefault="001741DD" w:rsidP="001741D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Cambria" w:hAnsi="Cambria"/>
          <w:sz w:val="20"/>
          <w:szCs w:val="20"/>
        </w:rPr>
      </w:pPr>
    </w:p>
    <w:p w14:paraId="62411AB8" w14:textId="77777777" w:rsidR="00F5237B" w:rsidRPr="00256677" w:rsidRDefault="001741DD" w:rsidP="001741DD">
      <w:pPr>
        <w:pStyle w:val="ListParagraph"/>
        <w:numPr>
          <w:ilvl w:val="1"/>
          <w:numId w:val="53"/>
        </w:numPr>
        <w:tabs>
          <w:tab w:val="left" w:pos="360"/>
        </w:tabs>
        <w:ind w:left="720"/>
        <w:jc w:val="both"/>
        <w:rPr>
          <w:rFonts w:asciiTheme="majorHAnsi" w:eastAsia="Times New Roman" w:hAnsiTheme="majorHAnsi"/>
          <w:sz w:val="20"/>
          <w:szCs w:val="20"/>
        </w:rPr>
      </w:pPr>
      <w:r w:rsidRPr="00256677">
        <w:rPr>
          <w:rFonts w:asciiTheme="majorHAnsi" w:eastAsia="Times New Roman" w:hAnsiTheme="majorHAnsi"/>
          <w:sz w:val="20"/>
          <w:szCs w:val="20"/>
        </w:rPr>
        <w:t>Where a statement or conduct by the accomplice or by a codefendant in the presence of the accomplice prior to the murder indicates a purpose to kill a human.</w:t>
      </w:r>
      <w:r w:rsidRPr="00256677">
        <w:rPr>
          <w:rStyle w:val="FootnoteReference"/>
          <w:rFonts w:asciiTheme="majorHAnsi" w:eastAsia="Times New Roman" w:hAnsiTheme="majorHAnsi"/>
          <w:sz w:val="20"/>
          <w:szCs w:val="20"/>
        </w:rPr>
        <w:footnoteReference w:id="10"/>
      </w:r>
    </w:p>
    <w:p w14:paraId="76AAE127" w14:textId="77777777" w:rsidR="001741DD" w:rsidRPr="00256677" w:rsidRDefault="001741DD" w:rsidP="001741DD">
      <w:pPr>
        <w:pStyle w:val="ListParagraph"/>
        <w:numPr>
          <w:ilvl w:val="1"/>
          <w:numId w:val="53"/>
        </w:numPr>
        <w:tabs>
          <w:tab w:val="left" w:pos="360"/>
        </w:tabs>
        <w:ind w:left="720"/>
        <w:jc w:val="both"/>
        <w:rPr>
          <w:rFonts w:asciiTheme="majorHAnsi" w:eastAsia="Times New Roman" w:hAnsiTheme="majorHAnsi"/>
          <w:sz w:val="20"/>
          <w:szCs w:val="20"/>
        </w:rPr>
      </w:pPr>
      <w:r w:rsidRPr="00256677">
        <w:rPr>
          <w:rFonts w:asciiTheme="majorHAnsi" w:eastAsia="Times New Roman" w:hAnsiTheme="majorHAnsi"/>
          <w:sz w:val="20"/>
          <w:szCs w:val="20"/>
        </w:rPr>
        <w:t>Where there is evidence that the accomplice either participated in the homicide or continued in the criminal enterprise when it was apparent that a victim was to be killed.</w:t>
      </w:r>
      <w:r w:rsidRPr="00256677">
        <w:rPr>
          <w:rStyle w:val="FootnoteReference"/>
          <w:rFonts w:asciiTheme="majorHAnsi" w:eastAsia="Times New Roman" w:hAnsiTheme="majorHAnsi"/>
          <w:sz w:val="20"/>
          <w:szCs w:val="20"/>
        </w:rPr>
        <w:footnoteReference w:id="11"/>
      </w:r>
    </w:p>
    <w:p w14:paraId="148C8CFB" w14:textId="77777777" w:rsidR="00F5237B" w:rsidRPr="00256677" w:rsidRDefault="00F5237B" w:rsidP="00111F1D">
      <w:pPr>
        <w:tabs>
          <w:tab w:val="left" w:pos="360"/>
        </w:tabs>
        <w:rPr>
          <w:rFonts w:asciiTheme="majorHAnsi" w:eastAsia="Times New Roman" w:hAnsiTheme="majorHAnsi"/>
          <w:sz w:val="20"/>
          <w:szCs w:val="20"/>
        </w:rPr>
      </w:pPr>
    </w:p>
    <w:p w14:paraId="6F093DBE" w14:textId="77777777" w:rsidR="000833FB" w:rsidRPr="00256677" w:rsidRDefault="000833FB" w:rsidP="006E07EB">
      <w:pPr>
        <w:pStyle w:val="Heading2"/>
        <w:numPr>
          <w:ilvl w:val="0"/>
          <w:numId w:val="73"/>
        </w:numPr>
        <w:spacing w:before="0"/>
        <w:ind w:left="360"/>
        <w:jc w:val="both"/>
        <w:rPr>
          <w:color w:val="auto"/>
          <w:sz w:val="20"/>
          <w:szCs w:val="20"/>
        </w:rPr>
      </w:pPr>
      <w:bookmarkStart w:id="6" w:name="_Toc90284138"/>
      <w:r w:rsidRPr="00256677">
        <w:rPr>
          <w:color w:val="auto"/>
          <w:sz w:val="20"/>
          <w:szCs w:val="20"/>
        </w:rPr>
        <w:t>Factual background</w:t>
      </w:r>
      <w:bookmarkEnd w:id="6"/>
    </w:p>
    <w:p w14:paraId="50928394" w14:textId="77777777" w:rsidR="000833FB" w:rsidRPr="00256677" w:rsidRDefault="000833FB" w:rsidP="00657A39">
      <w:pPr>
        <w:tabs>
          <w:tab w:val="left" w:pos="360"/>
        </w:tabs>
        <w:ind w:left="360"/>
        <w:rPr>
          <w:rFonts w:asciiTheme="majorHAnsi" w:eastAsia="Times New Roman" w:hAnsiTheme="majorHAnsi"/>
          <w:sz w:val="20"/>
          <w:szCs w:val="20"/>
        </w:rPr>
      </w:pPr>
    </w:p>
    <w:p w14:paraId="1FCEB1CA" w14:textId="77777777" w:rsidR="00075292" w:rsidRPr="00256677" w:rsidRDefault="00075292" w:rsidP="0007529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eastAsia="Times New Roman" w:hAnsiTheme="majorHAnsi"/>
          <w:sz w:val="20"/>
          <w:szCs w:val="20"/>
        </w:rPr>
      </w:pPr>
      <w:r w:rsidRPr="00256677">
        <w:rPr>
          <w:rFonts w:asciiTheme="majorHAnsi" w:eastAsia="Times New Roman" w:hAnsiTheme="majorHAnsi"/>
          <w:sz w:val="20"/>
          <w:szCs w:val="20"/>
        </w:rPr>
        <w:t>The facts described below were established by domestic courts</w:t>
      </w:r>
      <w:r w:rsidR="00A11E0C" w:rsidRPr="00256677">
        <w:rPr>
          <w:rFonts w:asciiTheme="majorHAnsi" w:eastAsia="Times New Roman" w:hAnsiTheme="majorHAnsi"/>
          <w:sz w:val="20"/>
          <w:szCs w:val="20"/>
        </w:rPr>
        <w:t>.</w:t>
      </w:r>
    </w:p>
    <w:p w14:paraId="578750DF" w14:textId="77777777" w:rsidR="004B20D9" w:rsidRPr="00256677" w:rsidRDefault="004B20D9" w:rsidP="00657A39">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eastAsia="Times New Roman" w:hAnsiTheme="majorHAnsi"/>
          <w:sz w:val="20"/>
          <w:szCs w:val="20"/>
        </w:rPr>
      </w:pPr>
    </w:p>
    <w:p w14:paraId="7D366794" w14:textId="77777777" w:rsidR="00C010E4" w:rsidRPr="00256677" w:rsidRDefault="00591DEE" w:rsidP="004B20D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eastAsia="Times New Roman" w:hAnsiTheme="majorHAnsi"/>
          <w:sz w:val="20"/>
          <w:szCs w:val="20"/>
        </w:rPr>
      </w:pPr>
      <w:r w:rsidRPr="00256677">
        <w:rPr>
          <w:rFonts w:asciiTheme="majorHAnsi" w:eastAsia="Times New Roman" w:hAnsiTheme="majorHAnsi"/>
          <w:sz w:val="20"/>
          <w:szCs w:val="20"/>
        </w:rPr>
        <w:t xml:space="preserve">On April </w:t>
      </w:r>
      <w:r w:rsidR="00310042" w:rsidRPr="00256677">
        <w:rPr>
          <w:rFonts w:asciiTheme="majorHAnsi" w:eastAsia="Times New Roman" w:hAnsiTheme="majorHAnsi"/>
          <w:sz w:val="20"/>
          <w:szCs w:val="20"/>
        </w:rPr>
        <w:t>4</w:t>
      </w:r>
      <w:r w:rsidRPr="00256677">
        <w:rPr>
          <w:rFonts w:asciiTheme="majorHAnsi" w:eastAsia="Times New Roman" w:hAnsiTheme="majorHAnsi"/>
          <w:sz w:val="20"/>
          <w:szCs w:val="20"/>
        </w:rPr>
        <w:t xml:space="preserve">, 1991, </w:t>
      </w:r>
      <w:r w:rsidR="004B20D9" w:rsidRPr="00256677">
        <w:rPr>
          <w:rFonts w:asciiTheme="majorHAnsi" w:eastAsia="Times New Roman" w:hAnsiTheme="majorHAnsi"/>
          <w:sz w:val="20"/>
          <w:szCs w:val="20"/>
        </w:rPr>
        <w:t>Ju</w:t>
      </w:r>
      <w:r w:rsidR="00A92784" w:rsidRPr="00256677">
        <w:rPr>
          <w:rFonts w:asciiTheme="majorHAnsi" w:eastAsia="Times New Roman" w:hAnsiTheme="majorHAnsi"/>
          <w:sz w:val="20"/>
          <w:szCs w:val="20"/>
        </w:rPr>
        <w:t xml:space="preserve">lie and Robin Kerry (the Kerry sisters) and </w:t>
      </w:r>
      <w:r w:rsidR="005D4283" w:rsidRPr="00256677">
        <w:rPr>
          <w:rFonts w:asciiTheme="majorHAnsi" w:eastAsia="Times New Roman" w:hAnsiTheme="majorHAnsi"/>
          <w:sz w:val="20"/>
          <w:szCs w:val="20"/>
        </w:rPr>
        <w:t xml:space="preserve">their cousin Thomas Cummins met </w:t>
      </w:r>
      <w:r w:rsidR="004B20D9" w:rsidRPr="00256677">
        <w:rPr>
          <w:rFonts w:asciiTheme="majorHAnsi" w:eastAsia="Times New Roman" w:hAnsiTheme="majorHAnsi"/>
          <w:sz w:val="20"/>
          <w:szCs w:val="20"/>
        </w:rPr>
        <w:t xml:space="preserve">Mr. </w:t>
      </w:r>
      <w:r w:rsidR="00A92784" w:rsidRPr="00256677">
        <w:rPr>
          <w:rFonts w:asciiTheme="majorHAnsi" w:eastAsia="Times New Roman" w:hAnsiTheme="majorHAnsi"/>
          <w:sz w:val="20"/>
          <w:szCs w:val="20"/>
        </w:rPr>
        <w:t>Gray</w:t>
      </w:r>
      <w:r w:rsidR="004B20D9" w:rsidRPr="00256677">
        <w:rPr>
          <w:rFonts w:asciiTheme="majorHAnsi" w:eastAsia="Times New Roman" w:hAnsiTheme="majorHAnsi"/>
          <w:sz w:val="20"/>
          <w:szCs w:val="20"/>
        </w:rPr>
        <w:t xml:space="preserve"> and his three friends</w:t>
      </w:r>
      <w:r w:rsidR="00A92784" w:rsidRPr="00256677">
        <w:rPr>
          <w:rFonts w:asciiTheme="majorHAnsi" w:eastAsia="Times New Roman" w:hAnsiTheme="majorHAnsi"/>
          <w:sz w:val="20"/>
          <w:szCs w:val="20"/>
        </w:rPr>
        <w:t>, Clemons, Richardson and Winfrey. After some conversation the two groups separated. During this walk, Clemons suggested to his three companions that they rob Cummins and the Kerry</w:t>
      </w:r>
      <w:r w:rsidR="00544C80" w:rsidRPr="00256677">
        <w:rPr>
          <w:rFonts w:asciiTheme="majorHAnsi" w:eastAsia="Times New Roman" w:hAnsiTheme="majorHAnsi"/>
          <w:sz w:val="20"/>
          <w:szCs w:val="20"/>
        </w:rPr>
        <w:t xml:space="preserve"> sister</w:t>
      </w:r>
      <w:r w:rsidR="00A92784" w:rsidRPr="00256677">
        <w:rPr>
          <w:rFonts w:asciiTheme="majorHAnsi" w:eastAsia="Times New Roman" w:hAnsiTheme="majorHAnsi"/>
          <w:sz w:val="20"/>
          <w:szCs w:val="20"/>
        </w:rPr>
        <w:t xml:space="preserve">s. </w:t>
      </w:r>
      <w:r w:rsidR="00544C80" w:rsidRPr="00256677">
        <w:rPr>
          <w:rFonts w:asciiTheme="majorHAnsi" w:eastAsia="Times New Roman" w:hAnsiTheme="majorHAnsi"/>
          <w:sz w:val="20"/>
          <w:szCs w:val="20"/>
        </w:rPr>
        <w:t xml:space="preserve">Mr. </w:t>
      </w:r>
      <w:r w:rsidR="00A92784" w:rsidRPr="00256677">
        <w:rPr>
          <w:rFonts w:asciiTheme="majorHAnsi" w:eastAsia="Times New Roman" w:hAnsiTheme="majorHAnsi"/>
          <w:sz w:val="20"/>
          <w:szCs w:val="20"/>
        </w:rPr>
        <w:t xml:space="preserve">Gray smiled, clapped his hands, and said, “yeah, I feel like hurting somebody.” The two groups met, and </w:t>
      </w:r>
      <w:r w:rsidR="00544C80" w:rsidRPr="00256677">
        <w:rPr>
          <w:rFonts w:asciiTheme="majorHAnsi" w:eastAsia="Times New Roman" w:hAnsiTheme="majorHAnsi"/>
          <w:sz w:val="20"/>
          <w:szCs w:val="20"/>
        </w:rPr>
        <w:t xml:space="preserve">Mr. </w:t>
      </w:r>
      <w:r w:rsidR="00A92784" w:rsidRPr="00256677">
        <w:rPr>
          <w:rFonts w:asciiTheme="majorHAnsi" w:eastAsia="Times New Roman" w:hAnsiTheme="majorHAnsi"/>
          <w:sz w:val="20"/>
          <w:szCs w:val="20"/>
        </w:rPr>
        <w:t>Gray put his arm around Cummins and walked him ten to fifteen feet away. He told him, “This is a robbery. Get down on the ground.”</w:t>
      </w:r>
      <w:r w:rsidR="00D62FFA" w:rsidRPr="00256677">
        <w:rPr>
          <w:rFonts w:asciiTheme="majorHAnsi" w:eastAsia="Times New Roman" w:hAnsiTheme="majorHAnsi"/>
          <w:sz w:val="20"/>
          <w:szCs w:val="20"/>
        </w:rPr>
        <w:t xml:space="preserve"> </w:t>
      </w:r>
      <w:r w:rsidR="00544C80" w:rsidRPr="00256677">
        <w:rPr>
          <w:rFonts w:asciiTheme="majorHAnsi" w:eastAsia="Times New Roman" w:hAnsiTheme="majorHAnsi"/>
          <w:sz w:val="20"/>
          <w:szCs w:val="20"/>
        </w:rPr>
        <w:t xml:space="preserve">Mr. </w:t>
      </w:r>
      <w:r w:rsidR="00D62FFA" w:rsidRPr="00256677">
        <w:rPr>
          <w:rFonts w:asciiTheme="majorHAnsi" w:eastAsia="Times New Roman" w:hAnsiTheme="majorHAnsi"/>
          <w:sz w:val="20"/>
          <w:szCs w:val="20"/>
        </w:rPr>
        <w:t xml:space="preserve">Gray told Cummins that if he looked up, </w:t>
      </w:r>
      <w:r w:rsidR="00544C80" w:rsidRPr="00256677">
        <w:rPr>
          <w:rFonts w:asciiTheme="majorHAnsi" w:eastAsia="Times New Roman" w:hAnsiTheme="majorHAnsi"/>
          <w:sz w:val="20"/>
          <w:szCs w:val="20"/>
        </w:rPr>
        <w:t xml:space="preserve">he </w:t>
      </w:r>
      <w:r w:rsidR="00D62FFA" w:rsidRPr="00256677">
        <w:rPr>
          <w:rFonts w:asciiTheme="majorHAnsi" w:eastAsia="Times New Roman" w:hAnsiTheme="majorHAnsi"/>
          <w:sz w:val="20"/>
          <w:szCs w:val="20"/>
        </w:rPr>
        <w:t>would kill or shoot him. At the same time the other three males grabbed the Kerry sisters and when the women screamed, one of the group said, “</w:t>
      </w:r>
      <w:r w:rsidR="00544C80" w:rsidRPr="00256677">
        <w:rPr>
          <w:rFonts w:asciiTheme="majorHAnsi" w:eastAsia="Times New Roman" w:hAnsiTheme="majorHAnsi"/>
          <w:sz w:val="20"/>
          <w:szCs w:val="20"/>
        </w:rPr>
        <w:t>d</w:t>
      </w:r>
      <w:r w:rsidR="00D62FFA" w:rsidRPr="00256677">
        <w:rPr>
          <w:rFonts w:asciiTheme="majorHAnsi" w:eastAsia="Times New Roman" w:hAnsiTheme="majorHAnsi"/>
          <w:sz w:val="20"/>
          <w:szCs w:val="20"/>
        </w:rPr>
        <w:t xml:space="preserve">o you want to die?” and ordered them to stop screaming or </w:t>
      </w:r>
      <w:r w:rsidR="00544C80" w:rsidRPr="00256677">
        <w:rPr>
          <w:rFonts w:asciiTheme="majorHAnsi" w:eastAsia="Times New Roman" w:hAnsiTheme="majorHAnsi"/>
          <w:sz w:val="20"/>
          <w:szCs w:val="20"/>
        </w:rPr>
        <w:t>he</w:t>
      </w:r>
      <w:r w:rsidR="00D62FFA" w:rsidRPr="00256677">
        <w:rPr>
          <w:rFonts w:asciiTheme="majorHAnsi" w:eastAsia="Times New Roman" w:hAnsiTheme="majorHAnsi"/>
          <w:sz w:val="20"/>
          <w:szCs w:val="20"/>
        </w:rPr>
        <w:t xml:space="preserve"> would “throw </w:t>
      </w:r>
      <w:r w:rsidR="00544C80" w:rsidRPr="00256677">
        <w:rPr>
          <w:rFonts w:asciiTheme="majorHAnsi" w:eastAsia="Times New Roman" w:hAnsiTheme="majorHAnsi"/>
          <w:sz w:val="20"/>
          <w:szCs w:val="20"/>
        </w:rPr>
        <w:t>[them]</w:t>
      </w:r>
      <w:r w:rsidR="00D62FFA" w:rsidRPr="00256677">
        <w:rPr>
          <w:rFonts w:asciiTheme="majorHAnsi" w:eastAsia="Times New Roman" w:hAnsiTheme="majorHAnsi"/>
          <w:sz w:val="20"/>
          <w:szCs w:val="20"/>
        </w:rPr>
        <w:t xml:space="preserve"> off th</w:t>
      </w:r>
      <w:r w:rsidR="00544C80" w:rsidRPr="00256677">
        <w:rPr>
          <w:rFonts w:asciiTheme="majorHAnsi" w:eastAsia="Times New Roman" w:hAnsiTheme="majorHAnsi"/>
          <w:sz w:val="20"/>
          <w:szCs w:val="20"/>
        </w:rPr>
        <w:t>[e]</w:t>
      </w:r>
      <w:r w:rsidR="00D62FFA" w:rsidRPr="00256677">
        <w:rPr>
          <w:rFonts w:asciiTheme="majorHAnsi" w:eastAsia="Times New Roman" w:hAnsiTheme="majorHAnsi"/>
          <w:sz w:val="20"/>
          <w:szCs w:val="20"/>
        </w:rPr>
        <w:t xml:space="preserve"> bridge.”</w:t>
      </w:r>
      <w:r w:rsidR="00F9518D" w:rsidRPr="00256677">
        <w:rPr>
          <w:rFonts w:asciiTheme="majorHAnsi" w:eastAsia="Times New Roman" w:hAnsiTheme="majorHAnsi"/>
          <w:sz w:val="20"/>
          <w:szCs w:val="20"/>
        </w:rPr>
        <w:t xml:space="preserve"> Clemons then raped Julie Kerry, Richardson raped Robin Kerry</w:t>
      </w:r>
      <w:r w:rsidR="00544C80" w:rsidRPr="00256677">
        <w:rPr>
          <w:rFonts w:asciiTheme="majorHAnsi" w:eastAsia="Times New Roman" w:hAnsiTheme="majorHAnsi"/>
          <w:sz w:val="20"/>
          <w:szCs w:val="20"/>
        </w:rPr>
        <w:t>. W</w:t>
      </w:r>
      <w:r w:rsidR="00F9518D" w:rsidRPr="00256677">
        <w:rPr>
          <w:rFonts w:asciiTheme="majorHAnsi" w:eastAsia="Times New Roman" w:hAnsiTheme="majorHAnsi"/>
          <w:sz w:val="20"/>
          <w:szCs w:val="20"/>
        </w:rPr>
        <w:t>hile this occurred</w:t>
      </w:r>
      <w:r w:rsidR="00544C80" w:rsidRPr="00256677">
        <w:rPr>
          <w:rFonts w:asciiTheme="majorHAnsi" w:eastAsia="Times New Roman" w:hAnsiTheme="majorHAnsi"/>
          <w:sz w:val="20"/>
          <w:szCs w:val="20"/>
        </w:rPr>
        <w:t>,</w:t>
      </w:r>
      <w:r w:rsidR="00F9518D" w:rsidRPr="00256677">
        <w:rPr>
          <w:rFonts w:asciiTheme="majorHAnsi" w:eastAsia="Times New Roman" w:hAnsiTheme="majorHAnsi"/>
          <w:sz w:val="20"/>
          <w:szCs w:val="20"/>
        </w:rPr>
        <w:t xml:space="preserve"> </w:t>
      </w:r>
      <w:r w:rsidR="00544C80" w:rsidRPr="00256677">
        <w:rPr>
          <w:rFonts w:asciiTheme="majorHAnsi" w:eastAsia="Times New Roman" w:hAnsiTheme="majorHAnsi"/>
          <w:sz w:val="20"/>
          <w:szCs w:val="20"/>
        </w:rPr>
        <w:t xml:space="preserve">Mr. </w:t>
      </w:r>
      <w:r w:rsidR="00F9518D" w:rsidRPr="00256677">
        <w:rPr>
          <w:rFonts w:asciiTheme="majorHAnsi" w:eastAsia="Times New Roman" w:hAnsiTheme="majorHAnsi"/>
          <w:sz w:val="20"/>
          <w:szCs w:val="20"/>
        </w:rPr>
        <w:t xml:space="preserve">Gray went back to where Cummins was lying on the ground and said, “I’ve never had the privilege of popping somebody…[I]f you put your head up or try to look, I’m going to pop you.” </w:t>
      </w:r>
      <w:r w:rsidR="00544C80" w:rsidRPr="00256677">
        <w:rPr>
          <w:rFonts w:asciiTheme="majorHAnsi" w:eastAsia="Times New Roman" w:hAnsiTheme="majorHAnsi"/>
          <w:sz w:val="20"/>
          <w:szCs w:val="20"/>
        </w:rPr>
        <w:t xml:space="preserve">Mr. </w:t>
      </w:r>
      <w:r w:rsidR="00F9518D" w:rsidRPr="00256677">
        <w:rPr>
          <w:rFonts w:asciiTheme="majorHAnsi" w:eastAsia="Times New Roman" w:hAnsiTheme="majorHAnsi"/>
          <w:sz w:val="20"/>
          <w:szCs w:val="20"/>
        </w:rPr>
        <w:t xml:space="preserve">Gray then told Winfrey to watch Cummins. </w:t>
      </w:r>
      <w:r w:rsidR="00544C80" w:rsidRPr="00256677">
        <w:rPr>
          <w:rFonts w:asciiTheme="majorHAnsi" w:eastAsia="Times New Roman" w:hAnsiTheme="majorHAnsi"/>
          <w:sz w:val="20"/>
          <w:szCs w:val="20"/>
        </w:rPr>
        <w:t xml:space="preserve">Mr. </w:t>
      </w:r>
      <w:r w:rsidR="00F9518D" w:rsidRPr="00256677">
        <w:rPr>
          <w:rFonts w:asciiTheme="majorHAnsi" w:eastAsia="Times New Roman" w:hAnsiTheme="majorHAnsi"/>
          <w:sz w:val="20"/>
          <w:szCs w:val="20"/>
        </w:rPr>
        <w:t xml:space="preserve">Gray then raped Robin Kerry, while this rape occurred Richardson forced Julie Kerry into a manhole on the bridge deck. When </w:t>
      </w:r>
      <w:r w:rsidR="00544C80" w:rsidRPr="00256677">
        <w:rPr>
          <w:rFonts w:asciiTheme="majorHAnsi" w:eastAsia="Times New Roman" w:hAnsiTheme="majorHAnsi"/>
          <w:sz w:val="20"/>
          <w:szCs w:val="20"/>
        </w:rPr>
        <w:t xml:space="preserve">Mr. </w:t>
      </w:r>
      <w:r w:rsidR="00F9518D" w:rsidRPr="00256677">
        <w:rPr>
          <w:rFonts w:asciiTheme="majorHAnsi" w:eastAsia="Times New Roman" w:hAnsiTheme="majorHAnsi"/>
          <w:sz w:val="20"/>
          <w:szCs w:val="20"/>
        </w:rPr>
        <w:t xml:space="preserve">Gray finished raping Robin Kerry, he went to Winfrey and asked where Richardson had gone, Winfrey pointed to the Missouri side of the river and Gray ran off in that direction. Clemons then forced Robin Kerry and Thomas Cummins into the manhole and told Winfrey to find </w:t>
      </w:r>
      <w:r w:rsidR="00544C80" w:rsidRPr="00256677">
        <w:rPr>
          <w:rFonts w:asciiTheme="majorHAnsi" w:eastAsia="Times New Roman" w:hAnsiTheme="majorHAnsi"/>
          <w:sz w:val="20"/>
          <w:szCs w:val="20"/>
        </w:rPr>
        <w:t xml:space="preserve">Mr. </w:t>
      </w:r>
      <w:r w:rsidR="00F9518D" w:rsidRPr="00256677">
        <w:rPr>
          <w:rFonts w:asciiTheme="majorHAnsi" w:eastAsia="Times New Roman" w:hAnsiTheme="majorHAnsi"/>
          <w:sz w:val="20"/>
          <w:szCs w:val="20"/>
        </w:rPr>
        <w:t xml:space="preserve">Gray. </w:t>
      </w:r>
      <w:r w:rsidR="00EC73C8" w:rsidRPr="00256677">
        <w:rPr>
          <w:rFonts w:asciiTheme="majorHAnsi" w:eastAsia="Times New Roman" w:hAnsiTheme="majorHAnsi"/>
          <w:sz w:val="20"/>
          <w:szCs w:val="20"/>
        </w:rPr>
        <w:t xml:space="preserve">Julie and Robin Kerry were then pushed into the river and Cummins was told to jump. Winfrey found </w:t>
      </w:r>
      <w:r w:rsidR="00544C80" w:rsidRPr="00256677">
        <w:rPr>
          <w:rFonts w:asciiTheme="majorHAnsi" w:eastAsia="Times New Roman" w:hAnsiTheme="majorHAnsi"/>
          <w:sz w:val="20"/>
          <w:szCs w:val="20"/>
        </w:rPr>
        <w:t xml:space="preserve">Mr. </w:t>
      </w:r>
      <w:r w:rsidR="00EC73C8" w:rsidRPr="00256677">
        <w:rPr>
          <w:rFonts w:asciiTheme="majorHAnsi" w:eastAsia="Times New Roman" w:hAnsiTheme="majorHAnsi"/>
          <w:sz w:val="20"/>
          <w:szCs w:val="20"/>
        </w:rPr>
        <w:t xml:space="preserve">Gray and were returning back to the bridge; Clemons and Richardson met them. Clemons said, “We threw them off. Let’s go.” The group then left the bridge. Clemons said, “They’ll never make it to shore.” </w:t>
      </w:r>
      <w:r w:rsidR="00544C80" w:rsidRPr="00256677">
        <w:rPr>
          <w:rFonts w:asciiTheme="majorHAnsi" w:eastAsia="Times New Roman" w:hAnsiTheme="majorHAnsi"/>
          <w:sz w:val="20"/>
          <w:szCs w:val="20"/>
        </w:rPr>
        <w:t xml:space="preserve">Mr. </w:t>
      </w:r>
      <w:r w:rsidR="00EC73C8" w:rsidRPr="00256677">
        <w:rPr>
          <w:rFonts w:asciiTheme="majorHAnsi" w:eastAsia="Times New Roman" w:hAnsiTheme="majorHAnsi"/>
          <w:sz w:val="20"/>
          <w:szCs w:val="20"/>
        </w:rPr>
        <w:t>Gray praised Richardson for being “brave” to push the Kerry sisters off the bridge.</w:t>
      </w:r>
      <w:r w:rsidR="008A6254" w:rsidRPr="00256677">
        <w:rPr>
          <w:rFonts w:asciiTheme="majorHAnsi" w:eastAsia="Times New Roman" w:hAnsiTheme="majorHAnsi"/>
          <w:sz w:val="20"/>
          <w:szCs w:val="20"/>
        </w:rPr>
        <w:t>”</w:t>
      </w:r>
      <w:r w:rsidR="004B20D9" w:rsidRPr="00256677">
        <w:rPr>
          <w:rStyle w:val="FootnoteReference"/>
          <w:rFonts w:asciiTheme="majorHAnsi" w:eastAsia="Times New Roman" w:hAnsiTheme="majorHAnsi"/>
          <w:sz w:val="20"/>
          <w:szCs w:val="20"/>
        </w:rPr>
        <w:footnoteReference w:id="12"/>
      </w:r>
    </w:p>
    <w:p w14:paraId="2B30A08A" w14:textId="77777777" w:rsidR="004F7B27" w:rsidRPr="00256677" w:rsidRDefault="004F7B27" w:rsidP="00366FA7">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eastAsia="Times New Roman" w:hAnsiTheme="majorHAnsi"/>
          <w:sz w:val="20"/>
          <w:szCs w:val="20"/>
        </w:rPr>
      </w:pPr>
    </w:p>
    <w:p w14:paraId="038B86B5" w14:textId="77777777" w:rsidR="004F7B27" w:rsidRPr="00256677" w:rsidRDefault="004F7B27" w:rsidP="004B20D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eastAsia="Times New Roman" w:hAnsiTheme="majorHAnsi"/>
          <w:sz w:val="20"/>
          <w:szCs w:val="20"/>
        </w:rPr>
      </w:pPr>
      <w:r w:rsidRPr="00256677">
        <w:rPr>
          <w:rFonts w:asciiTheme="majorHAnsi" w:eastAsia="Times New Roman" w:hAnsiTheme="majorHAnsi"/>
          <w:sz w:val="20"/>
          <w:szCs w:val="20"/>
        </w:rPr>
        <w:t>The Kerry sisters died and Thomas Cummins survived.</w:t>
      </w:r>
    </w:p>
    <w:p w14:paraId="1ABB868D" w14:textId="77777777" w:rsidR="00B15287" w:rsidRPr="00256677" w:rsidRDefault="00B15287" w:rsidP="00B15287">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eastAsia="Times New Roman" w:hAnsiTheme="majorHAnsi"/>
          <w:sz w:val="20"/>
          <w:szCs w:val="20"/>
        </w:rPr>
      </w:pPr>
    </w:p>
    <w:p w14:paraId="081BC447" w14:textId="77777777" w:rsidR="004003A5" w:rsidRDefault="004003A5">
      <w:pPr>
        <w:rPr>
          <w:rFonts w:asciiTheme="majorHAnsi" w:eastAsiaTheme="majorEastAsia" w:hAnsiTheme="majorHAnsi" w:cstheme="majorBidi"/>
          <w:b/>
          <w:bCs/>
          <w:sz w:val="20"/>
          <w:szCs w:val="20"/>
        </w:rPr>
      </w:pPr>
      <w:bookmarkStart w:id="7" w:name="_Toc90284139"/>
      <w:r>
        <w:rPr>
          <w:sz w:val="20"/>
          <w:szCs w:val="20"/>
        </w:rPr>
        <w:br w:type="page"/>
      </w:r>
    </w:p>
    <w:p w14:paraId="27259CED" w14:textId="19A91F20" w:rsidR="00B54D6D" w:rsidRPr="00256677" w:rsidRDefault="00B54D6D" w:rsidP="006E07EB">
      <w:pPr>
        <w:pStyle w:val="Heading2"/>
        <w:numPr>
          <w:ilvl w:val="0"/>
          <w:numId w:val="73"/>
        </w:numPr>
        <w:spacing w:before="0"/>
        <w:ind w:left="360"/>
        <w:jc w:val="both"/>
        <w:rPr>
          <w:color w:val="auto"/>
          <w:sz w:val="20"/>
          <w:szCs w:val="20"/>
        </w:rPr>
      </w:pPr>
      <w:r w:rsidRPr="00256677">
        <w:rPr>
          <w:color w:val="auto"/>
          <w:sz w:val="20"/>
          <w:szCs w:val="20"/>
        </w:rPr>
        <w:lastRenderedPageBreak/>
        <w:t>Trial and death sentence</w:t>
      </w:r>
      <w:bookmarkEnd w:id="7"/>
    </w:p>
    <w:p w14:paraId="6901F16F" w14:textId="77777777" w:rsidR="00B54D6D" w:rsidRPr="00256677" w:rsidRDefault="00B54D6D" w:rsidP="00B15287">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eastAsia="Times New Roman" w:hAnsiTheme="majorHAnsi"/>
          <w:sz w:val="20"/>
          <w:szCs w:val="20"/>
        </w:rPr>
      </w:pPr>
    </w:p>
    <w:p w14:paraId="0A981827" w14:textId="77777777" w:rsidR="00F11741" w:rsidRPr="00256677" w:rsidRDefault="00864EF3" w:rsidP="008663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rPr>
      </w:pPr>
      <w:r w:rsidRPr="00256677">
        <w:rPr>
          <w:rFonts w:asciiTheme="majorHAnsi" w:hAnsiTheme="majorHAnsi"/>
          <w:sz w:val="20"/>
          <w:szCs w:val="20"/>
        </w:rPr>
        <w:t xml:space="preserve">On </w:t>
      </w:r>
      <w:r w:rsidR="00155010" w:rsidRPr="00256677">
        <w:rPr>
          <w:rFonts w:asciiTheme="majorHAnsi" w:hAnsiTheme="majorHAnsi"/>
          <w:sz w:val="20"/>
          <w:szCs w:val="20"/>
        </w:rPr>
        <w:t>June 21, 1991</w:t>
      </w:r>
      <w:r w:rsidR="00450C5A" w:rsidRPr="00256677">
        <w:rPr>
          <w:rFonts w:asciiTheme="majorHAnsi" w:hAnsiTheme="majorHAnsi"/>
          <w:sz w:val="20"/>
          <w:szCs w:val="20"/>
        </w:rPr>
        <w:t xml:space="preserve">, </w:t>
      </w:r>
      <w:r w:rsidR="00ED1C8D" w:rsidRPr="00256677">
        <w:rPr>
          <w:rFonts w:asciiTheme="majorHAnsi" w:hAnsiTheme="majorHAnsi"/>
          <w:sz w:val="20"/>
          <w:szCs w:val="20"/>
        </w:rPr>
        <w:t xml:space="preserve">Mr. Gray was </w:t>
      </w:r>
      <w:r w:rsidR="00155010" w:rsidRPr="00256677">
        <w:rPr>
          <w:rFonts w:asciiTheme="majorHAnsi" w:hAnsiTheme="majorHAnsi"/>
          <w:sz w:val="20"/>
          <w:szCs w:val="20"/>
        </w:rPr>
        <w:t>charged by indi</w:t>
      </w:r>
      <w:r w:rsidR="004613B3" w:rsidRPr="00256677">
        <w:rPr>
          <w:rFonts w:asciiTheme="majorHAnsi" w:hAnsiTheme="majorHAnsi"/>
          <w:sz w:val="20"/>
          <w:szCs w:val="20"/>
        </w:rPr>
        <w:t>ctment with two counts of first-</w:t>
      </w:r>
      <w:r w:rsidR="00155010" w:rsidRPr="00256677">
        <w:rPr>
          <w:rFonts w:asciiTheme="majorHAnsi" w:hAnsiTheme="majorHAnsi"/>
          <w:sz w:val="20"/>
          <w:szCs w:val="20"/>
        </w:rPr>
        <w:t>degree murder, as well as other felonies</w:t>
      </w:r>
      <w:r w:rsidR="00ED1C8D" w:rsidRPr="00256677">
        <w:rPr>
          <w:rFonts w:asciiTheme="majorHAnsi" w:hAnsiTheme="majorHAnsi"/>
          <w:sz w:val="20"/>
          <w:szCs w:val="20"/>
        </w:rPr>
        <w:t>.</w:t>
      </w:r>
      <w:r w:rsidR="00DA44EA" w:rsidRPr="00256677">
        <w:rPr>
          <w:rStyle w:val="FootnoteReference"/>
          <w:rFonts w:asciiTheme="majorHAnsi" w:hAnsiTheme="majorHAnsi"/>
          <w:sz w:val="20"/>
          <w:szCs w:val="20"/>
        </w:rPr>
        <w:footnoteReference w:id="13"/>
      </w:r>
      <w:r w:rsidR="00ED1C8D" w:rsidRPr="00256677">
        <w:rPr>
          <w:rFonts w:asciiTheme="majorHAnsi" w:hAnsiTheme="majorHAnsi"/>
          <w:sz w:val="20"/>
          <w:szCs w:val="20"/>
        </w:rPr>
        <w:t xml:space="preserve"> </w:t>
      </w:r>
      <w:r w:rsidR="00DA44EA" w:rsidRPr="00256677">
        <w:rPr>
          <w:rFonts w:asciiTheme="majorHAnsi" w:hAnsiTheme="majorHAnsi"/>
          <w:sz w:val="20"/>
          <w:szCs w:val="20"/>
        </w:rPr>
        <w:t xml:space="preserve">On October 21, 1992, </w:t>
      </w:r>
      <w:r w:rsidR="006145C8" w:rsidRPr="00256677">
        <w:rPr>
          <w:rFonts w:asciiTheme="majorHAnsi" w:hAnsiTheme="majorHAnsi"/>
          <w:sz w:val="20"/>
          <w:szCs w:val="20"/>
        </w:rPr>
        <w:t>he was convicted of two counts of first-degree murder as an accomplice in the death of Julie and Robin Kerry. On October 23, 1992, the jury returned</w:t>
      </w:r>
      <w:r w:rsidR="00DA44EA" w:rsidRPr="00256677">
        <w:rPr>
          <w:rFonts w:asciiTheme="majorHAnsi" w:hAnsiTheme="majorHAnsi"/>
          <w:sz w:val="20"/>
          <w:szCs w:val="20"/>
        </w:rPr>
        <w:t xml:space="preserve"> a verdict of</w:t>
      </w:r>
      <w:r w:rsidR="004613B3" w:rsidRPr="00256677">
        <w:rPr>
          <w:rFonts w:asciiTheme="majorHAnsi" w:hAnsiTheme="majorHAnsi"/>
          <w:sz w:val="20"/>
          <w:szCs w:val="20"/>
        </w:rPr>
        <w:t xml:space="preserve"> </w:t>
      </w:r>
      <w:r w:rsidR="006145C8" w:rsidRPr="00256677">
        <w:rPr>
          <w:rFonts w:asciiTheme="majorHAnsi" w:hAnsiTheme="majorHAnsi"/>
          <w:sz w:val="20"/>
          <w:szCs w:val="20"/>
        </w:rPr>
        <w:t>death on each count</w:t>
      </w:r>
      <w:r w:rsidR="00DA44EA" w:rsidRPr="00256677">
        <w:rPr>
          <w:rFonts w:asciiTheme="majorHAnsi" w:hAnsiTheme="majorHAnsi"/>
          <w:sz w:val="20"/>
          <w:szCs w:val="20"/>
        </w:rPr>
        <w:t xml:space="preserve"> on December 3, 1992</w:t>
      </w:r>
      <w:r w:rsidR="000620DE" w:rsidRPr="00256677">
        <w:rPr>
          <w:rFonts w:asciiTheme="majorHAnsi" w:hAnsiTheme="majorHAnsi"/>
          <w:sz w:val="20"/>
          <w:szCs w:val="20"/>
        </w:rPr>
        <w:t>,</w:t>
      </w:r>
      <w:r w:rsidR="00DA44EA" w:rsidRPr="00256677">
        <w:rPr>
          <w:rFonts w:asciiTheme="majorHAnsi" w:hAnsiTheme="majorHAnsi"/>
          <w:sz w:val="20"/>
          <w:szCs w:val="20"/>
        </w:rPr>
        <w:t xml:space="preserve"> the St. Louis City Circuit Court sentenced Mr. Gray to death.</w:t>
      </w:r>
      <w:r w:rsidR="00DA44EA" w:rsidRPr="00256677">
        <w:rPr>
          <w:rStyle w:val="FootnoteReference"/>
          <w:rFonts w:asciiTheme="majorHAnsi" w:hAnsiTheme="majorHAnsi"/>
          <w:sz w:val="20"/>
          <w:szCs w:val="20"/>
        </w:rPr>
        <w:footnoteReference w:id="14"/>
      </w:r>
      <w:r w:rsidR="00DA44EA" w:rsidRPr="00256677">
        <w:rPr>
          <w:rFonts w:asciiTheme="majorHAnsi" w:hAnsiTheme="majorHAnsi"/>
          <w:sz w:val="20"/>
          <w:szCs w:val="20"/>
        </w:rPr>
        <w:t xml:space="preserve"> </w:t>
      </w:r>
    </w:p>
    <w:p w14:paraId="07E34811" w14:textId="77777777" w:rsidR="00F11741" w:rsidRPr="00256677" w:rsidRDefault="00F11741" w:rsidP="00F11741">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Theme="majorHAnsi" w:hAnsiTheme="majorHAnsi"/>
          <w:sz w:val="20"/>
          <w:szCs w:val="20"/>
        </w:rPr>
      </w:pPr>
    </w:p>
    <w:p w14:paraId="35507AFC" w14:textId="77777777" w:rsidR="00AB4CD6" w:rsidRPr="00256677" w:rsidRDefault="00866353" w:rsidP="008663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rPr>
      </w:pPr>
      <w:r w:rsidRPr="00256677">
        <w:rPr>
          <w:rFonts w:asciiTheme="majorHAnsi" w:hAnsiTheme="majorHAnsi"/>
          <w:sz w:val="20"/>
          <w:szCs w:val="20"/>
        </w:rPr>
        <w:t>As regards the elements of the offence present within Mr. Gray’s criminal conduct, the court remarked th</w:t>
      </w:r>
      <w:r w:rsidR="00AB4CD6" w:rsidRPr="00256677">
        <w:rPr>
          <w:rFonts w:asciiTheme="majorHAnsi" w:hAnsiTheme="majorHAnsi"/>
          <w:sz w:val="20"/>
          <w:szCs w:val="20"/>
        </w:rPr>
        <w:t>e following:</w:t>
      </w:r>
    </w:p>
    <w:p w14:paraId="6B8AE1F9" w14:textId="77777777" w:rsidR="00AB4CD6" w:rsidRPr="00256677" w:rsidRDefault="00AB4CD6" w:rsidP="00AB4CD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Theme="majorHAnsi" w:hAnsiTheme="majorHAnsi"/>
          <w:sz w:val="20"/>
          <w:szCs w:val="20"/>
        </w:rPr>
      </w:pPr>
    </w:p>
    <w:p w14:paraId="4A0BF1C9" w14:textId="77777777" w:rsidR="00AB4CD6" w:rsidRPr="00256677" w:rsidRDefault="00AB4CD6" w:rsidP="00AB4CD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360" w:right="720"/>
        <w:jc w:val="both"/>
        <w:rPr>
          <w:rFonts w:asciiTheme="majorHAnsi" w:hAnsiTheme="majorHAnsi"/>
          <w:sz w:val="18"/>
          <w:szCs w:val="18"/>
        </w:rPr>
      </w:pPr>
      <w:r w:rsidRPr="00256677">
        <w:rPr>
          <w:rFonts w:asciiTheme="majorHAnsi" w:hAnsiTheme="majorHAnsi"/>
          <w:sz w:val="18"/>
          <w:szCs w:val="18"/>
        </w:rPr>
        <w:t>[Mr. Gray] did not kill Julie and Robin Kerry himself. Instead, according to the state and the verdict of the jury, he participated in a major way with three other men […] in robbing the two victims and their cousin, Thomas Cummins, and in raping the two women. Under Missouri law, a person may be guilty of first-degree murder (and therefore eligible for the death penalty) without being the actual killer. Participation in the planning and execution of felonies, here rape and robbery, however, is not sufficient in and of itself. It must also be shown that defendant’s associates committed murder, that defendant cooperated with them, and that defendant, after deliberation, acted with them to cause the deaths […] There must be some evidence that the defendant himself made a decision to kill the victims before the murder. […] The sufficiency of the evidence to establish Gray’s guilt of first-degree murder is not one of the issues before us.”</w:t>
      </w:r>
      <w:r w:rsidR="00866353" w:rsidRPr="00256677">
        <w:rPr>
          <w:rStyle w:val="FootnoteReference"/>
          <w:rFonts w:asciiTheme="majorHAnsi" w:hAnsiTheme="majorHAnsi"/>
          <w:sz w:val="18"/>
          <w:szCs w:val="18"/>
        </w:rPr>
        <w:footnoteReference w:id="15"/>
      </w:r>
      <w:r w:rsidR="001C5228" w:rsidRPr="00256677">
        <w:rPr>
          <w:rFonts w:asciiTheme="majorHAnsi" w:hAnsiTheme="majorHAnsi"/>
          <w:sz w:val="18"/>
          <w:szCs w:val="18"/>
        </w:rPr>
        <w:t xml:space="preserve"> </w:t>
      </w:r>
    </w:p>
    <w:p w14:paraId="47478E40" w14:textId="77777777" w:rsidR="00AB4CD6" w:rsidRPr="00256677" w:rsidRDefault="00AB4CD6" w:rsidP="00AB4CD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Theme="majorHAnsi" w:hAnsiTheme="majorHAnsi"/>
          <w:sz w:val="20"/>
          <w:szCs w:val="20"/>
        </w:rPr>
      </w:pPr>
    </w:p>
    <w:p w14:paraId="1F290C1D" w14:textId="77777777" w:rsidR="009003AB" w:rsidRPr="00256677" w:rsidRDefault="009003AB" w:rsidP="00AB4CD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rPr>
      </w:pPr>
      <w:r w:rsidRPr="00256677">
        <w:rPr>
          <w:rFonts w:asciiTheme="majorHAnsi" w:hAnsiTheme="majorHAnsi"/>
          <w:sz w:val="20"/>
          <w:szCs w:val="20"/>
        </w:rPr>
        <w:t xml:space="preserve">The evidence considered </w:t>
      </w:r>
      <w:r w:rsidR="00586B77" w:rsidRPr="00256677">
        <w:rPr>
          <w:rFonts w:asciiTheme="majorHAnsi" w:hAnsiTheme="majorHAnsi"/>
          <w:sz w:val="20"/>
          <w:szCs w:val="20"/>
        </w:rPr>
        <w:t>by the court i</w:t>
      </w:r>
      <w:r w:rsidR="001C5228" w:rsidRPr="00256677">
        <w:rPr>
          <w:rFonts w:asciiTheme="majorHAnsi" w:hAnsiTheme="majorHAnsi"/>
          <w:sz w:val="20"/>
          <w:szCs w:val="20"/>
        </w:rPr>
        <w:t>n</w:t>
      </w:r>
      <w:r w:rsidR="00586B77" w:rsidRPr="00256677">
        <w:rPr>
          <w:rFonts w:asciiTheme="majorHAnsi" w:hAnsiTheme="majorHAnsi"/>
          <w:sz w:val="20"/>
          <w:szCs w:val="20"/>
        </w:rPr>
        <w:t xml:space="preserve"> this regard was:</w:t>
      </w:r>
    </w:p>
    <w:p w14:paraId="04C2665E" w14:textId="77777777" w:rsidR="00586B77" w:rsidRPr="00256677" w:rsidRDefault="00586B77" w:rsidP="00586B77">
      <w:pPr>
        <w:pStyle w:val="ListParagraph"/>
        <w:rPr>
          <w:rFonts w:asciiTheme="majorHAnsi" w:hAnsiTheme="majorHAnsi"/>
          <w:sz w:val="20"/>
          <w:szCs w:val="20"/>
        </w:rPr>
      </w:pPr>
    </w:p>
    <w:p w14:paraId="30DDCF9C" w14:textId="77777777" w:rsidR="00586B77" w:rsidRPr="00256677" w:rsidRDefault="00586B77" w:rsidP="001C5228">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360" w:right="360"/>
        <w:jc w:val="both"/>
        <w:rPr>
          <w:rFonts w:asciiTheme="majorHAnsi" w:hAnsiTheme="majorHAnsi"/>
          <w:sz w:val="18"/>
          <w:szCs w:val="18"/>
        </w:rPr>
      </w:pPr>
      <w:r w:rsidRPr="00256677">
        <w:rPr>
          <w:rFonts w:asciiTheme="majorHAnsi" w:hAnsiTheme="majorHAnsi"/>
          <w:sz w:val="18"/>
          <w:szCs w:val="18"/>
        </w:rPr>
        <w:t>“Here there were threats to kill made either by the defendant or in the defendant’s presence. In addition, the defendant at one point stated that he would shoot Cummins, indicating that he had ready access to a deadly weapon, even though no weapon was actually displayed or used to commit the homicides in this case. The jury was entitled to believe defendant had a gun. Defendant continued in the criminal enterprise after the threats to kill the victims were made. After the threats, he held Cummins at bay while the rapes were committed. Defendant participated in a discussion about whether Cummins should be killed, followed later by an attempt on Cummin’s life and the two homicides. These facts, together with the defendant’s statement that he felt like hurting somebody, his role as a leader and enforcer in the group, and his belief before leaving the bridge that Richardson had gone to drown Julie Kerry in the river, are sufficient evidence to permit an inference by the jury that defendant had a conscious purpose of committing the acts in which he engaged so that the victims would be killed and that the homicides occurred after he cooly deliberated on the deaths for some amount of time, however short.”</w:t>
      </w:r>
      <w:r w:rsidRPr="00256677">
        <w:rPr>
          <w:rStyle w:val="FootnoteReference"/>
          <w:rFonts w:asciiTheme="majorHAnsi" w:hAnsiTheme="majorHAnsi"/>
          <w:sz w:val="18"/>
          <w:szCs w:val="18"/>
        </w:rPr>
        <w:footnoteReference w:id="16"/>
      </w:r>
    </w:p>
    <w:p w14:paraId="487254A2" w14:textId="77777777" w:rsidR="0055390F" w:rsidRPr="00256677" w:rsidRDefault="0055390F" w:rsidP="0055390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sz w:val="20"/>
          <w:szCs w:val="20"/>
        </w:rPr>
      </w:pPr>
    </w:p>
    <w:p w14:paraId="6525B732" w14:textId="77777777" w:rsidR="0055390F" w:rsidRPr="00256677" w:rsidRDefault="0055390F" w:rsidP="0055390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rPr>
      </w:pPr>
      <w:r w:rsidRPr="00256677">
        <w:rPr>
          <w:rFonts w:asciiTheme="majorHAnsi" w:hAnsiTheme="majorHAnsi"/>
          <w:sz w:val="20"/>
          <w:szCs w:val="20"/>
        </w:rPr>
        <w:t>The Court, in making this judgement viewed the evidence “in</w:t>
      </w:r>
      <w:r w:rsidRPr="00256677">
        <w:rPr>
          <w:rFonts w:asciiTheme="majorHAnsi" w:eastAsia="Times New Roman" w:hAnsiTheme="majorHAnsi"/>
          <w:sz w:val="20"/>
          <w:szCs w:val="20"/>
        </w:rPr>
        <w:t xml:space="preserve"> a light most favorable to the verdict, affording the state all reasonable favorable inferences and ignoring contrary evidence and inferences”; referencing the case of State v Grim 854 S.W.2d 403, 405 (Mo. Banc 1993).</w:t>
      </w:r>
      <w:r w:rsidRPr="00256677">
        <w:rPr>
          <w:rStyle w:val="FootnoteReference"/>
          <w:rFonts w:asciiTheme="majorHAnsi" w:eastAsia="Times New Roman" w:hAnsiTheme="majorHAnsi"/>
          <w:sz w:val="20"/>
          <w:szCs w:val="20"/>
        </w:rPr>
        <w:footnoteReference w:id="17"/>
      </w:r>
    </w:p>
    <w:p w14:paraId="72F1EC07" w14:textId="77777777" w:rsidR="0055390F" w:rsidRPr="00256677" w:rsidRDefault="0055390F" w:rsidP="0055390F">
      <w:pPr>
        <w:pStyle w:val="ListParagraph"/>
        <w:rPr>
          <w:rFonts w:asciiTheme="majorHAnsi" w:hAnsiTheme="majorHAnsi"/>
          <w:sz w:val="20"/>
          <w:szCs w:val="20"/>
        </w:rPr>
      </w:pPr>
    </w:p>
    <w:p w14:paraId="45F8B3D7" w14:textId="77777777" w:rsidR="0055390F" w:rsidRPr="00256677" w:rsidRDefault="0055390F" w:rsidP="0055390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eastAsia="Times New Roman" w:hAnsiTheme="majorHAnsi"/>
          <w:sz w:val="20"/>
          <w:szCs w:val="20"/>
        </w:rPr>
      </w:pPr>
      <w:r w:rsidRPr="00256677">
        <w:rPr>
          <w:rFonts w:asciiTheme="majorHAnsi" w:eastAsia="Times New Roman" w:hAnsiTheme="majorHAnsi"/>
          <w:sz w:val="20"/>
          <w:szCs w:val="20"/>
        </w:rPr>
        <w:t xml:space="preserve">Mr. Cummins accounted that after being told it was a robbery, </w:t>
      </w:r>
      <w:r w:rsidR="00DB0672" w:rsidRPr="00256677">
        <w:rPr>
          <w:rFonts w:asciiTheme="majorHAnsi" w:eastAsia="Times New Roman" w:hAnsiTheme="majorHAnsi"/>
          <w:sz w:val="20"/>
          <w:szCs w:val="20"/>
        </w:rPr>
        <w:t xml:space="preserve">he </w:t>
      </w:r>
      <w:r w:rsidRPr="00256677">
        <w:rPr>
          <w:rFonts w:asciiTheme="majorHAnsi" w:eastAsia="Times New Roman" w:hAnsiTheme="majorHAnsi"/>
          <w:sz w:val="20"/>
          <w:szCs w:val="20"/>
        </w:rPr>
        <w:t xml:space="preserve">was instructed to lay down on the bridge </w:t>
      </w:r>
      <w:r w:rsidR="00DB0672" w:rsidRPr="00256677">
        <w:rPr>
          <w:rFonts w:asciiTheme="majorHAnsi" w:eastAsia="Times New Roman" w:hAnsiTheme="majorHAnsi"/>
          <w:sz w:val="20"/>
          <w:szCs w:val="20"/>
        </w:rPr>
        <w:t>and explained</w:t>
      </w:r>
      <w:r w:rsidRPr="00256677">
        <w:rPr>
          <w:rFonts w:asciiTheme="majorHAnsi" w:eastAsia="Times New Roman" w:hAnsiTheme="majorHAnsi"/>
          <w:sz w:val="20"/>
          <w:szCs w:val="20"/>
        </w:rPr>
        <w:t xml:space="preserve"> that his “head was towards the south side of the bridge”</w:t>
      </w:r>
      <w:r w:rsidR="00DB0672" w:rsidRPr="00256677">
        <w:rPr>
          <w:rFonts w:asciiTheme="majorHAnsi" w:eastAsia="Times New Roman" w:hAnsiTheme="majorHAnsi"/>
          <w:sz w:val="20"/>
          <w:szCs w:val="20"/>
        </w:rPr>
        <w:t>,</w:t>
      </w:r>
      <w:r w:rsidRPr="00256677">
        <w:rPr>
          <w:rFonts w:asciiTheme="majorHAnsi" w:eastAsia="Times New Roman" w:hAnsiTheme="majorHAnsi"/>
          <w:sz w:val="20"/>
          <w:szCs w:val="20"/>
        </w:rPr>
        <w:t xml:space="preserve"> and upon hearing Julie Kerry scream, he “turned [his] head a little bit to the right just enough to see over that direction and I saw like sparks, like when you drop a cigarette on the concrete and sparks kind of fly out.”</w:t>
      </w:r>
      <w:r w:rsidRPr="00256677">
        <w:rPr>
          <w:rStyle w:val="FootnoteReference"/>
          <w:rFonts w:asciiTheme="majorHAnsi" w:eastAsia="Times New Roman" w:hAnsiTheme="majorHAnsi"/>
          <w:sz w:val="20"/>
          <w:szCs w:val="20"/>
        </w:rPr>
        <w:footnoteReference w:id="18"/>
      </w:r>
      <w:r w:rsidRPr="00256677">
        <w:rPr>
          <w:rFonts w:asciiTheme="majorHAnsi" w:eastAsia="Times New Roman" w:hAnsiTheme="majorHAnsi"/>
          <w:sz w:val="20"/>
          <w:szCs w:val="20"/>
        </w:rPr>
        <w:t xml:space="preserve"> He further explained that with regards to the robbery “someone came up and sat on me, on my back, and asked me if I had any money.” He testified that after being robbed of his money and watch, “[s]omeone else came over to me and he told me to get up… and he kind of held my head down so I couldn’t look up”. He added that “they laid </w:t>
      </w:r>
      <w:r w:rsidR="00DB0672" w:rsidRPr="00256677">
        <w:rPr>
          <w:rFonts w:asciiTheme="majorHAnsi" w:eastAsia="Times New Roman" w:hAnsiTheme="majorHAnsi"/>
          <w:sz w:val="20"/>
          <w:szCs w:val="20"/>
        </w:rPr>
        <w:t>me</w:t>
      </w:r>
      <w:r w:rsidRPr="00256677">
        <w:rPr>
          <w:rFonts w:asciiTheme="majorHAnsi" w:eastAsia="Times New Roman" w:hAnsiTheme="majorHAnsi"/>
          <w:sz w:val="20"/>
          <w:szCs w:val="20"/>
        </w:rPr>
        <w:t xml:space="preserve"> down on the bridge the second time” held his driver’s license to his head and explained that they knew where he lived and if he told anyone, they were “going to come get [him]” and “the person </w:t>
      </w:r>
      <w:r w:rsidR="00DB0672" w:rsidRPr="00256677">
        <w:rPr>
          <w:rFonts w:asciiTheme="majorHAnsi" w:eastAsia="Times New Roman" w:hAnsiTheme="majorHAnsi"/>
          <w:sz w:val="20"/>
          <w:szCs w:val="20"/>
        </w:rPr>
        <w:t>said that he was going to let me</w:t>
      </w:r>
      <w:r w:rsidRPr="00256677">
        <w:rPr>
          <w:rFonts w:asciiTheme="majorHAnsi" w:eastAsia="Times New Roman" w:hAnsiTheme="majorHAnsi"/>
          <w:sz w:val="20"/>
          <w:szCs w:val="20"/>
        </w:rPr>
        <w:t xml:space="preserve"> live”. His testimony immediately added that “[s]omeone came up to me and pulled my coat over my head while I was laying there and said he was going to kill me… I heard the first voice or another voice come up and say ‘[n]o, I told him he could live.’… the two proceeded to… converse back and forth about whether I was going to live or die.” He </w:t>
      </w:r>
      <w:r w:rsidRPr="00256677">
        <w:rPr>
          <w:rFonts w:asciiTheme="majorHAnsi" w:eastAsia="Times New Roman" w:hAnsiTheme="majorHAnsi"/>
          <w:sz w:val="20"/>
          <w:szCs w:val="20"/>
        </w:rPr>
        <w:lastRenderedPageBreak/>
        <w:t xml:space="preserve">concludes that “[t]hey made me get up again… and he told me to get down inside (an open manhole)”, he “heard a voice say to get up and get down”, he “saw a hand come out and push Julie from the bridge… and then the same hand pushed Robin” and then he “heard a voice that said ‘jump’” and he jumped. He accounted that there was no light underneath the decking of the bridge and he could not tell how many people were down on the platform. </w:t>
      </w:r>
    </w:p>
    <w:p w14:paraId="71181D23" w14:textId="77777777" w:rsidR="0055390F" w:rsidRPr="00256677" w:rsidRDefault="0055390F" w:rsidP="0055390F">
      <w:pPr>
        <w:pStyle w:val="ListParagraph"/>
        <w:rPr>
          <w:rFonts w:asciiTheme="majorHAnsi" w:eastAsia="Times New Roman" w:hAnsiTheme="majorHAnsi"/>
          <w:sz w:val="20"/>
          <w:szCs w:val="20"/>
        </w:rPr>
      </w:pPr>
    </w:p>
    <w:p w14:paraId="4522C658" w14:textId="77777777" w:rsidR="0055390F" w:rsidRPr="00256677" w:rsidRDefault="0055390F" w:rsidP="0055390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eastAsia="Times New Roman" w:hAnsiTheme="majorHAnsi"/>
          <w:sz w:val="20"/>
          <w:szCs w:val="20"/>
        </w:rPr>
      </w:pPr>
      <w:r w:rsidRPr="00256677">
        <w:rPr>
          <w:rFonts w:asciiTheme="majorHAnsi" w:eastAsia="Times New Roman" w:hAnsiTheme="majorHAnsi"/>
          <w:sz w:val="20"/>
          <w:szCs w:val="20"/>
        </w:rPr>
        <w:t>The lead prosecutor, (Nels Moss) submitted during the determination of guilt at trial, that Mr. Gray was the ringleader and guilty of murder. He communicated these assertions through his statements that Mr. Gray, “[h]e aided and encouraged in every way he could”, “was a big man among small men, among younger men. He was their leader”, “[i]t was his plan,” “the man in charge,” “[t]he man who knew how to manipulate these people.”</w:t>
      </w:r>
      <w:r w:rsidRPr="00256677">
        <w:rPr>
          <w:rStyle w:val="FootnoteReference"/>
          <w:rFonts w:asciiTheme="majorHAnsi" w:eastAsia="Times New Roman" w:hAnsiTheme="majorHAnsi"/>
          <w:sz w:val="20"/>
          <w:szCs w:val="20"/>
        </w:rPr>
        <w:footnoteReference w:id="19"/>
      </w:r>
      <w:r w:rsidRPr="00256677">
        <w:rPr>
          <w:rFonts w:asciiTheme="majorHAnsi" w:eastAsia="Times New Roman" w:hAnsiTheme="majorHAnsi"/>
          <w:sz w:val="20"/>
          <w:szCs w:val="20"/>
        </w:rPr>
        <w:t xml:space="preserve"> Further, he stated that “[t]his crime was cold, calculating, manipulative…[h]e can manipulate them. He can get them to do what he wants.”</w:t>
      </w:r>
      <w:r w:rsidRPr="00256677">
        <w:rPr>
          <w:rStyle w:val="FootnoteReference"/>
          <w:rFonts w:asciiTheme="majorHAnsi" w:eastAsia="Times New Roman" w:hAnsiTheme="majorHAnsi"/>
          <w:sz w:val="20"/>
          <w:szCs w:val="20"/>
        </w:rPr>
        <w:footnoteReference w:id="20"/>
      </w:r>
      <w:r w:rsidRPr="00256677">
        <w:rPr>
          <w:rFonts w:asciiTheme="majorHAnsi" w:eastAsia="Times New Roman" w:hAnsiTheme="majorHAnsi"/>
          <w:sz w:val="20"/>
          <w:szCs w:val="20"/>
        </w:rPr>
        <w:t xml:space="preserve"> His statements of Mr. Gray were that “there is no question here that under all the evidence he’s guilty of a form of felony murder second”, “[h]e is guilty of felony murder second, period, end of discussion”, “ he’s charged in everything with acting with another”, “[i]f you follow the trail, it leads directly to him”, “It was him.”</w:t>
      </w:r>
      <w:r w:rsidRPr="00256677">
        <w:rPr>
          <w:rStyle w:val="FootnoteReference"/>
          <w:rFonts w:asciiTheme="majorHAnsi" w:eastAsia="Times New Roman" w:hAnsiTheme="majorHAnsi"/>
          <w:sz w:val="20"/>
          <w:szCs w:val="20"/>
        </w:rPr>
        <w:footnoteReference w:id="21"/>
      </w:r>
      <w:r w:rsidRPr="00256677">
        <w:rPr>
          <w:rFonts w:asciiTheme="majorHAnsi" w:eastAsia="Times New Roman" w:hAnsiTheme="majorHAnsi"/>
          <w:sz w:val="20"/>
          <w:szCs w:val="20"/>
        </w:rPr>
        <w:t xml:space="preserve"> He also stated that Mr. Gray, “he made a choice to kill people that night on the bridge.”</w:t>
      </w:r>
      <w:r w:rsidRPr="00256677">
        <w:rPr>
          <w:rStyle w:val="FootnoteReference"/>
          <w:rFonts w:asciiTheme="majorHAnsi" w:eastAsia="Times New Roman" w:hAnsiTheme="majorHAnsi"/>
          <w:sz w:val="20"/>
          <w:szCs w:val="20"/>
        </w:rPr>
        <w:footnoteReference w:id="22"/>
      </w:r>
    </w:p>
    <w:p w14:paraId="621FF6E8" w14:textId="77777777" w:rsidR="0055390F" w:rsidRPr="00256677" w:rsidRDefault="0055390F" w:rsidP="00366FA7">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Theme="majorHAnsi" w:hAnsiTheme="majorHAnsi"/>
          <w:sz w:val="20"/>
          <w:szCs w:val="20"/>
        </w:rPr>
      </w:pPr>
    </w:p>
    <w:p w14:paraId="7F50136B" w14:textId="77777777" w:rsidR="00B15287" w:rsidRPr="00256677" w:rsidRDefault="007F6EF7" w:rsidP="00366FA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rPr>
      </w:pPr>
      <w:r w:rsidRPr="00256677">
        <w:rPr>
          <w:rFonts w:asciiTheme="majorHAnsi" w:hAnsiTheme="majorHAnsi"/>
          <w:sz w:val="20"/>
          <w:szCs w:val="20"/>
        </w:rPr>
        <w:t xml:space="preserve">Mr. Gray filed a motion for post-conviction relief in the circuit court of St. Louis City </w:t>
      </w:r>
      <w:r w:rsidR="000620DE" w:rsidRPr="00256677">
        <w:rPr>
          <w:rFonts w:asciiTheme="majorHAnsi" w:hAnsiTheme="majorHAnsi"/>
          <w:sz w:val="20"/>
          <w:szCs w:val="20"/>
        </w:rPr>
        <w:t>which</w:t>
      </w:r>
      <w:r w:rsidRPr="00256677">
        <w:rPr>
          <w:rFonts w:asciiTheme="majorHAnsi" w:hAnsiTheme="majorHAnsi"/>
          <w:sz w:val="20"/>
          <w:szCs w:val="20"/>
        </w:rPr>
        <w:t xml:space="preserve"> was denied on November 29, 1993</w:t>
      </w:r>
      <w:r w:rsidR="00C702E0" w:rsidRPr="00256677">
        <w:rPr>
          <w:rFonts w:asciiTheme="majorHAnsi" w:hAnsiTheme="majorHAnsi"/>
          <w:sz w:val="20"/>
          <w:szCs w:val="20"/>
        </w:rPr>
        <w:t>.</w:t>
      </w:r>
      <w:r w:rsidR="00C702E0" w:rsidRPr="00256677">
        <w:rPr>
          <w:rStyle w:val="FootnoteReference"/>
          <w:rFonts w:asciiTheme="majorHAnsi" w:hAnsiTheme="majorHAnsi"/>
          <w:sz w:val="20"/>
          <w:szCs w:val="20"/>
        </w:rPr>
        <w:footnoteReference w:id="23"/>
      </w:r>
      <w:r w:rsidR="0029518F" w:rsidRPr="00256677">
        <w:rPr>
          <w:rFonts w:asciiTheme="majorHAnsi" w:hAnsiTheme="majorHAnsi"/>
          <w:sz w:val="20"/>
          <w:szCs w:val="20"/>
        </w:rPr>
        <w:t xml:space="preserve"> Mr. </w:t>
      </w:r>
      <w:r w:rsidR="000620DE" w:rsidRPr="00256677">
        <w:rPr>
          <w:rFonts w:asciiTheme="majorHAnsi" w:hAnsiTheme="majorHAnsi"/>
          <w:sz w:val="20"/>
          <w:szCs w:val="20"/>
        </w:rPr>
        <w:t>Gray appealed his sentence and c</w:t>
      </w:r>
      <w:r w:rsidR="0029518F" w:rsidRPr="00256677">
        <w:rPr>
          <w:rFonts w:asciiTheme="majorHAnsi" w:hAnsiTheme="majorHAnsi"/>
          <w:sz w:val="20"/>
          <w:szCs w:val="20"/>
        </w:rPr>
        <w:t>onviction which was reviewed by the Supreme Court of Missouri. In Mr. Gray’s direct appeal,</w:t>
      </w:r>
      <w:r w:rsidR="00B15287" w:rsidRPr="00256677">
        <w:rPr>
          <w:rStyle w:val="FootnoteReference"/>
          <w:rFonts w:asciiTheme="majorHAnsi" w:hAnsiTheme="majorHAnsi"/>
          <w:sz w:val="20"/>
          <w:szCs w:val="20"/>
        </w:rPr>
        <w:footnoteReference w:id="24"/>
      </w:r>
      <w:r w:rsidR="0029518F" w:rsidRPr="00256677">
        <w:rPr>
          <w:rFonts w:asciiTheme="majorHAnsi" w:hAnsiTheme="majorHAnsi"/>
          <w:sz w:val="20"/>
          <w:szCs w:val="20"/>
        </w:rPr>
        <w:t xml:space="preserve"> the Court</w:t>
      </w:r>
      <w:r w:rsidR="00B15287" w:rsidRPr="00256677">
        <w:rPr>
          <w:rFonts w:asciiTheme="majorHAnsi" w:hAnsiTheme="majorHAnsi"/>
          <w:sz w:val="20"/>
          <w:szCs w:val="20"/>
        </w:rPr>
        <w:t xml:space="preserve"> </w:t>
      </w:r>
      <w:r w:rsidR="00B15287" w:rsidRPr="00256677">
        <w:rPr>
          <w:rFonts w:asciiTheme="majorHAnsi" w:eastAsia="Times New Roman" w:hAnsiTheme="majorHAnsi"/>
          <w:sz w:val="20"/>
          <w:szCs w:val="20"/>
        </w:rPr>
        <w:t>recognized that to “establish deliberation element of first degree murder, there must be some evidence that defendant made decision to kill victims prior to murder”</w:t>
      </w:r>
      <w:r w:rsidR="00B15287" w:rsidRPr="00256677">
        <w:rPr>
          <w:rStyle w:val="FootnoteReference"/>
          <w:rFonts w:asciiTheme="majorHAnsi" w:eastAsia="Times New Roman" w:hAnsiTheme="majorHAnsi"/>
          <w:sz w:val="20"/>
          <w:szCs w:val="20"/>
        </w:rPr>
        <w:footnoteReference w:id="25"/>
      </w:r>
      <w:r w:rsidR="00B15287" w:rsidRPr="00256677">
        <w:rPr>
          <w:rFonts w:asciiTheme="majorHAnsi" w:eastAsia="Times New Roman" w:hAnsiTheme="majorHAnsi"/>
          <w:sz w:val="20"/>
          <w:szCs w:val="20"/>
        </w:rPr>
        <w:t xml:space="preserve"> and that Mr. Gray’s “participation in planning and execution of rape and robbery of murder victims was not sufficient to infer deliberation required for first-degree murder; first degree murder statute required deliberation of killing a person not merely deliberation of forcible rape and robbery.”</w:t>
      </w:r>
      <w:r w:rsidR="00B15287" w:rsidRPr="00256677">
        <w:rPr>
          <w:rStyle w:val="FootnoteReference"/>
          <w:rFonts w:asciiTheme="majorHAnsi" w:eastAsia="Times New Roman" w:hAnsiTheme="majorHAnsi"/>
          <w:sz w:val="20"/>
          <w:szCs w:val="20"/>
        </w:rPr>
        <w:footnoteReference w:id="26"/>
      </w:r>
    </w:p>
    <w:p w14:paraId="3E05FAB7" w14:textId="77777777" w:rsidR="00B15287" w:rsidRPr="00256677" w:rsidRDefault="00B15287" w:rsidP="00B15287">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eastAsia="Times New Roman" w:hAnsiTheme="majorHAnsi"/>
          <w:sz w:val="20"/>
          <w:szCs w:val="20"/>
        </w:rPr>
      </w:pPr>
    </w:p>
    <w:p w14:paraId="0670084A" w14:textId="77777777" w:rsidR="008F6AA1" w:rsidRPr="00256677" w:rsidRDefault="00B15287" w:rsidP="00B1528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rPr>
      </w:pPr>
      <w:r w:rsidRPr="00256677">
        <w:rPr>
          <w:rFonts w:asciiTheme="majorHAnsi" w:eastAsia="Times New Roman" w:hAnsiTheme="majorHAnsi"/>
          <w:sz w:val="20"/>
          <w:szCs w:val="20"/>
        </w:rPr>
        <w:t xml:space="preserve">The court nonetheless </w:t>
      </w:r>
      <w:r w:rsidRPr="00256677">
        <w:rPr>
          <w:rFonts w:asciiTheme="majorHAnsi" w:hAnsiTheme="majorHAnsi"/>
          <w:sz w:val="20"/>
          <w:szCs w:val="20"/>
        </w:rPr>
        <w:t>affirmed Mr. Gray’s murder conviction and death sentence</w:t>
      </w:r>
      <w:r w:rsidRPr="00256677">
        <w:rPr>
          <w:rFonts w:asciiTheme="majorHAnsi" w:eastAsia="Times New Roman" w:hAnsiTheme="majorHAnsi"/>
          <w:sz w:val="20"/>
          <w:szCs w:val="20"/>
        </w:rPr>
        <w:t xml:space="preserve"> and reasoned that “[e]vidence was sufficient to show defendant knowingly caused or acted with others to cause death of murder victims after deliberation</w:t>
      </w:r>
      <w:r w:rsidR="000620DE" w:rsidRPr="00256677">
        <w:rPr>
          <w:rFonts w:asciiTheme="majorHAnsi" w:eastAsia="Times New Roman" w:hAnsiTheme="majorHAnsi"/>
          <w:sz w:val="20"/>
          <w:szCs w:val="20"/>
        </w:rPr>
        <w:t>.</w:t>
      </w:r>
      <w:r w:rsidRPr="00256677">
        <w:rPr>
          <w:rFonts w:asciiTheme="majorHAnsi" w:eastAsia="Times New Roman" w:hAnsiTheme="majorHAnsi"/>
          <w:sz w:val="20"/>
          <w:szCs w:val="20"/>
        </w:rPr>
        <w:t>”</w:t>
      </w:r>
      <w:r w:rsidRPr="00256677">
        <w:rPr>
          <w:rStyle w:val="FootnoteReference"/>
          <w:rFonts w:asciiTheme="majorHAnsi" w:eastAsia="Times New Roman" w:hAnsiTheme="majorHAnsi"/>
          <w:sz w:val="20"/>
          <w:szCs w:val="20"/>
        </w:rPr>
        <w:footnoteReference w:id="27"/>
      </w:r>
      <w:r w:rsidRPr="00256677">
        <w:rPr>
          <w:rFonts w:asciiTheme="majorHAnsi" w:eastAsia="Times New Roman" w:hAnsiTheme="majorHAnsi"/>
          <w:sz w:val="20"/>
          <w:szCs w:val="20"/>
        </w:rPr>
        <w:t xml:space="preserve"> The court inferred Mr. Gray’s accessory liability for first-degree murder referencing case law which outlined circumstances permitting such inference, </w:t>
      </w:r>
      <w:r w:rsidR="00CF7930" w:rsidRPr="00256677">
        <w:rPr>
          <w:rFonts w:asciiTheme="majorHAnsi" w:eastAsia="Times New Roman" w:hAnsiTheme="majorHAnsi"/>
          <w:sz w:val="20"/>
          <w:szCs w:val="20"/>
        </w:rPr>
        <w:t xml:space="preserve">that being: </w:t>
      </w:r>
      <w:r w:rsidRPr="00256677">
        <w:rPr>
          <w:rFonts w:asciiTheme="majorHAnsi" w:eastAsia="Times New Roman" w:hAnsiTheme="majorHAnsi"/>
          <w:sz w:val="20"/>
          <w:szCs w:val="20"/>
        </w:rPr>
        <w:t>1) where there is a statement or conduct by defendant or statements or conduct by co-defendant prior to murder indi</w:t>
      </w:r>
      <w:r w:rsidR="001D41FC" w:rsidRPr="00256677">
        <w:rPr>
          <w:rFonts w:asciiTheme="majorHAnsi" w:eastAsia="Times New Roman" w:hAnsiTheme="majorHAnsi"/>
          <w:sz w:val="20"/>
          <w:szCs w:val="20"/>
        </w:rPr>
        <w:t>cating purpose to kill a human</w:t>
      </w:r>
      <w:r w:rsidRPr="00256677">
        <w:rPr>
          <w:rFonts w:asciiTheme="majorHAnsi" w:eastAsia="Times New Roman" w:hAnsiTheme="majorHAnsi"/>
          <w:sz w:val="20"/>
          <w:szCs w:val="20"/>
        </w:rPr>
        <w:t>;</w:t>
      </w:r>
      <w:r w:rsidR="001D41FC" w:rsidRPr="00256677">
        <w:rPr>
          <w:rStyle w:val="FootnoteReference"/>
          <w:rFonts w:asciiTheme="majorHAnsi" w:eastAsia="Times New Roman" w:hAnsiTheme="majorHAnsi"/>
          <w:sz w:val="20"/>
          <w:szCs w:val="20"/>
        </w:rPr>
        <w:footnoteReference w:id="28"/>
      </w:r>
      <w:r w:rsidRPr="00256677">
        <w:rPr>
          <w:rFonts w:asciiTheme="majorHAnsi" w:eastAsia="Times New Roman" w:hAnsiTheme="majorHAnsi"/>
          <w:sz w:val="20"/>
          <w:szCs w:val="20"/>
        </w:rPr>
        <w:t xml:space="preserve"> 2) evidence that murder was committed by means of deadly weapon and that accomplice was aware that deadly weapon was to </w:t>
      </w:r>
      <w:r w:rsidR="001D41FC" w:rsidRPr="00256677">
        <w:rPr>
          <w:rFonts w:asciiTheme="majorHAnsi" w:eastAsia="Times New Roman" w:hAnsiTheme="majorHAnsi"/>
          <w:sz w:val="20"/>
          <w:szCs w:val="20"/>
        </w:rPr>
        <w:t>be used in commission of crime</w:t>
      </w:r>
      <w:r w:rsidRPr="00256677">
        <w:rPr>
          <w:rFonts w:asciiTheme="majorHAnsi" w:eastAsia="Times New Roman" w:hAnsiTheme="majorHAnsi"/>
          <w:sz w:val="20"/>
          <w:szCs w:val="20"/>
        </w:rPr>
        <w:t>;</w:t>
      </w:r>
      <w:r w:rsidR="001D41FC" w:rsidRPr="00256677">
        <w:rPr>
          <w:rStyle w:val="FootnoteReference"/>
          <w:rFonts w:asciiTheme="majorHAnsi" w:eastAsia="Times New Roman" w:hAnsiTheme="majorHAnsi"/>
          <w:sz w:val="20"/>
          <w:szCs w:val="20"/>
        </w:rPr>
        <w:footnoteReference w:id="29"/>
      </w:r>
      <w:r w:rsidRPr="00256677">
        <w:rPr>
          <w:rFonts w:asciiTheme="majorHAnsi" w:eastAsia="Times New Roman" w:hAnsiTheme="majorHAnsi"/>
          <w:sz w:val="20"/>
          <w:szCs w:val="20"/>
        </w:rPr>
        <w:t xml:space="preserve"> 3) evidence that </w:t>
      </w:r>
      <w:r w:rsidR="00F05B63" w:rsidRPr="00256677">
        <w:rPr>
          <w:rFonts w:asciiTheme="majorHAnsi" w:eastAsia="Times New Roman" w:hAnsiTheme="majorHAnsi"/>
          <w:sz w:val="20"/>
          <w:szCs w:val="20"/>
        </w:rPr>
        <w:t xml:space="preserve">the </w:t>
      </w:r>
      <w:r w:rsidRPr="00256677">
        <w:rPr>
          <w:rFonts w:asciiTheme="majorHAnsi" w:eastAsia="Times New Roman" w:hAnsiTheme="majorHAnsi"/>
          <w:sz w:val="20"/>
          <w:szCs w:val="20"/>
        </w:rPr>
        <w:t xml:space="preserve">accessory either participated in homicide or continued in criminal enterprise when it was apparent </w:t>
      </w:r>
      <w:r w:rsidR="00431C20" w:rsidRPr="00256677">
        <w:rPr>
          <w:rFonts w:asciiTheme="majorHAnsi" w:eastAsia="Times New Roman" w:hAnsiTheme="majorHAnsi"/>
          <w:sz w:val="20"/>
          <w:szCs w:val="20"/>
        </w:rPr>
        <w:t>that victim was to be killed</w:t>
      </w:r>
      <w:r w:rsidRPr="00256677">
        <w:rPr>
          <w:rFonts w:asciiTheme="majorHAnsi" w:eastAsia="Times New Roman" w:hAnsiTheme="majorHAnsi"/>
          <w:sz w:val="20"/>
          <w:szCs w:val="20"/>
        </w:rPr>
        <w:t>.</w:t>
      </w:r>
      <w:r w:rsidR="00431C20" w:rsidRPr="00256677">
        <w:rPr>
          <w:rStyle w:val="FootnoteReference"/>
          <w:rFonts w:asciiTheme="majorHAnsi" w:eastAsia="Times New Roman" w:hAnsiTheme="majorHAnsi"/>
          <w:sz w:val="20"/>
          <w:szCs w:val="20"/>
        </w:rPr>
        <w:footnoteReference w:id="30"/>
      </w:r>
      <w:r w:rsidRPr="00256677">
        <w:rPr>
          <w:rFonts w:asciiTheme="majorHAnsi" w:eastAsia="Times New Roman" w:hAnsiTheme="majorHAnsi"/>
          <w:sz w:val="20"/>
          <w:szCs w:val="20"/>
        </w:rPr>
        <w:t xml:space="preserve"> </w:t>
      </w:r>
    </w:p>
    <w:p w14:paraId="12FAAF24" w14:textId="77777777" w:rsidR="008F6AA1" w:rsidRPr="00256677" w:rsidRDefault="008F6AA1" w:rsidP="00657A39">
      <w:pPr>
        <w:pStyle w:val="ListParagraph"/>
        <w:rPr>
          <w:rFonts w:asciiTheme="majorHAnsi" w:hAnsiTheme="majorHAnsi"/>
          <w:sz w:val="20"/>
          <w:szCs w:val="20"/>
        </w:rPr>
      </w:pPr>
    </w:p>
    <w:p w14:paraId="361DAAA8" w14:textId="77777777" w:rsidR="00766DEB" w:rsidRPr="00256677" w:rsidRDefault="00B15287" w:rsidP="00B1528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rPr>
      </w:pPr>
      <w:r w:rsidRPr="00256677">
        <w:rPr>
          <w:rFonts w:asciiTheme="majorHAnsi" w:hAnsiTheme="majorHAnsi"/>
          <w:sz w:val="20"/>
          <w:szCs w:val="20"/>
        </w:rPr>
        <w:t>Further</w:t>
      </w:r>
      <w:r w:rsidR="008F6AA1" w:rsidRPr="00256677">
        <w:rPr>
          <w:rFonts w:asciiTheme="majorHAnsi" w:hAnsiTheme="majorHAnsi"/>
          <w:sz w:val="20"/>
          <w:szCs w:val="20"/>
        </w:rPr>
        <w:t>,</w:t>
      </w:r>
      <w:r w:rsidRPr="00256677">
        <w:rPr>
          <w:rFonts w:asciiTheme="majorHAnsi" w:hAnsiTheme="majorHAnsi"/>
          <w:sz w:val="20"/>
          <w:szCs w:val="20"/>
        </w:rPr>
        <w:t xml:space="preserve"> the court reasoned that the death penalty </w:t>
      </w:r>
      <w:r w:rsidRPr="00256677">
        <w:rPr>
          <w:rFonts w:asciiTheme="majorHAnsi" w:eastAsia="Times New Roman" w:hAnsiTheme="majorHAnsi"/>
          <w:sz w:val="20"/>
          <w:szCs w:val="20"/>
        </w:rPr>
        <w:t>was not disproportionate to murders committed in furtherance of brutal rape and robbery.</w:t>
      </w:r>
      <w:r w:rsidRPr="00256677">
        <w:rPr>
          <w:rFonts w:asciiTheme="majorHAnsi" w:hAnsiTheme="majorHAnsi"/>
          <w:sz w:val="20"/>
          <w:szCs w:val="20"/>
        </w:rPr>
        <w:t xml:space="preserve"> In this regard</w:t>
      </w:r>
      <w:r w:rsidR="00227BDB" w:rsidRPr="00256677">
        <w:rPr>
          <w:rFonts w:asciiTheme="majorHAnsi" w:hAnsiTheme="majorHAnsi"/>
          <w:sz w:val="20"/>
          <w:szCs w:val="20"/>
        </w:rPr>
        <w:t>,</w:t>
      </w:r>
      <w:r w:rsidRPr="00256677">
        <w:rPr>
          <w:rFonts w:asciiTheme="majorHAnsi" w:hAnsiTheme="majorHAnsi"/>
          <w:sz w:val="20"/>
          <w:szCs w:val="20"/>
        </w:rPr>
        <w:t xml:space="preserve"> the Court </w:t>
      </w:r>
      <w:r w:rsidRPr="00256677">
        <w:rPr>
          <w:rFonts w:asciiTheme="majorHAnsi" w:eastAsia="Times New Roman" w:hAnsiTheme="majorHAnsi"/>
          <w:sz w:val="20"/>
          <w:szCs w:val="20"/>
        </w:rPr>
        <w:t>considered that</w:t>
      </w:r>
      <w:r w:rsidR="004F21CF" w:rsidRPr="00256677">
        <w:rPr>
          <w:rFonts w:asciiTheme="majorHAnsi" w:eastAsia="Times New Roman" w:hAnsiTheme="majorHAnsi"/>
          <w:sz w:val="20"/>
          <w:szCs w:val="20"/>
        </w:rPr>
        <w:t>:</w:t>
      </w:r>
      <w:r w:rsidRPr="00256677">
        <w:rPr>
          <w:rFonts w:asciiTheme="majorHAnsi" w:eastAsia="Times New Roman" w:hAnsiTheme="majorHAnsi"/>
          <w:sz w:val="20"/>
          <w:szCs w:val="20"/>
        </w:rPr>
        <w:t xml:space="preserve"> the defendant made threats to kill, </w:t>
      </w:r>
      <w:r w:rsidR="00227BDB" w:rsidRPr="00256677">
        <w:rPr>
          <w:rFonts w:asciiTheme="majorHAnsi" w:eastAsia="Times New Roman" w:hAnsiTheme="majorHAnsi"/>
          <w:sz w:val="20"/>
          <w:szCs w:val="20"/>
        </w:rPr>
        <w:t xml:space="preserve">an </w:t>
      </w:r>
      <w:r w:rsidRPr="00256677">
        <w:rPr>
          <w:rFonts w:asciiTheme="majorHAnsi" w:eastAsia="Times New Roman" w:hAnsiTheme="majorHAnsi"/>
          <w:sz w:val="20"/>
          <w:szCs w:val="20"/>
        </w:rPr>
        <w:t xml:space="preserve">example </w:t>
      </w:r>
      <w:r w:rsidR="004F21CF" w:rsidRPr="00256677">
        <w:rPr>
          <w:rFonts w:asciiTheme="majorHAnsi" w:eastAsia="Times New Roman" w:hAnsiTheme="majorHAnsi"/>
          <w:sz w:val="20"/>
          <w:szCs w:val="20"/>
        </w:rPr>
        <w:t>referenced</w:t>
      </w:r>
      <w:r w:rsidR="00227BDB" w:rsidRPr="00256677">
        <w:rPr>
          <w:rFonts w:asciiTheme="majorHAnsi" w:eastAsia="Times New Roman" w:hAnsiTheme="majorHAnsi"/>
          <w:sz w:val="20"/>
          <w:szCs w:val="20"/>
        </w:rPr>
        <w:t xml:space="preserve"> was the threat to </w:t>
      </w:r>
      <w:r w:rsidRPr="00256677">
        <w:rPr>
          <w:rFonts w:asciiTheme="majorHAnsi" w:eastAsia="Times New Roman" w:hAnsiTheme="majorHAnsi"/>
          <w:sz w:val="20"/>
          <w:szCs w:val="20"/>
        </w:rPr>
        <w:t xml:space="preserve">shoot </w:t>
      </w:r>
      <w:r w:rsidR="00227BDB" w:rsidRPr="00256677">
        <w:rPr>
          <w:rFonts w:asciiTheme="majorHAnsi" w:eastAsia="Times New Roman" w:hAnsiTheme="majorHAnsi"/>
          <w:sz w:val="20"/>
          <w:szCs w:val="20"/>
        </w:rPr>
        <w:t xml:space="preserve">the </w:t>
      </w:r>
      <w:r w:rsidRPr="00256677">
        <w:rPr>
          <w:rFonts w:asciiTheme="majorHAnsi" w:eastAsia="Times New Roman" w:hAnsiTheme="majorHAnsi"/>
          <w:sz w:val="20"/>
          <w:szCs w:val="20"/>
        </w:rPr>
        <w:t xml:space="preserve">robbery victim; </w:t>
      </w:r>
      <w:r w:rsidR="00227BDB" w:rsidRPr="00256677">
        <w:rPr>
          <w:rFonts w:asciiTheme="majorHAnsi" w:eastAsia="Times New Roman" w:hAnsiTheme="majorHAnsi"/>
          <w:sz w:val="20"/>
          <w:szCs w:val="20"/>
        </w:rPr>
        <w:t xml:space="preserve">after making threats to kill the victims, </w:t>
      </w:r>
      <w:r w:rsidRPr="00256677">
        <w:rPr>
          <w:rFonts w:asciiTheme="majorHAnsi" w:eastAsia="Times New Roman" w:hAnsiTheme="majorHAnsi"/>
          <w:sz w:val="20"/>
          <w:szCs w:val="20"/>
        </w:rPr>
        <w:t xml:space="preserve">the defendant continued in </w:t>
      </w:r>
      <w:r w:rsidR="00227BDB" w:rsidRPr="00256677">
        <w:rPr>
          <w:rFonts w:asciiTheme="majorHAnsi" w:eastAsia="Times New Roman" w:hAnsiTheme="majorHAnsi"/>
          <w:sz w:val="20"/>
          <w:szCs w:val="20"/>
        </w:rPr>
        <w:t xml:space="preserve">the </w:t>
      </w:r>
      <w:r w:rsidRPr="00256677">
        <w:rPr>
          <w:rFonts w:asciiTheme="majorHAnsi" w:eastAsia="Times New Roman" w:hAnsiTheme="majorHAnsi"/>
          <w:sz w:val="20"/>
          <w:szCs w:val="20"/>
        </w:rPr>
        <w:t xml:space="preserve">criminal enterprise by holding </w:t>
      </w:r>
      <w:r w:rsidR="00227BDB" w:rsidRPr="00256677">
        <w:rPr>
          <w:rFonts w:asciiTheme="majorHAnsi" w:eastAsia="Times New Roman" w:hAnsiTheme="majorHAnsi"/>
          <w:sz w:val="20"/>
          <w:szCs w:val="20"/>
        </w:rPr>
        <w:t xml:space="preserve">the </w:t>
      </w:r>
      <w:r w:rsidRPr="00256677">
        <w:rPr>
          <w:rFonts w:asciiTheme="majorHAnsi" w:eastAsia="Times New Roman" w:hAnsiTheme="majorHAnsi"/>
          <w:sz w:val="20"/>
          <w:szCs w:val="20"/>
        </w:rPr>
        <w:t xml:space="preserve">robbery victim at bay while rapes of other two victims were committed; the defendant participated in </w:t>
      </w:r>
      <w:r w:rsidR="00227BDB" w:rsidRPr="00256677">
        <w:rPr>
          <w:rFonts w:asciiTheme="majorHAnsi" w:eastAsia="Times New Roman" w:hAnsiTheme="majorHAnsi"/>
          <w:sz w:val="20"/>
          <w:szCs w:val="20"/>
        </w:rPr>
        <w:t xml:space="preserve">a </w:t>
      </w:r>
      <w:r w:rsidRPr="00256677">
        <w:rPr>
          <w:rFonts w:asciiTheme="majorHAnsi" w:eastAsia="Times New Roman" w:hAnsiTheme="majorHAnsi"/>
          <w:sz w:val="20"/>
          <w:szCs w:val="20"/>
        </w:rPr>
        <w:t xml:space="preserve">discussion about whether </w:t>
      </w:r>
      <w:r w:rsidR="00227BDB" w:rsidRPr="00256677">
        <w:rPr>
          <w:rFonts w:asciiTheme="majorHAnsi" w:eastAsia="Times New Roman" w:hAnsiTheme="majorHAnsi"/>
          <w:sz w:val="20"/>
          <w:szCs w:val="20"/>
        </w:rPr>
        <w:t xml:space="preserve">the </w:t>
      </w:r>
      <w:r w:rsidRPr="00256677">
        <w:rPr>
          <w:rFonts w:asciiTheme="majorHAnsi" w:eastAsia="Times New Roman" w:hAnsiTheme="majorHAnsi"/>
          <w:sz w:val="20"/>
          <w:szCs w:val="20"/>
        </w:rPr>
        <w:t xml:space="preserve">robbery victim </w:t>
      </w:r>
      <w:r w:rsidRPr="00256677">
        <w:rPr>
          <w:rFonts w:asciiTheme="majorHAnsi" w:eastAsia="Times New Roman" w:hAnsiTheme="majorHAnsi"/>
          <w:sz w:val="20"/>
          <w:szCs w:val="20"/>
        </w:rPr>
        <w:lastRenderedPageBreak/>
        <w:t>should be killed; further</w:t>
      </w:r>
      <w:r w:rsidR="00227BDB" w:rsidRPr="00256677">
        <w:rPr>
          <w:rFonts w:asciiTheme="majorHAnsi" w:eastAsia="Times New Roman" w:hAnsiTheme="majorHAnsi"/>
          <w:sz w:val="20"/>
          <w:szCs w:val="20"/>
        </w:rPr>
        <w:t>,</w:t>
      </w:r>
      <w:r w:rsidRPr="00256677">
        <w:rPr>
          <w:rFonts w:asciiTheme="majorHAnsi" w:eastAsia="Times New Roman" w:hAnsiTheme="majorHAnsi"/>
          <w:sz w:val="20"/>
          <w:szCs w:val="20"/>
        </w:rPr>
        <w:t xml:space="preserve"> that </w:t>
      </w:r>
      <w:r w:rsidR="00227BDB" w:rsidRPr="00256677">
        <w:rPr>
          <w:rFonts w:asciiTheme="majorHAnsi" w:eastAsia="Times New Roman" w:hAnsiTheme="majorHAnsi"/>
          <w:sz w:val="20"/>
          <w:szCs w:val="20"/>
        </w:rPr>
        <w:t xml:space="preserve">the </w:t>
      </w:r>
      <w:r w:rsidRPr="00256677">
        <w:rPr>
          <w:rFonts w:asciiTheme="majorHAnsi" w:eastAsia="Times New Roman" w:hAnsiTheme="majorHAnsi"/>
          <w:sz w:val="20"/>
          <w:szCs w:val="20"/>
        </w:rPr>
        <w:t xml:space="preserve">defendant stated he felt like hurting someone, acted as a leader and enforcer in </w:t>
      </w:r>
      <w:r w:rsidR="00227BDB" w:rsidRPr="00256677">
        <w:rPr>
          <w:rFonts w:asciiTheme="majorHAnsi" w:eastAsia="Times New Roman" w:hAnsiTheme="majorHAnsi"/>
          <w:sz w:val="20"/>
          <w:szCs w:val="20"/>
        </w:rPr>
        <w:t xml:space="preserve">the </w:t>
      </w:r>
      <w:r w:rsidRPr="00256677">
        <w:rPr>
          <w:rFonts w:asciiTheme="majorHAnsi" w:eastAsia="Times New Roman" w:hAnsiTheme="majorHAnsi"/>
          <w:sz w:val="20"/>
          <w:szCs w:val="20"/>
        </w:rPr>
        <w:t>group which perpetrated offenses</w:t>
      </w:r>
      <w:r w:rsidR="00227BDB" w:rsidRPr="00256677">
        <w:rPr>
          <w:rFonts w:asciiTheme="majorHAnsi" w:eastAsia="Times New Roman" w:hAnsiTheme="majorHAnsi"/>
          <w:sz w:val="20"/>
          <w:szCs w:val="20"/>
        </w:rPr>
        <w:t>;</w:t>
      </w:r>
      <w:r w:rsidRPr="00256677">
        <w:rPr>
          <w:rFonts w:asciiTheme="majorHAnsi" w:eastAsia="Times New Roman" w:hAnsiTheme="majorHAnsi"/>
          <w:sz w:val="20"/>
          <w:szCs w:val="20"/>
        </w:rPr>
        <w:t xml:space="preserve"> and stated his belief before leaving scene.</w:t>
      </w:r>
      <w:r w:rsidR="00766DEB" w:rsidRPr="00256677">
        <w:rPr>
          <w:rStyle w:val="FootnoteReference"/>
          <w:rFonts w:asciiTheme="majorHAnsi" w:eastAsia="Times New Roman" w:hAnsiTheme="majorHAnsi"/>
          <w:sz w:val="20"/>
          <w:szCs w:val="20"/>
        </w:rPr>
        <w:footnoteReference w:id="31"/>
      </w:r>
      <w:r w:rsidR="003E70EF" w:rsidRPr="00256677">
        <w:rPr>
          <w:rFonts w:asciiTheme="majorHAnsi" w:eastAsia="Times New Roman" w:hAnsiTheme="majorHAnsi"/>
          <w:sz w:val="20"/>
          <w:szCs w:val="20"/>
        </w:rPr>
        <w:t xml:space="preserve"> </w:t>
      </w:r>
    </w:p>
    <w:p w14:paraId="2B28B9D0" w14:textId="77777777" w:rsidR="00766DEB" w:rsidRPr="00256677" w:rsidRDefault="00766DEB" w:rsidP="00766DEB">
      <w:pPr>
        <w:pStyle w:val="ListParagraph"/>
        <w:rPr>
          <w:rFonts w:asciiTheme="majorHAnsi" w:eastAsia="Times New Roman" w:hAnsiTheme="majorHAnsi"/>
          <w:sz w:val="20"/>
          <w:szCs w:val="20"/>
        </w:rPr>
      </w:pPr>
    </w:p>
    <w:p w14:paraId="546D1EAD" w14:textId="77777777" w:rsidR="00B15287" w:rsidRPr="00256677" w:rsidRDefault="003E70EF" w:rsidP="00B1528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rPr>
      </w:pPr>
      <w:r w:rsidRPr="00256677">
        <w:rPr>
          <w:rFonts w:asciiTheme="majorHAnsi" w:eastAsia="Times New Roman" w:hAnsiTheme="majorHAnsi"/>
          <w:sz w:val="20"/>
          <w:szCs w:val="20"/>
        </w:rPr>
        <w:t>The court also cited a number of cases in which the death penalty was assessed where the murder was committed to avoid arrest or detection</w:t>
      </w:r>
      <w:r w:rsidR="00DA1D1A" w:rsidRPr="00256677">
        <w:rPr>
          <w:rFonts w:asciiTheme="majorHAnsi" w:eastAsia="Times New Roman" w:hAnsiTheme="majorHAnsi"/>
          <w:sz w:val="20"/>
          <w:szCs w:val="20"/>
        </w:rPr>
        <w:t xml:space="preserve"> and indicated that the motive of Mr. Gray and his cohorts was to escape capture and identification</w:t>
      </w:r>
      <w:r w:rsidR="00766DEB" w:rsidRPr="00256677">
        <w:rPr>
          <w:rFonts w:asciiTheme="majorHAnsi" w:eastAsia="Times New Roman" w:hAnsiTheme="majorHAnsi"/>
          <w:sz w:val="20"/>
          <w:szCs w:val="20"/>
        </w:rPr>
        <w:t>. It also</w:t>
      </w:r>
      <w:r w:rsidR="00DA1D1A" w:rsidRPr="00256677">
        <w:rPr>
          <w:rFonts w:asciiTheme="majorHAnsi" w:eastAsia="Times New Roman" w:hAnsiTheme="majorHAnsi"/>
          <w:sz w:val="20"/>
          <w:szCs w:val="20"/>
        </w:rPr>
        <w:t xml:space="preserve"> pointed to the fact of multiple homicides or multiple attempts at homicide as being consistent with facts in cases where the death penalty has been imposed. Finally, the court reasoned that the evidence of the defendant’s absence at the time of the actual killing was not dispositive of the question of proportionality. In this regard, the court </w:t>
      </w:r>
      <w:r w:rsidR="00433039" w:rsidRPr="00256677">
        <w:rPr>
          <w:rFonts w:asciiTheme="majorHAnsi" w:eastAsia="Times New Roman" w:hAnsiTheme="majorHAnsi"/>
          <w:sz w:val="20"/>
          <w:szCs w:val="20"/>
        </w:rPr>
        <w:t>established</w:t>
      </w:r>
      <w:r w:rsidR="00DA1D1A" w:rsidRPr="00256677">
        <w:rPr>
          <w:rFonts w:asciiTheme="majorHAnsi" w:eastAsia="Times New Roman" w:hAnsiTheme="majorHAnsi"/>
          <w:sz w:val="20"/>
          <w:szCs w:val="20"/>
        </w:rPr>
        <w:t xml:space="preserve"> that the death penalty has been sustained where there was no evidence that the defendant was present at the time of the actual murder.</w:t>
      </w:r>
      <w:r w:rsidR="00DA1D1A" w:rsidRPr="00256677">
        <w:rPr>
          <w:rStyle w:val="FootnoteReference"/>
          <w:rFonts w:asciiTheme="majorHAnsi" w:eastAsia="Times New Roman" w:hAnsiTheme="majorHAnsi"/>
          <w:sz w:val="20"/>
          <w:szCs w:val="20"/>
        </w:rPr>
        <w:footnoteReference w:id="32"/>
      </w:r>
      <w:r w:rsidR="00766DEB" w:rsidRPr="00256677">
        <w:rPr>
          <w:rFonts w:asciiTheme="majorHAnsi" w:eastAsia="Times New Roman" w:hAnsiTheme="majorHAnsi"/>
          <w:sz w:val="20"/>
          <w:szCs w:val="20"/>
        </w:rPr>
        <w:t xml:space="preserve"> </w:t>
      </w:r>
      <w:r w:rsidRPr="00256677">
        <w:rPr>
          <w:rFonts w:asciiTheme="majorHAnsi" w:eastAsia="Times New Roman" w:hAnsiTheme="majorHAnsi"/>
          <w:sz w:val="20"/>
          <w:szCs w:val="20"/>
        </w:rPr>
        <w:t xml:space="preserve">  </w:t>
      </w:r>
    </w:p>
    <w:p w14:paraId="793EC2F0" w14:textId="77777777" w:rsidR="003265BE" w:rsidRPr="00256677" w:rsidRDefault="003265BE" w:rsidP="00366FA7">
      <w:pPr>
        <w:pStyle w:val="ListParagraph"/>
        <w:rPr>
          <w:rFonts w:asciiTheme="majorHAnsi" w:hAnsiTheme="majorHAnsi"/>
          <w:sz w:val="20"/>
          <w:szCs w:val="20"/>
        </w:rPr>
      </w:pPr>
    </w:p>
    <w:p w14:paraId="77C96732" w14:textId="77777777" w:rsidR="003265BE" w:rsidRPr="00256677" w:rsidRDefault="003265BE" w:rsidP="008663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rPr>
      </w:pPr>
      <w:r w:rsidRPr="00256677">
        <w:rPr>
          <w:rFonts w:asciiTheme="majorHAnsi" w:hAnsiTheme="majorHAnsi"/>
          <w:sz w:val="20"/>
          <w:szCs w:val="20"/>
        </w:rPr>
        <w:t>On March 27</w:t>
      </w:r>
      <w:r w:rsidR="00DB7493" w:rsidRPr="00256677">
        <w:rPr>
          <w:rFonts w:asciiTheme="majorHAnsi" w:hAnsiTheme="majorHAnsi"/>
          <w:sz w:val="20"/>
          <w:szCs w:val="20"/>
        </w:rPr>
        <w:t>,</w:t>
      </w:r>
      <w:r w:rsidRPr="00256677">
        <w:rPr>
          <w:rFonts w:asciiTheme="majorHAnsi" w:hAnsiTheme="majorHAnsi"/>
          <w:sz w:val="20"/>
          <w:szCs w:val="20"/>
        </w:rPr>
        <w:t xml:space="preserve"> 1995, the United States Supreme Court denied certiorari review</w:t>
      </w:r>
      <w:r w:rsidR="00DB7493" w:rsidRPr="00256677">
        <w:rPr>
          <w:rFonts w:asciiTheme="majorHAnsi" w:hAnsiTheme="majorHAnsi"/>
          <w:sz w:val="20"/>
          <w:szCs w:val="20"/>
        </w:rPr>
        <w:t>.</w:t>
      </w:r>
      <w:r w:rsidR="005E435E" w:rsidRPr="00256677">
        <w:rPr>
          <w:rStyle w:val="FootnoteReference"/>
          <w:rFonts w:asciiTheme="majorHAnsi" w:hAnsiTheme="majorHAnsi"/>
          <w:sz w:val="20"/>
          <w:szCs w:val="20"/>
        </w:rPr>
        <w:footnoteReference w:id="33"/>
      </w:r>
      <w:r w:rsidRPr="00256677">
        <w:rPr>
          <w:rFonts w:asciiTheme="majorHAnsi" w:hAnsiTheme="majorHAnsi"/>
          <w:sz w:val="20"/>
          <w:szCs w:val="20"/>
        </w:rPr>
        <w:t xml:space="preserve"> </w:t>
      </w:r>
    </w:p>
    <w:p w14:paraId="0488ECAB" w14:textId="77777777" w:rsidR="00866353" w:rsidRPr="00256677" w:rsidRDefault="00866353" w:rsidP="00DB7493">
      <w:pPr>
        <w:tabs>
          <w:tab w:val="left" w:pos="360"/>
        </w:tabs>
        <w:rPr>
          <w:rFonts w:asciiTheme="majorHAnsi" w:hAnsiTheme="majorHAnsi"/>
          <w:sz w:val="20"/>
          <w:szCs w:val="20"/>
        </w:rPr>
      </w:pPr>
    </w:p>
    <w:p w14:paraId="13EC0735" w14:textId="77777777" w:rsidR="007072EE" w:rsidRPr="00256677" w:rsidRDefault="007072EE" w:rsidP="006E07EB">
      <w:pPr>
        <w:pStyle w:val="Heading2"/>
        <w:numPr>
          <w:ilvl w:val="0"/>
          <w:numId w:val="73"/>
        </w:numPr>
        <w:spacing w:before="0"/>
        <w:ind w:left="360"/>
        <w:jc w:val="both"/>
        <w:rPr>
          <w:color w:val="auto"/>
          <w:sz w:val="20"/>
          <w:szCs w:val="20"/>
        </w:rPr>
      </w:pPr>
      <w:bookmarkStart w:id="8" w:name="_Toc90284140"/>
      <w:r w:rsidRPr="00256677">
        <w:rPr>
          <w:color w:val="auto"/>
          <w:sz w:val="20"/>
          <w:szCs w:val="20"/>
        </w:rPr>
        <w:t>Post-conviction proceedings</w:t>
      </w:r>
      <w:bookmarkEnd w:id="8"/>
    </w:p>
    <w:p w14:paraId="60DD40BD" w14:textId="77777777" w:rsidR="007072EE" w:rsidRPr="00256677" w:rsidRDefault="007072EE" w:rsidP="00657A39">
      <w:pPr>
        <w:tabs>
          <w:tab w:val="left" w:pos="360"/>
        </w:tabs>
        <w:rPr>
          <w:rFonts w:asciiTheme="majorHAnsi" w:hAnsiTheme="majorHAnsi"/>
          <w:sz w:val="20"/>
          <w:szCs w:val="20"/>
        </w:rPr>
      </w:pPr>
    </w:p>
    <w:p w14:paraId="23096D40" w14:textId="77777777" w:rsidR="00FD1E1C" w:rsidRPr="00256677" w:rsidRDefault="00BD2443" w:rsidP="009922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rPr>
      </w:pPr>
      <w:r w:rsidRPr="00256677">
        <w:rPr>
          <w:rFonts w:asciiTheme="majorHAnsi" w:hAnsiTheme="majorHAnsi"/>
          <w:sz w:val="20"/>
          <w:szCs w:val="20"/>
        </w:rPr>
        <w:t xml:space="preserve">Mr. Gray filed a petition for a writ of habeas corpus relief in the District Court </w:t>
      </w:r>
      <w:r w:rsidR="0099229D" w:rsidRPr="00256677">
        <w:rPr>
          <w:rFonts w:asciiTheme="majorHAnsi" w:hAnsiTheme="majorHAnsi"/>
          <w:sz w:val="20"/>
          <w:szCs w:val="20"/>
        </w:rPr>
        <w:t xml:space="preserve">of Missouri, which was denied in </w:t>
      </w:r>
      <w:r w:rsidR="00A16474" w:rsidRPr="00256677">
        <w:rPr>
          <w:rFonts w:asciiTheme="majorHAnsi" w:hAnsiTheme="majorHAnsi"/>
          <w:sz w:val="20"/>
          <w:szCs w:val="20"/>
        </w:rPr>
        <w:t>an unpublished order on July 14, 2000.</w:t>
      </w:r>
      <w:r w:rsidR="00A16474" w:rsidRPr="00256677">
        <w:rPr>
          <w:rStyle w:val="FootnoteReference"/>
          <w:rFonts w:asciiTheme="majorHAnsi" w:hAnsiTheme="majorHAnsi"/>
          <w:sz w:val="20"/>
          <w:szCs w:val="20"/>
        </w:rPr>
        <w:footnoteReference w:id="34"/>
      </w:r>
      <w:r w:rsidRPr="00256677">
        <w:rPr>
          <w:rFonts w:asciiTheme="majorHAnsi" w:hAnsiTheme="majorHAnsi"/>
          <w:sz w:val="20"/>
          <w:szCs w:val="20"/>
        </w:rPr>
        <w:t xml:space="preserve"> </w:t>
      </w:r>
      <w:r w:rsidR="00866353" w:rsidRPr="00256677">
        <w:rPr>
          <w:rFonts w:asciiTheme="majorHAnsi" w:hAnsiTheme="majorHAnsi"/>
          <w:sz w:val="20"/>
          <w:szCs w:val="20"/>
        </w:rPr>
        <w:t>The United States Court of Appeal upon review of the denial of Mr. Gray’s habeas corpus petition</w:t>
      </w:r>
      <w:r w:rsidR="007072EE" w:rsidRPr="00256677">
        <w:rPr>
          <w:rFonts w:asciiTheme="majorHAnsi" w:hAnsiTheme="majorHAnsi"/>
          <w:sz w:val="20"/>
          <w:szCs w:val="20"/>
        </w:rPr>
        <w:t xml:space="preserve"> </w:t>
      </w:r>
      <w:r w:rsidR="00FD1E1C" w:rsidRPr="00256677">
        <w:rPr>
          <w:rFonts w:asciiTheme="majorHAnsi" w:hAnsiTheme="majorHAnsi"/>
          <w:sz w:val="20"/>
          <w:szCs w:val="20"/>
        </w:rPr>
        <w:t>affirmed the judgment of the District Court</w:t>
      </w:r>
      <w:r w:rsidR="007072EE" w:rsidRPr="00256677">
        <w:rPr>
          <w:rFonts w:asciiTheme="majorHAnsi" w:hAnsiTheme="majorHAnsi"/>
          <w:sz w:val="20"/>
          <w:szCs w:val="20"/>
        </w:rPr>
        <w:t>.</w:t>
      </w:r>
      <w:r w:rsidR="00FD1E1C" w:rsidRPr="00256677">
        <w:rPr>
          <w:rStyle w:val="FootnoteReference"/>
          <w:rFonts w:asciiTheme="majorHAnsi" w:hAnsiTheme="majorHAnsi"/>
          <w:sz w:val="20"/>
          <w:szCs w:val="20"/>
        </w:rPr>
        <w:footnoteReference w:id="35"/>
      </w:r>
      <w:r w:rsidR="00866353" w:rsidRPr="00256677">
        <w:rPr>
          <w:rFonts w:asciiTheme="majorHAnsi" w:hAnsiTheme="majorHAnsi"/>
          <w:sz w:val="20"/>
          <w:szCs w:val="20"/>
        </w:rPr>
        <w:t xml:space="preserve"> </w:t>
      </w:r>
      <w:r w:rsidR="00291D28" w:rsidRPr="00256677">
        <w:rPr>
          <w:rFonts w:asciiTheme="majorHAnsi" w:hAnsiTheme="majorHAnsi"/>
          <w:sz w:val="20"/>
          <w:szCs w:val="20"/>
        </w:rPr>
        <w:t xml:space="preserve">The court, however, </w:t>
      </w:r>
      <w:r w:rsidR="00866353" w:rsidRPr="00256677">
        <w:rPr>
          <w:rFonts w:asciiTheme="majorHAnsi" w:hAnsiTheme="majorHAnsi"/>
          <w:sz w:val="20"/>
          <w:szCs w:val="20"/>
        </w:rPr>
        <w:t>recognized that the “[p]etitioner did not kill Julie and Robin Kerry himself. Instead, according to the state and the verdict of the jury, he participated in a major way with three other men</w:t>
      </w:r>
      <w:r w:rsidR="0099229D" w:rsidRPr="00256677">
        <w:rPr>
          <w:rFonts w:asciiTheme="majorHAnsi" w:hAnsiTheme="majorHAnsi"/>
          <w:sz w:val="20"/>
          <w:szCs w:val="20"/>
        </w:rPr>
        <w:t xml:space="preserve"> [</w:t>
      </w:r>
      <w:r w:rsidR="00866353" w:rsidRPr="00256677">
        <w:rPr>
          <w:rFonts w:asciiTheme="majorHAnsi" w:hAnsiTheme="majorHAnsi"/>
          <w:sz w:val="20"/>
          <w:szCs w:val="20"/>
        </w:rPr>
        <w:t>…</w:t>
      </w:r>
      <w:r w:rsidR="0099229D" w:rsidRPr="00256677">
        <w:rPr>
          <w:rFonts w:asciiTheme="majorHAnsi" w:hAnsiTheme="majorHAnsi"/>
          <w:sz w:val="20"/>
          <w:szCs w:val="20"/>
        </w:rPr>
        <w:t>]</w:t>
      </w:r>
      <w:r w:rsidR="00866353" w:rsidRPr="00256677">
        <w:rPr>
          <w:rFonts w:asciiTheme="majorHAnsi" w:hAnsiTheme="majorHAnsi"/>
          <w:sz w:val="20"/>
          <w:szCs w:val="20"/>
        </w:rPr>
        <w:t xml:space="preserve"> in robbing the two victims and their cousin, and in raping the two victims.”</w:t>
      </w:r>
      <w:r w:rsidR="00866353" w:rsidRPr="00256677">
        <w:rPr>
          <w:rStyle w:val="FootnoteReference"/>
          <w:rFonts w:asciiTheme="majorHAnsi" w:hAnsiTheme="majorHAnsi"/>
          <w:sz w:val="20"/>
          <w:szCs w:val="20"/>
        </w:rPr>
        <w:footnoteReference w:id="36"/>
      </w:r>
      <w:r w:rsidR="00866353" w:rsidRPr="00256677">
        <w:rPr>
          <w:rFonts w:asciiTheme="majorHAnsi" w:hAnsiTheme="majorHAnsi"/>
          <w:sz w:val="20"/>
          <w:szCs w:val="20"/>
        </w:rPr>
        <w:t xml:space="preserve"> </w:t>
      </w:r>
    </w:p>
    <w:p w14:paraId="3BB0FAE1" w14:textId="77777777" w:rsidR="00FD1E1C" w:rsidRPr="00256677" w:rsidRDefault="00FD1E1C" w:rsidP="00366FA7">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Theme="majorHAnsi" w:hAnsiTheme="majorHAnsi"/>
          <w:sz w:val="20"/>
          <w:szCs w:val="20"/>
        </w:rPr>
      </w:pPr>
    </w:p>
    <w:p w14:paraId="0F956049" w14:textId="77777777" w:rsidR="00866353" w:rsidRPr="00256677" w:rsidRDefault="00FD1E1C" w:rsidP="008663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rPr>
      </w:pPr>
      <w:r w:rsidRPr="00256677">
        <w:rPr>
          <w:rFonts w:asciiTheme="majorHAnsi" w:hAnsiTheme="majorHAnsi"/>
          <w:sz w:val="20"/>
          <w:szCs w:val="20"/>
        </w:rPr>
        <w:t>On January 13, 2003, the Supreme Court declined discretionary review</w:t>
      </w:r>
      <w:r w:rsidRPr="00256677">
        <w:rPr>
          <w:rStyle w:val="FootnoteReference"/>
          <w:rFonts w:asciiTheme="majorHAnsi" w:hAnsiTheme="majorHAnsi"/>
          <w:sz w:val="20"/>
          <w:szCs w:val="20"/>
        </w:rPr>
        <w:footnoteReference w:id="37"/>
      </w:r>
      <w:r w:rsidRPr="00256677">
        <w:rPr>
          <w:rFonts w:asciiTheme="majorHAnsi" w:hAnsiTheme="majorHAnsi"/>
          <w:sz w:val="20"/>
          <w:szCs w:val="20"/>
        </w:rPr>
        <w:t xml:space="preserve"> and the State requested the Missouri Supreme Court to set an execution date, whi</w:t>
      </w:r>
      <w:r w:rsidR="00FE1FFB" w:rsidRPr="00256677">
        <w:rPr>
          <w:rFonts w:asciiTheme="majorHAnsi" w:hAnsiTheme="majorHAnsi"/>
          <w:sz w:val="20"/>
          <w:szCs w:val="20"/>
        </w:rPr>
        <w:t>ch was scheduled for October 26,</w:t>
      </w:r>
      <w:r w:rsidRPr="00256677">
        <w:rPr>
          <w:rFonts w:asciiTheme="majorHAnsi" w:hAnsiTheme="majorHAnsi"/>
          <w:sz w:val="20"/>
          <w:szCs w:val="20"/>
        </w:rPr>
        <w:t xml:space="preserve"> 2005.</w:t>
      </w:r>
      <w:r w:rsidRPr="00256677">
        <w:rPr>
          <w:rStyle w:val="FootnoteReference"/>
          <w:rFonts w:asciiTheme="majorHAnsi" w:hAnsiTheme="majorHAnsi"/>
          <w:sz w:val="20"/>
          <w:szCs w:val="20"/>
        </w:rPr>
        <w:footnoteReference w:id="38"/>
      </w:r>
    </w:p>
    <w:p w14:paraId="709B7C20" w14:textId="77777777" w:rsidR="007072EE" w:rsidRPr="00256677" w:rsidRDefault="007072EE" w:rsidP="00657A39">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Theme="majorHAnsi" w:hAnsiTheme="majorHAnsi"/>
          <w:sz w:val="20"/>
          <w:szCs w:val="20"/>
        </w:rPr>
      </w:pPr>
    </w:p>
    <w:p w14:paraId="17F5CCE4" w14:textId="77777777" w:rsidR="0099229D" w:rsidRPr="00256677" w:rsidRDefault="007072EE" w:rsidP="009252B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rPr>
      </w:pPr>
      <w:r w:rsidRPr="00256677">
        <w:rPr>
          <w:rFonts w:asciiTheme="majorHAnsi" w:hAnsiTheme="majorHAnsi"/>
          <w:sz w:val="20"/>
          <w:szCs w:val="20"/>
        </w:rPr>
        <w:t>Mr. Gray was executed on October 26, 2005, at 12:07 am</w:t>
      </w:r>
      <w:r w:rsidR="00FD1E1C" w:rsidRPr="00256677">
        <w:rPr>
          <w:rFonts w:asciiTheme="majorHAnsi" w:hAnsiTheme="majorHAnsi"/>
          <w:sz w:val="20"/>
          <w:szCs w:val="20"/>
        </w:rPr>
        <w:t xml:space="preserve"> by lethal injection</w:t>
      </w:r>
      <w:r w:rsidRPr="00256677">
        <w:rPr>
          <w:rFonts w:asciiTheme="majorHAnsi" w:hAnsiTheme="majorHAnsi"/>
          <w:sz w:val="20"/>
          <w:szCs w:val="20"/>
        </w:rPr>
        <w:t>.</w:t>
      </w:r>
    </w:p>
    <w:p w14:paraId="4BC204A5" w14:textId="77777777" w:rsidR="00F44529" w:rsidRPr="00256677" w:rsidRDefault="00F44529" w:rsidP="00F44529">
      <w:pPr>
        <w:pStyle w:val="ListParagraph"/>
        <w:rPr>
          <w:rFonts w:asciiTheme="majorHAnsi" w:hAnsiTheme="majorHAnsi"/>
          <w:sz w:val="20"/>
          <w:szCs w:val="20"/>
        </w:rPr>
      </w:pPr>
    </w:p>
    <w:p w14:paraId="6D390229" w14:textId="77777777" w:rsidR="00314429" w:rsidRPr="00256677" w:rsidRDefault="00314429" w:rsidP="009252B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rPr>
      </w:pPr>
      <w:r w:rsidRPr="00256677">
        <w:rPr>
          <w:rFonts w:asciiTheme="majorHAnsi" w:hAnsiTheme="majorHAnsi"/>
          <w:sz w:val="20"/>
          <w:szCs w:val="20"/>
        </w:rPr>
        <w:t xml:space="preserve">With regard to the other three persons involved in the crime, Winfrey pleaded guilty to two counts of second degree murder and agreed to testify against the other three in exchange for a recommended </w:t>
      </w:r>
      <w:r w:rsidR="00042FA0" w:rsidRPr="00256677">
        <w:rPr>
          <w:rFonts w:asciiTheme="majorHAnsi" w:hAnsiTheme="majorHAnsi"/>
          <w:sz w:val="20"/>
          <w:szCs w:val="20"/>
        </w:rPr>
        <w:t>30</w:t>
      </w:r>
      <w:r w:rsidRPr="00256677">
        <w:rPr>
          <w:rFonts w:asciiTheme="majorHAnsi" w:hAnsiTheme="majorHAnsi"/>
          <w:sz w:val="20"/>
          <w:szCs w:val="20"/>
        </w:rPr>
        <w:t>-year sentence. He received the 30-year sentence in exchange for his cooperation and was paroled in 2007. The other two were tried separately.</w:t>
      </w:r>
      <w:r w:rsidRPr="00256677">
        <w:rPr>
          <w:rStyle w:val="FootnoteReference"/>
          <w:rFonts w:asciiTheme="majorHAnsi" w:hAnsiTheme="majorHAnsi"/>
          <w:sz w:val="20"/>
          <w:szCs w:val="20"/>
        </w:rPr>
        <w:footnoteReference w:id="39"/>
      </w:r>
    </w:p>
    <w:p w14:paraId="3F14BF07" w14:textId="77777777" w:rsidR="00314429" w:rsidRPr="00256677" w:rsidRDefault="00314429" w:rsidP="00314429">
      <w:pPr>
        <w:pStyle w:val="ListParagraph"/>
        <w:rPr>
          <w:rFonts w:asciiTheme="majorHAnsi" w:hAnsiTheme="majorHAnsi"/>
          <w:sz w:val="20"/>
          <w:szCs w:val="20"/>
        </w:rPr>
      </w:pPr>
    </w:p>
    <w:p w14:paraId="19F14B2F" w14:textId="77777777" w:rsidR="00F44529" w:rsidRPr="00256677" w:rsidRDefault="00F44529" w:rsidP="009252B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rPr>
      </w:pPr>
      <w:r w:rsidRPr="00256677">
        <w:rPr>
          <w:rFonts w:asciiTheme="majorHAnsi" w:hAnsiTheme="majorHAnsi"/>
          <w:sz w:val="20"/>
          <w:szCs w:val="20"/>
        </w:rPr>
        <w:t xml:space="preserve">Richardson was convicted of </w:t>
      </w:r>
      <w:r w:rsidR="00CC0D1F" w:rsidRPr="00256677">
        <w:rPr>
          <w:rFonts w:asciiTheme="majorHAnsi" w:hAnsiTheme="majorHAnsi"/>
          <w:sz w:val="20"/>
          <w:szCs w:val="20"/>
        </w:rPr>
        <w:t>o</w:t>
      </w:r>
      <w:r w:rsidRPr="00256677">
        <w:rPr>
          <w:rFonts w:asciiTheme="majorHAnsi" w:hAnsiTheme="majorHAnsi"/>
          <w:sz w:val="20"/>
          <w:szCs w:val="20"/>
        </w:rPr>
        <w:t>ne count of first-degree murder and one count of second-degree murder</w:t>
      </w:r>
      <w:r w:rsidR="00CC0D1F" w:rsidRPr="00256677">
        <w:rPr>
          <w:rFonts w:asciiTheme="majorHAnsi" w:hAnsiTheme="majorHAnsi"/>
          <w:sz w:val="20"/>
          <w:szCs w:val="20"/>
        </w:rPr>
        <w:t xml:space="preserve"> but in the penalty phase the jury could not agree on the sentence</w:t>
      </w:r>
      <w:r w:rsidRPr="00256677">
        <w:rPr>
          <w:rFonts w:asciiTheme="majorHAnsi" w:hAnsiTheme="majorHAnsi"/>
          <w:sz w:val="20"/>
          <w:szCs w:val="20"/>
        </w:rPr>
        <w:t>.</w:t>
      </w:r>
      <w:r w:rsidR="00CC0D1F" w:rsidRPr="00256677">
        <w:rPr>
          <w:rFonts w:asciiTheme="majorHAnsi" w:hAnsiTheme="majorHAnsi"/>
          <w:sz w:val="20"/>
          <w:szCs w:val="20"/>
        </w:rPr>
        <w:t xml:space="preserve"> Under Missouri law the judge then became the sentence</w:t>
      </w:r>
      <w:r w:rsidR="00314429" w:rsidRPr="00256677">
        <w:rPr>
          <w:rFonts w:asciiTheme="majorHAnsi" w:hAnsiTheme="majorHAnsi"/>
          <w:sz w:val="20"/>
          <w:szCs w:val="20"/>
        </w:rPr>
        <w:t>r</w:t>
      </w:r>
      <w:r w:rsidR="00CC0D1F" w:rsidRPr="00256677">
        <w:rPr>
          <w:rFonts w:asciiTheme="majorHAnsi" w:hAnsiTheme="majorHAnsi"/>
          <w:sz w:val="20"/>
          <w:szCs w:val="20"/>
        </w:rPr>
        <w:t>, and sentenced him to death.</w:t>
      </w:r>
      <w:r w:rsidR="00CC0D1F" w:rsidRPr="00256677">
        <w:rPr>
          <w:rStyle w:val="FootnoteReference"/>
          <w:rFonts w:asciiTheme="majorHAnsi" w:hAnsiTheme="majorHAnsi"/>
          <w:sz w:val="20"/>
          <w:szCs w:val="20"/>
        </w:rPr>
        <w:footnoteReference w:id="40"/>
      </w:r>
      <w:r w:rsidRPr="00256677">
        <w:rPr>
          <w:rFonts w:asciiTheme="majorHAnsi" w:hAnsiTheme="majorHAnsi"/>
          <w:sz w:val="20"/>
          <w:szCs w:val="20"/>
        </w:rPr>
        <w:t xml:space="preserve"> </w:t>
      </w:r>
      <w:r w:rsidR="001C4E97" w:rsidRPr="00256677">
        <w:rPr>
          <w:rFonts w:asciiTheme="majorHAnsi" w:hAnsiTheme="majorHAnsi"/>
          <w:sz w:val="20"/>
          <w:szCs w:val="20"/>
        </w:rPr>
        <w:t>In 2002, the Supreme Court of the United States determined in Ring v. Arizona, 536 U.S. 584, that a jury must find every fact that the legislature requires be found before death may be imposed. Since the jury in Richardson’s case had not unanimously determined that he deserved the death penalty, he was re-sentenced to life imprisonment without parole.</w:t>
      </w:r>
      <w:r w:rsidR="0006511C" w:rsidRPr="00256677">
        <w:rPr>
          <w:rStyle w:val="FootnoteReference"/>
          <w:rFonts w:asciiTheme="majorHAnsi" w:hAnsiTheme="majorHAnsi"/>
          <w:sz w:val="20"/>
          <w:szCs w:val="20"/>
        </w:rPr>
        <w:footnoteReference w:id="41"/>
      </w:r>
    </w:p>
    <w:p w14:paraId="58DE032B" w14:textId="77777777" w:rsidR="0006511C" w:rsidRPr="00256677" w:rsidRDefault="0006511C" w:rsidP="0006511C">
      <w:pPr>
        <w:pStyle w:val="ListParagraph"/>
        <w:rPr>
          <w:rFonts w:asciiTheme="majorHAnsi" w:hAnsiTheme="majorHAnsi"/>
          <w:sz w:val="20"/>
          <w:szCs w:val="20"/>
        </w:rPr>
      </w:pPr>
    </w:p>
    <w:p w14:paraId="582C7232" w14:textId="77777777" w:rsidR="00737936" w:rsidRPr="00256677" w:rsidRDefault="0006511C" w:rsidP="009252B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rPr>
      </w:pPr>
      <w:r w:rsidRPr="00256677">
        <w:rPr>
          <w:rFonts w:asciiTheme="majorHAnsi" w:hAnsiTheme="majorHAnsi"/>
          <w:sz w:val="20"/>
          <w:szCs w:val="20"/>
        </w:rPr>
        <w:t xml:space="preserve">Clemons was found guilty of two counts of first-degree murder and the jury returned a verdict </w:t>
      </w:r>
      <w:r w:rsidR="000C09A7" w:rsidRPr="00256677">
        <w:rPr>
          <w:rFonts w:asciiTheme="majorHAnsi" w:hAnsiTheme="majorHAnsi"/>
          <w:sz w:val="20"/>
          <w:szCs w:val="20"/>
        </w:rPr>
        <w:t xml:space="preserve">for the death penalty on both counts. In post-conviction, the district court found that he was entitled to a writ of habeas corpus vacating the death penalty because six people were unconstitutionally excluded from serving on the </w:t>
      </w:r>
      <w:r w:rsidR="000C09A7" w:rsidRPr="00256677">
        <w:rPr>
          <w:rFonts w:asciiTheme="majorHAnsi" w:hAnsiTheme="majorHAnsi"/>
          <w:sz w:val="20"/>
          <w:szCs w:val="20"/>
        </w:rPr>
        <w:lastRenderedPageBreak/>
        <w:t>jury that sentenced him to death. At the time</w:t>
      </w:r>
      <w:r w:rsidR="00A349B5" w:rsidRPr="00256677">
        <w:rPr>
          <w:rFonts w:asciiTheme="majorHAnsi" w:hAnsiTheme="majorHAnsi"/>
          <w:sz w:val="20"/>
          <w:szCs w:val="20"/>
        </w:rPr>
        <w:t xml:space="preserve"> of the State’s submission, an appeal of this decision was pending in the U.S. Court of Appeals for the Eight Circuit</w:t>
      </w:r>
      <w:r w:rsidR="000C09A7" w:rsidRPr="00256677">
        <w:rPr>
          <w:rFonts w:asciiTheme="majorHAnsi" w:hAnsiTheme="majorHAnsi"/>
          <w:sz w:val="20"/>
          <w:szCs w:val="20"/>
        </w:rPr>
        <w:t>.</w:t>
      </w:r>
      <w:r w:rsidR="00A349B5" w:rsidRPr="00256677">
        <w:rPr>
          <w:rStyle w:val="FootnoteReference"/>
          <w:rFonts w:asciiTheme="majorHAnsi" w:hAnsiTheme="majorHAnsi"/>
          <w:sz w:val="20"/>
          <w:szCs w:val="20"/>
        </w:rPr>
        <w:footnoteReference w:id="42"/>
      </w:r>
      <w:r w:rsidR="00A349B5" w:rsidRPr="00256677">
        <w:rPr>
          <w:rFonts w:asciiTheme="majorHAnsi" w:hAnsiTheme="majorHAnsi"/>
          <w:sz w:val="20"/>
          <w:szCs w:val="20"/>
        </w:rPr>
        <w:t xml:space="preserve"> </w:t>
      </w:r>
      <w:r w:rsidR="00AD5B57" w:rsidRPr="00256677">
        <w:rPr>
          <w:rFonts w:asciiTheme="majorHAnsi" w:hAnsiTheme="majorHAnsi"/>
          <w:sz w:val="20"/>
          <w:szCs w:val="20"/>
        </w:rPr>
        <w:t>According to public information, in 2015 the Missouri Supreme Court vacated the conviction after finding that prosecutors suppressed evidence and in 2017 he pleaded guilty and was sentenced to five consecutive life sentences under a plea agreement.</w:t>
      </w:r>
      <w:r w:rsidR="002D52BE" w:rsidRPr="00256677">
        <w:rPr>
          <w:rFonts w:asciiTheme="majorHAnsi" w:hAnsiTheme="majorHAnsi"/>
          <w:sz w:val="20"/>
          <w:szCs w:val="20"/>
        </w:rPr>
        <w:t xml:space="preserve"> He could be eligible for parole in November, 2020.</w:t>
      </w:r>
      <w:r w:rsidR="00AD5B57" w:rsidRPr="00256677">
        <w:rPr>
          <w:rStyle w:val="FootnoteReference"/>
          <w:rFonts w:asciiTheme="majorHAnsi" w:hAnsiTheme="majorHAnsi"/>
          <w:sz w:val="20"/>
          <w:szCs w:val="20"/>
        </w:rPr>
        <w:footnoteReference w:id="43"/>
      </w:r>
      <w:r w:rsidR="00F54CB0" w:rsidRPr="00256677">
        <w:rPr>
          <w:rFonts w:asciiTheme="majorHAnsi" w:hAnsiTheme="majorHAnsi"/>
          <w:sz w:val="20"/>
          <w:szCs w:val="20"/>
        </w:rPr>
        <w:t xml:space="preserve"> </w:t>
      </w:r>
    </w:p>
    <w:p w14:paraId="3C25BF62" w14:textId="77777777" w:rsidR="007E6D7C" w:rsidRPr="00256677" w:rsidRDefault="007E6D7C">
      <w:pPr>
        <w:rPr>
          <w:rFonts w:asciiTheme="majorHAnsi" w:hAnsiTheme="majorHAnsi"/>
          <w:sz w:val="20"/>
          <w:szCs w:val="20"/>
        </w:rPr>
      </w:pPr>
    </w:p>
    <w:p w14:paraId="0F2BD691" w14:textId="77777777" w:rsidR="001C4006" w:rsidRPr="00256677" w:rsidRDefault="001C4006" w:rsidP="009D0D81">
      <w:pPr>
        <w:pStyle w:val="Heading1"/>
        <w:tabs>
          <w:tab w:val="left" w:pos="360"/>
        </w:tabs>
        <w:spacing w:before="0"/>
        <w:ind w:left="0" w:firstLine="0"/>
        <w:rPr>
          <w:color w:val="auto"/>
          <w:sz w:val="20"/>
          <w:szCs w:val="20"/>
        </w:rPr>
      </w:pPr>
      <w:bookmarkStart w:id="9" w:name="_Toc90284141"/>
      <w:r w:rsidRPr="00256677">
        <w:rPr>
          <w:color w:val="auto"/>
          <w:sz w:val="20"/>
          <w:szCs w:val="20"/>
        </w:rPr>
        <w:t>ANALYSIS OF LAW</w:t>
      </w:r>
      <w:bookmarkEnd w:id="9"/>
    </w:p>
    <w:p w14:paraId="1FD3227D" w14:textId="77777777" w:rsidR="00044DA8" w:rsidRPr="00256677" w:rsidRDefault="00044DA8" w:rsidP="009D0D81">
      <w:pPr>
        <w:tabs>
          <w:tab w:val="left" w:pos="360"/>
        </w:tabs>
        <w:suppressAutoHyphens/>
        <w:rPr>
          <w:rFonts w:asciiTheme="majorHAnsi" w:hAnsiTheme="majorHAnsi"/>
          <w:b/>
          <w:sz w:val="20"/>
          <w:szCs w:val="20"/>
        </w:rPr>
      </w:pPr>
    </w:p>
    <w:p w14:paraId="01DED687" w14:textId="77777777" w:rsidR="007D2FEE" w:rsidRPr="00256677" w:rsidRDefault="007D2FEE" w:rsidP="009D0D81">
      <w:pPr>
        <w:pStyle w:val="Heading2"/>
        <w:tabs>
          <w:tab w:val="left" w:pos="360"/>
        </w:tabs>
        <w:spacing w:before="0"/>
        <w:rPr>
          <w:color w:val="auto"/>
          <w:sz w:val="20"/>
          <w:szCs w:val="20"/>
        </w:rPr>
      </w:pPr>
      <w:bookmarkStart w:id="10" w:name="_Toc412815742"/>
      <w:bookmarkStart w:id="11" w:name="_Toc90284142"/>
      <w:r w:rsidRPr="00256677">
        <w:rPr>
          <w:color w:val="auto"/>
          <w:sz w:val="20"/>
          <w:szCs w:val="20"/>
        </w:rPr>
        <w:t>A.</w:t>
      </w:r>
      <w:r w:rsidRPr="00256677">
        <w:rPr>
          <w:color w:val="auto"/>
          <w:sz w:val="20"/>
          <w:szCs w:val="20"/>
        </w:rPr>
        <w:tab/>
        <w:t xml:space="preserve">Preliminary </w:t>
      </w:r>
      <w:bookmarkEnd w:id="10"/>
      <w:r w:rsidRPr="00256677">
        <w:rPr>
          <w:color w:val="auto"/>
          <w:sz w:val="20"/>
          <w:szCs w:val="20"/>
        </w:rPr>
        <w:t>considerations</w:t>
      </w:r>
      <w:bookmarkEnd w:id="11"/>
    </w:p>
    <w:p w14:paraId="5CD8A699" w14:textId="77777777" w:rsidR="00A169DC" w:rsidRPr="00256677" w:rsidRDefault="00A169DC" w:rsidP="00A169D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14:paraId="7E7C2634" w14:textId="77777777" w:rsidR="00A169DC" w:rsidRPr="00256677" w:rsidRDefault="00653AC7" w:rsidP="009D0D8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rPr>
      </w:pPr>
      <w:r w:rsidRPr="00256677">
        <w:rPr>
          <w:rFonts w:asciiTheme="majorHAnsi" w:eastAsia="Cambria" w:hAnsiTheme="majorHAnsi" w:cs="Cambria"/>
          <w:sz w:val="20"/>
          <w:szCs w:val="20"/>
        </w:rPr>
        <w:t xml:space="preserve">Before embarking on its analysis of the merits in the case of </w:t>
      </w:r>
      <w:r w:rsidR="0007744E" w:rsidRPr="00256677">
        <w:rPr>
          <w:rFonts w:asciiTheme="majorHAnsi" w:eastAsia="Cambria" w:hAnsiTheme="majorHAnsi" w:cs="Cambria"/>
          <w:sz w:val="20"/>
          <w:szCs w:val="20"/>
        </w:rPr>
        <w:t>Marlin Gray</w:t>
      </w:r>
      <w:r w:rsidRPr="00256677">
        <w:rPr>
          <w:rFonts w:asciiTheme="majorHAnsi" w:eastAsia="Cambria" w:hAnsiTheme="majorHAnsi" w:cs="Cambria"/>
          <w:sz w:val="20"/>
          <w:szCs w:val="20"/>
        </w:rPr>
        <w:t xml:space="preserve"> (Executed), the Inter-American Commission considers it relevant to reiterate its previous rulings regarding the heightened scrutiny to be used in cases involving the death penalty.  The right to life has received broad recognition as the supreme human right and as a </w:t>
      </w:r>
      <w:r w:rsidRPr="00256677">
        <w:rPr>
          <w:rFonts w:asciiTheme="majorHAnsi" w:eastAsia="Cambria" w:hAnsiTheme="majorHAnsi" w:cs="Cambria"/>
          <w:i/>
          <w:iCs/>
          <w:sz w:val="20"/>
          <w:szCs w:val="20"/>
          <w:lang w:val="it-IT"/>
        </w:rPr>
        <w:t>sine qua non</w:t>
      </w:r>
      <w:r w:rsidRPr="00256677">
        <w:rPr>
          <w:rFonts w:asciiTheme="majorHAnsi" w:eastAsia="Cambria" w:hAnsiTheme="majorHAnsi" w:cs="Cambria"/>
          <w:sz w:val="20"/>
          <w:szCs w:val="20"/>
        </w:rPr>
        <w:t xml:space="preserve"> for the enjoyment of all other rights. </w:t>
      </w:r>
    </w:p>
    <w:p w14:paraId="7BD29BF0" w14:textId="77777777" w:rsidR="00144208" w:rsidRPr="00256677" w:rsidRDefault="00144208" w:rsidP="009D0D81">
      <w:pPr>
        <w:pStyle w:val="ListParagraph"/>
        <w:tabs>
          <w:tab w:val="left" w:pos="360"/>
        </w:tabs>
        <w:rPr>
          <w:rFonts w:asciiTheme="majorHAnsi" w:hAnsiTheme="majorHAnsi"/>
          <w:sz w:val="20"/>
          <w:szCs w:val="20"/>
        </w:rPr>
      </w:pPr>
    </w:p>
    <w:p w14:paraId="59B53A8D" w14:textId="77777777" w:rsidR="00144208" w:rsidRPr="00256677" w:rsidRDefault="00144208" w:rsidP="009D0D8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rPr>
      </w:pPr>
      <w:r w:rsidRPr="00256677">
        <w:rPr>
          <w:rFonts w:asciiTheme="majorHAnsi" w:hAnsiTheme="majorHAnsi"/>
          <w:sz w:val="20"/>
          <w:szCs w:val="20"/>
        </w:rPr>
        <w:t>That gives rise to the particular importance of the IACHR’s obligation to ensure that any deprivation of life may arise from the enforcement of the death penalty strictly abides by the requirements set forth in the applicable instruments of the Inter-American Human Rights System, including the American Declaration.</w:t>
      </w:r>
      <w:r w:rsidRPr="00256677">
        <w:rPr>
          <w:rStyle w:val="FootnoteReference"/>
          <w:rFonts w:asciiTheme="majorHAnsi" w:eastAsia="Cambria" w:hAnsiTheme="majorHAnsi" w:cs="Cambria"/>
          <w:sz w:val="20"/>
          <w:szCs w:val="20"/>
        </w:rPr>
        <w:footnoteReference w:id="44"/>
      </w:r>
      <w:r w:rsidRPr="00256677">
        <w:rPr>
          <w:rFonts w:asciiTheme="majorHAnsi" w:hAnsiTheme="majorHAnsi"/>
          <w:sz w:val="20"/>
          <w:szCs w:val="20"/>
        </w:rPr>
        <w:t xml:space="preserve"> That “heightened scrutiny test is consistent with the restrictive approach adopted by other international human rights bodies in cases involving the imposition of the death penalty,</w:t>
      </w:r>
      <w:r w:rsidRPr="00256677">
        <w:rPr>
          <w:rStyle w:val="FootnoteReference"/>
          <w:rFonts w:asciiTheme="majorHAnsi" w:eastAsia="Cambria" w:hAnsiTheme="majorHAnsi" w:cs="Cambria"/>
          <w:sz w:val="20"/>
          <w:szCs w:val="20"/>
        </w:rPr>
        <w:footnoteReference w:id="45"/>
      </w:r>
      <w:r w:rsidRPr="00256677">
        <w:rPr>
          <w:rFonts w:asciiTheme="majorHAnsi" w:eastAsia="Cambria" w:hAnsiTheme="majorHAnsi" w:cs="Cambria"/>
          <w:sz w:val="20"/>
          <w:szCs w:val="20"/>
        </w:rPr>
        <w:t xml:space="preserve"> and it has been set out and applied by the Inter-American Commission in previous capital cases brought before it.</w:t>
      </w:r>
      <w:r w:rsidRPr="00256677">
        <w:rPr>
          <w:rStyle w:val="FootnoteReference"/>
          <w:rFonts w:asciiTheme="majorHAnsi" w:eastAsia="Cambria" w:hAnsiTheme="majorHAnsi" w:cs="Cambria"/>
          <w:sz w:val="20"/>
          <w:szCs w:val="20"/>
        </w:rPr>
        <w:footnoteReference w:id="46"/>
      </w:r>
      <w:r w:rsidRPr="00256677">
        <w:rPr>
          <w:rFonts w:asciiTheme="majorHAnsi" w:eastAsia="Cambria" w:hAnsiTheme="majorHAnsi" w:cs="Cambria"/>
          <w:sz w:val="20"/>
          <w:szCs w:val="20"/>
        </w:rPr>
        <w:t xml:space="preserve"> </w:t>
      </w:r>
      <w:r w:rsidRPr="00256677">
        <w:rPr>
          <w:rFonts w:asciiTheme="majorHAnsi" w:hAnsiTheme="majorHAnsi"/>
          <w:sz w:val="20"/>
          <w:szCs w:val="20"/>
        </w:rPr>
        <w:t xml:space="preserve"> </w:t>
      </w:r>
    </w:p>
    <w:p w14:paraId="18941083" w14:textId="77777777" w:rsidR="00A169DC" w:rsidRPr="00256677" w:rsidRDefault="00A169DC" w:rsidP="009D0D81">
      <w:pPr>
        <w:pStyle w:val="ListParagraph"/>
        <w:tabs>
          <w:tab w:val="left" w:pos="360"/>
        </w:tabs>
        <w:rPr>
          <w:rFonts w:asciiTheme="majorHAnsi" w:hAnsiTheme="majorHAnsi"/>
          <w:sz w:val="20"/>
          <w:szCs w:val="20"/>
        </w:rPr>
      </w:pPr>
    </w:p>
    <w:p w14:paraId="034A2A8A" w14:textId="77777777" w:rsidR="000157B5" w:rsidRPr="00256677" w:rsidRDefault="00653AC7" w:rsidP="009D0D8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rPr>
      </w:pPr>
      <w:r w:rsidRPr="00256677">
        <w:rPr>
          <w:rFonts w:asciiTheme="majorHAnsi" w:eastAsia="Cambria" w:hAnsiTheme="majorHAnsi" w:cs="Cambria"/>
          <w:sz w:val="20"/>
          <w:szCs w:val="20"/>
        </w:rPr>
        <w:t>As the Inter-American Commission has explained, this standard of review is the necessary consequence of the specific penalty at issue and the right to a fair trial and all attendant due process guarantees</w:t>
      </w:r>
      <w:r w:rsidR="006636C8" w:rsidRPr="00256677">
        <w:rPr>
          <w:rFonts w:asciiTheme="majorHAnsi" w:eastAsia="Cambria" w:hAnsiTheme="majorHAnsi" w:cs="Cambria"/>
          <w:sz w:val="20"/>
          <w:szCs w:val="20"/>
        </w:rPr>
        <w:t>:</w:t>
      </w:r>
      <w:r w:rsidRPr="00256677">
        <w:rPr>
          <w:rStyle w:val="FootnoteReference"/>
          <w:rFonts w:asciiTheme="majorHAnsi" w:eastAsia="Cambria" w:hAnsiTheme="majorHAnsi" w:cs="Cambria"/>
          <w:sz w:val="20"/>
          <w:szCs w:val="20"/>
        </w:rPr>
        <w:footnoteReference w:id="47"/>
      </w:r>
    </w:p>
    <w:p w14:paraId="4F4EA568" w14:textId="77777777" w:rsidR="000157B5" w:rsidRPr="00256677" w:rsidRDefault="000157B5" w:rsidP="009D0D81">
      <w:pPr>
        <w:pStyle w:val="ListParagraph"/>
        <w:tabs>
          <w:tab w:val="left" w:pos="360"/>
        </w:tabs>
        <w:rPr>
          <w:rFonts w:asciiTheme="majorHAnsi" w:hAnsiTheme="majorHAnsi"/>
          <w:sz w:val="20"/>
          <w:szCs w:val="20"/>
        </w:rPr>
      </w:pPr>
    </w:p>
    <w:p w14:paraId="172C663F" w14:textId="77777777" w:rsidR="000157B5" w:rsidRPr="00256677" w:rsidRDefault="00653AC7" w:rsidP="008A625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right="360"/>
        <w:jc w:val="both"/>
        <w:rPr>
          <w:rFonts w:asciiTheme="majorHAnsi" w:hAnsiTheme="majorHAnsi"/>
          <w:sz w:val="18"/>
          <w:szCs w:val="18"/>
        </w:rPr>
      </w:pPr>
      <w:r w:rsidRPr="00256677">
        <w:rPr>
          <w:rFonts w:asciiTheme="majorHAnsi" w:eastAsia="Cambria" w:hAnsiTheme="majorHAnsi" w:cs="Cambria"/>
          <w:sz w:val="18"/>
          <w:szCs w:val="18"/>
        </w:rPr>
        <w:t>“due in part to its irrevocable and irreversible nature, the death penalty is a form of punishment that differs in substance as well as in degree in comparison with other means of punishment, and therefore warrants a particularly stringent need for reliability in determining whether a person is responsible for a crime that carries a penalty of death.”</w:t>
      </w:r>
      <w:r w:rsidRPr="00256677">
        <w:rPr>
          <w:rFonts w:asciiTheme="majorHAnsi" w:hAnsiTheme="majorHAnsi"/>
          <w:sz w:val="18"/>
          <w:szCs w:val="18"/>
          <w:vertAlign w:val="superscript"/>
        </w:rPr>
        <w:footnoteReference w:id="48"/>
      </w:r>
    </w:p>
    <w:p w14:paraId="1D5B32BD" w14:textId="77777777" w:rsidR="00A169DC" w:rsidRPr="00256677" w:rsidRDefault="00A169DC" w:rsidP="009D0D81">
      <w:pPr>
        <w:tabs>
          <w:tab w:val="left" w:pos="360"/>
        </w:tabs>
        <w:rPr>
          <w:rFonts w:asciiTheme="majorHAnsi" w:hAnsiTheme="majorHAnsi"/>
          <w:sz w:val="20"/>
          <w:szCs w:val="20"/>
        </w:rPr>
      </w:pPr>
    </w:p>
    <w:p w14:paraId="4EB64ACF" w14:textId="77777777" w:rsidR="00653AC7" w:rsidRPr="00256677" w:rsidRDefault="00653AC7" w:rsidP="009D0D8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rPr>
      </w:pPr>
      <w:r w:rsidRPr="00256677">
        <w:rPr>
          <w:rFonts w:asciiTheme="majorHAnsi" w:eastAsia="Cambria" w:hAnsiTheme="majorHAnsi" w:cs="Cambria"/>
          <w:sz w:val="20"/>
          <w:szCs w:val="20"/>
        </w:rPr>
        <w:t>The Inter-American Commission will therefore review the petitioner’s allegations in the present case with a heightened level of scrutiny, to ensure in particular that the rights to life, due process, and to a fair trial as prescribed under the American Declaration have been respected by the State.  With regard to the legal status of the American Declaration, the IACHR reiterates that:</w:t>
      </w:r>
    </w:p>
    <w:p w14:paraId="4260D259" w14:textId="77777777" w:rsidR="00653AC7" w:rsidRPr="00256677" w:rsidRDefault="00653AC7" w:rsidP="009D0D81">
      <w:pPr>
        <w:pStyle w:val="Body"/>
        <w:tabs>
          <w:tab w:val="left" w:pos="360"/>
          <w:tab w:val="left" w:pos="630"/>
          <w:tab w:val="left" w:pos="810"/>
        </w:tabs>
        <w:jc w:val="both"/>
        <w:rPr>
          <w:rFonts w:asciiTheme="majorHAnsi" w:eastAsia="Cambria" w:hAnsiTheme="majorHAnsi" w:cs="Cambria"/>
          <w:sz w:val="20"/>
          <w:szCs w:val="20"/>
        </w:rPr>
      </w:pPr>
    </w:p>
    <w:p w14:paraId="1772706F" w14:textId="77777777" w:rsidR="00DE5D25" w:rsidRPr="00256677" w:rsidRDefault="00653AC7" w:rsidP="008A6254">
      <w:pPr>
        <w:pStyle w:val="Body"/>
        <w:tabs>
          <w:tab w:val="left" w:pos="360"/>
          <w:tab w:val="left" w:pos="630"/>
          <w:tab w:val="left" w:pos="810"/>
          <w:tab w:val="left" w:pos="9000"/>
        </w:tabs>
        <w:ind w:left="360" w:right="360"/>
        <w:jc w:val="both"/>
        <w:rPr>
          <w:rFonts w:asciiTheme="majorHAnsi" w:eastAsia="Cambria" w:hAnsiTheme="majorHAnsi" w:cs="Cambria"/>
          <w:sz w:val="18"/>
          <w:szCs w:val="18"/>
        </w:rPr>
      </w:pPr>
      <w:r w:rsidRPr="00256677">
        <w:rPr>
          <w:rFonts w:asciiTheme="majorHAnsi" w:eastAsia="Cambria" w:hAnsiTheme="majorHAnsi" w:cs="Cambria"/>
          <w:sz w:val="18"/>
          <w:szCs w:val="18"/>
        </w:rPr>
        <w:t>“[t]he American Declaration is, for the Member States not parties to the American Convention, the source of international obligations related to the OAS Charter. The Charter of the Organization gave the IACHR the principal function of promoting the observance and protection of human rights in the Member States. Article 106 of the OAS Charter does not, however, list or define those rights. The General Assembly of the OAS at its Ninth Regular Period of Sessions, held in La Paz, Bolivia, in October, 1979, agreed that those rights are those enunciated and defined in the American Declaration. Therefore, the American Declaration crystallizes the fundamental principles recognized by the American States. The OAS General Assembly has also repeatedly recognized that the American Declaration is a source of international obligations for the member states of the OAS.”</w:t>
      </w:r>
      <w:r w:rsidRPr="00256677">
        <w:rPr>
          <w:rFonts w:asciiTheme="majorHAnsi" w:eastAsia="Cambria" w:hAnsiTheme="majorHAnsi" w:cs="Cambria"/>
          <w:sz w:val="18"/>
          <w:szCs w:val="18"/>
          <w:vertAlign w:val="superscript"/>
        </w:rPr>
        <w:footnoteReference w:id="49"/>
      </w:r>
    </w:p>
    <w:p w14:paraId="1C500C79" w14:textId="77777777" w:rsidR="00FE5165" w:rsidRPr="00256677" w:rsidRDefault="00BA0255" w:rsidP="009D0D81">
      <w:pPr>
        <w:pStyle w:val="Heading2"/>
        <w:tabs>
          <w:tab w:val="left" w:pos="360"/>
        </w:tabs>
        <w:rPr>
          <w:rFonts w:eastAsia="Arial Unicode MS"/>
          <w:color w:val="auto"/>
          <w:sz w:val="20"/>
          <w:szCs w:val="20"/>
        </w:rPr>
      </w:pPr>
      <w:bookmarkStart w:id="12" w:name="_Toc90284143"/>
      <w:r w:rsidRPr="00256677">
        <w:rPr>
          <w:rFonts w:eastAsia="Arial Unicode MS"/>
          <w:color w:val="auto"/>
          <w:sz w:val="20"/>
          <w:szCs w:val="20"/>
        </w:rPr>
        <w:t>B</w:t>
      </w:r>
      <w:r w:rsidR="00FE5165" w:rsidRPr="00256677">
        <w:rPr>
          <w:rFonts w:eastAsia="Arial Unicode MS"/>
          <w:color w:val="auto"/>
          <w:sz w:val="20"/>
          <w:szCs w:val="20"/>
        </w:rPr>
        <w:t>.</w:t>
      </w:r>
      <w:r w:rsidR="00FE5165" w:rsidRPr="00256677">
        <w:rPr>
          <w:rFonts w:eastAsia="Arial Unicode MS"/>
          <w:color w:val="auto"/>
          <w:sz w:val="20"/>
          <w:szCs w:val="20"/>
        </w:rPr>
        <w:tab/>
      </w:r>
      <w:r w:rsidR="00AB352F" w:rsidRPr="00256677">
        <w:rPr>
          <w:rFonts w:eastAsia="Arial Unicode MS"/>
          <w:color w:val="auto"/>
          <w:sz w:val="20"/>
          <w:szCs w:val="20"/>
        </w:rPr>
        <w:t>Right to</w:t>
      </w:r>
      <w:r w:rsidR="00346770" w:rsidRPr="00256677">
        <w:rPr>
          <w:rFonts w:eastAsia="Arial Unicode MS"/>
          <w:color w:val="auto"/>
          <w:sz w:val="20"/>
          <w:szCs w:val="20"/>
        </w:rPr>
        <w:t xml:space="preserve"> l</w:t>
      </w:r>
      <w:r w:rsidR="00AB352F" w:rsidRPr="00256677">
        <w:rPr>
          <w:rFonts w:eastAsia="Arial Unicode MS"/>
          <w:color w:val="auto"/>
          <w:sz w:val="20"/>
          <w:szCs w:val="20"/>
        </w:rPr>
        <w:t>ife</w:t>
      </w:r>
      <w:r w:rsidR="00AB352F" w:rsidRPr="00256677">
        <w:rPr>
          <w:rStyle w:val="FootnoteReference"/>
          <w:rFonts w:eastAsia="Arial Unicode MS"/>
          <w:color w:val="auto"/>
          <w:sz w:val="20"/>
          <w:szCs w:val="20"/>
        </w:rPr>
        <w:footnoteReference w:id="50"/>
      </w:r>
      <w:r w:rsidR="00346770" w:rsidRPr="00256677">
        <w:rPr>
          <w:rFonts w:eastAsia="Arial Unicode MS"/>
          <w:color w:val="auto"/>
          <w:sz w:val="20"/>
          <w:szCs w:val="20"/>
        </w:rPr>
        <w:t xml:space="preserve"> and the imposition of the death penalty only for the most serious crimes</w:t>
      </w:r>
      <w:bookmarkEnd w:id="12"/>
      <w:r w:rsidR="00AB352F" w:rsidRPr="00256677">
        <w:rPr>
          <w:rFonts w:eastAsia="Arial Unicode MS"/>
          <w:color w:val="auto"/>
          <w:sz w:val="20"/>
          <w:szCs w:val="20"/>
        </w:rPr>
        <w:t xml:space="preserve">   </w:t>
      </w:r>
    </w:p>
    <w:p w14:paraId="45FB2FA2" w14:textId="77777777" w:rsidR="00AB352F" w:rsidRPr="00256677" w:rsidRDefault="00AB352F" w:rsidP="00AB352F">
      <w:pPr>
        <w:rPr>
          <w:rFonts w:asciiTheme="majorHAnsi" w:hAnsiTheme="majorHAnsi"/>
          <w:sz w:val="20"/>
          <w:szCs w:val="20"/>
        </w:rPr>
      </w:pPr>
    </w:p>
    <w:p w14:paraId="505F4419" w14:textId="77777777" w:rsidR="00182FB6" w:rsidRPr="00256677" w:rsidRDefault="00182FB6" w:rsidP="006E07EB">
      <w:pPr>
        <w:pStyle w:val="Heading3"/>
        <w:numPr>
          <w:ilvl w:val="1"/>
          <w:numId w:val="53"/>
        </w:numPr>
        <w:spacing w:before="0"/>
        <w:ind w:left="360"/>
        <w:rPr>
          <w:color w:val="auto"/>
          <w:sz w:val="20"/>
          <w:szCs w:val="20"/>
        </w:rPr>
      </w:pPr>
      <w:bookmarkStart w:id="13" w:name="_Toc90284144"/>
      <w:r w:rsidRPr="00256677">
        <w:rPr>
          <w:color w:val="auto"/>
          <w:sz w:val="20"/>
          <w:szCs w:val="20"/>
        </w:rPr>
        <w:t>General considerations</w:t>
      </w:r>
      <w:bookmarkEnd w:id="13"/>
    </w:p>
    <w:p w14:paraId="71C462A6" w14:textId="77777777" w:rsidR="00182FB6" w:rsidRPr="00256677" w:rsidRDefault="00182FB6" w:rsidP="00AB352F">
      <w:pPr>
        <w:rPr>
          <w:rFonts w:asciiTheme="majorHAnsi" w:hAnsiTheme="majorHAnsi"/>
          <w:sz w:val="20"/>
          <w:szCs w:val="20"/>
        </w:rPr>
      </w:pPr>
    </w:p>
    <w:p w14:paraId="160965E8" w14:textId="77777777" w:rsidR="00DB710E" w:rsidRPr="00256677" w:rsidRDefault="00493004" w:rsidP="009D0D8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rPr>
      </w:pPr>
      <w:r w:rsidRPr="00256677">
        <w:rPr>
          <w:rFonts w:asciiTheme="majorHAnsi" w:eastAsia="Calibri" w:hAnsiTheme="majorHAnsi" w:cs="Calibri"/>
          <w:sz w:val="20"/>
          <w:szCs w:val="20"/>
        </w:rPr>
        <w:t>The Commission has stressed that the right to life is a prerequisite for the enjoyment of all other human rights and</w:t>
      </w:r>
      <w:r w:rsidR="00A17C14" w:rsidRPr="00256677">
        <w:rPr>
          <w:rFonts w:asciiTheme="majorHAnsi" w:eastAsia="Calibri" w:hAnsiTheme="majorHAnsi" w:cs="Calibri"/>
          <w:sz w:val="20"/>
          <w:szCs w:val="20"/>
        </w:rPr>
        <w:t>, b</w:t>
      </w:r>
      <w:r w:rsidR="00805784" w:rsidRPr="00256677">
        <w:rPr>
          <w:rFonts w:asciiTheme="majorHAnsi" w:eastAsia="Calibri" w:hAnsiTheme="majorHAnsi" w:cs="Calibri"/>
          <w:sz w:val="20"/>
          <w:szCs w:val="20"/>
        </w:rPr>
        <w:t xml:space="preserve">ecause execution of the death penalty is irreversible, the strictest and most rigorous enforcement of judicial guarantees is required of the State so that those guarantees are not violated and a human life </w:t>
      </w:r>
      <w:r w:rsidR="00EB134D" w:rsidRPr="00256677">
        <w:rPr>
          <w:rFonts w:asciiTheme="majorHAnsi" w:eastAsia="Calibri" w:hAnsiTheme="majorHAnsi" w:cs="Calibri"/>
          <w:sz w:val="20"/>
          <w:szCs w:val="20"/>
        </w:rPr>
        <w:t xml:space="preserve">is </w:t>
      </w:r>
      <w:r w:rsidR="00805784" w:rsidRPr="00256677">
        <w:rPr>
          <w:rFonts w:asciiTheme="majorHAnsi" w:eastAsia="Calibri" w:hAnsiTheme="majorHAnsi" w:cs="Calibri"/>
          <w:sz w:val="20"/>
          <w:szCs w:val="20"/>
        </w:rPr>
        <w:t>not arbitrarily taken as a result.</w:t>
      </w:r>
      <w:r w:rsidRPr="00256677">
        <w:rPr>
          <w:rFonts w:asciiTheme="majorHAnsi" w:eastAsia="Calibri" w:hAnsiTheme="majorHAnsi" w:cs="Calibri"/>
          <w:sz w:val="20"/>
          <w:szCs w:val="20"/>
        </w:rPr>
        <w:t xml:space="preserve"> The importance of the right to life is reflected in its inclusion in all major international human rights instruments.</w:t>
      </w:r>
      <w:r w:rsidR="00805784" w:rsidRPr="00256677">
        <w:rPr>
          <w:rFonts w:asciiTheme="majorHAnsi" w:hAnsiTheme="majorHAnsi"/>
          <w:sz w:val="20"/>
          <w:szCs w:val="16"/>
          <w:vertAlign w:val="superscript"/>
        </w:rPr>
        <w:footnoteReference w:id="51"/>
      </w:r>
    </w:p>
    <w:p w14:paraId="01972278" w14:textId="77777777" w:rsidR="003D3CD4" w:rsidRPr="00256677" w:rsidRDefault="003D3CD4" w:rsidP="009207F2">
      <w:pPr>
        <w:tabs>
          <w:tab w:val="left" w:pos="360"/>
        </w:tabs>
        <w:rPr>
          <w:rFonts w:asciiTheme="majorHAnsi" w:hAnsiTheme="majorHAnsi"/>
          <w:sz w:val="20"/>
          <w:szCs w:val="20"/>
        </w:rPr>
      </w:pPr>
    </w:p>
    <w:p w14:paraId="1E11F704" w14:textId="77777777" w:rsidR="00182FB6" w:rsidRPr="00256677" w:rsidRDefault="00182FB6" w:rsidP="00182F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rPr>
      </w:pPr>
      <w:r w:rsidRPr="00256677">
        <w:rPr>
          <w:rFonts w:asciiTheme="majorHAnsi" w:eastAsia="Times New Roman" w:hAnsiTheme="majorHAnsi"/>
          <w:sz w:val="20"/>
          <w:szCs w:val="20"/>
        </w:rPr>
        <w:t>The Commission has previously held that Article I of the American Declaration, while not precluding the death penalty altogether, prohibits its application when doing so would result in an arbitrary deprivation of life. The Commission has also held that several deficiencies may render an execution arbitrary contrary to Article I of the Declaration, including a failure on the part of a State to limit the death penalty to crimes of exceptional gravity prescribed by pre-existing la</w:t>
      </w:r>
      <w:bookmarkStart w:id="14" w:name="_ftnref3"/>
      <w:r w:rsidRPr="00256677">
        <w:rPr>
          <w:rFonts w:asciiTheme="majorHAnsi" w:eastAsia="Times New Roman" w:hAnsiTheme="majorHAnsi"/>
          <w:sz w:val="20"/>
          <w:szCs w:val="20"/>
        </w:rPr>
        <w:t>w</w:t>
      </w:r>
      <w:r w:rsidR="008141EA" w:rsidRPr="00256677">
        <w:rPr>
          <w:rFonts w:asciiTheme="majorHAnsi" w:eastAsia="Times New Roman" w:hAnsiTheme="majorHAnsi"/>
          <w:sz w:val="20"/>
          <w:szCs w:val="20"/>
        </w:rPr>
        <w:t>.</w:t>
      </w:r>
      <w:r w:rsidRPr="00256677">
        <w:rPr>
          <w:rStyle w:val="FootnoteReference"/>
          <w:rFonts w:asciiTheme="majorHAnsi" w:eastAsia="Times New Roman" w:hAnsiTheme="majorHAnsi"/>
          <w:sz w:val="20"/>
          <w:szCs w:val="20"/>
        </w:rPr>
        <w:footnoteReference w:id="52"/>
      </w:r>
      <w:bookmarkEnd w:id="14"/>
    </w:p>
    <w:p w14:paraId="323E0861" w14:textId="77777777" w:rsidR="00182FB6" w:rsidRPr="00256677" w:rsidRDefault="00182FB6" w:rsidP="00182FB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Theme="majorHAnsi" w:hAnsiTheme="majorHAnsi"/>
          <w:sz w:val="20"/>
          <w:szCs w:val="20"/>
        </w:rPr>
      </w:pPr>
    </w:p>
    <w:p w14:paraId="10D451DD" w14:textId="77777777" w:rsidR="00B321B3" w:rsidRPr="00256677" w:rsidRDefault="004E6B90" w:rsidP="002838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rPr>
      </w:pPr>
      <w:r w:rsidRPr="00256677">
        <w:rPr>
          <w:rFonts w:asciiTheme="majorHAnsi" w:hAnsiTheme="majorHAnsi"/>
          <w:sz w:val="20"/>
          <w:szCs w:val="20"/>
        </w:rPr>
        <w:t>Article 4 of the</w:t>
      </w:r>
      <w:r w:rsidR="000351D4" w:rsidRPr="00256677">
        <w:rPr>
          <w:rFonts w:asciiTheme="majorHAnsi" w:hAnsiTheme="majorHAnsi"/>
          <w:sz w:val="20"/>
          <w:szCs w:val="20"/>
        </w:rPr>
        <w:t xml:space="preserve"> </w:t>
      </w:r>
      <w:r w:rsidR="00007C5F" w:rsidRPr="00256677">
        <w:rPr>
          <w:rFonts w:asciiTheme="majorHAnsi" w:hAnsiTheme="majorHAnsi"/>
          <w:sz w:val="20"/>
          <w:szCs w:val="20"/>
        </w:rPr>
        <w:t xml:space="preserve">American </w:t>
      </w:r>
      <w:r w:rsidR="000351D4" w:rsidRPr="00256677">
        <w:rPr>
          <w:rFonts w:asciiTheme="majorHAnsi" w:hAnsiTheme="majorHAnsi"/>
          <w:sz w:val="20"/>
          <w:szCs w:val="20"/>
        </w:rPr>
        <w:t>Convention</w:t>
      </w:r>
      <w:r w:rsidR="005C232A" w:rsidRPr="00256677">
        <w:rPr>
          <w:rFonts w:asciiTheme="majorHAnsi" w:hAnsiTheme="majorHAnsi"/>
          <w:sz w:val="20"/>
          <w:szCs w:val="20"/>
        </w:rPr>
        <w:t>,</w:t>
      </w:r>
      <w:r w:rsidR="00007C5F" w:rsidRPr="00256677">
        <w:rPr>
          <w:rFonts w:asciiTheme="majorHAnsi" w:hAnsiTheme="majorHAnsi"/>
          <w:sz w:val="20"/>
          <w:szCs w:val="20"/>
        </w:rPr>
        <w:t xml:space="preserve"> in establishing the right to life</w:t>
      </w:r>
      <w:r w:rsidR="005C232A" w:rsidRPr="00256677">
        <w:rPr>
          <w:rFonts w:asciiTheme="majorHAnsi" w:hAnsiTheme="majorHAnsi"/>
          <w:sz w:val="20"/>
          <w:szCs w:val="20"/>
        </w:rPr>
        <w:t>,</w:t>
      </w:r>
      <w:r w:rsidR="000351D4" w:rsidRPr="00256677">
        <w:rPr>
          <w:rFonts w:asciiTheme="majorHAnsi" w:hAnsiTheme="majorHAnsi"/>
          <w:sz w:val="20"/>
          <w:szCs w:val="20"/>
        </w:rPr>
        <w:t xml:space="preserve"> imposes restrictions that apply to the different types of crimes punishable by the death penalty</w:t>
      </w:r>
      <w:r w:rsidR="006F732C" w:rsidRPr="00256677">
        <w:rPr>
          <w:rFonts w:asciiTheme="majorHAnsi" w:hAnsiTheme="majorHAnsi"/>
          <w:sz w:val="20"/>
          <w:szCs w:val="20"/>
        </w:rPr>
        <w:t xml:space="preserve">; limiting </w:t>
      </w:r>
      <w:r w:rsidR="000351D4" w:rsidRPr="00256677">
        <w:rPr>
          <w:rFonts w:asciiTheme="majorHAnsi" w:hAnsiTheme="majorHAnsi"/>
          <w:sz w:val="20"/>
          <w:szCs w:val="20"/>
        </w:rPr>
        <w:t>the imposition of the death penalty to the most serious of crimes indicates that it was designed to be applied in truly exceptional circumstances only.</w:t>
      </w:r>
      <w:r w:rsidR="000351D4" w:rsidRPr="00256677">
        <w:rPr>
          <w:rStyle w:val="FootnoteReference"/>
          <w:rFonts w:asciiTheme="majorHAnsi" w:hAnsiTheme="majorHAnsi"/>
          <w:sz w:val="20"/>
          <w:szCs w:val="20"/>
        </w:rPr>
        <w:footnoteReference w:id="53"/>
      </w:r>
      <w:r w:rsidR="00A77577" w:rsidRPr="00256677">
        <w:rPr>
          <w:rStyle w:val="FootnoteReference"/>
        </w:rPr>
        <w:t xml:space="preserve"> </w:t>
      </w:r>
      <w:r w:rsidR="00B321B3" w:rsidRPr="00256677">
        <w:rPr>
          <w:rFonts w:asciiTheme="majorHAnsi" w:hAnsiTheme="majorHAnsi"/>
          <w:sz w:val="20"/>
          <w:szCs w:val="20"/>
        </w:rPr>
        <w:t>According to inter-American jurisprudence:</w:t>
      </w:r>
    </w:p>
    <w:p w14:paraId="3C55343C" w14:textId="77777777" w:rsidR="00B321B3" w:rsidRPr="00256677" w:rsidRDefault="00B321B3" w:rsidP="00BA273E">
      <w:pPr>
        <w:pStyle w:val="ListParagraph"/>
        <w:ind w:left="0"/>
        <w:jc w:val="both"/>
        <w:rPr>
          <w:rFonts w:asciiTheme="majorHAnsi" w:eastAsia="Arial Unicode MS" w:hAnsiTheme="majorHAnsi" w:cs="Times New Roman"/>
          <w:color w:val="auto"/>
          <w:sz w:val="20"/>
          <w:szCs w:val="20"/>
          <w:lang w:eastAsia="en-US"/>
        </w:rPr>
      </w:pPr>
    </w:p>
    <w:p w14:paraId="2BC1B2AF" w14:textId="77777777" w:rsidR="00BA273E" w:rsidRPr="00256677" w:rsidRDefault="00BA273E" w:rsidP="00872B1E">
      <w:pPr>
        <w:pStyle w:val="BodyTextIndent2"/>
        <w:spacing w:after="0" w:line="240" w:lineRule="auto"/>
        <w:ind w:right="360"/>
        <w:jc w:val="both"/>
        <w:rPr>
          <w:rFonts w:asciiTheme="majorHAnsi" w:hAnsiTheme="majorHAnsi"/>
          <w:sz w:val="18"/>
          <w:szCs w:val="18"/>
        </w:rPr>
      </w:pPr>
      <w:r w:rsidRPr="00256677">
        <w:rPr>
          <w:rFonts w:asciiTheme="majorHAnsi" w:hAnsiTheme="majorHAnsi"/>
          <w:sz w:val="18"/>
          <w:szCs w:val="18"/>
        </w:rPr>
        <w:t>The intentional and illicit deprivation of another’s life (intentional or premeditated murder, in the broad sense) can and must be recognised and addressed in criminal law under various categories (criminal classes) that correspond with the wide range of gravity of the surrounding facts, taking into account the different facets that can come into play: a special relationship between the offender and the victim, motives for the behaviour, the circumstances under which the crime is committed, the means employed by the offender, etc.  This approach allows for a graduated assessment of the gravity of the offence, so that it will bear an appropriate relation to the graduated levels of gravity of the applicable punishment.</w:t>
      </w:r>
      <w:r w:rsidR="00872B1E" w:rsidRPr="00256677">
        <w:rPr>
          <w:rStyle w:val="FootnoteReference"/>
          <w:rFonts w:asciiTheme="majorHAnsi" w:eastAsia="Times New Roman" w:hAnsiTheme="majorHAnsi"/>
          <w:sz w:val="18"/>
          <w:szCs w:val="18"/>
        </w:rPr>
        <w:footnoteReference w:id="54"/>
      </w:r>
    </w:p>
    <w:p w14:paraId="40F0AD4E" w14:textId="77777777" w:rsidR="00B321B3" w:rsidRPr="00256677" w:rsidRDefault="00B321B3" w:rsidP="00B321B3">
      <w:pPr>
        <w:pStyle w:val="ListParagraph"/>
        <w:rPr>
          <w:rFonts w:asciiTheme="majorHAnsi" w:hAnsiTheme="majorHAnsi"/>
          <w:sz w:val="20"/>
          <w:szCs w:val="20"/>
          <w:lang w:val="en-GB"/>
        </w:rPr>
      </w:pPr>
    </w:p>
    <w:p w14:paraId="6C3558FB" w14:textId="77777777" w:rsidR="0024722E" w:rsidRPr="00256677" w:rsidRDefault="002669F0" w:rsidP="002838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rPr>
      </w:pPr>
      <w:r w:rsidRPr="00256677">
        <w:rPr>
          <w:rFonts w:asciiTheme="majorHAnsi" w:hAnsiTheme="majorHAnsi"/>
          <w:sz w:val="20"/>
          <w:szCs w:val="20"/>
        </w:rPr>
        <w:t>S</w:t>
      </w:r>
      <w:r w:rsidR="005B7BC5" w:rsidRPr="00256677">
        <w:rPr>
          <w:rFonts w:asciiTheme="majorHAnsi" w:hAnsiTheme="majorHAnsi"/>
          <w:sz w:val="20"/>
          <w:szCs w:val="20"/>
        </w:rPr>
        <w:t>imilarly, in international law</w:t>
      </w:r>
      <w:r w:rsidR="00872B1E" w:rsidRPr="00256677">
        <w:rPr>
          <w:rFonts w:asciiTheme="majorHAnsi" w:hAnsiTheme="majorHAnsi"/>
          <w:sz w:val="20"/>
          <w:szCs w:val="20"/>
        </w:rPr>
        <w:t>,</w:t>
      </w:r>
      <w:r w:rsidR="005B7BC5" w:rsidRPr="00256677">
        <w:rPr>
          <w:rFonts w:asciiTheme="majorHAnsi" w:hAnsiTheme="majorHAnsi"/>
          <w:sz w:val="20"/>
          <w:szCs w:val="20"/>
        </w:rPr>
        <w:t xml:space="preserve"> the legal foundation for executions is provided by the International Convention on Civil and Political Rights, which specifies that</w:t>
      </w:r>
      <w:r w:rsidRPr="00256677">
        <w:rPr>
          <w:rFonts w:asciiTheme="majorHAnsi" w:hAnsiTheme="majorHAnsi"/>
          <w:sz w:val="20"/>
          <w:szCs w:val="20"/>
        </w:rPr>
        <w:t xml:space="preserve"> the “sentence of death may be imposed only for the most serious crimes in accordance with the law in force at the time of the commission of the crime</w:t>
      </w:r>
      <w:r w:rsidR="008141EA" w:rsidRPr="00256677">
        <w:rPr>
          <w:rFonts w:asciiTheme="majorHAnsi" w:hAnsiTheme="majorHAnsi"/>
          <w:sz w:val="20"/>
          <w:szCs w:val="20"/>
        </w:rPr>
        <w:t>.</w:t>
      </w:r>
      <w:r w:rsidRPr="00256677">
        <w:rPr>
          <w:rFonts w:asciiTheme="majorHAnsi" w:hAnsiTheme="majorHAnsi"/>
          <w:sz w:val="20"/>
          <w:szCs w:val="20"/>
        </w:rPr>
        <w:t>”</w:t>
      </w:r>
      <w:r w:rsidRPr="00256677">
        <w:rPr>
          <w:rStyle w:val="FootnoteReference"/>
          <w:rFonts w:asciiTheme="majorHAnsi" w:hAnsiTheme="majorHAnsi"/>
          <w:sz w:val="20"/>
          <w:szCs w:val="20"/>
        </w:rPr>
        <w:footnoteReference w:id="55"/>
      </w:r>
      <w:r w:rsidR="00E04093" w:rsidRPr="00256677">
        <w:rPr>
          <w:rFonts w:asciiTheme="majorHAnsi" w:hAnsiTheme="majorHAnsi"/>
          <w:sz w:val="20"/>
          <w:szCs w:val="20"/>
        </w:rPr>
        <w:t xml:space="preserve"> </w:t>
      </w:r>
    </w:p>
    <w:p w14:paraId="55A3989B" w14:textId="77777777" w:rsidR="003763A9" w:rsidRPr="00256677" w:rsidRDefault="003763A9" w:rsidP="003763A9">
      <w:pPr>
        <w:pStyle w:val="ListParagraph"/>
        <w:rPr>
          <w:rFonts w:asciiTheme="majorHAnsi" w:hAnsiTheme="majorHAnsi"/>
          <w:sz w:val="20"/>
          <w:szCs w:val="20"/>
        </w:rPr>
      </w:pPr>
    </w:p>
    <w:p w14:paraId="0022633B" w14:textId="77777777" w:rsidR="003D3CD4" w:rsidRPr="00256677" w:rsidRDefault="009B4536" w:rsidP="009D0D8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rPr>
      </w:pPr>
      <w:r w:rsidRPr="00256677">
        <w:rPr>
          <w:rFonts w:asciiTheme="majorHAnsi" w:eastAsia="Times New Roman" w:hAnsiTheme="majorHAnsi"/>
          <w:bCs/>
          <w:sz w:val="20"/>
          <w:szCs w:val="20"/>
          <w:bdr w:val="none" w:sz="0" w:space="0" w:color="auto"/>
        </w:rPr>
        <w:lastRenderedPageBreak/>
        <w:t>The United National Special Rapporteur on extrajudicial, summary or arbitrary executions narrowed the interpretation of “most serious crimes”, restricting it to a parameter of “cases where it can be shown that there was an intention to kill, which resulted in the loss of life</w:t>
      </w:r>
      <w:r w:rsidR="008141EA" w:rsidRPr="00256677">
        <w:rPr>
          <w:rFonts w:asciiTheme="majorHAnsi" w:eastAsia="Times New Roman" w:hAnsiTheme="majorHAnsi"/>
          <w:bCs/>
          <w:sz w:val="20"/>
          <w:szCs w:val="20"/>
          <w:bdr w:val="none" w:sz="0" w:space="0" w:color="auto"/>
        </w:rPr>
        <w:t>.</w:t>
      </w:r>
      <w:r w:rsidRPr="00256677">
        <w:rPr>
          <w:rFonts w:asciiTheme="majorHAnsi" w:eastAsia="Times New Roman" w:hAnsiTheme="majorHAnsi"/>
          <w:bCs/>
          <w:sz w:val="20"/>
          <w:szCs w:val="20"/>
          <w:bdr w:val="none" w:sz="0" w:space="0" w:color="auto"/>
        </w:rPr>
        <w:t>”</w:t>
      </w:r>
      <w:r w:rsidRPr="00256677">
        <w:rPr>
          <w:rStyle w:val="FootnoteReference"/>
          <w:rFonts w:asciiTheme="majorHAnsi" w:eastAsia="Times New Roman" w:hAnsiTheme="majorHAnsi"/>
          <w:bCs/>
          <w:sz w:val="20"/>
          <w:szCs w:val="20"/>
          <w:bdr w:val="none" w:sz="0" w:space="0" w:color="auto"/>
        </w:rPr>
        <w:footnoteReference w:id="56"/>
      </w:r>
      <w:r w:rsidRPr="00256677">
        <w:rPr>
          <w:rFonts w:asciiTheme="majorHAnsi" w:eastAsia="Times New Roman" w:hAnsiTheme="majorHAnsi"/>
          <w:bCs/>
          <w:sz w:val="20"/>
          <w:szCs w:val="20"/>
          <w:bdr w:val="none" w:sz="0" w:space="0" w:color="auto"/>
        </w:rPr>
        <w:t xml:space="preserve"> </w:t>
      </w:r>
      <w:r w:rsidR="00E04093" w:rsidRPr="00256677">
        <w:rPr>
          <w:rFonts w:asciiTheme="majorHAnsi" w:eastAsia="Times New Roman" w:hAnsiTheme="majorHAnsi"/>
          <w:bCs/>
          <w:sz w:val="20"/>
          <w:szCs w:val="20"/>
          <w:bdr w:val="none" w:sz="0" w:space="0" w:color="auto"/>
        </w:rPr>
        <w:t xml:space="preserve">The United Nations Office of the High Commissioner on Human Rights </w:t>
      </w:r>
      <w:r w:rsidR="0086292E" w:rsidRPr="00256677">
        <w:rPr>
          <w:rFonts w:asciiTheme="majorHAnsi" w:eastAsia="Times New Roman" w:hAnsiTheme="majorHAnsi"/>
          <w:bCs/>
          <w:sz w:val="20"/>
          <w:szCs w:val="20"/>
          <w:bdr w:val="none" w:sz="0" w:space="0" w:color="auto"/>
        </w:rPr>
        <w:t xml:space="preserve">has </w:t>
      </w:r>
      <w:r w:rsidR="00E04093" w:rsidRPr="00256677">
        <w:rPr>
          <w:rFonts w:asciiTheme="majorHAnsi" w:eastAsia="Times New Roman" w:hAnsiTheme="majorHAnsi"/>
          <w:bCs/>
          <w:sz w:val="20"/>
          <w:szCs w:val="20"/>
          <w:bdr w:val="none" w:sz="0" w:space="0" w:color="auto"/>
        </w:rPr>
        <w:t>also reasoned that “capital punishment may be imposed only for the most serious crimes, it being understood that their scope should not go beyond intentional crimes with lethal or other extremely grave consequences.”</w:t>
      </w:r>
      <w:r w:rsidR="00E04093" w:rsidRPr="00256677">
        <w:rPr>
          <w:rStyle w:val="FootnoteReference"/>
          <w:rFonts w:asciiTheme="majorHAnsi" w:eastAsia="Times New Roman" w:hAnsiTheme="majorHAnsi"/>
          <w:bCs/>
          <w:sz w:val="20"/>
          <w:szCs w:val="20"/>
          <w:bdr w:val="none" w:sz="0" w:space="0" w:color="auto"/>
        </w:rPr>
        <w:footnoteReference w:id="57"/>
      </w:r>
      <w:r w:rsidR="0086292E" w:rsidRPr="00256677">
        <w:rPr>
          <w:rFonts w:asciiTheme="majorHAnsi" w:hAnsiTheme="majorHAnsi"/>
          <w:sz w:val="20"/>
          <w:szCs w:val="20"/>
        </w:rPr>
        <w:t xml:space="preserve"> </w:t>
      </w:r>
      <w:r w:rsidR="00E04093" w:rsidRPr="00256677">
        <w:rPr>
          <w:rFonts w:asciiTheme="majorHAnsi" w:hAnsiTheme="majorHAnsi"/>
          <w:sz w:val="20"/>
          <w:szCs w:val="20"/>
        </w:rPr>
        <w:t xml:space="preserve">The </w:t>
      </w:r>
      <w:r w:rsidR="00A77577" w:rsidRPr="00256677">
        <w:rPr>
          <w:rFonts w:asciiTheme="majorHAnsi" w:hAnsiTheme="majorHAnsi"/>
          <w:sz w:val="20"/>
          <w:szCs w:val="20"/>
        </w:rPr>
        <w:t>United Nations Human Rights Committee, on the interpretation of “other extremely grave consequences” reasoned that it “must be read restrictively to mean that the death penalty should be a quite exceptional measure.”</w:t>
      </w:r>
      <w:r w:rsidR="004C4A47" w:rsidRPr="00256677">
        <w:rPr>
          <w:rStyle w:val="FootnoteReference"/>
          <w:rFonts w:asciiTheme="majorHAnsi" w:hAnsiTheme="majorHAnsi"/>
          <w:sz w:val="20"/>
          <w:szCs w:val="20"/>
        </w:rPr>
        <w:footnoteReference w:id="58"/>
      </w:r>
    </w:p>
    <w:p w14:paraId="424577A5" w14:textId="77777777" w:rsidR="003D3CD4" w:rsidRPr="00256677" w:rsidRDefault="003D3CD4" w:rsidP="009D0D81">
      <w:pPr>
        <w:pStyle w:val="ListParagraph"/>
        <w:tabs>
          <w:tab w:val="left" w:pos="360"/>
        </w:tabs>
        <w:rPr>
          <w:rFonts w:asciiTheme="majorHAnsi" w:eastAsia="Times New Roman" w:hAnsiTheme="majorHAnsi"/>
          <w:sz w:val="20"/>
          <w:szCs w:val="20"/>
        </w:rPr>
      </w:pPr>
    </w:p>
    <w:p w14:paraId="7E0BCB08" w14:textId="77777777" w:rsidR="003D3CD4" w:rsidRPr="00256677" w:rsidRDefault="00CD7BB2" w:rsidP="009D0D8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rPr>
      </w:pPr>
      <w:r w:rsidRPr="00256677">
        <w:rPr>
          <w:rFonts w:asciiTheme="majorHAnsi" w:eastAsia="Times New Roman" w:hAnsiTheme="majorHAnsi"/>
          <w:sz w:val="20"/>
          <w:szCs w:val="20"/>
        </w:rPr>
        <w:t>A</w:t>
      </w:r>
      <w:r w:rsidR="003D0A3F" w:rsidRPr="00256677">
        <w:rPr>
          <w:rFonts w:asciiTheme="majorHAnsi" w:eastAsia="Times New Roman" w:hAnsiTheme="majorHAnsi"/>
          <w:sz w:val="20"/>
          <w:szCs w:val="20"/>
        </w:rPr>
        <w:t xml:space="preserve"> review of pertinent international human rights jurisprudence indicates that compliance with the condition limiting capital punishment to only the most serious crimes necessitates consideration of the individual circumstances of the offender and his or her offense in order to determine whether the death penalty is a permissible punishment in each individual case</w:t>
      </w:r>
      <w:r w:rsidR="008141EA" w:rsidRPr="00256677">
        <w:rPr>
          <w:rFonts w:asciiTheme="majorHAnsi" w:eastAsia="Times New Roman" w:hAnsiTheme="majorHAnsi"/>
          <w:sz w:val="20"/>
          <w:szCs w:val="20"/>
        </w:rPr>
        <w:t>.</w:t>
      </w:r>
      <w:r w:rsidR="003D0A3F" w:rsidRPr="00256677">
        <w:rPr>
          <w:rStyle w:val="FootnoteReference"/>
          <w:rFonts w:asciiTheme="majorHAnsi" w:eastAsia="Times New Roman" w:hAnsiTheme="majorHAnsi"/>
          <w:sz w:val="20"/>
          <w:szCs w:val="20"/>
        </w:rPr>
        <w:footnoteReference w:id="59"/>
      </w:r>
      <w:r w:rsidR="003D0A3F" w:rsidRPr="00256677">
        <w:rPr>
          <w:rFonts w:asciiTheme="majorHAnsi" w:eastAsia="Times New Roman" w:hAnsiTheme="majorHAnsi"/>
          <w:sz w:val="20"/>
          <w:szCs w:val="20"/>
        </w:rPr>
        <w:t xml:space="preserve"> Factors pertinent to determining whether the crimes is one of exceptional gravity have been held to include the relationship between the offender and the victim, the criminal history of the offender and the victim, motives for the behavior, the extent and intensity of the harm caused, the circumstances under which the crime is committed, and the means employed by the offender</w:t>
      </w:r>
      <w:r w:rsidR="008141EA" w:rsidRPr="00256677">
        <w:rPr>
          <w:rFonts w:asciiTheme="majorHAnsi" w:eastAsia="Times New Roman" w:hAnsiTheme="majorHAnsi"/>
          <w:sz w:val="20"/>
          <w:szCs w:val="20"/>
        </w:rPr>
        <w:t>.</w:t>
      </w:r>
      <w:r w:rsidR="003D0A3F" w:rsidRPr="00256677">
        <w:rPr>
          <w:rStyle w:val="FootnoteReference"/>
          <w:rFonts w:asciiTheme="majorHAnsi" w:eastAsia="Times New Roman" w:hAnsiTheme="majorHAnsi"/>
          <w:sz w:val="20"/>
          <w:szCs w:val="20"/>
        </w:rPr>
        <w:footnoteReference w:id="60"/>
      </w:r>
      <w:r w:rsidR="003D0A3F" w:rsidRPr="00256677">
        <w:rPr>
          <w:rFonts w:asciiTheme="majorHAnsi" w:eastAsia="Times New Roman" w:hAnsiTheme="majorHAnsi"/>
          <w:sz w:val="20"/>
          <w:szCs w:val="20"/>
        </w:rPr>
        <w:t xml:space="preserve">   </w:t>
      </w:r>
    </w:p>
    <w:p w14:paraId="2578F52F" w14:textId="77777777" w:rsidR="005A2217" w:rsidRPr="00256677" w:rsidRDefault="005A2217" w:rsidP="005A2217">
      <w:pPr>
        <w:pStyle w:val="ListParagraph"/>
        <w:rPr>
          <w:rFonts w:asciiTheme="majorHAnsi" w:hAnsiTheme="majorHAnsi"/>
          <w:sz w:val="20"/>
          <w:szCs w:val="20"/>
        </w:rPr>
      </w:pPr>
    </w:p>
    <w:p w14:paraId="2C62C88B" w14:textId="77777777" w:rsidR="005A2217" w:rsidRPr="00BF0A9E" w:rsidRDefault="00BF0A9E" w:rsidP="00BF0A9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rPr>
      </w:pPr>
      <w:r w:rsidRPr="00BF0A9E">
        <w:rPr>
          <w:rFonts w:asciiTheme="majorHAnsi" w:hAnsiTheme="majorHAnsi"/>
          <w:color w:val="000000"/>
          <w:sz w:val="20"/>
          <w:szCs w:val="20"/>
        </w:rPr>
        <w:t>Finally, the IACHR has established that the right to judicial guarantees gives rise to the duty to give reason for judicial decisions. This is the explanation of the reasoned justification that allows the court to render judgment on the merits of a case. This duty is linked to the correct administration of justice, which protects the right of individuals to be tried for the reasons provided by law, and gives credibility to judicial decisions within the framework of a democratic society. In this regard, the reasoning must show that the claims brought by the defense and the prosecution have been duly considered and that the evidence has been analyzed. Likewise, when the decision is appealable, the reasoning provides the parties with the possibility of objecting to a decision and obtaining a new examination of the matter before higher courts</w:t>
      </w:r>
      <w:r w:rsidR="0079658B" w:rsidRPr="00BF0A9E">
        <w:rPr>
          <w:rFonts w:asciiTheme="majorHAnsi" w:hAnsiTheme="majorHAnsi"/>
          <w:sz w:val="20"/>
          <w:szCs w:val="20"/>
        </w:rPr>
        <w:t>.</w:t>
      </w:r>
      <w:r w:rsidR="0079658B" w:rsidRPr="00BF0A9E">
        <w:rPr>
          <w:rStyle w:val="FootnoteReference"/>
          <w:rFonts w:asciiTheme="majorHAnsi" w:hAnsiTheme="majorHAnsi"/>
          <w:sz w:val="20"/>
          <w:szCs w:val="20"/>
        </w:rPr>
        <w:footnoteReference w:id="61"/>
      </w:r>
      <w:r w:rsidR="0079658B" w:rsidRPr="00BF0A9E">
        <w:rPr>
          <w:rFonts w:asciiTheme="majorHAnsi" w:hAnsiTheme="majorHAnsi"/>
          <w:sz w:val="20"/>
          <w:szCs w:val="20"/>
        </w:rPr>
        <w:t xml:space="preserve"> </w:t>
      </w:r>
      <w:r w:rsidR="005A2217" w:rsidRPr="00BF0A9E">
        <w:rPr>
          <w:rFonts w:asciiTheme="majorHAnsi" w:hAnsiTheme="majorHAnsi"/>
          <w:sz w:val="20"/>
          <w:szCs w:val="20"/>
        </w:rPr>
        <w:t xml:space="preserve">  </w:t>
      </w:r>
    </w:p>
    <w:p w14:paraId="64B44660" w14:textId="77777777" w:rsidR="00F337EB" w:rsidRPr="00BF0A9E" w:rsidRDefault="00F337EB" w:rsidP="00BF0A9E">
      <w:pPr>
        <w:tabs>
          <w:tab w:val="left" w:pos="360"/>
        </w:tabs>
        <w:jc w:val="both"/>
        <w:rPr>
          <w:rFonts w:asciiTheme="majorHAnsi" w:hAnsiTheme="majorHAnsi"/>
          <w:sz w:val="20"/>
          <w:szCs w:val="20"/>
        </w:rPr>
      </w:pPr>
    </w:p>
    <w:p w14:paraId="72FCAE75" w14:textId="77777777" w:rsidR="002D0ED4" w:rsidRPr="00256677" w:rsidRDefault="002D0ED4" w:rsidP="006E07EB">
      <w:pPr>
        <w:pStyle w:val="Heading3"/>
        <w:numPr>
          <w:ilvl w:val="1"/>
          <w:numId w:val="53"/>
        </w:numPr>
        <w:spacing w:before="0"/>
        <w:ind w:left="360"/>
        <w:rPr>
          <w:color w:val="auto"/>
          <w:sz w:val="20"/>
          <w:szCs w:val="20"/>
        </w:rPr>
      </w:pPr>
      <w:bookmarkStart w:id="15" w:name="_Toc90284145"/>
      <w:r w:rsidRPr="00256677">
        <w:rPr>
          <w:color w:val="auto"/>
          <w:sz w:val="20"/>
          <w:szCs w:val="20"/>
        </w:rPr>
        <w:t>Analysis of the case</w:t>
      </w:r>
      <w:bookmarkEnd w:id="15"/>
    </w:p>
    <w:p w14:paraId="62BDB9AF" w14:textId="77777777" w:rsidR="002D0ED4" w:rsidRPr="00256677" w:rsidRDefault="002D0ED4" w:rsidP="0024722E">
      <w:pPr>
        <w:tabs>
          <w:tab w:val="left" w:pos="360"/>
        </w:tabs>
        <w:rPr>
          <w:rFonts w:asciiTheme="majorHAnsi" w:hAnsiTheme="majorHAnsi"/>
          <w:sz w:val="20"/>
          <w:szCs w:val="20"/>
        </w:rPr>
      </w:pPr>
    </w:p>
    <w:p w14:paraId="23896018" w14:textId="77777777" w:rsidR="00F642A9" w:rsidRPr="00256677" w:rsidRDefault="00F642A9" w:rsidP="00F642A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rPr>
      </w:pPr>
      <w:r w:rsidRPr="00256677">
        <w:rPr>
          <w:rFonts w:asciiTheme="majorHAnsi" w:hAnsiTheme="majorHAnsi"/>
          <w:sz w:val="20"/>
          <w:szCs w:val="20"/>
        </w:rPr>
        <w:t xml:space="preserve">According to domestic decisions, </w:t>
      </w:r>
      <w:r w:rsidR="00CF4BAF" w:rsidRPr="00256677">
        <w:rPr>
          <w:rFonts w:asciiTheme="majorHAnsi" w:hAnsiTheme="majorHAnsi"/>
          <w:sz w:val="20"/>
          <w:szCs w:val="20"/>
        </w:rPr>
        <w:t xml:space="preserve">on </w:t>
      </w:r>
      <w:r w:rsidR="00A92AB3" w:rsidRPr="00256677">
        <w:rPr>
          <w:rFonts w:asciiTheme="majorHAnsi" w:hAnsiTheme="majorHAnsi"/>
          <w:sz w:val="20"/>
          <w:szCs w:val="20"/>
        </w:rPr>
        <w:t xml:space="preserve">the day of the events that resulted in the conviction, </w:t>
      </w:r>
      <w:r w:rsidRPr="00256677">
        <w:rPr>
          <w:rFonts w:asciiTheme="majorHAnsi" w:hAnsiTheme="majorHAnsi"/>
          <w:sz w:val="20"/>
          <w:szCs w:val="20"/>
        </w:rPr>
        <w:t xml:space="preserve">Marlin Gray </w:t>
      </w:r>
      <w:r w:rsidR="007700F7" w:rsidRPr="00256677">
        <w:rPr>
          <w:rFonts w:asciiTheme="majorHAnsi" w:hAnsiTheme="majorHAnsi"/>
          <w:sz w:val="20"/>
          <w:szCs w:val="20"/>
        </w:rPr>
        <w:t xml:space="preserve">and three of his friends met Mr. Cummins and the Kerry sisters. Mr. Gray </w:t>
      </w:r>
      <w:r w:rsidR="00671CE4" w:rsidRPr="00256677">
        <w:rPr>
          <w:rFonts w:asciiTheme="majorHAnsi" w:hAnsiTheme="majorHAnsi"/>
          <w:sz w:val="20"/>
          <w:szCs w:val="20"/>
        </w:rPr>
        <w:t>robbed Mr. Cummins and raped one of the sisters</w:t>
      </w:r>
      <w:r w:rsidR="007700F7" w:rsidRPr="00256677">
        <w:rPr>
          <w:rFonts w:asciiTheme="majorHAnsi" w:hAnsiTheme="majorHAnsi"/>
          <w:sz w:val="20"/>
          <w:szCs w:val="20"/>
        </w:rPr>
        <w:t>, and then</w:t>
      </w:r>
      <w:r w:rsidR="00671CE4" w:rsidRPr="00256677">
        <w:rPr>
          <w:rFonts w:asciiTheme="majorHAnsi" w:hAnsiTheme="majorHAnsi"/>
          <w:sz w:val="20"/>
          <w:szCs w:val="20"/>
        </w:rPr>
        <w:t xml:space="preserve"> </w:t>
      </w:r>
      <w:r w:rsidR="007700F7" w:rsidRPr="00256677">
        <w:rPr>
          <w:rFonts w:asciiTheme="majorHAnsi" w:hAnsiTheme="majorHAnsi"/>
          <w:sz w:val="20"/>
          <w:szCs w:val="20"/>
        </w:rPr>
        <w:t xml:space="preserve">Richardson, Mr. Gray’s friend, pushed the sisters into the river and told Mr. Cummins to jump. </w:t>
      </w:r>
      <w:r w:rsidR="005134DB" w:rsidRPr="00256677">
        <w:rPr>
          <w:rFonts w:asciiTheme="majorHAnsi" w:hAnsiTheme="majorHAnsi"/>
          <w:sz w:val="20"/>
          <w:szCs w:val="20"/>
        </w:rPr>
        <w:t>Mr. Gray</w:t>
      </w:r>
      <w:r w:rsidR="00B80183" w:rsidRPr="00256677">
        <w:rPr>
          <w:rFonts w:asciiTheme="majorHAnsi" w:hAnsiTheme="majorHAnsi"/>
          <w:sz w:val="20"/>
          <w:szCs w:val="20"/>
        </w:rPr>
        <w:t>, a first time offender,</w:t>
      </w:r>
      <w:r w:rsidR="005134DB" w:rsidRPr="00256677">
        <w:rPr>
          <w:rFonts w:asciiTheme="majorHAnsi" w:hAnsiTheme="majorHAnsi"/>
          <w:sz w:val="20"/>
          <w:szCs w:val="20"/>
        </w:rPr>
        <w:t xml:space="preserve"> was sentenced </w:t>
      </w:r>
      <w:r w:rsidR="004613B3" w:rsidRPr="00256677">
        <w:rPr>
          <w:rFonts w:asciiTheme="majorHAnsi" w:hAnsiTheme="majorHAnsi"/>
          <w:sz w:val="20"/>
          <w:szCs w:val="20"/>
        </w:rPr>
        <w:t>to death on two counts of first-</w:t>
      </w:r>
      <w:r w:rsidR="005134DB" w:rsidRPr="00256677">
        <w:rPr>
          <w:rFonts w:asciiTheme="majorHAnsi" w:hAnsiTheme="majorHAnsi"/>
          <w:sz w:val="20"/>
          <w:szCs w:val="20"/>
        </w:rPr>
        <w:t xml:space="preserve">degree murder and other felonies. The conviction and sentence were affirmed by the courts in direct appeal and </w:t>
      </w:r>
      <w:r w:rsidR="00483B03" w:rsidRPr="00256677">
        <w:rPr>
          <w:rFonts w:asciiTheme="majorHAnsi" w:hAnsiTheme="majorHAnsi"/>
          <w:sz w:val="20"/>
          <w:szCs w:val="20"/>
        </w:rPr>
        <w:t>in post-conviction.</w:t>
      </w:r>
    </w:p>
    <w:p w14:paraId="68383350" w14:textId="77777777" w:rsidR="00483B03" w:rsidRPr="00256677" w:rsidRDefault="00483B03" w:rsidP="00483B03">
      <w:pPr>
        <w:pStyle w:val="ListParagraph"/>
        <w:rPr>
          <w:rFonts w:asciiTheme="majorHAnsi" w:hAnsiTheme="majorHAnsi"/>
          <w:sz w:val="20"/>
          <w:szCs w:val="20"/>
        </w:rPr>
      </w:pPr>
    </w:p>
    <w:p w14:paraId="4F155F8D" w14:textId="77777777" w:rsidR="000564D3" w:rsidRPr="00256677" w:rsidRDefault="000564D3" w:rsidP="000564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rPr>
      </w:pPr>
      <w:r w:rsidRPr="00256677">
        <w:rPr>
          <w:rFonts w:asciiTheme="majorHAnsi" w:hAnsiTheme="majorHAnsi"/>
          <w:sz w:val="20"/>
          <w:szCs w:val="20"/>
        </w:rPr>
        <w:t>The Commission reiterates that it is not competent to review judgments handed down by domestic courts acting within their spheres of competence and with due judicial guarantees. In principle, that is because the IACHR does not have the authority to superimpose its own interpretations on the assessment of facts made by national courts. The fourth instance formula, however, does not preclude the Commission from considering a case in which the petitioner’s allegations entail a possible violation of any of the rights set forth in the Declaration. This authority is heightened in cases involving imposition of the death penalty, given its irreversibility.</w:t>
      </w:r>
      <w:r w:rsidRPr="00256677">
        <w:rPr>
          <w:rStyle w:val="FootnoteReference"/>
          <w:rFonts w:asciiTheme="majorHAnsi" w:hAnsiTheme="majorHAnsi"/>
          <w:sz w:val="20"/>
          <w:szCs w:val="20"/>
        </w:rPr>
        <w:footnoteReference w:id="62"/>
      </w:r>
      <w:r w:rsidRPr="00256677">
        <w:rPr>
          <w:rFonts w:asciiTheme="majorHAnsi" w:hAnsiTheme="majorHAnsi"/>
          <w:sz w:val="20"/>
          <w:szCs w:val="20"/>
        </w:rPr>
        <w:t xml:space="preserve"> Therefore, the IACHR must ensure that any deprivation of life resulting from imposition of the death penalty complies with the requirements of the American Declaration.</w:t>
      </w:r>
      <w:r w:rsidRPr="00256677">
        <w:rPr>
          <w:rStyle w:val="FootnoteReference"/>
          <w:rFonts w:asciiTheme="majorHAnsi" w:hAnsiTheme="majorHAnsi"/>
          <w:sz w:val="20"/>
          <w:szCs w:val="20"/>
        </w:rPr>
        <w:footnoteReference w:id="63"/>
      </w:r>
      <w:r w:rsidRPr="00256677">
        <w:rPr>
          <w:rFonts w:asciiTheme="majorHAnsi" w:hAnsiTheme="majorHAnsi"/>
          <w:sz w:val="20"/>
          <w:szCs w:val="20"/>
        </w:rPr>
        <w:t xml:space="preserve"> </w:t>
      </w:r>
    </w:p>
    <w:p w14:paraId="01FF75C0" w14:textId="77777777" w:rsidR="000E6C43" w:rsidRPr="00256677" w:rsidRDefault="000E6C43" w:rsidP="000E6C43">
      <w:pPr>
        <w:pStyle w:val="ListParagraph"/>
        <w:rPr>
          <w:rFonts w:asciiTheme="majorHAnsi" w:hAnsiTheme="majorHAnsi"/>
          <w:sz w:val="20"/>
          <w:szCs w:val="20"/>
        </w:rPr>
      </w:pPr>
    </w:p>
    <w:p w14:paraId="4054EBD7" w14:textId="77777777" w:rsidR="000E6C43" w:rsidRPr="00256677" w:rsidRDefault="000E6C43" w:rsidP="000564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rPr>
      </w:pPr>
      <w:r w:rsidRPr="00256677">
        <w:rPr>
          <w:rFonts w:asciiTheme="majorHAnsi" w:hAnsiTheme="majorHAnsi"/>
          <w:sz w:val="20"/>
          <w:szCs w:val="20"/>
        </w:rPr>
        <w:t xml:space="preserve">The Commission will </w:t>
      </w:r>
      <w:r w:rsidR="00A03CAB" w:rsidRPr="00256677">
        <w:rPr>
          <w:rFonts w:asciiTheme="majorHAnsi" w:hAnsiTheme="majorHAnsi"/>
          <w:sz w:val="20"/>
          <w:szCs w:val="20"/>
        </w:rPr>
        <w:t xml:space="preserve">now </w:t>
      </w:r>
      <w:r w:rsidRPr="00256677">
        <w:rPr>
          <w:rFonts w:asciiTheme="majorHAnsi" w:hAnsiTheme="majorHAnsi"/>
          <w:sz w:val="20"/>
          <w:szCs w:val="20"/>
        </w:rPr>
        <w:t>determine whether in Mr. Gray’s case the death penalty was</w:t>
      </w:r>
      <w:r w:rsidR="00E12B3B" w:rsidRPr="00256677">
        <w:rPr>
          <w:rFonts w:asciiTheme="majorHAnsi" w:hAnsiTheme="majorHAnsi"/>
          <w:sz w:val="20"/>
          <w:szCs w:val="20"/>
        </w:rPr>
        <w:t xml:space="preserve"> applied in accordance with the </w:t>
      </w:r>
      <w:r w:rsidRPr="00256677">
        <w:rPr>
          <w:rFonts w:asciiTheme="majorHAnsi" w:hAnsiTheme="majorHAnsi"/>
          <w:sz w:val="20"/>
          <w:szCs w:val="20"/>
        </w:rPr>
        <w:t>inter-American and international standards referred to above, in particular, if it was applied to a crime of exceptional gravity prescribed by pre-existing law.</w:t>
      </w:r>
    </w:p>
    <w:p w14:paraId="14E86D94" w14:textId="77777777" w:rsidR="000564D3" w:rsidRPr="00256677" w:rsidRDefault="000564D3" w:rsidP="00483B03">
      <w:pPr>
        <w:pStyle w:val="ListParagraph"/>
        <w:rPr>
          <w:rFonts w:asciiTheme="majorHAnsi" w:hAnsiTheme="majorHAnsi"/>
          <w:sz w:val="20"/>
          <w:szCs w:val="20"/>
        </w:rPr>
      </w:pPr>
    </w:p>
    <w:p w14:paraId="33C08269" w14:textId="77777777" w:rsidR="002D1C82" w:rsidRPr="00256677" w:rsidRDefault="002F1D34" w:rsidP="007E1AF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rPr>
      </w:pPr>
      <w:r w:rsidRPr="00256677">
        <w:rPr>
          <w:rFonts w:asciiTheme="majorHAnsi" w:hAnsiTheme="majorHAnsi"/>
          <w:sz w:val="20"/>
          <w:szCs w:val="20"/>
        </w:rPr>
        <w:t>According to Missouri’s law, a person commits the</w:t>
      </w:r>
      <w:r w:rsidR="00993D72" w:rsidRPr="00256677">
        <w:rPr>
          <w:rFonts w:asciiTheme="majorHAnsi" w:hAnsiTheme="majorHAnsi"/>
          <w:sz w:val="20"/>
          <w:szCs w:val="20"/>
        </w:rPr>
        <w:t xml:space="preserve"> offense of murder in the first-</w:t>
      </w:r>
      <w:r w:rsidRPr="00256677">
        <w:rPr>
          <w:rFonts w:asciiTheme="majorHAnsi" w:hAnsiTheme="majorHAnsi"/>
          <w:sz w:val="20"/>
          <w:szCs w:val="20"/>
        </w:rPr>
        <w:t xml:space="preserve">degree if he or she knowingly causes the death of another person “after deliberation upon the matter.” The law defines deliberation as cool reflection “for any length of time no matter how brief.” </w:t>
      </w:r>
      <w:r w:rsidR="002449BB" w:rsidRPr="00256677">
        <w:rPr>
          <w:rFonts w:asciiTheme="majorHAnsi" w:hAnsiTheme="majorHAnsi"/>
          <w:sz w:val="20"/>
          <w:szCs w:val="20"/>
        </w:rPr>
        <w:t xml:space="preserve">Also, </w:t>
      </w:r>
      <w:r w:rsidR="00A449AE" w:rsidRPr="00256677">
        <w:rPr>
          <w:rFonts w:asciiTheme="majorHAnsi" w:hAnsiTheme="majorHAnsi"/>
          <w:sz w:val="20"/>
          <w:szCs w:val="20"/>
        </w:rPr>
        <w:t>under</w:t>
      </w:r>
      <w:r w:rsidR="002449BB" w:rsidRPr="00256677">
        <w:rPr>
          <w:rFonts w:asciiTheme="majorHAnsi" w:hAnsiTheme="majorHAnsi"/>
          <w:sz w:val="20"/>
          <w:szCs w:val="20"/>
        </w:rPr>
        <w:t xml:space="preserve"> </w:t>
      </w:r>
      <w:r w:rsidR="00993D72" w:rsidRPr="00256677">
        <w:rPr>
          <w:rFonts w:asciiTheme="majorHAnsi" w:hAnsiTheme="majorHAnsi"/>
          <w:sz w:val="20"/>
          <w:szCs w:val="20"/>
        </w:rPr>
        <w:t>Missouri law, a person may be guilty of first-degree murder without being the actual killer. According to applicable</w:t>
      </w:r>
      <w:r w:rsidR="002449BB" w:rsidRPr="00256677">
        <w:rPr>
          <w:rFonts w:asciiTheme="majorHAnsi" w:hAnsiTheme="majorHAnsi"/>
          <w:sz w:val="20"/>
          <w:szCs w:val="20"/>
        </w:rPr>
        <w:t xml:space="preserve"> case law, there are certain circumstances permitting inference that an accomplice deliberated upon murder. </w:t>
      </w:r>
      <w:r w:rsidR="002D1C82" w:rsidRPr="00256677">
        <w:rPr>
          <w:rFonts w:asciiTheme="majorHAnsi" w:hAnsiTheme="majorHAnsi"/>
          <w:sz w:val="20"/>
          <w:szCs w:val="20"/>
        </w:rPr>
        <w:t xml:space="preserve">Such inference takes place, </w:t>
      </w:r>
      <w:r w:rsidR="002D1C82" w:rsidRPr="00256677">
        <w:rPr>
          <w:rFonts w:asciiTheme="majorHAnsi" w:hAnsiTheme="majorHAnsi"/>
          <w:i/>
          <w:sz w:val="20"/>
          <w:szCs w:val="20"/>
        </w:rPr>
        <w:t>inter alia</w:t>
      </w:r>
      <w:r w:rsidR="002D1C82" w:rsidRPr="00256677">
        <w:rPr>
          <w:rFonts w:asciiTheme="majorHAnsi" w:hAnsiTheme="majorHAnsi"/>
          <w:sz w:val="20"/>
          <w:szCs w:val="20"/>
        </w:rPr>
        <w:t>, when a statement or conduct by a codefendant in the presence of the accomplice prior to the murder indicates a purpose to kill a human, and where there is evidence that the accomplice continued in the criminal enterprise when it was apparent that a victim was to be killed.</w:t>
      </w:r>
      <w:r w:rsidR="001D5E5E" w:rsidRPr="00256677">
        <w:rPr>
          <w:rFonts w:asciiTheme="majorHAnsi" w:hAnsiTheme="majorHAnsi"/>
          <w:sz w:val="20"/>
          <w:szCs w:val="20"/>
        </w:rPr>
        <w:t xml:space="preserve"> Under Missouri law, first-degree murder is eligible for the death penalty.</w:t>
      </w:r>
    </w:p>
    <w:p w14:paraId="7B57C018" w14:textId="77777777" w:rsidR="002D1C82" w:rsidRPr="00256677" w:rsidRDefault="002D1C82" w:rsidP="002D1C82">
      <w:pPr>
        <w:pStyle w:val="ListParagraph"/>
        <w:rPr>
          <w:rFonts w:asciiTheme="majorHAnsi" w:hAnsiTheme="majorHAnsi"/>
          <w:sz w:val="20"/>
          <w:szCs w:val="20"/>
        </w:rPr>
      </w:pPr>
    </w:p>
    <w:p w14:paraId="707163A2" w14:textId="77777777" w:rsidR="00A03CAB" w:rsidRPr="00256677" w:rsidRDefault="002D1C82" w:rsidP="007E1AF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rPr>
      </w:pPr>
      <w:r w:rsidRPr="00256677">
        <w:rPr>
          <w:rFonts w:asciiTheme="majorHAnsi" w:hAnsiTheme="majorHAnsi"/>
          <w:sz w:val="20"/>
          <w:szCs w:val="20"/>
        </w:rPr>
        <w:t xml:space="preserve">In </w:t>
      </w:r>
      <w:r w:rsidR="006145C8" w:rsidRPr="00256677">
        <w:rPr>
          <w:rFonts w:asciiTheme="majorHAnsi" w:hAnsiTheme="majorHAnsi"/>
          <w:sz w:val="20"/>
          <w:szCs w:val="20"/>
        </w:rPr>
        <w:t>the instant</w:t>
      </w:r>
      <w:r w:rsidRPr="00256677">
        <w:rPr>
          <w:rFonts w:asciiTheme="majorHAnsi" w:hAnsiTheme="majorHAnsi"/>
          <w:sz w:val="20"/>
          <w:szCs w:val="20"/>
        </w:rPr>
        <w:t xml:space="preserve"> case, </w:t>
      </w:r>
      <w:r w:rsidR="00993D72" w:rsidRPr="00256677">
        <w:rPr>
          <w:rFonts w:asciiTheme="majorHAnsi" w:hAnsiTheme="majorHAnsi"/>
          <w:sz w:val="20"/>
          <w:szCs w:val="20"/>
        </w:rPr>
        <w:t xml:space="preserve">the </w:t>
      </w:r>
      <w:r w:rsidR="002F4DB7" w:rsidRPr="00256677">
        <w:rPr>
          <w:rFonts w:asciiTheme="majorHAnsi" w:hAnsiTheme="majorHAnsi"/>
          <w:sz w:val="20"/>
          <w:szCs w:val="20"/>
        </w:rPr>
        <w:t xml:space="preserve">jury </w:t>
      </w:r>
      <w:r w:rsidR="006145C8" w:rsidRPr="00256677">
        <w:rPr>
          <w:rFonts w:asciiTheme="majorHAnsi" w:hAnsiTheme="majorHAnsi"/>
          <w:sz w:val="20"/>
          <w:szCs w:val="20"/>
        </w:rPr>
        <w:t xml:space="preserve">convicted Mr. Gray of two counts of first-degree murder as an accomplice in the death of Julie and Robin Kerry. </w:t>
      </w:r>
      <w:r w:rsidR="002F4DB7" w:rsidRPr="00256677">
        <w:rPr>
          <w:rFonts w:asciiTheme="majorHAnsi" w:hAnsiTheme="majorHAnsi"/>
          <w:sz w:val="20"/>
          <w:szCs w:val="20"/>
        </w:rPr>
        <w:t xml:space="preserve">Regarding the elements of the offenses, the </w:t>
      </w:r>
      <w:r w:rsidR="00993D72" w:rsidRPr="00256677">
        <w:rPr>
          <w:rFonts w:asciiTheme="majorHAnsi" w:hAnsiTheme="majorHAnsi"/>
          <w:sz w:val="20"/>
          <w:szCs w:val="20"/>
        </w:rPr>
        <w:t xml:space="preserve">courts </w:t>
      </w:r>
      <w:r w:rsidR="002F4DB7" w:rsidRPr="00256677">
        <w:rPr>
          <w:rFonts w:asciiTheme="majorHAnsi" w:hAnsiTheme="majorHAnsi"/>
          <w:sz w:val="20"/>
          <w:szCs w:val="20"/>
        </w:rPr>
        <w:t>remarked that</w:t>
      </w:r>
      <w:r w:rsidR="001644FC" w:rsidRPr="00256677">
        <w:rPr>
          <w:rFonts w:asciiTheme="majorHAnsi" w:hAnsiTheme="majorHAnsi"/>
          <w:sz w:val="20"/>
          <w:szCs w:val="20"/>
        </w:rPr>
        <w:t xml:space="preserve"> Mr. Gray p</w:t>
      </w:r>
      <w:r w:rsidR="00A449AE" w:rsidRPr="00256677">
        <w:rPr>
          <w:rFonts w:asciiTheme="majorHAnsi" w:hAnsiTheme="majorHAnsi"/>
          <w:sz w:val="20"/>
          <w:szCs w:val="20"/>
        </w:rPr>
        <w:t>articipat</w:t>
      </w:r>
      <w:r w:rsidR="001644FC" w:rsidRPr="00256677">
        <w:rPr>
          <w:rFonts w:asciiTheme="majorHAnsi" w:hAnsiTheme="majorHAnsi"/>
          <w:sz w:val="20"/>
          <w:szCs w:val="20"/>
        </w:rPr>
        <w:t>ed</w:t>
      </w:r>
      <w:r w:rsidR="00A449AE" w:rsidRPr="00256677">
        <w:rPr>
          <w:rFonts w:asciiTheme="majorHAnsi" w:hAnsiTheme="majorHAnsi"/>
          <w:sz w:val="20"/>
          <w:szCs w:val="20"/>
        </w:rPr>
        <w:t xml:space="preserve"> in the planning and execution of rape and robbery, </w:t>
      </w:r>
      <w:r w:rsidR="001D5E5E" w:rsidRPr="00256677">
        <w:rPr>
          <w:rFonts w:asciiTheme="majorHAnsi" w:hAnsiTheme="majorHAnsi"/>
          <w:sz w:val="20"/>
          <w:szCs w:val="20"/>
        </w:rPr>
        <w:t>his</w:t>
      </w:r>
      <w:r w:rsidR="008E668C" w:rsidRPr="00256677">
        <w:rPr>
          <w:rFonts w:asciiTheme="majorHAnsi" w:hAnsiTheme="majorHAnsi"/>
          <w:sz w:val="20"/>
          <w:szCs w:val="20"/>
        </w:rPr>
        <w:t xml:space="preserve"> associates committed murder</w:t>
      </w:r>
      <w:r w:rsidR="001644FC" w:rsidRPr="00256677">
        <w:rPr>
          <w:rFonts w:asciiTheme="majorHAnsi" w:hAnsiTheme="majorHAnsi"/>
          <w:sz w:val="20"/>
          <w:szCs w:val="20"/>
        </w:rPr>
        <w:t>,</w:t>
      </w:r>
      <w:r w:rsidR="008E668C" w:rsidRPr="00256677">
        <w:rPr>
          <w:rFonts w:asciiTheme="majorHAnsi" w:hAnsiTheme="majorHAnsi"/>
          <w:sz w:val="20"/>
          <w:szCs w:val="20"/>
        </w:rPr>
        <w:t xml:space="preserve"> and he </w:t>
      </w:r>
      <w:r w:rsidR="001644FC" w:rsidRPr="00256677">
        <w:rPr>
          <w:rFonts w:asciiTheme="majorHAnsi" w:hAnsiTheme="majorHAnsi"/>
          <w:sz w:val="20"/>
          <w:szCs w:val="20"/>
        </w:rPr>
        <w:t>acted</w:t>
      </w:r>
      <w:r w:rsidR="008E668C" w:rsidRPr="00256677">
        <w:rPr>
          <w:rFonts w:asciiTheme="majorHAnsi" w:hAnsiTheme="majorHAnsi"/>
          <w:sz w:val="20"/>
          <w:szCs w:val="20"/>
        </w:rPr>
        <w:t xml:space="preserve"> with them</w:t>
      </w:r>
      <w:r w:rsidR="001644FC" w:rsidRPr="00256677">
        <w:rPr>
          <w:rFonts w:asciiTheme="majorHAnsi" w:hAnsiTheme="majorHAnsi"/>
          <w:sz w:val="20"/>
          <w:szCs w:val="20"/>
        </w:rPr>
        <w:t xml:space="preserve"> to cause the death</w:t>
      </w:r>
      <w:r w:rsidR="008E668C" w:rsidRPr="00256677">
        <w:rPr>
          <w:rFonts w:asciiTheme="majorHAnsi" w:hAnsiTheme="majorHAnsi"/>
          <w:sz w:val="20"/>
          <w:szCs w:val="20"/>
        </w:rPr>
        <w:t>.</w:t>
      </w:r>
      <w:r w:rsidR="001644FC" w:rsidRPr="00256677">
        <w:rPr>
          <w:rFonts w:asciiTheme="majorHAnsi" w:hAnsiTheme="majorHAnsi"/>
          <w:sz w:val="20"/>
          <w:szCs w:val="20"/>
        </w:rPr>
        <w:t xml:space="preserve"> </w:t>
      </w:r>
      <w:r w:rsidR="000868E3" w:rsidRPr="00256677">
        <w:rPr>
          <w:rFonts w:asciiTheme="majorHAnsi" w:hAnsiTheme="majorHAnsi"/>
          <w:sz w:val="20"/>
          <w:szCs w:val="20"/>
        </w:rPr>
        <w:t xml:space="preserve">Therefore, the information on the record </w:t>
      </w:r>
      <w:r w:rsidR="001528F1" w:rsidRPr="00256677">
        <w:rPr>
          <w:rFonts w:asciiTheme="majorHAnsi" w:hAnsiTheme="majorHAnsi"/>
          <w:sz w:val="20"/>
          <w:szCs w:val="20"/>
        </w:rPr>
        <w:t>shows that</w:t>
      </w:r>
      <w:r w:rsidR="00A03CAB" w:rsidRPr="00256677">
        <w:rPr>
          <w:rFonts w:asciiTheme="majorHAnsi" w:hAnsiTheme="majorHAnsi"/>
          <w:sz w:val="20"/>
          <w:szCs w:val="20"/>
        </w:rPr>
        <w:t xml:space="preserve"> Mr. Gray was convicted of first-degree murder based on pre-existing law. Further, the IACHR has no elements to conclude that </w:t>
      </w:r>
      <w:r w:rsidR="005837C8" w:rsidRPr="00256677">
        <w:rPr>
          <w:rFonts w:asciiTheme="majorHAnsi" w:hAnsiTheme="majorHAnsi"/>
          <w:sz w:val="20"/>
          <w:szCs w:val="20"/>
        </w:rPr>
        <w:t>Missouri’s</w:t>
      </w:r>
      <w:r w:rsidR="00A03CAB" w:rsidRPr="00256677">
        <w:rPr>
          <w:rFonts w:asciiTheme="majorHAnsi" w:hAnsiTheme="majorHAnsi"/>
          <w:sz w:val="20"/>
          <w:szCs w:val="20"/>
        </w:rPr>
        <w:t xml:space="preserve"> law</w:t>
      </w:r>
      <w:r w:rsidR="005837C8" w:rsidRPr="00256677">
        <w:rPr>
          <w:rFonts w:asciiTheme="majorHAnsi" w:hAnsiTheme="majorHAnsi"/>
          <w:sz w:val="20"/>
          <w:szCs w:val="20"/>
        </w:rPr>
        <w:t>, in and of itself, is</w:t>
      </w:r>
      <w:r w:rsidR="00A03CAB" w:rsidRPr="00256677">
        <w:rPr>
          <w:rFonts w:asciiTheme="majorHAnsi" w:hAnsiTheme="majorHAnsi"/>
          <w:sz w:val="20"/>
          <w:szCs w:val="20"/>
        </w:rPr>
        <w:t xml:space="preserve"> contrary to the American Declaration or inter-American human rights standards.</w:t>
      </w:r>
    </w:p>
    <w:p w14:paraId="49083510" w14:textId="77777777" w:rsidR="00A03CAB" w:rsidRPr="00256677" w:rsidRDefault="00A03CAB" w:rsidP="00A03CAB">
      <w:pPr>
        <w:pStyle w:val="ListParagraph"/>
        <w:rPr>
          <w:rFonts w:asciiTheme="majorHAnsi" w:hAnsiTheme="majorHAnsi"/>
          <w:sz w:val="20"/>
          <w:szCs w:val="20"/>
        </w:rPr>
      </w:pPr>
    </w:p>
    <w:p w14:paraId="5AE8805A" w14:textId="77777777" w:rsidR="000203E6" w:rsidRPr="00256677" w:rsidRDefault="00DA7A6A" w:rsidP="007E1AF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rPr>
      </w:pPr>
      <w:r w:rsidRPr="00256677">
        <w:rPr>
          <w:rFonts w:asciiTheme="majorHAnsi" w:hAnsiTheme="majorHAnsi"/>
          <w:sz w:val="20"/>
          <w:szCs w:val="20"/>
        </w:rPr>
        <w:t xml:space="preserve">After </w:t>
      </w:r>
      <w:r w:rsidR="00A344FD" w:rsidRPr="00256677">
        <w:rPr>
          <w:rFonts w:asciiTheme="majorHAnsi" w:hAnsiTheme="majorHAnsi"/>
          <w:sz w:val="20"/>
          <w:szCs w:val="20"/>
        </w:rPr>
        <w:t>finding</w:t>
      </w:r>
      <w:r w:rsidRPr="00256677">
        <w:rPr>
          <w:rFonts w:asciiTheme="majorHAnsi" w:hAnsiTheme="majorHAnsi"/>
          <w:sz w:val="20"/>
          <w:szCs w:val="20"/>
        </w:rPr>
        <w:t xml:space="preserve"> Mr. Gray</w:t>
      </w:r>
      <w:r w:rsidR="00A344FD" w:rsidRPr="00256677">
        <w:rPr>
          <w:rFonts w:asciiTheme="majorHAnsi" w:hAnsiTheme="majorHAnsi"/>
          <w:sz w:val="20"/>
          <w:szCs w:val="20"/>
        </w:rPr>
        <w:t xml:space="preserve"> guilty</w:t>
      </w:r>
      <w:r w:rsidRPr="00256677">
        <w:rPr>
          <w:rFonts w:asciiTheme="majorHAnsi" w:hAnsiTheme="majorHAnsi"/>
          <w:sz w:val="20"/>
          <w:szCs w:val="20"/>
        </w:rPr>
        <w:t xml:space="preserve"> of two counts of first-degree murder, the jury returned a verdict of death and the St. Louis City Circuit Court sentenced him to the death penalty. According to the information provided by the State, not contested by Petitioners, the jury found six statutory aggravating circumstances in each count of murder as a basis for considering capital punishment. </w:t>
      </w:r>
      <w:r w:rsidR="002E21F2" w:rsidRPr="00256677">
        <w:rPr>
          <w:rFonts w:asciiTheme="majorHAnsi" w:hAnsiTheme="majorHAnsi"/>
          <w:sz w:val="20"/>
          <w:szCs w:val="20"/>
        </w:rPr>
        <w:t xml:space="preserve">There is no information on the file indicating which </w:t>
      </w:r>
      <w:r w:rsidR="00497D2C" w:rsidRPr="00256677">
        <w:rPr>
          <w:rFonts w:asciiTheme="majorHAnsi" w:hAnsiTheme="majorHAnsi"/>
          <w:sz w:val="20"/>
          <w:szCs w:val="20"/>
        </w:rPr>
        <w:t xml:space="preserve">of the </w:t>
      </w:r>
      <w:r w:rsidR="002E21F2" w:rsidRPr="00256677">
        <w:rPr>
          <w:rFonts w:asciiTheme="majorHAnsi" w:hAnsiTheme="majorHAnsi"/>
          <w:sz w:val="20"/>
          <w:szCs w:val="20"/>
        </w:rPr>
        <w:t xml:space="preserve">aggravating circumstances </w:t>
      </w:r>
      <w:r w:rsidR="00497D2C" w:rsidRPr="00256677">
        <w:rPr>
          <w:rFonts w:asciiTheme="majorHAnsi" w:hAnsiTheme="majorHAnsi"/>
          <w:sz w:val="20"/>
          <w:szCs w:val="20"/>
        </w:rPr>
        <w:t xml:space="preserve">established in Missouri statutes </w:t>
      </w:r>
      <w:r w:rsidR="002E21F2" w:rsidRPr="00256677">
        <w:rPr>
          <w:rFonts w:asciiTheme="majorHAnsi" w:hAnsiTheme="majorHAnsi"/>
          <w:sz w:val="20"/>
          <w:szCs w:val="20"/>
        </w:rPr>
        <w:t xml:space="preserve">where specifically considered by the jury. However, </w:t>
      </w:r>
      <w:r w:rsidR="00252C93" w:rsidRPr="00256677">
        <w:rPr>
          <w:rFonts w:asciiTheme="majorHAnsi" w:hAnsiTheme="majorHAnsi"/>
          <w:sz w:val="20"/>
          <w:szCs w:val="20"/>
        </w:rPr>
        <w:t xml:space="preserve">the decisions issued in direct appeal and post-conviction show that </w:t>
      </w:r>
      <w:r w:rsidR="002972C2" w:rsidRPr="00256677">
        <w:rPr>
          <w:rFonts w:asciiTheme="majorHAnsi" w:hAnsiTheme="majorHAnsi"/>
          <w:sz w:val="20"/>
          <w:szCs w:val="20"/>
        </w:rPr>
        <w:t>there was evidence of threats to kill made either by Mr. Gray or in his presence, that he continued in the criminal enterprise after those threats, and that he participated in a discussion about whether Mr. Cummins should be killed, followed by an attempt on Mr. Cummin’s life and the two homicides. This evidence, together with Mr. Gray’s role in the group, and his belief before leaving the bridge that his associate had gone to drawn Julie Kerry in the river, were considered sufficient by the courts to permit an inference by the jury that Mr. Gray had a conscious purpose of committing the acts in which he engaged</w:t>
      </w:r>
      <w:r w:rsidR="00103174" w:rsidRPr="00256677">
        <w:rPr>
          <w:rFonts w:asciiTheme="majorHAnsi" w:hAnsiTheme="majorHAnsi"/>
          <w:sz w:val="20"/>
          <w:szCs w:val="20"/>
        </w:rPr>
        <w:t xml:space="preserve"> so that the victims would be killed</w:t>
      </w:r>
      <w:r w:rsidR="002972C2" w:rsidRPr="00256677">
        <w:rPr>
          <w:rFonts w:asciiTheme="majorHAnsi" w:hAnsiTheme="majorHAnsi"/>
          <w:sz w:val="20"/>
          <w:szCs w:val="20"/>
        </w:rPr>
        <w:t>.</w:t>
      </w:r>
      <w:r w:rsidR="00542B4F" w:rsidRPr="00256677">
        <w:rPr>
          <w:rFonts w:asciiTheme="majorHAnsi" w:hAnsiTheme="majorHAnsi"/>
          <w:sz w:val="20"/>
          <w:szCs w:val="20"/>
        </w:rPr>
        <w:t xml:space="preserve"> </w:t>
      </w:r>
      <w:r w:rsidR="002972C2" w:rsidRPr="00256677">
        <w:rPr>
          <w:rFonts w:asciiTheme="majorHAnsi" w:hAnsiTheme="majorHAnsi"/>
          <w:sz w:val="20"/>
          <w:szCs w:val="20"/>
        </w:rPr>
        <w:t xml:space="preserve"> </w:t>
      </w:r>
    </w:p>
    <w:p w14:paraId="63DC336E" w14:textId="77777777" w:rsidR="00BA273E" w:rsidRPr="00256677" w:rsidRDefault="00BA273E" w:rsidP="000203E6">
      <w:pPr>
        <w:pStyle w:val="ListParagraph"/>
        <w:rPr>
          <w:rFonts w:asciiTheme="majorHAnsi" w:hAnsiTheme="majorHAnsi"/>
          <w:sz w:val="20"/>
          <w:szCs w:val="20"/>
        </w:rPr>
      </w:pPr>
    </w:p>
    <w:p w14:paraId="11ADF60E" w14:textId="77777777" w:rsidR="00F37044" w:rsidRPr="00256677" w:rsidRDefault="00AB5DFA" w:rsidP="00E12B3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rPr>
      </w:pPr>
      <w:r w:rsidRPr="00256677">
        <w:rPr>
          <w:rFonts w:asciiTheme="majorHAnsi" w:hAnsiTheme="majorHAnsi"/>
          <w:sz w:val="20"/>
          <w:szCs w:val="20"/>
        </w:rPr>
        <w:t xml:space="preserve">As indicated above, compliance with the condition limiting capital punishment to only the most serious crimes </w:t>
      </w:r>
      <w:proofErr w:type="gramStart"/>
      <w:r w:rsidRPr="00256677">
        <w:rPr>
          <w:rFonts w:asciiTheme="majorHAnsi" w:hAnsiTheme="majorHAnsi"/>
          <w:sz w:val="20"/>
          <w:szCs w:val="20"/>
        </w:rPr>
        <w:t>necessitates</w:t>
      </w:r>
      <w:proofErr w:type="gramEnd"/>
      <w:r w:rsidRPr="00256677">
        <w:rPr>
          <w:rFonts w:asciiTheme="majorHAnsi" w:hAnsiTheme="majorHAnsi"/>
          <w:sz w:val="20"/>
          <w:szCs w:val="20"/>
        </w:rPr>
        <w:t xml:space="preserve"> consideration of the individual circumstances of the offender and his or her offense in order to determine whether the death penalty is a permissible punishment in each individual case. </w:t>
      </w:r>
      <w:r w:rsidR="00E50799" w:rsidRPr="00256677">
        <w:rPr>
          <w:rFonts w:asciiTheme="majorHAnsi" w:hAnsiTheme="majorHAnsi"/>
          <w:sz w:val="20"/>
          <w:szCs w:val="20"/>
        </w:rPr>
        <w:t>According to inter-American standards, domestic courts should conduct a graduated assessment of the gravity of the offense</w:t>
      </w:r>
      <w:r w:rsidR="00E676AB" w:rsidRPr="00256677">
        <w:rPr>
          <w:rFonts w:asciiTheme="majorHAnsi" w:hAnsiTheme="majorHAnsi"/>
          <w:sz w:val="20"/>
          <w:szCs w:val="20"/>
        </w:rPr>
        <w:t xml:space="preserve"> based on certain elements such as the motives for the behavior, the circumstances under which the crime is committed, and the means employed by the offender</w:t>
      </w:r>
      <w:r w:rsidR="00E50799" w:rsidRPr="00256677">
        <w:rPr>
          <w:rFonts w:asciiTheme="majorHAnsi" w:hAnsiTheme="majorHAnsi"/>
          <w:sz w:val="20"/>
          <w:szCs w:val="20"/>
        </w:rPr>
        <w:t xml:space="preserve">, so that it will bear an appropriate relation to the graduated levels of gravity of the applicable punishment. </w:t>
      </w:r>
    </w:p>
    <w:p w14:paraId="59C52A8F" w14:textId="77777777" w:rsidR="00F37044" w:rsidRPr="00256677" w:rsidRDefault="00F37044" w:rsidP="00F3704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Theme="majorHAnsi" w:hAnsiTheme="majorHAnsi"/>
          <w:sz w:val="20"/>
          <w:szCs w:val="20"/>
        </w:rPr>
      </w:pPr>
    </w:p>
    <w:p w14:paraId="7BFEA7FB" w14:textId="77777777" w:rsidR="002F4DB7" w:rsidRPr="00256677" w:rsidRDefault="00AB5DFA" w:rsidP="00E12B3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rPr>
      </w:pPr>
      <w:r w:rsidRPr="00256677">
        <w:rPr>
          <w:rFonts w:asciiTheme="majorHAnsi" w:hAnsiTheme="majorHAnsi"/>
          <w:sz w:val="20"/>
          <w:szCs w:val="20"/>
        </w:rPr>
        <w:t>T</w:t>
      </w:r>
      <w:r w:rsidR="000203E6" w:rsidRPr="00256677">
        <w:rPr>
          <w:rFonts w:asciiTheme="majorHAnsi" w:hAnsiTheme="majorHAnsi"/>
          <w:sz w:val="20"/>
          <w:szCs w:val="20"/>
        </w:rPr>
        <w:t xml:space="preserve">he information </w:t>
      </w:r>
      <w:r w:rsidR="00203653" w:rsidRPr="00256677">
        <w:rPr>
          <w:rFonts w:asciiTheme="majorHAnsi" w:hAnsiTheme="majorHAnsi"/>
          <w:sz w:val="20"/>
          <w:szCs w:val="20"/>
        </w:rPr>
        <w:t xml:space="preserve">available </w:t>
      </w:r>
      <w:r w:rsidR="000203E6" w:rsidRPr="00256677">
        <w:rPr>
          <w:rFonts w:asciiTheme="majorHAnsi" w:hAnsiTheme="majorHAnsi"/>
          <w:sz w:val="20"/>
          <w:szCs w:val="20"/>
        </w:rPr>
        <w:t xml:space="preserve">shows that the jury </w:t>
      </w:r>
      <w:r w:rsidR="00F644B2" w:rsidRPr="00256677">
        <w:rPr>
          <w:rFonts w:asciiTheme="majorHAnsi" w:hAnsiTheme="majorHAnsi"/>
          <w:sz w:val="20"/>
          <w:szCs w:val="20"/>
        </w:rPr>
        <w:t xml:space="preserve">evaluated the individual culpability of Mr. Gray </w:t>
      </w:r>
      <w:r w:rsidR="00E676AB" w:rsidRPr="00256677">
        <w:rPr>
          <w:rFonts w:asciiTheme="majorHAnsi" w:hAnsiTheme="majorHAnsi"/>
          <w:sz w:val="20"/>
          <w:szCs w:val="20"/>
        </w:rPr>
        <w:t xml:space="preserve">based on </w:t>
      </w:r>
      <w:r w:rsidR="00F37044" w:rsidRPr="00256677">
        <w:rPr>
          <w:rFonts w:asciiTheme="majorHAnsi" w:hAnsiTheme="majorHAnsi" w:cs="Arial"/>
          <w:sz w:val="20"/>
          <w:szCs w:val="20"/>
          <w:lang w:val="en"/>
        </w:rPr>
        <w:t xml:space="preserve">statutory aggravating and mitigating circumstances, </w:t>
      </w:r>
      <w:r w:rsidR="00F644B2" w:rsidRPr="00256677">
        <w:rPr>
          <w:rFonts w:asciiTheme="majorHAnsi" w:hAnsiTheme="majorHAnsi"/>
          <w:sz w:val="20"/>
          <w:szCs w:val="20"/>
        </w:rPr>
        <w:t xml:space="preserve">and </w:t>
      </w:r>
      <w:r w:rsidR="000203E6" w:rsidRPr="00256677">
        <w:rPr>
          <w:rFonts w:asciiTheme="majorHAnsi" w:hAnsiTheme="majorHAnsi"/>
          <w:sz w:val="20"/>
          <w:szCs w:val="20"/>
        </w:rPr>
        <w:t xml:space="preserve">imposed the death penalty after considering </w:t>
      </w:r>
      <w:r w:rsidR="00673C1A" w:rsidRPr="00256677">
        <w:rPr>
          <w:rFonts w:asciiTheme="majorHAnsi" w:hAnsiTheme="majorHAnsi"/>
          <w:sz w:val="20"/>
          <w:szCs w:val="20"/>
        </w:rPr>
        <w:t xml:space="preserve">all evidence which it found to be in aggravation or mitigation of punishment. </w:t>
      </w:r>
      <w:r w:rsidR="00917EEF" w:rsidRPr="00256677">
        <w:rPr>
          <w:rFonts w:asciiTheme="majorHAnsi" w:hAnsiTheme="majorHAnsi"/>
          <w:sz w:val="20"/>
          <w:szCs w:val="20"/>
        </w:rPr>
        <w:t xml:space="preserve">The jury and domestic courts considered </w:t>
      </w:r>
      <w:r w:rsidR="00A44E4C" w:rsidRPr="00256677">
        <w:rPr>
          <w:rFonts w:asciiTheme="majorHAnsi" w:hAnsiTheme="majorHAnsi"/>
          <w:sz w:val="20"/>
          <w:szCs w:val="20"/>
        </w:rPr>
        <w:t xml:space="preserve">Mr. Gray’s </w:t>
      </w:r>
      <w:r w:rsidR="00917EEF" w:rsidRPr="00256677">
        <w:rPr>
          <w:rFonts w:asciiTheme="majorHAnsi" w:hAnsiTheme="majorHAnsi"/>
          <w:sz w:val="20"/>
          <w:szCs w:val="20"/>
        </w:rPr>
        <w:t>individual circumstances such as the fact that he was</w:t>
      </w:r>
      <w:r w:rsidR="00A44E4C" w:rsidRPr="00256677">
        <w:rPr>
          <w:rFonts w:asciiTheme="majorHAnsi" w:hAnsiTheme="majorHAnsi"/>
          <w:sz w:val="20"/>
          <w:szCs w:val="20"/>
        </w:rPr>
        <w:t xml:space="preserve"> the oldest</w:t>
      </w:r>
      <w:r w:rsidR="006E2E1A" w:rsidRPr="00256677">
        <w:rPr>
          <w:rFonts w:asciiTheme="majorHAnsi" w:hAnsiTheme="majorHAnsi"/>
          <w:sz w:val="20"/>
          <w:szCs w:val="20"/>
        </w:rPr>
        <w:t xml:space="preserve"> in the group</w:t>
      </w:r>
      <w:r w:rsidR="00A44E4C" w:rsidRPr="00256677">
        <w:rPr>
          <w:rFonts w:asciiTheme="majorHAnsi" w:hAnsiTheme="majorHAnsi"/>
          <w:sz w:val="20"/>
          <w:szCs w:val="20"/>
        </w:rPr>
        <w:t xml:space="preserve"> (</w:t>
      </w:r>
      <w:r w:rsidR="006E2E1A" w:rsidRPr="00256677">
        <w:rPr>
          <w:rFonts w:asciiTheme="majorHAnsi" w:hAnsiTheme="majorHAnsi"/>
          <w:sz w:val="20"/>
          <w:szCs w:val="20"/>
        </w:rPr>
        <w:t xml:space="preserve">he was 24 at the time whereas </w:t>
      </w:r>
      <w:r w:rsidR="00A44E4C" w:rsidRPr="00256677">
        <w:rPr>
          <w:rFonts w:asciiTheme="majorHAnsi" w:hAnsiTheme="majorHAnsi"/>
          <w:sz w:val="20"/>
          <w:szCs w:val="20"/>
        </w:rPr>
        <w:t xml:space="preserve">Winfrey </w:t>
      </w:r>
      <w:r w:rsidR="006E2E1A" w:rsidRPr="00256677">
        <w:rPr>
          <w:rFonts w:asciiTheme="majorHAnsi" w:hAnsiTheme="majorHAnsi"/>
          <w:sz w:val="20"/>
          <w:szCs w:val="20"/>
        </w:rPr>
        <w:t xml:space="preserve">was 15 years old, </w:t>
      </w:r>
      <w:r w:rsidR="00A44E4C" w:rsidRPr="00256677">
        <w:rPr>
          <w:rFonts w:asciiTheme="majorHAnsi" w:hAnsiTheme="majorHAnsi"/>
          <w:sz w:val="20"/>
          <w:szCs w:val="20"/>
        </w:rPr>
        <w:t>Richardson w</w:t>
      </w:r>
      <w:r w:rsidR="006E2E1A" w:rsidRPr="00256677">
        <w:rPr>
          <w:rFonts w:asciiTheme="majorHAnsi" w:hAnsiTheme="majorHAnsi"/>
          <w:sz w:val="20"/>
          <w:szCs w:val="20"/>
        </w:rPr>
        <w:t>as</w:t>
      </w:r>
      <w:r w:rsidR="00A44E4C" w:rsidRPr="00256677">
        <w:rPr>
          <w:rFonts w:asciiTheme="majorHAnsi" w:hAnsiTheme="majorHAnsi"/>
          <w:sz w:val="20"/>
          <w:szCs w:val="20"/>
        </w:rPr>
        <w:t xml:space="preserve"> 16</w:t>
      </w:r>
      <w:r w:rsidR="006E2E1A" w:rsidRPr="00256677">
        <w:rPr>
          <w:rFonts w:asciiTheme="majorHAnsi" w:hAnsiTheme="majorHAnsi"/>
          <w:sz w:val="20"/>
          <w:szCs w:val="20"/>
        </w:rPr>
        <w:t>, and Clemmons 19</w:t>
      </w:r>
      <w:r w:rsidR="00A44E4C" w:rsidRPr="00256677">
        <w:rPr>
          <w:rFonts w:asciiTheme="majorHAnsi" w:hAnsiTheme="majorHAnsi"/>
          <w:sz w:val="20"/>
          <w:szCs w:val="20"/>
        </w:rPr>
        <w:t>)</w:t>
      </w:r>
      <w:r w:rsidR="008F27B1" w:rsidRPr="00256677">
        <w:rPr>
          <w:rFonts w:asciiTheme="majorHAnsi" w:hAnsiTheme="majorHAnsi"/>
          <w:sz w:val="20"/>
          <w:szCs w:val="20"/>
        </w:rPr>
        <w:t>. They also considered the circumstances of the offense, such as</w:t>
      </w:r>
      <w:r w:rsidR="004658D0" w:rsidRPr="00256677">
        <w:rPr>
          <w:rFonts w:asciiTheme="majorHAnsi" w:hAnsiTheme="majorHAnsi"/>
          <w:sz w:val="20"/>
          <w:szCs w:val="20"/>
        </w:rPr>
        <w:t xml:space="preserve"> the multiple homicides</w:t>
      </w:r>
      <w:r w:rsidR="00042FA0" w:rsidRPr="00256677">
        <w:rPr>
          <w:rFonts w:asciiTheme="majorHAnsi" w:hAnsiTheme="majorHAnsi"/>
          <w:sz w:val="20"/>
          <w:szCs w:val="20"/>
        </w:rPr>
        <w:t>,</w:t>
      </w:r>
      <w:r w:rsidR="004658D0" w:rsidRPr="00256677">
        <w:rPr>
          <w:rFonts w:asciiTheme="majorHAnsi" w:hAnsiTheme="majorHAnsi"/>
          <w:sz w:val="20"/>
          <w:szCs w:val="20"/>
        </w:rPr>
        <w:t xml:space="preserve"> the fact that it involved rape</w:t>
      </w:r>
      <w:r w:rsidR="00042FA0" w:rsidRPr="00256677">
        <w:rPr>
          <w:rFonts w:asciiTheme="majorHAnsi" w:hAnsiTheme="majorHAnsi"/>
          <w:sz w:val="20"/>
          <w:szCs w:val="20"/>
        </w:rPr>
        <w:t>, and that it was committed to escape capture and identification</w:t>
      </w:r>
      <w:r w:rsidR="004658D0" w:rsidRPr="00256677">
        <w:rPr>
          <w:rFonts w:asciiTheme="majorHAnsi" w:hAnsiTheme="majorHAnsi"/>
          <w:sz w:val="20"/>
          <w:szCs w:val="20"/>
        </w:rPr>
        <w:t>.</w:t>
      </w:r>
      <w:r w:rsidR="00042FA0" w:rsidRPr="00256677">
        <w:rPr>
          <w:rFonts w:asciiTheme="majorHAnsi" w:hAnsiTheme="majorHAnsi"/>
          <w:sz w:val="20"/>
          <w:szCs w:val="20"/>
        </w:rPr>
        <w:t xml:space="preserve"> The IACHR further notes that </w:t>
      </w:r>
      <w:r w:rsidR="00BB7556" w:rsidRPr="00256677">
        <w:rPr>
          <w:rFonts w:asciiTheme="majorHAnsi" w:hAnsiTheme="majorHAnsi"/>
          <w:sz w:val="20"/>
          <w:szCs w:val="20"/>
        </w:rPr>
        <w:t xml:space="preserve">all judicial decisions were dully </w:t>
      </w:r>
      <w:r w:rsidR="00BB633E" w:rsidRPr="00256677">
        <w:rPr>
          <w:rFonts w:asciiTheme="majorHAnsi" w:hAnsiTheme="majorHAnsi"/>
          <w:sz w:val="20"/>
          <w:szCs w:val="20"/>
        </w:rPr>
        <w:t>reasoned</w:t>
      </w:r>
      <w:r w:rsidR="00BB7556" w:rsidRPr="00256677">
        <w:rPr>
          <w:rFonts w:asciiTheme="majorHAnsi" w:hAnsiTheme="majorHAnsi"/>
          <w:sz w:val="20"/>
          <w:szCs w:val="20"/>
        </w:rPr>
        <w:t xml:space="preserve"> in accordance wi</w:t>
      </w:r>
      <w:r w:rsidR="000E2AD7" w:rsidRPr="00256677">
        <w:rPr>
          <w:rFonts w:asciiTheme="majorHAnsi" w:hAnsiTheme="majorHAnsi"/>
          <w:sz w:val="20"/>
          <w:szCs w:val="20"/>
        </w:rPr>
        <w:t xml:space="preserve">th </w:t>
      </w:r>
      <w:r w:rsidR="00BB7556" w:rsidRPr="00256677">
        <w:rPr>
          <w:rFonts w:asciiTheme="majorHAnsi" w:hAnsiTheme="majorHAnsi"/>
          <w:sz w:val="20"/>
          <w:szCs w:val="20"/>
        </w:rPr>
        <w:t xml:space="preserve">applicable inter-American </w:t>
      </w:r>
      <w:r w:rsidR="000E2AD7" w:rsidRPr="00256677">
        <w:rPr>
          <w:rFonts w:asciiTheme="majorHAnsi" w:hAnsiTheme="majorHAnsi"/>
          <w:sz w:val="20"/>
          <w:szCs w:val="20"/>
        </w:rPr>
        <w:t xml:space="preserve">human rights </w:t>
      </w:r>
      <w:r w:rsidR="00BB7556" w:rsidRPr="00256677">
        <w:rPr>
          <w:rFonts w:asciiTheme="majorHAnsi" w:hAnsiTheme="majorHAnsi"/>
          <w:sz w:val="20"/>
          <w:szCs w:val="20"/>
        </w:rPr>
        <w:t>standards.</w:t>
      </w:r>
    </w:p>
    <w:p w14:paraId="737F47EF" w14:textId="77777777" w:rsidR="00A9530F" w:rsidRPr="00256677" w:rsidRDefault="00A9530F" w:rsidP="00A9530F">
      <w:pPr>
        <w:pStyle w:val="ListParagraph"/>
        <w:rPr>
          <w:rFonts w:asciiTheme="majorHAnsi" w:hAnsiTheme="majorHAnsi"/>
          <w:sz w:val="20"/>
          <w:szCs w:val="20"/>
        </w:rPr>
      </w:pPr>
    </w:p>
    <w:p w14:paraId="74F7907C" w14:textId="77777777" w:rsidR="00A9530F" w:rsidRPr="00256677" w:rsidRDefault="00181B73" w:rsidP="007E1AF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rPr>
      </w:pPr>
      <w:r w:rsidRPr="00256677">
        <w:rPr>
          <w:rFonts w:ascii="Cambria" w:hAnsi="Cambria"/>
          <w:sz w:val="20"/>
          <w:szCs w:val="20"/>
        </w:rPr>
        <w:t xml:space="preserve">Based on the above-mentioned considerations and </w:t>
      </w:r>
      <w:r w:rsidR="00C71F81" w:rsidRPr="00256677">
        <w:rPr>
          <w:rFonts w:asciiTheme="majorHAnsi" w:hAnsiTheme="majorHAnsi"/>
          <w:sz w:val="20"/>
          <w:szCs w:val="20"/>
        </w:rPr>
        <w:t xml:space="preserve">on the information on the record, the IACHR </w:t>
      </w:r>
      <w:r w:rsidRPr="00256677">
        <w:rPr>
          <w:rFonts w:asciiTheme="majorHAnsi" w:hAnsiTheme="majorHAnsi"/>
          <w:sz w:val="20"/>
          <w:szCs w:val="20"/>
        </w:rPr>
        <w:t xml:space="preserve">has not enough elements to </w:t>
      </w:r>
      <w:r w:rsidR="00C71F81" w:rsidRPr="00256677">
        <w:rPr>
          <w:rFonts w:asciiTheme="majorHAnsi" w:hAnsiTheme="majorHAnsi"/>
          <w:sz w:val="20"/>
          <w:szCs w:val="20"/>
        </w:rPr>
        <w:t xml:space="preserve">conclude that domestic courts violated </w:t>
      </w:r>
      <w:r w:rsidRPr="00256677">
        <w:rPr>
          <w:rFonts w:asciiTheme="majorHAnsi" w:hAnsiTheme="majorHAnsi"/>
          <w:sz w:val="20"/>
          <w:szCs w:val="20"/>
        </w:rPr>
        <w:t xml:space="preserve">Article I of </w:t>
      </w:r>
      <w:r w:rsidR="00C71F81" w:rsidRPr="00256677">
        <w:rPr>
          <w:rFonts w:asciiTheme="majorHAnsi" w:hAnsiTheme="majorHAnsi"/>
          <w:sz w:val="20"/>
          <w:szCs w:val="20"/>
        </w:rPr>
        <w:t xml:space="preserve">the American Declaration by </w:t>
      </w:r>
      <w:r w:rsidR="002B3E05" w:rsidRPr="00256677">
        <w:rPr>
          <w:rFonts w:asciiTheme="majorHAnsi" w:hAnsiTheme="majorHAnsi"/>
          <w:sz w:val="20"/>
          <w:szCs w:val="20"/>
        </w:rPr>
        <w:t>establishing that</w:t>
      </w:r>
      <w:r w:rsidR="008D6465" w:rsidRPr="00256677">
        <w:rPr>
          <w:rFonts w:asciiTheme="majorHAnsi" w:hAnsiTheme="majorHAnsi"/>
          <w:sz w:val="20"/>
          <w:szCs w:val="20"/>
        </w:rPr>
        <w:t xml:space="preserve"> the acts committed by Mr. Gray </w:t>
      </w:r>
      <w:r w:rsidR="002B3E05" w:rsidRPr="00256677">
        <w:rPr>
          <w:rFonts w:asciiTheme="majorHAnsi" w:hAnsiTheme="majorHAnsi"/>
          <w:sz w:val="20"/>
          <w:szCs w:val="20"/>
        </w:rPr>
        <w:t xml:space="preserve">were </w:t>
      </w:r>
      <w:r w:rsidR="008D6465" w:rsidRPr="00256677">
        <w:rPr>
          <w:rFonts w:asciiTheme="majorHAnsi" w:hAnsiTheme="majorHAnsi"/>
          <w:sz w:val="20"/>
          <w:szCs w:val="20"/>
        </w:rPr>
        <w:t xml:space="preserve">a serious crime and by </w:t>
      </w:r>
      <w:r w:rsidR="00C71F81" w:rsidRPr="00256677">
        <w:rPr>
          <w:rFonts w:asciiTheme="majorHAnsi" w:hAnsiTheme="majorHAnsi"/>
          <w:sz w:val="20"/>
          <w:szCs w:val="20"/>
        </w:rPr>
        <w:t xml:space="preserve">imposing the penalty </w:t>
      </w:r>
      <w:r w:rsidR="008D6465" w:rsidRPr="00256677">
        <w:rPr>
          <w:rFonts w:asciiTheme="majorHAnsi" w:hAnsiTheme="majorHAnsi"/>
          <w:sz w:val="20"/>
          <w:szCs w:val="20"/>
        </w:rPr>
        <w:t xml:space="preserve">after </w:t>
      </w:r>
      <w:r w:rsidR="00C87075" w:rsidRPr="00256677">
        <w:rPr>
          <w:rFonts w:asciiTheme="majorHAnsi" w:hAnsiTheme="majorHAnsi"/>
          <w:sz w:val="20"/>
          <w:szCs w:val="20"/>
        </w:rPr>
        <w:t xml:space="preserve"> a graduated </w:t>
      </w:r>
      <w:r w:rsidR="00C87075" w:rsidRPr="00256677">
        <w:rPr>
          <w:rFonts w:asciiTheme="majorHAnsi" w:hAnsiTheme="majorHAnsi"/>
          <w:sz w:val="20"/>
          <w:szCs w:val="20"/>
        </w:rPr>
        <w:lastRenderedPageBreak/>
        <w:t xml:space="preserve">assessment of the gravity of the offense and </w:t>
      </w:r>
      <w:r w:rsidR="008D6465" w:rsidRPr="00256677">
        <w:rPr>
          <w:rFonts w:asciiTheme="majorHAnsi" w:hAnsiTheme="majorHAnsi"/>
          <w:sz w:val="20"/>
          <w:szCs w:val="20"/>
        </w:rPr>
        <w:t>consideration of the individual circumstances of the offender and his offense</w:t>
      </w:r>
      <w:r w:rsidR="00C71F81" w:rsidRPr="00256677">
        <w:rPr>
          <w:rFonts w:asciiTheme="majorHAnsi" w:hAnsiTheme="majorHAnsi"/>
          <w:sz w:val="20"/>
          <w:szCs w:val="20"/>
        </w:rPr>
        <w:t>.</w:t>
      </w:r>
      <w:r w:rsidR="008D6465" w:rsidRPr="00256677">
        <w:rPr>
          <w:rFonts w:asciiTheme="majorHAnsi" w:hAnsiTheme="majorHAnsi"/>
          <w:sz w:val="20"/>
          <w:szCs w:val="20"/>
        </w:rPr>
        <w:t xml:space="preserve"> </w:t>
      </w:r>
    </w:p>
    <w:p w14:paraId="586EDE34" w14:textId="77777777" w:rsidR="00DE5D25" w:rsidRPr="00256677" w:rsidRDefault="00DE5D25" w:rsidP="008A6254">
      <w:pPr>
        <w:pStyle w:val="Heading2"/>
        <w:numPr>
          <w:ilvl w:val="0"/>
          <w:numId w:val="58"/>
        </w:numPr>
        <w:ind w:left="360"/>
        <w:jc w:val="both"/>
        <w:rPr>
          <w:rFonts w:eastAsia="Arial Unicode MS"/>
          <w:color w:val="auto"/>
          <w:sz w:val="20"/>
          <w:szCs w:val="20"/>
        </w:rPr>
      </w:pPr>
      <w:bookmarkStart w:id="16" w:name="_Toc535334404"/>
      <w:bookmarkStart w:id="17" w:name="_Toc90284146"/>
      <w:r w:rsidRPr="00256677">
        <w:rPr>
          <w:rFonts w:eastAsia="Arial Unicode MS"/>
          <w:color w:val="auto"/>
          <w:sz w:val="20"/>
          <w:szCs w:val="20"/>
        </w:rPr>
        <w:t>The deprivation of liberty on death row and the right of protection against cruel, infamous or unusual punishment</w:t>
      </w:r>
      <w:r w:rsidRPr="00256677">
        <w:rPr>
          <w:rStyle w:val="FootnoteReference"/>
          <w:rFonts w:ascii="Cambria" w:eastAsia="Arial Unicode MS" w:hAnsi="Cambria"/>
          <w:bCs w:val="0"/>
          <w:color w:val="auto"/>
          <w:sz w:val="20"/>
          <w:szCs w:val="20"/>
        </w:rPr>
        <w:footnoteReference w:id="64"/>
      </w:r>
      <w:bookmarkEnd w:id="16"/>
      <w:bookmarkEnd w:id="17"/>
      <w:r w:rsidRPr="00256677">
        <w:rPr>
          <w:rStyle w:val="FootnoteReference"/>
          <w:rFonts w:ascii="Cambria" w:eastAsia="Arial Unicode MS" w:hAnsi="Cambria"/>
          <w:bCs w:val="0"/>
          <w:color w:val="auto"/>
          <w:sz w:val="20"/>
          <w:szCs w:val="20"/>
        </w:rPr>
        <w:t xml:space="preserve"> </w:t>
      </w:r>
    </w:p>
    <w:p w14:paraId="304F6628" w14:textId="77777777" w:rsidR="00DE5D25" w:rsidRPr="00256677" w:rsidRDefault="00DE5D25" w:rsidP="00DE5D25">
      <w:pPr>
        <w:widowControl w:val="0"/>
        <w:tabs>
          <w:tab w:val="left" w:pos="360"/>
        </w:tabs>
        <w:suppressAutoHyphens/>
        <w:jc w:val="both"/>
        <w:rPr>
          <w:rFonts w:ascii="Cambria" w:hAnsi="Cambria"/>
          <w:b/>
          <w:sz w:val="20"/>
          <w:szCs w:val="20"/>
        </w:rPr>
      </w:pPr>
    </w:p>
    <w:p w14:paraId="710ECA45" w14:textId="77777777" w:rsidR="003D3CD4" w:rsidRPr="00256677" w:rsidRDefault="004E7FF7" w:rsidP="009D0D8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rPr>
      </w:pPr>
      <w:r w:rsidRPr="00256677">
        <w:rPr>
          <w:rFonts w:ascii="Cambria" w:hAnsi="Cambria" w:cs="Arial"/>
          <w:sz w:val="20"/>
          <w:szCs w:val="20"/>
        </w:rPr>
        <w:t xml:space="preserve">In both international human rights law and comparative law, the issue of long </w:t>
      </w:r>
      <w:r w:rsidR="00DE5D25" w:rsidRPr="00256677">
        <w:rPr>
          <w:rFonts w:ascii="Cambria" w:hAnsi="Cambria" w:cs="Arial"/>
          <w:sz w:val="20"/>
          <w:szCs w:val="20"/>
        </w:rPr>
        <w:t>term deprivation of liberty on death row</w:t>
      </w:r>
      <w:r w:rsidRPr="00256677">
        <w:rPr>
          <w:rFonts w:ascii="Cambria" w:hAnsi="Cambria" w:cs="Arial"/>
          <w:sz w:val="20"/>
          <w:szCs w:val="20"/>
        </w:rPr>
        <w:t xml:space="preserve">, known as the “death row phenomenon,” has been developed for decades, in light of the prohibition of </w:t>
      </w:r>
      <w:r w:rsidR="00DE5D25" w:rsidRPr="00256677">
        <w:rPr>
          <w:rFonts w:ascii="Cambria" w:hAnsi="Cambria" w:cs="Arial"/>
          <w:sz w:val="20"/>
          <w:szCs w:val="20"/>
        </w:rPr>
        <w:t>cruel, inhuman or degrading punishment in Constitutions and in multiple international treaties, including the American Declaration.</w:t>
      </w:r>
    </w:p>
    <w:p w14:paraId="5F72ACAE" w14:textId="77777777" w:rsidR="004E7FF7" w:rsidRPr="00256677" w:rsidRDefault="004E7FF7" w:rsidP="004E7FF7">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Theme="majorHAnsi" w:hAnsiTheme="majorHAnsi"/>
          <w:sz w:val="20"/>
          <w:szCs w:val="20"/>
        </w:rPr>
      </w:pPr>
    </w:p>
    <w:p w14:paraId="4D57738A" w14:textId="77777777" w:rsidR="004E7FF7" w:rsidRPr="00256677" w:rsidRDefault="004E7FF7" w:rsidP="009D0D8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rPr>
      </w:pPr>
      <w:r w:rsidRPr="00256677">
        <w:rPr>
          <w:rFonts w:ascii="Cambria" w:hAnsi="Cambria" w:cs="Arial"/>
          <w:sz w:val="20"/>
          <w:szCs w:val="20"/>
        </w:rPr>
        <w:t>In the case of Russel Bucklew</w:t>
      </w:r>
      <w:r w:rsidR="00853318" w:rsidRPr="00256677">
        <w:rPr>
          <w:rFonts w:ascii="Cambria" w:hAnsi="Cambria" w:cs="Arial"/>
          <w:sz w:val="20"/>
          <w:szCs w:val="20"/>
        </w:rPr>
        <w:t xml:space="preserve"> v. United States</w:t>
      </w:r>
      <w:r w:rsidRPr="00256677">
        <w:rPr>
          <w:rFonts w:ascii="Cambria" w:hAnsi="Cambria" w:cs="Arial"/>
          <w:sz w:val="20"/>
          <w:szCs w:val="20"/>
        </w:rPr>
        <w:t>, the IACHR</w:t>
      </w:r>
      <w:r w:rsidR="004F73E5" w:rsidRPr="00256677">
        <w:rPr>
          <w:rFonts w:ascii="Cambria" w:hAnsi="Cambria" w:cs="Arial"/>
          <w:sz w:val="20"/>
          <w:szCs w:val="20"/>
        </w:rPr>
        <w:t xml:space="preserve">, based on a number of developments </w:t>
      </w:r>
      <w:r w:rsidR="00257614" w:rsidRPr="00256677">
        <w:rPr>
          <w:rFonts w:ascii="Cambria" w:hAnsi="Cambria" w:cs="Arial"/>
          <w:sz w:val="20"/>
          <w:szCs w:val="20"/>
        </w:rPr>
        <w:t>described below</w:t>
      </w:r>
      <w:r w:rsidR="004F73E5" w:rsidRPr="00256677">
        <w:rPr>
          <w:rFonts w:ascii="Cambria" w:hAnsi="Cambria" w:cs="Arial"/>
          <w:sz w:val="20"/>
          <w:szCs w:val="20"/>
        </w:rPr>
        <w:t>, including the regional and United Nations systems, found that prolonged deprivation of liberty on death row is excessive and inhuman.</w:t>
      </w:r>
      <w:r w:rsidR="00806906" w:rsidRPr="00256677">
        <w:rPr>
          <w:rStyle w:val="FootnoteReference"/>
          <w:rFonts w:ascii="Cambria" w:hAnsi="Cambria"/>
          <w:sz w:val="20"/>
          <w:szCs w:val="20"/>
        </w:rPr>
        <w:footnoteReference w:id="65"/>
      </w:r>
      <w:r w:rsidR="004F73E5" w:rsidRPr="00256677">
        <w:rPr>
          <w:rFonts w:ascii="Cambria" w:hAnsi="Cambria" w:cs="Arial"/>
          <w:sz w:val="20"/>
          <w:szCs w:val="20"/>
        </w:rPr>
        <w:t xml:space="preserve"> </w:t>
      </w:r>
    </w:p>
    <w:p w14:paraId="2EF8574A" w14:textId="77777777" w:rsidR="003D3CD4" w:rsidRPr="00256677" w:rsidRDefault="003D3CD4" w:rsidP="009D0D81">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Theme="majorHAnsi" w:hAnsiTheme="majorHAnsi"/>
          <w:sz w:val="20"/>
          <w:szCs w:val="20"/>
        </w:rPr>
      </w:pPr>
    </w:p>
    <w:p w14:paraId="083989C7" w14:textId="77777777" w:rsidR="00DE5D25" w:rsidRPr="00256677" w:rsidRDefault="00DE5D25" w:rsidP="009D0D8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rPr>
      </w:pPr>
      <w:r w:rsidRPr="00256677">
        <w:rPr>
          <w:rFonts w:ascii="Cambria" w:hAnsi="Cambria" w:cs="Arial"/>
          <w:sz w:val="20"/>
          <w:szCs w:val="20"/>
        </w:rPr>
        <w:t>T</w:t>
      </w:r>
      <w:r w:rsidRPr="00256677">
        <w:rPr>
          <w:rFonts w:ascii="Cambria" w:hAnsi="Cambria"/>
          <w:sz w:val="20"/>
        </w:rPr>
        <w:t xml:space="preserve">he Commission takes note of the concept of the </w:t>
      </w:r>
      <w:r w:rsidRPr="00256677">
        <w:rPr>
          <w:rFonts w:ascii="Cambria" w:hAnsi="Cambria"/>
          <w:i/>
          <w:sz w:val="20"/>
        </w:rPr>
        <w:t>death row phenomenon</w:t>
      </w:r>
      <w:r w:rsidRPr="00256677">
        <w:rPr>
          <w:rFonts w:ascii="Cambria" w:hAnsi="Cambria"/>
          <w:sz w:val="20"/>
        </w:rPr>
        <w:t xml:space="preserve"> of the United Nations Special Rapporteur on torture and other cruel, inhuman or degrading treatment or punishment that: </w:t>
      </w:r>
    </w:p>
    <w:p w14:paraId="22674D3E" w14:textId="77777777" w:rsidR="00DE5D25" w:rsidRPr="00256677" w:rsidRDefault="00DE5D25" w:rsidP="009D0D81">
      <w:pPr>
        <w:pStyle w:val="ListParagraph"/>
        <w:tabs>
          <w:tab w:val="left" w:pos="360"/>
        </w:tabs>
        <w:rPr>
          <w:sz w:val="20"/>
          <w:szCs w:val="20"/>
        </w:rPr>
      </w:pPr>
    </w:p>
    <w:p w14:paraId="700B14F8" w14:textId="77777777" w:rsidR="00DE5D25" w:rsidRPr="00256677" w:rsidRDefault="00DE5D25" w:rsidP="008A625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ind w:left="360" w:right="360"/>
        <w:jc w:val="both"/>
        <w:rPr>
          <w:rFonts w:ascii="Cambria" w:hAnsi="Cambria"/>
          <w:sz w:val="18"/>
          <w:szCs w:val="18"/>
        </w:rPr>
      </w:pPr>
      <w:r w:rsidRPr="00256677">
        <w:rPr>
          <w:rFonts w:ascii="Cambria" w:hAnsi="Cambria"/>
          <w:sz w:val="18"/>
          <w:szCs w:val="18"/>
        </w:rPr>
        <w:t>(…) it consists of a combination of circumstances that produce severe mental trauma and physical deterioration in prisoners under sentence of death.</w:t>
      </w:r>
      <w:r w:rsidRPr="00256677">
        <w:rPr>
          <w:rFonts w:ascii="Cambria" w:hAnsi="Cambria"/>
          <w:sz w:val="18"/>
          <w:szCs w:val="18"/>
          <w:vertAlign w:val="superscript"/>
        </w:rPr>
        <w:footnoteReference w:id="66"/>
      </w:r>
      <w:r w:rsidRPr="00256677">
        <w:rPr>
          <w:rFonts w:ascii="Cambria" w:hAnsi="Cambria"/>
          <w:sz w:val="18"/>
          <w:szCs w:val="18"/>
        </w:rPr>
        <w:t xml:space="preserve"> Those circumstances include the lengthy and anxiety-ridden wait for uncertain outcomes, isolation, drastically reduced human contact and even the physical conditions in which some inmates are held. Death row conditions are often worse than those for the rest of the prison population, and prisoners on death row are denied many basic human necessities.</w:t>
      </w:r>
      <w:r w:rsidRPr="00256677">
        <w:rPr>
          <w:rFonts w:ascii="Cambria" w:hAnsi="Cambria"/>
          <w:sz w:val="18"/>
          <w:szCs w:val="18"/>
          <w:vertAlign w:val="superscript"/>
        </w:rPr>
        <w:footnoteReference w:id="67"/>
      </w:r>
    </w:p>
    <w:p w14:paraId="743058F0" w14:textId="77777777" w:rsidR="00DE5D25" w:rsidRPr="00256677" w:rsidRDefault="00DE5D25" w:rsidP="009D0D8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ind w:right="720"/>
        <w:jc w:val="both"/>
        <w:rPr>
          <w:rFonts w:ascii="Cambria" w:hAnsi="Cambria"/>
          <w:bCs/>
          <w:sz w:val="20"/>
          <w:szCs w:val="20"/>
        </w:rPr>
      </w:pPr>
    </w:p>
    <w:p w14:paraId="7DD0F049" w14:textId="77777777" w:rsidR="003D3CD4" w:rsidRPr="00256677" w:rsidRDefault="00DE5D25" w:rsidP="009D0D8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rPr>
      </w:pPr>
      <w:r w:rsidRPr="00256677">
        <w:rPr>
          <w:rFonts w:ascii="Cambria" w:hAnsi="Cambria"/>
          <w:sz w:val="20"/>
        </w:rPr>
        <w:t xml:space="preserve">In the case of </w:t>
      </w:r>
      <w:r w:rsidRPr="00256677">
        <w:rPr>
          <w:rFonts w:ascii="Cambria" w:hAnsi="Cambria"/>
          <w:i/>
          <w:sz w:val="20"/>
        </w:rPr>
        <w:t xml:space="preserve">Soering vs.  The United Kingdom, </w:t>
      </w:r>
      <w:r w:rsidRPr="00256677">
        <w:rPr>
          <w:rFonts w:ascii="Cambria" w:hAnsi="Cambria"/>
          <w:sz w:val="20"/>
        </w:rPr>
        <w:t xml:space="preserve">the European Court of Human Rights, in its interpretation of the norm banning cruel, inhuman, and unusual punishment and in reference to </w:t>
      </w:r>
      <w:r w:rsidRPr="00256677">
        <w:rPr>
          <w:rStyle w:val="sb8d990e2"/>
          <w:rFonts w:ascii="Cambria" w:hAnsi="Cambria"/>
          <w:sz w:val="20"/>
        </w:rPr>
        <w:t xml:space="preserve">the death penalty, </w:t>
      </w:r>
      <w:r w:rsidRPr="00256677">
        <w:rPr>
          <w:rFonts w:ascii="Cambria" w:eastAsia="Cambria" w:hAnsi="Cambria" w:cs="Cambria"/>
          <w:bCs/>
          <w:sz w:val="20"/>
          <w:szCs w:val="20"/>
        </w:rPr>
        <w:t>found tha</w:t>
      </w:r>
      <w:r w:rsidR="002C6169" w:rsidRPr="00256677">
        <w:rPr>
          <w:rFonts w:ascii="Cambria" w:eastAsia="Cambria" w:hAnsi="Cambria" w:cs="Cambria"/>
          <w:bCs/>
          <w:sz w:val="20"/>
          <w:szCs w:val="20"/>
        </w:rPr>
        <w:t>t  the  “death  row  phenomenon”</w:t>
      </w:r>
      <w:r w:rsidRPr="00256677">
        <w:rPr>
          <w:rFonts w:ascii="Cambria" w:eastAsia="Cambria" w:hAnsi="Cambria" w:cs="Cambria"/>
          <w:bCs/>
          <w:sz w:val="20"/>
          <w:szCs w:val="20"/>
        </w:rPr>
        <w:t>  is  a  cruel,  inhuman  and  degrading  treatment, and is characterized by a prolonged period of detention while  awaiting execution, during which prisoners sentenced to death suffer  severe  mental  anxiety,  extreme psychological tension and trauma.</w:t>
      </w:r>
      <w:r w:rsidRPr="00256677">
        <w:rPr>
          <w:rStyle w:val="FootnoteReference"/>
          <w:rFonts w:ascii="Cambria" w:eastAsia="Cambria" w:hAnsi="Cambria" w:cs="Cambria"/>
          <w:bCs/>
          <w:sz w:val="20"/>
          <w:szCs w:val="20"/>
        </w:rPr>
        <w:footnoteReference w:id="68"/>
      </w:r>
      <w:r w:rsidR="002C6169" w:rsidRPr="00256677">
        <w:rPr>
          <w:rFonts w:ascii="Cambria" w:eastAsia="Cambria" w:hAnsi="Cambria" w:cs="Cambria"/>
          <w:bCs/>
          <w:sz w:val="20"/>
          <w:szCs w:val="20"/>
        </w:rPr>
        <w:t xml:space="preserve"> </w:t>
      </w:r>
      <w:r w:rsidRPr="00256677">
        <w:rPr>
          <w:rFonts w:ascii="Cambria" w:hAnsi="Cambria"/>
          <w:sz w:val="20"/>
        </w:rPr>
        <w:t>The court further recognized that some element of delay between imposition and execution of the sentence and the experience of severe stress in conditions necessary for strict incarceration are inevitable and considered elements like, the very long period of time spent on death row in such extreme conditions, with the ever present and mounting anguish of awaiting execution of the death penalty, which brought the delay into the realm of exposed real risk of treatment going beyond the threshold set by Article 3.</w:t>
      </w:r>
      <w:r w:rsidRPr="00256677">
        <w:rPr>
          <w:rFonts w:ascii="Cambria" w:hAnsi="Cambria"/>
          <w:sz w:val="20"/>
          <w:vertAlign w:val="superscript"/>
        </w:rPr>
        <w:footnoteReference w:id="69"/>
      </w:r>
    </w:p>
    <w:p w14:paraId="539F1F86" w14:textId="77777777" w:rsidR="003D3CD4" w:rsidRPr="00256677" w:rsidRDefault="003D3CD4" w:rsidP="009D0D81">
      <w:pPr>
        <w:pStyle w:val="ListParagraph"/>
        <w:tabs>
          <w:tab w:val="left" w:pos="360"/>
        </w:tabs>
        <w:rPr>
          <w:sz w:val="20"/>
        </w:rPr>
      </w:pPr>
    </w:p>
    <w:p w14:paraId="1A892D07" w14:textId="77777777" w:rsidR="00DE5D25" w:rsidRPr="00256677" w:rsidRDefault="00DE5D25" w:rsidP="009D0D8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rPr>
      </w:pPr>
      <w:r w:rsidRPr="00256677">
        <w:rPr>
          <w:rFonts w:ascii="Cambria" w:hAnsi="Cambria"/>
          <w:sz w:val="20"/>
        </w:rPr>
        <w:t xml:space="preserve">Furthermore, in a comparative law context, the Commission notes that the Privy Council of the British House of Lords considered in 1993 on the issue of the </w:t>
      </w:r>
      <w:r w:rsidRPr="00256677">
        <w:rPr>
          <w:rFonts w:ascii="Cambria" w:hAnsi="Cambria"/>
          <w:i/>
          <w:sz w:val="20"/>
        </w:rPr>
        <w:t xml:space="preserve">death row phenomenon </w:t>
      </w:r>
      <w:r w:rsidRPr="00256677">
        <w:rPr>
          <w:rFonts w:ascii="Cambria" w:hAnsi="Cambria"/>
          <w:sz w:val="20"/>
        </w:rPr>
        <w:t xml:space="preserve">in the </w:t>
      </w:r>
      <w:r w:rsidRPr="00256677">
        <w:rPr>
          <w:rFonts w:ascii="Cambria" w:hAnsi="Cambria"/>
          <w:i/>
          <w:sz w:val="20"/>
        </w:rPr>
        <w:t>Pratt and Morgan v. Jamaica</w:t>
      </w:r>
      <w:r w:rsidRPr="00256677">
        <w:rPr>
          <w:rFonts w:ascii="Cambria" w:hAnsi="Cambria"/>
          <w:sz w:val="20"/>
        </w:rPr>
        <w:t xml:space="preserve"> case, that:</w:t>
      </w:r>
    </w:p>
    <w:p w14:paraId="1B9114C0" w14:textId="77777777" w:rsidR="00DE5D25" w:rsidRPr="00256677" w:rsidRDefault="00DE5D25" w:rsidP="009D0D8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jc w:val="both"/>
        <w:rPr>
          <w:rFonts w:ascii="Cambria" w:hAnsi="Cambria"/>
          <w:sz w:val="20"/>
        </w:rPr>
      </w:pPr>
    </w:p>
    <w:p w14:paraId="27D5CDDD" w14:textId="77777777" w:rsidR="00DE5D25" w:rsidRPr="00256677" w:rsidRDefault="00DE5D25" w:rsidP="008A625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left="360" w:right="360"/>
        <w:jc w:val="both"/>
        <w:rPr>
          <w:rFonts w:ascii="Cambria" w:eastAsia="Calibri" w:hAnsi="Cambria" w:cs="Tahoma"/>
          <w:sz w:val="18"/>
          <w:szCs w:val="18"/>
          <w:bdr w:val="none" w:sz="0" w:space="0" w:color="auto"/>
        </w:rPr>
      </w:pPr>
      <w:r w:rsidRPr="00256677">
        <w:rPr>
          <w:rFonts w:ascii="Cambria" w:eastAsia="Calibri" w:hAnsi="Cambria"/>
          <w:sz w:val="18"/>
          <w:szCs w:val="18"/>
          <w:bdr w:val="none" w:sz="0" w:space="0" w:color="auto"/>
        </w:rPr>
        <w:t xml:space="preserve">In their Lordships' view a State that wishes to retain capital punishment must accept the responsibility of ensuring that execution follows as swiftly as practicable after sentence, allowing a reasonable time for appeal and consideration of reprieve. It is part of the human condition that a condemned man will take every opportunity to </w:t>
      </w:r>
      <w:r w:rsidRPr="00256677">
        <w:rPr>
          <w:rFonts w:ascii="Cambria" w:eastAsia="Calibri" w:hAnsi="Cambria"/>
          <w:sz w:val="18"/>
          <w:szCs w:val="18"/>
          <w:bdr w:val="none" w:sz="0" w:space="0" w:color="auto"/>
        </w:rPr>
        <w:lastRenderedPageBreak/>
        <w:t>save his life through use of the appellate procedure. If the appellate procedure enables the prisoner to prolong the appellate hearings over a period of years, the fault is to be attributed to the appellate system that permits such delay and not to the prisoner who takes advantage of it. Appellate procedures that echo down the years are not compatible with capital punishment. The death row phenomenon must not become established as a part of our jurisprudence.</w:t>
      </w:r>
    </w:p>
    <w:p w14:paraId="50474F08" w14:textId="77777777" w:rsidR="00DE5D25" w:rsidRPr="00256677" w:rsidRDefault="00DE5D25" w:rsidP="008A625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left="360" w:right="360"/>
        <w:jc w:val="both"/>
        <w:rPr>
          <w:rFonts w:ascii="Cambria" w:eastAsia="Calibri" w:hAnsi="Cambria" w:cs="Tahoma"/>
          <w:sz w:val="18"/>
          <w:szCs w:val="18"/>
          <w:bdr w:val="none" w:sz="0" w:space="0" w:color="auto"/>
        </w:rPr>
      </w:pPr>
      <w:r w:rsidRPr="00256677">
        <w:rPr>
          <w:rFonts w:ascii="Cambria" w:eastAsia="Calibri" w:hAnsi="Cambria"/>
          <w:sz w:val="18"/>
          <w:szCs w:val="18"/>
          <w:bdr w:val="none" w:sz="0" w:space="0" w:color="auto"/>
        </w:rPr>
        <w:t>(…)</w:t>
      </w:r>
    </w:p>
    <w:p w14:paraId="5AAFC524" w14:textId="77777777" w:rsidR="00DE5D25" w:rsidRPr="00256677" w:rsidRDefault="00DE5D25" w:rsidP="008A625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right="360"/>
        <w:jc w:val="both"/>
        <w:rPr>
          <w:rFonts w:ascii="Cambria" w:eastAsia="Calibri" w:hAnsi="Cambria"/>
          <w:sz w:val="18"/>
          <w:szCs w:val="18"/>
          <w:bdr w:val="none" w:sz="0" w:space="0" w:color="auto"/>
        </w:rPr>
      </w:pPr>
      <w:r w:rsidRPr="00256677">
        <w:rPr>
          <w:rFonts w:ascii="Cambria" w:eastAsia="Calibri" w:hAnsi="Cambria"/>
          <w:sz w:val="18"/>
          <w:szCs w:val="18"/>
          <w:bdr w:val="none" w:sz="0" w:space="0" w:color="auto"/>
        </w:rPr>
        <w:t>These considerations lead their Lordships to the conclusion that in any case in which execution is to take place more than five years after sentence there will be strong grounds for believing that the delay is such as to constitute "inhuman or degrading punishment or other treatment".</w:t>
      </w:r>
      <w:r w:rsidRPr="00256677">
        <w:rPr>
          <w:rFonts w:ascii="Cambria" w:eastAsia="Calibri" w:hAnsi="Cambria"/>
          <w:sz w:val="18"/>
          <w:szCs w:val="18"/>
          <w:bdr w:val="none" w:sz="0" w:space="0" w:color="auto"/>
          <w:vertAlign w:val="superscript"/>
        </w:rPr>
        <w:footnoteReference w:id="70"/>
      </w:r>
    </w:p>
    <w:p w14:paraId="242ACAC0" w14:textId="77777777" w:rsidR="006C379B" w:rsidRPr="00256677" w:rsidRDefault="006C379B" w:rsidP="009D0D81">
      <w:pPr>
        <w:tabs>
          <w:tab w:val="left" w:pos="360"/>
        </w:tabs>
        <w:rPr>
          <w:sz w:val="20"/>
        </w:rPr>
      </w:pPr>
    </w:p>
    <w:p w14:paraId="18B0E4F8" w14:textId="77777777" w:rsidR="006C379B" w:rsidRPr="00256677" w:rsidRDefault="002E299B" w:rsidP="006C379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rPr>
      </w:pPr>
      <w:r w:rsidRPr="00256677">
        <w:rPr>
          <w:rFonts w:ascii="Cambria" w:hAnsi="Cambria" w:cs="Arial"/>
          <w:sz w:val="20"/>
          <w:szCs w:val="20"/>
        </w:rPr>
        <w:t>As established in this report, Mr. Gray was sentenced to death on December 3, 1992</w:t>
      </w:r>
      <w:r w:rsidR="00853318" w:rsidRPr="00256677">
        <w:rPr>
          <w:rFonts w:ascii="Cambria" w:hAnsi="Cambria" w:cs="Arial"/>
          <w:sz w:val="20"/>
          <w:szCs w:val="20"/>
        </w:rPr>
        <w:t>,</w:t>
      </w:r>
      <w:r w:rsidRPr="00256677">
        <w:rPr>
          <w:rFonts w:ascii="Cambria" w:hAnsi="Cambria" w:cs="Arial"/>
          <w:sz w:val="20"/>
          <w:szCs w:val="20"/>
        </w:rPr>
        <w:t xml:space="preserve"> and was thereafter executed on October 26, 2005</w:t>
      </w:r>
      <w:r w:rsidR="00853318" w:rsidRPr="00256677">
        <w:rPr>
          <w:rFonts w:ascii="Cambria" w:hAnsi="Cambria" w:cs="Arial"/>
          <w:sz w:val="20"/>
          <w:szCs w:val="20"/>
        </w:rPr>
        <w:t>,</w:t>
      </w:r>
      <w:r w:rsidRPr="00256677">
        <w:rPr>
          <w:rFonts w:ascii="Cambria" w:hAnsi="Cambria" w:cs="Arial"/>
          <w:sz w:val="20"/>
          <w:szCs w:val="20"/>
        </w:rPr>
        <w:t xml:space="preserve"> at 12:07am. Mr. Gray was therefore on death row for over fourteen (14) years. The Commission notes that the very fact of spending 14 years on death row is, by any account, excessive and inhuman</w:t>
      </w:r>
      <w:r w:rsidR="00803232" w:rsidRPr="00256677">
        <w:rPr>
          <w:rFonts w:ascii="Cambria" w:hAnsi="Cambria" w:cs="Arial"/>
          <w:sz w:val="20"/>
          <w:szCs w:val="20"/>
        </w:rPr>
        <w:t xml:space="preserve">, </w:t>
      </w:r>
      <w:r w:rsidR="00803232" w:rsidRPr="00256677">
        <w:rPr>
          <w:rFonts w:ascii="Cambria" w:hAnsi="Cambria"/>
          <w:sz w:val="20"/>
        </w:rPr>
        <w:t>and was aggravated by the prolonged expectation that the death sentence would be executed</w:t>
      </w:r>
      <w:r w:rsidRPr="00256677">
        <w:rPr>
          <w:rFonts w:ascii="Cambria" w:hAnsi="Cambria" w:cs="Arial"/>
          <w:sz w:val="20"/>
          <w:szCs w:val="20"/>
        </w:rPr>
        <w:t xml:space="preserve">. </w:t>
      </w:r>
      <w:r w:rsidR="006C379B" w:rsidRPr="00256677">
        <w:rPr>
          <w:rFonts w:ascii="Cambria" w:hAnsi="Cambria"/>
          <w:sz w:val="20"/>
        </w:rPr>
        <w:t>Therefore</w:t>
      </w:r>
      <w:r w:rsidR="00853318" w:rsidRPr="00256677">
        <w:rPr>
          <w:rFonts w:ascii="Cambria" w:hAnsi="Cambria"/>
          <w:sz w:val="20"/>
        </w:rPr>
        <w:t>,</w:t>
      </w:r>
      <w:r w:rsidR="006C379B" w:rsidRPr="00256677">
        <w:rPr>
          <w:rFonts w:ascii="Cambria" w:hAnsi="Cambria"/>
          <w:sz w:val="20"/>
        </w:rPr>
        <w:t xml:space="preserve"> the Commission considers the </w:t>
      </w:r>
      <w:r w:rsidR="00803232" w:rsidRPr="00256677">
        <w:rPr>
          <w:rFonts w:ascii="Cambria" w:hAnsi="Cambria"/>
          <w:sz w:val="20"/>
        </w:rPr>
        <w:t>time spent</w:t>
      </w:r>
      <w:r w:rsidR="006C379B" w:rsidRPr="00256677">
        <w:rPr>
          <w:rFonts w:ascii="Cambria" w:hAnsi="Cambria"/>
          <w:sz w:val="20"/>
        </w:rPr>
        <w:t xml:space="preserve"> by Marlin Gray while on death ro</w:t>
      </w:r>
      <w:r w:rsidR="00825AC2" w:rsidRPr="00256677">
        <w:rPr>
          <w:rFonts w:ascii="Cambria" w:hAnsi="Cambria"/>
          <w:sz w:val="20"/>
        </w:rPr>
        <w:t>w constitute</w:t>
      </w:r>
      <w:r w:rsidR="00803232" w:rsidRPr="00256677">
        <w:rPr>
          <w:rFonts w:ascii="Cambria" w:hAnsi="Cambria"/>
          <w:sz w:val="20"/>
        </w:rPr>
        <w:t>d</w:t>
      </w:r>
      <w:r w:rsidR="00825AC2" w:rsidRPr="00256677">
        <w:rPr>
          <w:rFonts w:ascii="Cambria" w:hAnsi="Cambria"/>
          <w:sz w:val="20"/>
        </w:rPr>
        <w:t xml:space="preserve"> a violation of his right to human treatment and his right not to receive cruel, infamous or unusual punishment</w:t>
      </w:r>
      <w:r w:rsidR="0006434A" w:rsidRPr="00256677">
        <w:rPr>
          <w:rFonts w:ascii="Cambria" w:hAnsi="Cambria"/>
          <w:sz w:val="20"/>
        </w:rPr>
        <w:t>, set forth in Articles XXV and XXVI of the American Declaration</w:t>
      </w:r>
      <w:r w:rsidR="006C379B" w:rsidRPr="00256677">
        <w:rPr>
          <w:rFonts w:ascii="Cambria" w:hAnsi="Cambria"/>
          <w:sz w:val="20"/>
        </w:rPr>
        <w:t xml:space="preserve">. </w:t>
      </w:r>
    </w:p>
    <w:p w14:paraId="554CC0EE" w14:textId="77777777" w:rsidR="00BA0255" w:rsidRPr="00256677" w:rsidRDefault="00BA0255" w:rsidP="00B346FF">
      <w:pPr>
        <w:pStyle w:val="Heading2"/>
        <w:tabs>
          <w:tab w:val="left" w:pos="360"/>
        </w:tabs>
        <w:rPr>
          <w:rFonts w:eastAsia="Arial Unicode MS"/>
          <w:color w:val="auto"/>
          <w:sz w:val="20"/>
          <w:szCs w:val="20"/>
        </w:rPr>
      </w:pPr>
      <w:bookmarkStart w:id="18" w:name="_Toc90284147"/>
      <w:r w:rsidRPr="00256677">
        <w:rPr>
          <w:rFonts w:eastAsia="Arial Unicode MS"/>
          <w:color w:val="auto"/>
          <w:sz w:val="20"/>
          <w:szCs w:val="20"/>
        </w:rPr>
        <w:t>D.</w:t>
      </w:r>
      <w:r w:rsidRPr="00256677">
        <w:rPr>
          <w:rFonts w:eastAsia="Arial Unicode MS"/>
          <w:color w:val="auto"/>
          <w:sz w:val="20"/>
          <w:szCs w:val="20"/>
        </w:rPr>
        <w:tab/>
        <w:t>Right to</w:t>
      </w:r>
      <w:r w:rsidR="002C6169" w:rsidRPr="00256677">
        <w:rPr>
          <w:rFonts w:eastAsia="Arial Unicode MS"/>
          <w:color w:val="auto"/>
          <w:sz w:val="20"/>
          <w:szCs w:val="20"/>
        </w:rPr>
        <w:t xml:space="preserve"> p</w:t>
      </w:r>
      <w:r w:rsidRPr="00256677">
        <w:rPr>
          <w:rFonts w:eastAsia="Arial Unicode MS"/>
          <w:color w:val="auto"/>
          <w:sz w:val="20"/>
          <w:szCs w:val="20"/>
        </w:rPr>
        <w:t>etition</w:t>
      </w:r>
      <w:r w:rsidRPr="00256677">
        <w:rPr>
          <w:rStyle w:val="FootnoteReference"/>
          <w:rFonts w:eastAsia="Arial Unicode MS"/>
          <w:color w:val="auto"/>
          <w:sz w:val="20"/>
          <w:szCs w:val="20"/>
        </w:rPr>
        <w:footnoteReference w:id="71"/>
      </w:r>
      <w:r w:rsidR="00B346FF">
        <w:rPr>
          <w:rFonts w:eastAsia="Arial Unicode MS"/>
          <w:color w:val="auto"/>
          <w:sz w:val="20"/>
          <w:szCs w:val="20"/>
        </w:rPr>
        <w:t xml:space="preserve"> and right to life</w:t>
      </w:r>
      <w:r w:rsidR="00B346FF" w:rsidRPr="00256677">
        <w:rPr>
          <w:rStyle w:val="FootnoteReference"/>
          <w:rFonts w:eastAsia="Arial Unicode MS"/>
          <w:color w:val="auto"/>
          <w:sz w:val="20"/>
          <w:szCs w:val="20"/>
        </w:rPr>
        <w:footnoteReference w:id="72"/>
      </w:r>
      <w:bookmarkEnd w:id="18"/>
      <w:r w:rsidRPr="00256677">
        <w:rPr>
          <w:rFonts w:eastAsia="Arial Unicode MS"/>
          <w:color w:val="auto"/>
          <w:sz w:val="20"/>
          <w:szCs w:val="20"/>
        </w:rPr>
        <w:t xml:space="preserve">  </w:t>
      </w:r>
    </w:p>
    <w:p w14:paraId="7C924532" w14:textId="77777777" w:rsidR="00BA0255" w:rsidRPr="00256677" w:rsidRDefault="00BA0255" w:rsidP="00B346FF">
      <w:pPr>
        <w:rPr>
          <w:rFonts w:asciiTheme="majorHAnsi" w:hAnsiTheme="majorHAnsi"/>
          <w:sz w:val="20"/>
          <w:szCs w:val="20"/>
        </w:rPr>
      </w:pPr>
    </w:p>
    <w:p w14:paraId="12758E19" w14:textId="77777777" w:rsidR="00BA0255" w:rsidRPr="00256677" w:rsidRDefault="00BA0255" w:rsidP="00BA02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rPr>
      </w:pPr>
      <w:r w:rsidRPr="00256677">
        <w:rPr>
          <w:rFonts w:asciiTheme="majorHAnsi" w:eastAsia="Times New Roman" w:hAnsiTheme="majorHAnsi"/>
          <w:sz w:val="20"/>
          <w:szCs w:val="20"/>
        </w:rPr>
        <w:t>The State has argued that the Commission lacks the authority to request precautionary me</w:t>
      </w:r>
      <w:r w:rsidR="009C6C2B" w:rsidRPr="00256677">
        <w:rPr>
          <w:rFonts w:asciiTheme="majorHAnsi" w:eastAsia="Times New Roman" w:hAnsiTheme="majorHAnsi"/>
          <w:sz w:val="20"/>
          <w:szCs w:val="20"/>
        </w:rPr>
        <w:t>asures of S</w:t>
      </w:r>
      <w:r w:rsidRPr="00256677">
        <w:rPr>
          <w:rFonts w:asciiTheme="majorHAnsi" w:eastAsia="Times New Roman" w:hAnsiTheme="majorHAnsi"/>
          <w:sz w:val="20"/>
          <w:szCs w:val="20"/>
        </w:rPr>
        <w:t xml:space="preserve">tates that have not ratified the American Convention essentially because the provision governing such measures is contained in the Commissions’ Rules rather than in its Statute. </w:t>
      </w:r>
    </w:p>
    <w:p w14:paraId="42D8FD2B" w14:textId="77777777" w:rsidR="00BA0255" w:rsidRPr="00256677" w:rsidRDefault="00BA0255" w:rsidP="00BA0255">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Theme="majorHAnsi" w:hAnsiTheme="majorHAnsi"/>
          <w:sz w:val="20"/>
          <w:szCs w:val="20"/>
        </w:rPr>
      </w:pPr>
    </w:p>
    <w:p w14:paraId="19753B48" w14:textId="77777777" w:rsidR="00211A8A" w:rsidRPr="00256677" w:rsidRDefault="00BA0255" w:rsidP="00BA02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rPr>
      </w:pPr>
      <w:r w:rsidRPr="00256677">
        <w:rPr>
          <w:rFonts w:asciiTheme="majorHAnsi" w:eastAsia="Times New Roman" w:hAnsiTheme="majorHAnsi"/>
          <w:sz w:val="20"/>
          <w:szCs w:val="20"/>
        </w:rPr>
        <w:t>In this connection, the Commission recalls that in its decision in the case of Juan Raul Garza v. United States, the Commission held that in capital cases</w:t>
      </w:r>
      <w:r w:rsidR="009C6C2B" w:rsidRPr="00256677">
        <w:rPr>
          <w:rFonts w:asciiTheme="majorHAnsi" w:eastAsia="Times New Roman" w:hAnsiTheme="majorHAnsi"/>
          <w:sz w:val="20"/>
          <w:szCs w:val="20"/>
        </w:rPr>
        <w:t>, the failure of an OAS member S</w:t>
      </w:r>
      <w:r w:rsidRPr="00256677">
        <w:rPr>
          <w:rFonts w:asciiTheme="majorHAnsi" w:eastAsia="Times New Roman" w:hAnsiTheme="majorHAnsi"/>
          <w:sz w:val="20"/>
          <w:szCs w:val="20"/>
        </w:rPr>
        <w:t>tate to preserve a condemned prisoner's life pending review by the Commission of his or her complaint undermines the efficacy of the Commission's process, deprives condemned persons of their right to petition in the inter-American human rights system, and results in serious and irreparable harm to those individuals, and accord</w:t>
      </w:r>
      <w:r w:rsidR="009C6C2B" w:rsidRPr="00256677">
        <w:rPr>
          <w:rFonts w:asciiTheme="majorHAnsi" w:eastAsia="Times New Roman" w:hAnsiTheme="majorHAnsi"/>
          <w:sz w:val="20"/>
          <w:szCs w:val="20"/>
        </w:rPr>
        <w:t>ingly is inconsistent with the S</w:t>
      </w:r>
      <w:r w:rsidRPr="00256677">
        <w:rPr>
          <w:rFonts w:asciiTheme="majorHAnsi" w:eastAsia="Times New Roman" w:hAnsiTheme="majorHAnsi"/>
          <w:sz w:val="20"/>
          <w:szCs w:val="20"/>
        </w:rPr>
        <w:t>tate's human rights obligations</w:t>
      </w:r>
      <w:r w:rsidR="00F337EB" w:rsidRPr="00256677">
        <w:rPr>
          <w:rFonts w:asciiTheme="majorHAnsi" w:eastAsia="Times New Roman" w:hAnsiTheme="majorHAnsi"/>
          <w:sz w:val="20"/>
          <w:szCs w:val="20"/>
        </w:rPr>
        <w:t>.</w:t>
      </w:r>
      <w:r w:rsidRPr="00256677">
        <w:rPr>
          <w:rStyle w:val="FootnoteReference"/>
          <w:rFonts w:asciiTheme="majorHAnsi" w:eastAsia="Times New Roman" w:hAnsiTheme="majorHAnsi"/>
          <w:sz w:val="20"/>
          <w:szCs w:val="20"/>
        </w:rPr>
        <w:footnoteReference w:id="73"/>
      </w:r>
      <w:r w:rsidRPr="00256677">
        <w:rPr>
          <w:rFonts w:asciiTheme="majorHAnsi" w:eastAsia="Times New Roman" w:hAnsiTheme="majorHAnsi"/>
          <w:sz w:val="20"/>
          <w:szCs w:val="20"/>
        </w:rPr>
        <w:t xml:space="preserve"> </w:t>
      </w:r>
    </w:p>
    <w:p w14:paraId="416FF8C5" w14:textId="77777777" w:rsidR="00211A8A" w:rsidRPr="00256677" w:rsidRDefault="00211A8A" w:rsidP="00211A8A">
      <w:pPr>
        <w:pStyle w:val="ListParagraph"/>
        <w:rPr>
          <w:rFonts w:asciiTheme="majorHAnsi" w:eastAsia="Times New Roman" w:hAnsiTheme="majorHAnsi"/>
          <w:sz w:val="20"/>
          <w:szCs w:val="20"/>
        </w:rPr>
      </w:pPr>
    </w:p>
    <w:p w14:paraId="7FA77F92" w14:textId="77777777" w:rsidR="00BA0255" w:rsidRPr="00256677" w:rsidRDefault="00BA0255" w:rsidP="00BA02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rPr>
      </w:pPr>
      <w:r w:rsidRPr="00256677">
        <w:rPr>
          <w:rFonts w:asciiTheme="majorHAnsi" w:eastAsia="Times New Roman" w:hAnsiTheme="majorHAnsi"/>
          <w:sz w:val="20"/>
          <w:szCs w:val="20"/>
        </w:rPr>
        <w:t>The Commission premised these obligation</w:t>
      </w:r>
      <w:r w:rsidR="009C6C2B" w:rsidRPr="00256677">
        <w:rPr>
          <w:rFonts w:asciiTheme="majorHAnsi" w:eastAsia="Times New Roman" w:hAnsiTheme="majorHAnsi"/>
          <w:sz w:val="20"/>
          <w:szCs w:val="20"/>
        </w:rPr>
        <w:t>s on a finding that OAS member S</w:t>
      </w:r>
      <w:r w:rsidRPr="00256677">
        <w:rPr>
          <w:rFonts w:asciiTheme="majorHAnsi" w:eastAsia="Times New Roman" w:hAnsiTheme="majorHAnsi"/>
          <w:sz w:val="20"/>
          <w:szCs w:val="20"/>
        </w:rPr>
        <w:t>tates, by creating the Commission and mandating it through the OAS Charter and the Commission's Statute to promote the observance and protection of human rights of the American peoples, have implicitly undertaken to implement measures of this nature where they are essential to preserving the Commission's mandate</w:t>
      </w:r>
      <w:r w:rsidR="00F337EB" w:rsidRPr="00256677">
        <w:rPr>
          <w:rFonts w:asciiTheme="majorHAnsi" w:eastAsia="Times New Roman" w:hAnsiTheme="majorHAnsi"/>
          <w:sz w:val="20"/>
          <w:szCs w:val="20"/>
        </w:rPr>
        <w:t>.</w:t>
      </w:r>
      <w:r w:rsidRPr="00256677">
        <w:rPr>
          <w:rStyle w:val="FootnoteReference"/>
          <w:rFonts w:asciiTheme="majorHAnsi" w:eastAsia="Times New Roman" w:hAnsiTheme="majorHAnsi"/>
          <w:sz w:val="20"/>
          <w:szCs w:val="20"/>
        </w:rPr>
        <w:footnoteReference w:id="74"/>
      </w:r>
      <w:r w:rsidRPr="00256677">
        <w:rPr>
          <w:rFonts w:asciiTheme="majorHAnsi" w:eastAsia="Times New Roman" w:hAnsiTheme="majorHAnsi"/>
          <w:sz w:val="20"/>
          <w:szCs w:val="20"/>
        </w:rPr>
        <w:t xml:space="preserve"> The Commission found support for this determination in its own jurisprudence as well as the findings of other regional and international adjudicative bodies, including the UN Human Rights Committee, the European Court of Human Rights and the International Court of Justice</w:t>
      </w:r>
      <w:r w:rsidR="00F337EB" w:rsidRPr="00256677">
        <w:rPr>
          <w:rFonts w:asciiTheme="majorHAnsi" w:eastAsia="Times New Roman" w:hAnsiTheme="majorHAnsi"/>
          <w:sz w:val="20"/>
          <w:szCs w:val="20"/>
        </w:rPr>
        <w:t>.</w:t>
      </w:r>
      <w:r w:rsidRPr="00256677">
        <w:rPr>
          <w:rStyle w:val="FootnoteReference"/>
          <w:rFonts w:asciiTheme="majorHAnsi" w:eastAsia="Times New Roman" w:hAnsiTheme="majorHAnsi"/>
          <w:sz w:val="20"/>
          <w:szCs w:val="20"/>
        </w:rPr>
        <w:footnoteReference w:id="75"/>
      </w:r>
      <w:r w:rsidRPr="00256677">
        <w:rPr>
          <w:rFonts w:asciiTheme="majorHAnsi" w:eastAsia="Times New Roman" w:hAnsiTheme="majorHAnsi"/>
          <w:sz w:val="20"/>
          <w:szCs w:val="20"/>
        </w:rPr>
        <w:t xml:space="preserve"> In the Commission’s view, this jurisprudence articulates a principle common to the functioning of international adjudicative systems </w:t>
      </w:r>
      <w:r w:rsidR="009C6C2B" w:rsidRPr="00256677">
        <w:rPr>
          <w:rFonts w:asciiTheme="majorHAnsi" w:eastAsia="Times New Roman" w:hAnsiTheme="majorHAnsi"/>
          <w:sz w:val="20"/>
          <w:szCs w:val="20"/>
        </w:rPr>
        <w:t>according to which member S</w:t>
      </w:r>
      <w:r w:rsidRPr="00256677">
        <w:rPr>
          <w:rFonts w:asciiTheme="majorHAnsi" w:eastAsia="Times New Roman" w:hAnsiTheme="majorHAnsi"/>
          <w:sz w:val="20"/>
          <w:szCs w:val="20"/>
        </w:rPr>
        <w:t>tates must implement interim or precautionary measures where doing so is necessary to preserve the very purposes for which the systems were created and to prevent irreparable harm to the parties whose interests are determined through those processes.  </w:t>
      </w:r>
    </w:p>
    <w:p w14:paraId="57D5F45B" w14:textId="77777777" w:rsidR="00BA0255" w:rsidRPr="00256677" w:rsidRDefault="00BA0255" w:rsidP="00BA0255">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Theme="majorHAnsi" w:hAnsiTheme="majorHAnsi"/>
          <w:sz w:val="20"/>
          <w:szCs w:val="20"/>
        </w:rPr>
      </w:pPr>
    </w:p>
    <w:p w14:paraId="460C2BB0" w14:textId="77777777" w:rsidR="00BA0255" w:rsidRPr="00256677" w:rsidRDefault="00BA0255" w:rsidP="00BA02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rPr>
      </w:pPr>
      <w:r w:rsidRPr="00256677">
        <w:rPr>
          <w:rFonts w:asciiTheme="majorHAnsi" w:eastAsia="Times New Roman" w:hAnsiTheme="majorHAnsi"/>
          <w:sz w:val="20"/>
          <w:szCs w:val="20"/>
        </w:rPr>
        <w:t>Upon considering the State’s observations, the Commission finds no grounds for varying its previous findings on this issue. It remains the Commission’s view that in circumstances such as the present, the authority of its precautionary measures is derived from the State’s fundamental human rights commitments as a State Party to the OAS Charter and therefore that the State is subject to an international legal obligation to preserve Mr. Gray’s life pending the examination of his complaint by the Commission.</w:t>
      </w:r>
    </w:p>
    <w:p w14:paraId="5BF4D69A" w14:textId="77777777" w:rsidR="00BA0255" w:rsidRPr="00256677" w:rsidRDefault="00BA0255" w:rsidP="00BA0255">
      <w:pPr>
        <w:pStyle w:val="ListParagraph"/>
        <w:tabs>
          <w:tab w:val="left" w:pos="360"/>
        </w:tabs>
        <w:rPr>
          <w:rFonts w:asciiTheme="majorHAnsi" w:eastAsia="Times" w:hAnsiTheme="majorHAnsi" w:cs="Times"/>
          <w:sz w:val="20"/>
          <w:szCs w:val="20"/>
        </w:rPr>
      </w:pPr>
    </w:p>
    <w:p w14:paraId="5AD9BFB7" w14:textId="77777777" w:rsidR="00BA0255" w:rsidRPr="00256677" w:rsidRDefault="00BA0255" w:rsidP="00BA02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rPr>
      </w:pPr>
      <w:r w:rsidRPr="00256677">
        <w:rPr>
          <w:rFonts w:asciiTheme="majorHAnsi" w:eastAsia="Times" w:hAnsiTheme="majorHAnsi" w:cs="Times"/>
          <w:sz w:val="20"/>
          <w:szCs w:val="20"/>
        </w:rPr>
        <w:t>The</w:t>
      </w:r>
      <w:r w:rsidRPr="00256677">
        <w:rPr>
          <w:rFonts w:asciiTheme="majorHAnsi" w:eastAsia="Cambria" w:hAnsiTheme="majorHAnsi" w:cs="Cambria"/>
          <w:sz w:val="20"/>
          <w:szCs w:val="20"/>
        </w:rPr>
        <w:t xml:space="preserve"> State’s denial of a stay of execution in the face of a precautionary measure by the Commission in order to evaluate any human rights breaches and its </w:t>
      </w:r>
      <w:r w:rsidRPr="00256677">
        <w:rPr>
          <w:rFonts w:asciiTheme="majorHAnsi" w:eastAsia="Times" w:hAnsiTheme="majorHAnsi" w:cs="Times"/>
          <w:sz w:val="20"/>
          <w:szCs w:val="20"/>
        </w:rPr>
        <w:t xml:space="preserve">failure to preserve a condemned prisoner’s life pending the completion of the proceedings, including implementation of the Commission’s final recommendations, undermines the efficacy of the Commission’s process, deprives condemned persons of their right to petition, and results in serious and irreparable harm to those individuals. </w:t>
      </w:r>
      <w:r w:rsidRPr="00256677">
        <w:rPr>
          <w:rFonts w:asciiTheme="majorHAnsi" w:hAnsiTheme="majorHAnsi"/>
          <w:sz w:val="20"/>
          <w:szCs w:val="20"/>
        </w:rPr>
        <w:t xml:space="preserve">An execution under those circumstances obstructs the Commission’s or Court’s ability to effectively investigate and issue determinations on capital cases. </w:t>
      </w:r>
    </w:p>
    <w:p w14:paraId="6E9CAD4A" w14:textId="77777777" w:rsidR="00BA0255" w:rsidRPr="00256677" w:rsidRDefault="00BA0255" w:rsidP="00BA0255">
      <w:pPr>
        <w:pStyle w:val="ListParagraph"/>
        <w:tabs>
          <w:tab w:val="left" w:pos="360"/>
        </w:tabs>
        <w:rPr>
          <w:rFonts w:asciiTheme="majorHAnsi" w:eastAsia="Times" w:hAnsiTheme="majorHAnsi" w:cs="Times"/>
          <w:sz w:val="20"/>
          <w:szCs w:val="20"/>
        </w:rPr>
      </w:pPr>
    </w:p>
    <w:p w14:paraId="0BB0D99C" w14:textId="77777777" w:rsidR="00F86F6E" w:rsidRPr="00F86F6E" w:rsidRDefault="00BA0255" w:rsidP="00F86F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rPr>
      </w:pPr>
      <w:r w:rsidRPr="00256677">
        <w:rPr>
          <w:rFonts w:asciiTheme="majorHAnsi" w:eastAsia="Times" w:hAnsiTheme="majorHAnsi" w:cs="Times"/>
          <w:sz w:val="20"/>
          <w:szCs w:val="20"/>
        </w:rPr>
        <w:t xml:space="preserve">Both the Commission and the Inter-American Court have indicated that the execution of a person under precautionary or provisional measures respectively, constitutes an aggravated violation of the right to life. </w:t>
      </w:r>
      <w:r w:rsidR="00F86F6E" w:rsidRPr="00F86F6E">
        <w:rPr>
          <w:rFonts w:asciiTheme="majorHAnsi" w:eastAsia="Cambria" w:hAnsiTheme="majorHAnsi" w:cs="Cambria"/>
          <w:sz w:val="20"/>
          <w:szCs w:val="20"/>
        </w:rPr>
        <w:t>As noted in this report, the right to life is widely recognized as the supreme right of the human being. The Inter‐American Court has similarly confirmed that “[b]ecause execution of the death penalty is irreversible, the strictest and most rigorous enforcement of judicial guarantees is required of the State so that those guarantees are not violated and a human life not arbitrarily taken as a result.”</w:t>
      </w:r>
      <w:r w:rsidR="00F86F6E" w:rsidRPr="00256677">
        <w:rPr>
          <w:rStyle w:val="FootnoteReference"/>
          <w:rFonts w:asciiTheme="majorHAnsi" w:eastAsia="Times New Roman" w:hAnsiTheme="majorHAnsi"/>
          <w:sz w:val="20"/>
          <w:szCs w:val="20"/>
        </w:rPr>
        <w:footnoteReference w:id="76"/>
      </w:r>
    </w:p>
    <w:p w14:paraId="1A98F48A" w14:textId="77777777" w:rsidR="00F86F6E" w:rsidRPr="00F86F6E" w:rsidRDefault="00F86F6E" w:rsidP="00F86F6E">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Theme="majorHAnsi" w:hAnsiTheme="majorHAnsi"/>
          <w:sz w:val="20"/>
          <w:szCs w:val="20"/>
        </w:rPr>
      </w:pPr>
    </w:p>
    <w:p w14:paraId="78EA14D1" w14:textId="77777777" w:rsidR="00BA0255" w:rsidRPr="00256677" w:rsidRDefault="00BA0255" w:rsidP="00BA02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rPr>
      </w:pPr>
      <w:r w:rsidRPr="00256677">
        <w:rPr>
          <w:rFonts w:asciiTheme="majorHAnsi" w:eastAsia="Times" w:hAnsiTheme="majorHAnsi" w:cs="Times"/>
          <w:sz w:val="20"/>
          <w:szCs w:val="20"/>
        </w:rPr>
        <w:t xml:space="preserve">The Commission has consistently and emphatically condemned the practice by certain States of executing persons sentenced to death in violation of precautionary measures issued by it, including in instances where the Commission had before it a pending petition presenting allegations of due process or other violations in the prosecution that produced the sentence. </w:t>
      </w:r>
    </w:p>
    <w:p w14:paraId="472D8917" w14:textId="77777777" w:rsidR="00BA0255" w:rsidRPr="00256677" w:rsidRDefault="00BA0255" w:rsidP="00BA0255">
      <w:pPr>
        <w:pStyle w:val="ListParagraph"/>
        <w:tabs>
          <w:tab w:val="left" w:pos="360"/>
        </w:tabs>
        <w:rPr>
          <w:rFonts w:asciiTheme="majorHAnsi" w:hAnsiTheme="majorHAnsi"/>
          <w:sz w:val="20"/>
          <w:szCs w:val="20"/>
        </w:rPr>
      </w:pPr>
    </w:p>
    <w:p w14:paraId="38F1183D" w14:textId="77777777" w:rsidR="00BA0255" w:rsidRPr="00256677" w:rsidRDefault="00BA0255" w:rsidP="00BA02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rPr>
      </w:pPr>
      <w:r w:rsidRPr="00256677">
        <w:rPr>
          <w:rFonts w:asciiTheme="majorHAnsi" w:eastAsia="Cambria" w:hAnsiTheme="majorHAnsi" w:cs="Cambria"/>
          <w:sz w:val="20"/>
          <w:szCs w:val="20"/>
        </w:rPr>
        <w:t xml:space="preserve">The execution of the death sentence against Mr. Gray represents a failure on the part of the State to implement the precautionary measure. By permitting Mr. Gray’s execution to proceed in these circumstances, the Commission considers that the United States </w:t>
      </w:r>
      <w:r w:rsidR="0006434A" w:rsidRPr="00256677">
        <w:rPr>
          <w:rFonts w:asciiTheme="majorHAnsi" w:eastAsia="Cambria" w:hAnsiTheme="majorHAnsi" w:cs="Cambria"/>
          <w:sz w:val="20"/>
          <w:szCs w:val="20"/>
        </w:rPr>
        <w:t>violated Article</w:t>
      </w:r>
      <w:r w:rsidR="00F86F6E">
        <w:rPr>
          <w:rFonts w:asciiTheme="majorHAnsi" w:eastAsia="Cambria" w:hAnsiTheme="majorHAnsi" w:cs="Cambria"/>
          <w:sz w:val="20"/>
          <w:szCs w:val="20"/>
        </w:rPr>
        <w:t>s I and</w:t>
      </w:r>
      <w:r w:rsidR="0006434A" w:rsidRPr="00256677">
        <w:rPr>
          <w:rFonts w:asciiTheme="majorHAnsi" w:eastAsia="Cambria" w:hAnsiTheme="majorHAnsi" w:cs="Cambria"/>
          <w:sz w:val="20"/>
          <w:szCs w:val="20"/>
        </w:rPr>
        <w:t xml:space="preserve"> XXIV of the American Declaration and </w:t>
      </w:r>
      <w:r w:rsidRPr="00256677">
        <w:rPr>
          <w:rFonts w:asciiTheme="majorHAnsi" w:eastAsia="Cambria" w:hAnsiTheme="majorHAnsi" w:cs="Cambria"/>
          <w:sz w:val="20"/>
          <w:szCs w:val="20"/>
        </w:rPr>
        <w:t xml:space="preserve">failed to act in accordance with its fundamental human rights obligations as a member of the Organization of American States. </w:t>
      </w:r>
    </w:p>
    <w:p w14:paraId="143BB0AF" w14:textId="5E558A22" w:rsidR="00BA0255" w:rsidRDefault="00BA0255" w:rsidP="006C379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eastAsia="Times New Roman"/>
          <w:bCs/>
          <w:sz w:val="20"/>
          <w:szCs w:val="20"/>
          <w:bdr w:val="none" w:sz="0" w:space="0" w:color="auto"/>
        </w:rPr>
      </w:pPr>
    </w:p>
    <w:p w14:paraId="4D9553AA" w14:textId="55B75260" w:rsidR="00677E73" w:rsidRPr="00383EEB" w:rsidRDefault="00677E73" w:rsidP="00677E73">
      <w:pPr>
        <w:pStyle w:val="Heading1"/>
        <w:tabs>
          <w:tab w:val="left" w:pos="360"/>
        </w:tabs>
        <w:spacing w:before="0"/>
        <w:ind w:hanging="720"/>
        <w:rPr>
          <w:color w:val="auto"/>
          <w:sz w:val="20"/>
          <w:szCs w:val="20"/>
        </w:rPr>
      </w:pPr>
      <w:bookmarkStart w:id="19" w:name="_Toc45105400"/>
      <w:bookmarkStart w:id="20" w:name="_Toc47714178"/>
      <w:bookmarkStart w:id="21" w:name="_Toc87432711"/>
      <w:bookmarkStart w:id="22" w:name="_Toc87545226"/>
      <w:bookmarkStart w:id="23" w:name="_Toc90284148"/>
      <w:r w:rsidRPr="00383EEB">
        <w:rPr>
          <w:color w:val="auto"/>
          <w:sz w:val="20"/>
          <w:szCs w:val="20"/>
        </w:rPr>
        <w:t xml:space="preserve">REPORT No. </w:t>
      </w:r>
      <w:r w:rsidR="00755E74" w:rsidRPr="00383EEB">
        <w:rPr>
          <w:color w:val="auto"/>
          <w:sz w:val="20"/>
          <w:szCs w:val="20"/>
        </w:rPr>
        <w:t>241</w:t>
      </w:r>
      <w:r w:rsidRPr="00383EEB">
        <w:rPr>
          <w:color w:val="auto"/>
          <w:sz w:val="20"/>
          <w:szCs w:val="20"/>
        </w:rPr>
        <w:t>/</w:t>
      </w:r>
      <w:r w:rsidR="00755E74" w:rsidRPr="00383EEB">
        <w:rPr>
          <w:color w:val="auto"/>
          <w:sz w:val="20"/>
          <w:szCs w:val="20"/>
        </w:rPr>
        <w:t>19</w:t>
      </w:r>
      <w:r w:rsidRPr="00383EEB">
        <w:rPr>
          <w:color w:val="auto"/>
          <w:sz w:val="20"/>
          <w:szCs w:val="20"/>
        </w:rPr>
        <w:t xml:space="preserve"> AND INFORMATION ABOUT COMPLIANCE</w:t>
      </w:r>
      <w:bookmarkEnd w:id="19"/>
      <w:bookmarkEnd w:id="20"/>
      <w:bookmarkEnd w:id="21"/>
      <w:bookmarkEnd w:id="22"/>
      <w:bookmarkEnd w:id="23"/>
    </w:p>
    <w:p w14:paraId="74B77978" w14:textId="77777777" w:rsidR="00677E73" w:rsidRPr="00383EEB" w:rsidRDefault="00677E73" w:rsidP="00677E73">
      <w:pPr>
        <w:rPr>
          <w:rFonts w:asciiTheme="majorHAnsi" w:hAnsiTheme="majorHAnsi"/>
          <w:sz w:val="20"/>
          <w:szCs w:val="20"/>
        </w:rPr>
      </w:pPr>
    </w:p>
    <w:p w14:paraId="3DBBF332" w14:textId="14CE8764" w:rsidR="00677E73" w:rsidRPr="00383EEB" w:rsidRDefault="00677E73" w:rsidP="00677E7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540"/>
        </w:tabs>
        <w:autoSpaceDE w:val="0"/>
        <w:autoSpaceDN w:val="0"/>
        <w:adjustRightInd w:val="0"/>
        <w:ind w:left="0" w:firstLine="0"/>
        <w:jc w:val="both"/>
        <w:rPr>
          <w:rFonts w:asciiTheme="majorHAnsi" w:hAnsiTheme="majorHAnsi"/>
          <w:sz w:val="20"/>
          <w:szCs w:val="20"/>
        </w:rPr>
      </w:pPr>
      <w:r w:rsidRPr="00383EEB">
        <w:rPr>
          <w:rFonts w:asciiTheme="majorHAnsi" w:hAnsiTheme="majorHAnsi"/>
          <w:sz w:val="20"/>
          <w:szCs w:val="20"/>
        </w:rPr>
        <w:t xml:space="preserve">On </w:t>
      </w:r>
      <w:r w:rsidR="00755E74" w:rsidRPr="00383EEB">
        <w:rPr>
          <w:rFonts w:asciiTheme="majorHAnsi" w:hAnsiTheme="majorHAnsi"/>
          <w:sz w:val="20"/>
          <w:szCs w:val="20"/>
        </w:rPr>
        <w:t>Decem</w:t>
      </w:r>
      <w:r w:rsidRPr="00383EEB">
        <w:rPr>
          <w:rFonts w:asciiTheme="majorHAnsi" w:hAnsiTheme="majorHAnsi"/>
          <w:sz w:val="20"/>
          <w:szCs w:val="20"/>
        </w:rPr>
        <w:t xml:space="preserve">ber </w:t>
      </w:r>
      <w:r w:rsidR="00755E74" w:rsidRPr="00383EEB">
        <w:rPr>
          <w:rFonts w:asciiTheme="majorHAnsi" w:hAnsiTheme="majorHAnsi"/>
          <w:sz w:val="20"/>
          <w:szCs w:val="20"/>
        </w:rPr>
        <w:t>6</w:t>
      </w:r>
      <w:r w:rsidRPr="00383EEB">
        <w:rPr>
          <w:rFonts w:asciiTheme="majorHAnsi" w:hAnsiTheme="majorHAnsi"/>
          <w:sz w:val="20"/>
          <w:szCs w:val="20"/>
        </w:rPr>
        <w:t>, 20</w:t>
      </w:r>
      <w:r w:rsidR="00755E74" w:rsidRPr="00383EEB">
        <w:rPr>
          <w:rFonts w:asciiTheme="majorHAnsi" w:hAnsiTheme="majorHAnsi"/>
          <w:sz w:val="20"/>
          <w:szCs w:val="20"/>
        </w:rPr>
        <w:t>19</w:t>
      </w:r>
      <w:r w:rsidRPr="00383EEB">
        <w:rPr>
          <w:rFonts w:asciiTheme="majorHAnsi" w:hAnsiTheme="majorHAnsi"/>
          <w:sz w:val="20"/>
          <w:szCs w:val="20"/>
        </w:rPr>
        <w:t xml:space="preserve">, the Commission approved Report No. </w:t>
      </w:r>
      <w:r w:rsidR="00755E74" w:rsidRPr="00383EEB">
        <w:rPr>
          <w:rFonts w:asciiTheme="majorHAnsi" w:hAnsiTheme="majorHAnsi"/>
          <w:sz w:val="20"/>
          <w:szCs w:val="20"/>
        </w:rPr>
        <w:t>241</w:t>
      </w:r>
      <w:r w:rsidRPr="00383EEB">
        <w:rPr>
          <w:rFonts w:asciiTheme="majorHAnsi" w:hAnsiTheme="majorHAnsi"/>
          <w:sz w:val="20"/>
          <w:szCs w:val="20"/>
        </w:rPr>
        <w:t>/</w:t>
      </w:r>
      <w:r w:rsidR="00755E74" w:rsidRPr="00383EEB">
        <w:rPr>
          <w:rFonts w:asciiTheme="majorHAnsi" w:hAnsiTheme="majorHAnsi"/>
          <w:sz w:val="20"/>
          <w:szCs w:val="20"/>
        </w:rPr>
        <w:t>19</w:t>
      </w:r>
      <w:r w:rsidRPr="00383EEB">
        <w:rPr>
          <w:rFonts w:asciiTheme="majorHAnsi" w:hAnsiTheme="majorHAnsi"/>
          <w:sz w:val="20"/>
          <w:szCs w:val="20"/>
        </w:rPr>
        <w:t xml:space="preserve"> on the merits of the instant case, which encompasses paragraphs 1 to </w:t>
      </w:r>
      <w:r w:rsidR="00755E74" w:rsidRPr="00383EEB">
        <w:rPr>
          <w:rFonts w:asciiTheme="majorHAnsi" w:hAnsiTheme="majorHAnsi"/>
          <w:sz w:val="20"/>
          <w:szCs w:val="20"/>
        </w:rPr>
        <w:t>72</w:t>
      </w:r>
      <w:r w:rsidRPr="00383EEB">
        <w:rPr>
          <w:rFonts w:asciiTheme="majorHAnsi" w:hAnsiTheme="majorHAnsi"/>
          <w:sz w:val="20"/>
          <w:szCs w:val="20"/>
        </w:rPr>
        <w:t xml:space="preserve"> supra, and issued the following recommendations to the State: </w:t>
      </w:r>
    </w:p>
    <w:p w14:paraId="12A135B0" w14:textId="77777777" w:rsidR="00677E73" w:rsidRDefault="00677E73" w:rsidP="006C379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eastAsia="Times New Roman"/>
          <w:bCs/>
          <w:sz w:val="20"/>
          <w:szCs w:val="20"/>
          <w:bdr w:val="none" w:sz="0" w:space="0" w:color="auto"/>
        </w:rPr>
      </w:pPr>
    </w:p>
    <w:p w14:paraId="2A2BC349" w14:textId="77777777" w:rsidR="00677E73" w:rsidRPr="00F86F6E" w:rsidRDefault="00677E73" w:rsidP="00677E7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720" w:hanging="360"/>
        <w:jc w:val="both"/>
        <w:rPr>
          <w:rFonts w:eastAsia="Times New Roman" w:cs="Tahoma"/>
          <w:sz w:val="20"/>
          <w:szCs w:val="20"/>
          <w:bdr w:val="none" w:sz="0" w:space="0" w:color="auto"/>
        </w:rPr>
      </w:pPr>
      <w:r w:rsidRPr="00256677">
        <w:rPr>
          <w:rFonts w:asciiTheme="majorHAnsi" w:hAnsiTheme="majorHAnsi"/>
          <w:sz w:val="20"/>
          <w:szCs w:val="20"/>
        </w:rPr>
        <w:t>Provide reparations to the family of Marlin Gray as a consequence of the violations established in this report</w:t>
      </w:r>
      <w:r>
        <w:rPr>
          <w:rFonts w:asciiTheme="majorHAnsi" w:hAnsiTheme="majorHAnsi"/>
          <w:sz w:val="20"/>
          <w:szCs w:val="20"/>
        </w:rPr>
        <w:t xml:space="preserve">, including the </w:t>
      </w:r>
      <w:r w:rsidRPr="00F86F6E">
        <w:rPr>
          <w:rFonts w:eastAsia="Times New Roman" w:cs="Tahoma"/>
          <w:sz w:val="20"/>
          <w:szCs w:val="20"/>
          <w:bdr w:val="none" w:sz="0" w:space="0" w:color="auto"/>
        </w:rPr>
        <w:t>pay</w:t>
      </w:r>
      <w:r>
        <w:rPr>
          <w:rFonts w:eastAsia="Times New Roman" w:cs="Tahoma"/>
          <w:sz w:val="20"/>
          <w:szCs w:val="20"/>
          <w:bdr w:val="none" w:sz="0" w:space="0" w:color="auto"/>
        </w:rPr>
        <w:t>ment of pecuniary compensation</w:t>
      </w:r>
      <w:r w:rsidRPr="00F86F6E">
        <w:rPr>
          <w:rFonts w:eastAsia="Times New Roman" w:cs="Tahoma"/>
          <w:sz w:val="20"/>
          <w:szCs w:val="20"/>
          <w:bdr w:val="none" w:sz="0" w:space="0" w:color="auto"/>
        </w:rPr>
        <w:t>.</w:t>
      </w:r>
    </w:p>
    <w:p w14:paraId="6BEF9657" w14:textId="77777777" w:rsidR="00677E73" w:rsidRPr="00256677" w:rsidRDefault="00677E73" w:rsidP="00677E73">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rPr>
      </w:pPr>
    </w:p>
    <w:p w14:paraId="61678B1A" w14:textId="77777777" w:rsidR="00677E73" w:rsidRPr="00256677" w:rsidRDefault="00677E73" w:rsidP="00677E7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720" w:hanging="360"/>
        <w:jc w:val="both"/>
        <w:rPr>
          <w:rFonts w:eastAsia="Times New Roman" w:cs="Tahoma"/>
          <w:sz w:val="20"/>
          <w:szCs w:val="20"/>
          <w:bdr w:val="none" w:sz="0" w:space="0" w:color="auto"/>
        </w:rPr>
      </w:pPr>
      <w:r w:rsidRPr="00256677">
        <w:rPr>
          <w:rFonts w:asciiTheme="majorHAnsi" w:hAnsiTheme="majorHAnsi" w:cs="Calibri"/>
          <w:sz w:val="20"/>
          <w:szCs w:val="20"/>
        </w:rPr>
        <w:t>Ensure compliance with the precautionary measures granted by the IACHR for persons facing the death penalty</w:t>
      </w:r>
      <w:r w:rsidRPr="00256677">
        <w:rPr>
          <w:sz w:val="20"/>
          <w:szCs w:val="20"/>
        </w:rPr>
        <w:t>.</w:t>
      </w:r>
    </w:p>
    <w:p w14:paraId="5C505C41" w14:textId="77777777" w:rsidR="00677E73" w:rsidRPr="00256677" w:rsidRDefault="00677E73" w:rsidP="00677E73">
      <w:pPr>
        <w:pStyle w:val="ListParagraph"/>
        <w:rPr>
          <w:rFonts w:asciiTheme="majorHAnsi" w:hAnsiTheme="majorHAnsi"/>
          <w:sz w:val="20"/>
        </w:rPr>
      </w:pPr>
    </w:p>
    <w:p w14:paraId="7C71A400" w14:textId="40979777" w:rsidR="00677E73" w:rsidRPr="00677E73" w:rsidRDefault="00677E73" w:rsidP="00677E7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720" w:hanging="360"/>
        <w:jc w:val="both"/>
        <w:rPr>
          <w:rFonts w:eastAsia="Times New Roman" w:cs="Tahoma"/>
          <w:sz w:val="20"/>
          <w:szCs w:val="20"/>
          <w:bdr w:val="none" w:sz="0" w:space="0" w:color="auto"/>
        </w:rPr>
      </w:pPr>
      <w:r w:rsidRPr="00256677">
        <w:rPr>
          <w:rFonts w:asciiTheme="majorHAnsi" w:hAnsiTheme="majorHAnsi"/>
          <w:sz w:val="20"/>
        </w:rPr>
        <w:t>Given the violations of the American Declaration the IACHR has established in the present</w:t>
      </w:r>
      <w:r w:rsidRPr="00256677">
        <w:rPr>
          <w:sz w:val="20"/>
        </w:rPr>
        <w:t xml:space="preserve"> case and in others involving application of the death penalty, the Inter-American Commission also recommends to the United States that it adopt a moratorium on executions of persons sentenced to death.</w:t>
      </w:r>
      <w:r w:rsidRPr="00256677">
        <w:rPr>
          <w:rStyle w:val="FootnoteReference"/>
          <w:sz w:val="20"/>
        </w:rPr>
        <w:footnoteReference w:id="77"/>
      </w:r>
    </w:p>
    <w:p w14:paraId="131510A2" w14:textId="77777777" w:rsidR="00677E73" w:rsidRDefault="00677E73" w:rsidP="00677E73">
      <w:pPr>
        <w:tabs>
          <w:tab w:val="center" w:pos="5400"/>
        </w:tabs>
        <w:suppressAutoHyphens/>
        <w:spacing w:line="276" w:lineRule="auto"/>
        <w:ind w:left="360" w:hanging="360"/>
        <w:rPr>
          <w:rFonts w:asciiTheme="majorHAnsi" w:hAnsiTheme="majorHAnsi"/>
          <w:sz w:val="20"/>
          <w:szCs w:val="20"/>
        </w:rPr>
      </w:pPr>
    </w:p>
    <w:p w14:paraId="7F4B07A8" w14:textId="3066C5DD" w:rsidR="00677E73" w:rsidRPr="00383EEB" w:rsidRDefault="00677E73" w:rsidP="00383EE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540"/>
        </w:tabs>
        <w:autoSpaceDE w:val="0"/>
        <w:autoSpaceDN w:val="0"/>
        <w:adjustRightInd w:val="0"/>
        <w:ind w:left="0" w:firstLine="0"/>
        <w:jc w:val="both"/>
        <w:rPr>
          <w:sz w:val="20"/>
          <w:szCs w:val="20"/>
        </w:rPr>
      </w:pPr>
      <w:r w:rsidRPr="00383EEB">
        <w:rPr>
          <w:rFonts w:asciiTheme="majorHAnsi" w:hAnsiTheme="majorHAnsi"/>
          <w:sz w:val="20"/>
          <w:szCs w:val="20"/>
        </w:rPr>
        <w:t>On</w:t>
      </w:r>
      <w:r w:rsidRPr="00383EEB">
        <w:rPr>
          <w:sz w:val="20"/>
          <w:szCs w:val="20"/>
        </w:rPr>
        <w:t xml:space="preserve"> </w:t>
      </w:r>
      <w:r w:rsidR="002C53A9" w:rsidRPr="00383EEB">
        <w:rPr>
          <w:sz w:val="20"/>
          <w:szCs w:val="20"/>
        </w:rPr>
        <w:t>February</w:t>
      </w:r>
      <w:r w:rsidRPr="00383EEB">
        <w:rPr>
          <w:sz w:val="20"/>
          <w:szCs w:val="20"/>
        </w:rPr>
        <w:t xml:space="preserve"> </w:t>
      </w:r>
      <w:r w:rsidR="002C53A9" w:rsidRPr="00383EEB">
        <w:rPr>
          <w:sz w:val="20"/>
          <w:szCs w:val="20"/>
        </w:rPr>
        <w:t>20</w:t>
      </w:r>
      <w:r w:rsidRPr="00383EEB">
        <w:rPr>
          <w:sz w:val="20"/>
          <w:szCs w:val="20"/>
        </w:rPr>
        <w:t xml:space="preserve">, 2020 the IACHR transmitted the report to the State with a time period of two months to inform the Commission on the measures taken to comply with its recommendations. To date, the Commission has not received any response from the United States regarding report No. </w:t>
      </w:r>
      <w:r w:rsidR="002C53A9" w:rsidRPr="00383EEB">
        <w:rPr>
          <w:sz w:val="20"/>
          <w:szCs w:val="20"/>
        </w:rPr>
        <w:t>241</w:t>
      </w:r>
      <w:r w:rsidRPr="00383EEB">
        <w:rPr>
          <w:sz w:val="20"/>
          <w:szCs w:val="20"/>
        </w:rPr>
        <w:t>/</w:t>
      </w:r>
      <w:r w:rsidR="002C53A9" w:rsidRPr="00383EEB">
        <w:rPr>
          <w:sz w:val="20"/>
          <w:szCs w:val="20"/>
        </w:rPr>
        <w:t>19</w:t>
      </w:r>
      <w:r w:rsidRPr="00383EEB">
        <w:rPr>
          <w:sz w:val="20"/>
          <w:szCs w:val="20"/>
        </w:rPr>
        <w:t>.</w:t>
      </w:r>
    </w:p>
    <w:p w14:paraId="3AB4BCB7" w14:textId="77777777" w:rsidR="00383EEB" w:rsidRPr="00B645F5" w:rsidRDefault="00383EEB" w:rsidP="00383EEB">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60"/>
        </w:tabs>
        <w:jc w:val="both"/>
        <w:rPr>
          <w:rFonts w:asciiTheme="majorHAnsi" w:hAnsiTheme="majorHAnsi"/>
          <w:color w:val="000000" w:themeColor="text1"/>
          <w:sz w:val="20"/>
          <w:szCs w:val="20"/>
        </w:rPr>
      </w:pPr>
    </w:p>
    <w:p w14:paraId="42B89E9C" w14:textId="24E11C6C" w:rsidR="00383EEB" w:rsidRPr="00213A12" w:rsidRDefault="00383EEB" w:rsidP="00383EEB">
      <w:pPr>
        <w:pStyle w:val="Heading1"/>
        <w:spacing w:before="0"/>
        <w:ind w:hanging="720"/>
        <w:rPr>
          <w:color w:val="auto"/>
          <w:sz w:val="20"/>
          <w:szCs w:val="20"/>
        </w:rPr>
      </w:pPr>
      <w:bookmarkStart w:id="24" w:name="_Toc26550943"/>
      <w:bookmarkStart w:id="25" w:name="_Toc87522016"/>
      <w:bookmarkStart w:id="26" w:name="_Toc90115136"/>
      <w:bookmarkStart w:id="27" w:name="_Toc90283315"/>
      <w:bookmarkStart w:id="28" w:name="_Toc90284149"/>
      <w:r w:rsidRPr="00213A12">
        <w:rPr>
          <w:color w:val="auto"/>
          <w:sz w:val="20"/>
          <w:szCs w:val="20"/>
        </w:rPr>
        <w:t>ACTIONS SUBSEQUENT TO REPORT No. 327/</w:t>
      </w:r>
      <w:bookmarkEnd w:id="24"/>
      <w:r w:rsidRPr="00213A12">
        <w:rPr>
          <w:color w:val="auto"/>
          <w:sz w:val="20"/>
          <w:szCs w:val="20"/>
        </w:rPr>
        <w:t>2</w:t>
      </w:r>
      <w:bookmarkEnd w:id="25"/>
      <w:r w:rsidRPr="00213A12">
        <w:rPr>
          <w:color w:val="auto"/>
          <w:sz w:val="20"/>
          <w:szCs w:val="20"/>
        </w:rPr>
        <w:t>1</w:t>
      </w:r>
      <w:bookmarkEnd w:id="26"/>
      <w:bookmarkEnd w:id="27"/>
      <w:bookmarkEnd w:id="28"/>
    </w:p>
    <w:p w14:paraId="3FA99040" w14:textId="77777777" w:rsidR="00383EEB" w:rsidRPr="00213A12" w:rsidRDefault="00383EEB" w:rsidP="00383EEB">
      <w:pPr>
        <w:rPr>
          <w:sz w:val="20"/>
          <w:szCs w:val="20"/>
        </w:rPr>
      </w:pPr>
    </w:p>
    <w:p w14:paraId="670FCF53" w14:textId="5016F9C3" w:rsidR="00383EEB" w:rsidRPr="00213A12" w:rsidRDefault="00383EEB" w:rsidP="00383EE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540"/>
          <w:tab w:val="num" w:pos="720"/>
          <w:tab w:val="left" w:pos="1440"/>
        </w:tabs>
        <w:ind w:left="0" w:firstLine="0"/>
        <w:jc w:val="both"/>
        <w:rPr>
          <w:sz w:val="20"/>
          <w:szCs w:val="20"/>
        </w:rPr>
      </w:pPr>
      <w:r w:rsidRPr="00213A12">
        <w:rPr>
          <w:sz w:val="20"/>
          <w:szCs w:val="20"/>
        </w:rPr>
        <w:t>On</w:t>
      </w:r>
      <w:r w:rsidRPr="00213A12">
        <w:rPr>
          <w:rFonts w:ascii="Cambria" w:hAnsi="Cambria"/>
          <w:sz w:val="20"/>
          <w:szCs w:val="20"/>
        </w:rPr>
        <w:t xml:space="preserve"> November 19, 2021, the Commission approved Final Merits Report No. 327/21, which encompasses paragraphs 1 to 74 </w:t>
      </w:r>
      <w:r w:rsidRPr="00213A12">
        <w:rPr>
          <w:rFonts w:ascii="Cambria" w:hAnsi="Cambria"/>
          <w:i/>
          <w:sz w:val="20"/>
          <w:szCs w:val="20"/>
        </w:rPr>
        <w:t>supra</w:t>
      </w:r>
      <w:r w:rsidRPr="00213A12">
        <w:rPr>
          <w:rFonts w:ascii="Cambria" w:hAnsi="Cambria"/>
          <w:sz w:val="20"/>
          <w:szCs w:val="20"/>
        </w:rPr>
        <w:t>, and issued its final conclusions and recommendations to the State. On November 30, 2021, the Commission transmitted the report to the State and the petitioners with a time period of three weeks to inform the Inter-American Commission on the measures taken to comply with its recommendations. To date, the IACHR has not received any response from the United States or the petitioners regarding Report No. 327/21.</w:t>
      </w:r>
    </w:p>
    <w:p w14:paraId="7ACD8D5A" w14:textId="77777777" w:rsidR="00383EEB" w:rsidRPr="00256677" w:rsidRDefault="00383EEB" w:rsidP="006C379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eastAsia="Times New Roman"/>
          <w:bCs/>
          <w:sz w:val="20"/>
          <w:szCs w:val="20"/>
          <w:bdr w:val="none" w:sz="0" w:space="0" w:color="auto"/>
        </w:rPr>
      </w:pPr>
    </w:p>
    <w:p w14:paraId="50F5D8DA" w14:textId="7C37D468" w:rsidR="001C4006" w:rsidRPr="00256677" w:rsidRDefault="00677E73" w:rsidP="009D0D81">
      <w:pPr>
        <w:pStyle w:val="Heading1"/>
        <w:spacing w:before="0"/>
        <w:ind w:left="360"/>
        <w:rPr>
          <w:color w:val="auto"/>
          <w:sz w:val="20"/>
          <w:szCs w:val="20"/>
        </w:rPr>
      </w:pPr>
      <w:bookmarkStart w:id="29" w:name="_Toc90284150"/>
      <w:r w:rsidRPr="00383EEB">
        <w:rPr>
          <w:color w:val="auto"/>
          <w:sz w:val="20"/>
          <w:szCs w:val="20"/>
        </w:rPr>
        <w:t>FINAL</w:t>
      </w:r>
      <w:r>
        <w:rPr>
          <w:color w:val="auto"/>
          <w:sz w:val="20"/>
          <w:szCs w:val="20"/>
        </w:rPr>
        <w:t xml:space="preserve"> </w:t>
      </w:r>
      <w:r w:rsidR="001C4006" w:rsidRPr="00256677">
        <w:rPr>
          <w:color w:val="auto"/>
          <w:sz w:val="20"/>
          <w:szCs w:val="20"/>
        </w:rPr>
        <w:t>CONCLUSIONS AND RECOMMENDATIONS</w:t>
      </w:r>
      <w:bookmarkEnd w:id="29"/>
    </w:p>
    <w:p w14:paraId="028D14A4" w14:textId="77777777" w:rsidR="00576D19" w:rsidRPr="00256677" w:rsidRDefault="00576D19" w:rsidP="00576D19">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s>
        <w:jc w:val="both"/>
        <w:rPr>
          <w:rFonts w:asciiTheme="majorHAnsi" w:hAnsiTheme="majorHAnsi"/>
          <w:b/>
          <w:sz w:val="20"/>
          <w:szCs w:val="20"/>
        </w:rPr>
      </w:pPr>
    </w:p>
    <w:p w14:paraId="14B22981" w14:textId="6E2E6629" w:rsidR="00E25AE9" w:rsidRPr="00677E73" w:rsidRDefault="00F1763D" w:rsidP="00677E7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rPr>
      </w:pPr>
      <w:r w:rsidRPr="00256677">
        <w:rPr>
          <w:rFonts w:asciiTheme="majorHAnsi" w:hAnsiTheme="majorHAnsi"/>
          <w:color w:val="000000" w:themeColor="text1"/>
          <w:sz w:val="20"/>
          <w:szCs w:val="20"/>
        </w:rPr>
        <w:t>On the basis of determinations of fact and law, the Inter-American Commission conclude</w:t>
      </w:r>
      <w:r w:rsidR="00D80440" w:rsidRPr="00256677">
        <w:rPr>
          <w:rFonts w:asciiTheme="majorHAnsi" w:hAnsiTheme="majorHAnsi"/>
          <w:color w:val="000000" w:themeColor="text1"/>
          <w:sz w:val="20"/>
          <w:szCs w:val="20"/>
        </w:rPr>
        <w:t>s</w:t>
      </w:r>
      <w:r w:rsidRPr="00256677">
        <w:rPr>
          <w:rFonts w:asciiTheme="majorHAnsi" w:hAnsiTheme="majorHAnsi"/>
          <w:color w:val="000000" w:themeColor="text1"/>
          <w:sz w:val="20"/>
          <w:szCs w:val="20"/>
        </w:rPr>
        <w:t xml:space="preserve"> that the State is responsible for the violation of Articles </w:t>
      </w:r>
      <w:r w:rsidR="000C4902" w:rsidRPr="00256677">
        <w:rPr>
          <w:rFonts w:asciiTheme="majorHAnsi" w:hAnsiTheme="majorHAnsi"/>
          <w:color w:val="000000" w:themeColor="text1"/>
          <w:sz w:val="20"/>
          <w:szCs w:val="20"/>
        </w:rPr>
        <w:t xml:space="preserve">I (life), </w:t>
      </w:r>
      <w:r w:rsidR="00A147AE" w:rsidRPr="00256677">
        <w:rPr>
          <w:rFonts w:asciiTheme="majorHAnsi" w:hAnsiTheme="majorHAnsi"/>
          <w:color w:val="000000" w:themeColor="text1"/>
          <w:sz w:val="20"/>
          <w:szCs w:val="20"/>
        </w:rPr>
        <w:t>XXIV (petition),</w:t>
      </w:r>
      <w:r w:rsidR="008A4398" w:rsidRPr="00256677">
        <w:rPr>
          <w:rFonts w:asciiTheme="majorHAnsi" w:hAnsiTheme="majorHAnsi"/>
          <w:color w:val="000000" w:themeColor="text1"/>
          <w:sz w:val="20"/>
          <w:szCs w:val="20"/>
        </w:rPr>
        <w:t xml:space="preserve"> </w:t>
      </w:r>
      <w:r w:rsidR="000550C0" w:rsidRPr="00256677">
        <w:rPr>
          <w:rFonts w:asciiTheme="majorHAnsi" w:hAnsiTheme="majorHAnsi"/>
          <w:color w:val="000000" w:themeColor="text1"/>
          <w:sz w:val="20"/>
          <w:szCs w:val="20"/>
        </w:rPr>
        <w:t>XXV (</w:t>
      </w:r>
      <w:r w:rsidR="00DC4839" w:rsidRPr="00256677">
        <w:rPr>
          <w:rFonts w:asciiTheme="majorHAnsi" w:hAnsiTheme="majorHAnsi"/>
          <w:color w:val="000000" w:themeColor="text1"/>
          <w:sz w:val="20"/>
          <w:szCs w:val="20"/>
        </w:rPr>
        <w:t>protection from arbitrary detention</w:t>
      </w:r>
      <w:r w:rsidR="00985A4B" w:rsidRPr="00256677">
        <w:rPr>
          <w:rFonts w:asciiTheme="majorHAnsi" w:hAnsiTheme="majorHAnsi"/>
          <w:color w:val="000000" w:themeColor="text1"/>
          <w:sz w:val="20"/>
          <w:szCs w:val="20"/>
        </w:rPr>
        <w:t>)</w:t>
      </w:r>
      <w:r w:rsidR="008A4398" w:rsidRPr="00256677">
        <w:rPr>
          <w:rFonts w:asciiTheme="majorHAnsi" w:hAnsiTheme="majorHAnsi"/>
          <w:color w:val="000000" w:themeColor="text1"/>
          <w:sz w:val="20"/>
          <w:szCs w:val="20"/>
        </w:rPr>
        <w:t xml:space="preserve"> </w:t>
      </w:r>
      <w:r w:rsidR="00A147AE" w:rsidRPr="00256677">
        <w:rPr>
          <w:rFonts w:asciiTheme="majorHAnsi" w:hAnsiTheme="majorHAnsi"/>
          <w:color w:val="000000" w:themeColor="text1"/>
          <w:sz w:val="20"/>
          <w:szCs w:val="20"/>
        </w:rPr>
        <w:t xml:space="preserve">and XXVI (due process of law) </w:t>
      </w:r>
      <w:r w:rsidRPr="00256677">
        <w:rPr>
          <w:rFonts w:asciiTheme="majorHAnsi" w:hAnsiTheme="majorHAnsi"/>
          <w:color w:val="000000" w:themeColor="text1"/>
          <w:sz w:val="20"/>
          <w:szCs w:val="20"/>
        </w:rPr>
        <w:t xml:space="preserve">of the American Declaration. </w:t>
      </w:r>
    </w:p>
    <w:p w14:paraId="11EEFBBA" w14:textId="77777777" w:rsidR="00BA7984" w:rsidRPr="00256677" w:rsidRDefault="00BA7984" w:rsidP="00085F65">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jc w:val="both"/>
        <w:rPr>
          <w:rFonts w:ascii="Cambria" w:hAnsi="Cambria"/>
          <w:sz w:val="20"/>
          <w:szCs w:val="20"/>
        </w:rPr>
      </w:pPr>
    </w:p>
    <w:p w14:paraId="183BDB73" w14:textId="74710728" w:rsidR="001C4006" w:rsidRPr="00256677" w:rsidRDefault="001C4006" w:rsidP="004003A5">
      <w:pPr>
        <w:jc w:val="center"/>
        <w:rPr>
          <w:rFonts w:ascii="Cambria" w:hAnsi="Cambria"/>
          <w:b/>
          <w:sz w:val="20"/>
          <w:szCs w:val="20"/>
        </w:rPr>
      </w:pPr>
      <w:r w:rsidRPr="00256677">
        <w:rPr>
          <w:rFonts w:ascii="Cambria" w:hAnsi="Cambria"/>
          <w:b/>
          <w:sz w:val="20"/>
          <w:szCs w:val="20"/>
        </w:rPr>
        <w:t xml:space="preserve">THE INTER-AMERICAN COMMISSION ON HUMAN RIGHTS </w:t>
      </w:r>
      <w:r w:rsidRPr="00383EEB">
        <w:rPr>
          <w:rFonts w:ascii="Cambria" w:hAnsi="Cambria"/>
          <w:b/>
          <w:sz w:val="20"/>
          <w:szCs w:val="20"/>
        </w:rPr>
        <w:t>RE</w:t>
      </w:r>
      <w:r w:rsidR="00677E73" w:rsidRPr="00383EEB">
        <w:rPr>
          <w:rFonts w:ascii="Cambria" w:hAnsi="Cambria"/>
          <w:b/>
          <w:sz w:val="20"/>
          <w:szCs w:val="20"/>
        </w:rPr>
        <w:t>ITERATES</w:t>
      </w:r>
      <w:r w:rsidRPr="00256677">
        <w:rPr>
          <w:rFonts w:ascii="Cambria" w:hAnsi="Cambria"/>
          <w:b/>
          <w:sz w:val="20"/>
          <w:szCs w:val="20"/>
        </w:rPr>
        <w:t xml:space="preserve"> THAT THE </w:t>
      </w:r>
      <w:r w:rsidR="002E432F" w:rsidRPr="00256677">
        <w:rPr>
          <w:rFonts w:ascii="Cambria" w:hAnsi="Cambria"/>
          <w:b/>
          <w:sz w:val="20"/>
          <w:szCs w:val="20"/>
        </w:rPr>
        <w:t xml:space="preserve">UNITED </w:t>
      </w:r>
      <w:r w:rsidRPr="00256677">
        <w:rPr>
          <w:rFonts w:ascii="Cambria" w:hAnsi="Cambria"/>
          <w:b/>
          <w:sz w:val="20"/>
          <w:szCs w:val="20"/>
        </w:rPr>
        <w:t>STATE</w:t>
      </w:r>
      <w:r w:rsidR="002E432F" w:rsidRPr="00256677">
        <w:rPr>
          <w:rFonts w:ascii="Cambria" w:hAnsi="Cambria"/>
          <w:b/>
          <w:sz w:val="20"/>
          <w:szCs w:val="20"/>
        </w:rPr>
        <w:t>S</w:t>
      </w:r>
      <w:r w:rsidRPr="00256677">
        <w:rPr>
          <w:rFonts w:ascii="Cambria" w:hAnsi="Cambria"/>
          <w:b/>
          <w:sz w:val="20"/>
          <w:szCs w:val="20"/>
        </w:rPr>
        <w:t xml:space="preserve"> OF</w:t>
      </w:r>
      <w:r w:rsidR="002E432F" w:rsidRPr="00256677">
        <w:rPr>
          <w:rFonts w:ascii="Cambria" w:hAnsi="Cambria"/>
          <w:b/>
          <w:sz w:val="20"/>
          <w:szCs w:val="20"/>
        </w:rPr>
        <w:t xml:space="preserve"> AMERICA</w:t>
      </w:r>
      <w:r w:rsidRPr="00256677">
        <w:rPr>
          <w:rFonts w:ascii="Cambria" w:hAnsi="Cambria"/>
          <w:b/>
          <w:sz w:val="20"/>
          <w:szCs w:val="20"/>
        </w:rPr>
        <w:t>,</w:t>
      </w:r>
    </w:p>
    <w:p w14:paraId="4B5E8C30" w14:textId="77777777" w:rsidR="001C4006" w:rsidRPr="00256677" w:rsidRDefault="001C4006" w:rsidP="001C4006">
      <w:pPr>
        <w:ind w:firstLine="720"/>
        <w:jc w:val="both"/>
        <w:rPr>
          <w:rFonts w:ascii="Cambria" w:hAnsi="Cambria"/>
          <w:b/>
          <w:sz w:val="20"/>
          <w:szCs w:val="20"/>
        </w:rPr>
      </w:pPr>
    </w:p>
    <w:p w14:paraId="0534FD3C" w14:textId="4BFCB138" w:rsidR="00F86F6E" w:rsidRPr="00F86F6E" w:rsidRDefault="00FE022B" w:rsidP="002C53A9">
      <w:pPr>
        <w:pStyle w:val="ListParagraph"/>
        <w:numPr>
          <w:ilvl w:val="1"/>
          <w:numId w:val="53"/>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cs="Tahoma"/>
          <w:sz w:val="20"/>
          <w:szCs w:val="20"/>
          <w:bdr w:val="none" w:sz="0" w:space="0" w:color="auto"/>
        </w:rPr>
      </w:pPr>
      <w:r w:rsidRPr="00256677">
        <w:rPr>
          <w:rFonts w:asciiTheme="majorHAnsi" w:hAnsiTheme="majorHAnsi"/>
          <w:sz w:val="20"/>
          <w:szCs w:val="20"/>
        </w:rPr>
        <w:t xml:space="preserve">Provide reparations to the family of </w:t>
      </w:r>
      <w:r w:rsidR="00AF264B" w:rsidRPr="00256677">
        <w:rPr>
          <w:rFonts w:asciiTheme="majorHAnsi" w:hAnsiTheme="majorHAnsi"/>
          <w:sz w:val="20"/>
          <w:szCs w:val="20"/>
        </w:rPr>
        <w:t>Marlin Gray</w:t>
      </w:r>
      <w:r w:rsidRPr="00256677">
        <w:rPr>
          <w:rFonts w:asciiTheme="majorHAnsi" w:hAnsiTheme="majorHAnsi"/>
          <w:sz w:val="20"/>
          <w:szCs w:val="20"/>
        </w:rPr>
        <w:t xml:space="preserve"> as a consequence of the violations established in this report</w:t>
      </w:r>
      <w:r w:rsidR="00F86F6E">
        <w:rPr>
          <w:rFonts w:asciiTheme="majorHAnsi" w:hAnsiTheme="majorHAnsi"/>
          <w:sz w:val="20"/>
          <w:szCs w:val="20"/>
        </w:rPr>
        <w:t xml:space="preserve">, including the </w:t>
      </w:r>
      <w:r w:rsidR="00F86F6E" w:rsidRPr="00F86F6E">
        <w:rPr>
          <w:rFonts w:eastAsia="Times New Roman" w:cs="Tahoma"/>
          <w:sz w:val="20"/>
          <w:szCs w:val="20"/>
          <w:bdr w:val="none" w:sz="0" w:space="0" w:color="auto"/>
        </w:rPr>
        <w:t>pay</w:t>
      </w:r>
      <w:r w:rsidR="00F86F6E">
        <w:rPr>
          <w:rFonts w:eastAsia="Times New Roman" w:cs="Tahoma"/>
          <w:sz w:val="20"/>
          <w:szCs w:val="20"/>
          <w:bdr w:val="none" w:sz="0" w:space="0" w:color="auto"/>
        </w:rPr>
        <w:t>ment of pecuniary compensation</w:t>
      </w:r>
      <w:r w:rsidR="00F86F6E" w:rsidRPr="00F86F6E">
        <w:rPr>
          <w:rFonts w:eastAsia="Times New Roman" w:cs="Tahoma"/>
          <w:sz w:val="20"/>
          <w:szCs w:val="20"/>
          <w:bdr w:val="none" w:sz="0" w:space="0" w:color="auto"/>
        </w:rPr>
        <w:t>.</w:t>
      </w:r>
    </w:p>
    <w:p w14:paraId="5CE39A92" w14:textId="77777777" w:rsidR="00516C89" w:rsidRPr="002C53A9" w:rsidRDefault="00516C89" w:rsidP="002C53A9">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p>
    <w:p w14:paraId="22ADC096" w14:textId="77777777" w:rsidR="008A6254" w:rsidRPr="002C53A9" w:rsidRDefault="00DB0387" w:rsidP="002C53A9">
      <w:pPr>
        <w:pStyle w:val="ListParagraph"/>
        <w:numPr>
          <w:ilvl w:val="1"/>
          <w:numId w:val="53"/>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r w:rsidRPr="002C53A9">
        <w:rPr>
          <w:rFonts w:asciiTheme="majorHAnsi" w:hAnsiTheme="majorHAnsi"/>
          <w:sz w:val="20"/>
          <w:szCs w:val="20"/>
        </w:rPr>
        <w:t>Ensure compliance with the precautionary measures granted by the IACHR for persons facing the death penalty</w:t>
      </w:r>
      <w:r w:rsidR="008A6254" w:rsidRPr="002C53A9">
        <w:rPr>
          <w:rFonts w:asciiTheme="majorHAnsi" w:hAnsiTheme="majorHAnsi"/>
          <w:sz w:val="20"/>
          <w:szCs w:val="20"/>
        </w:rPr>
        <w:t>.</w:t>
      </w:r>
    </w:p>
    <w:p w14:paraId="7EC20365" w14:textId="77777777" w:rsidR="008A6254" w:rsidRPr="002C53A9" w:rsidRDefault="008A6254" w:rsidP="002C53A9">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p>
    <w:p w14:paraId="74092FC7" w14:textId="77777777" w:rsidR="001C4006" w:rsidRPr="002C53A9" w:rsidRDefault="00A54E22" w:rsidP="002C53A9">
      <w:pPr>
        <w:pStyle w:val="ListParagraph"/>
        <w:numPr>
          <w:ilvl w:val="1"/>
          <w:numId w:val="53"/>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r w:rsidRPr="002C53A9">
        <w:rPr>
          <w:rFonts w:asciiTheme="majorHAnsi" w:hAnsiTheme="majorHAnsi"/>
          <w:sz w:val="20"/>
          <w:szCs w:val="20"/>
        </w:rPr>
        <w:t>Given the violations of the American Declaration the IACHR has established in the present case and in others involving application of the death penalty, the Inter-American Commission also recommends to the United States that it adopt a moratorium on executions of persons sentenced to death.</w:t>
      </w:r>
      <w:r w:rsidRPr="006653BD">
        <w:rPr>
          <w:rFonts w:asciiTheme="majorHAnsi" w:hAnsiTheme="majorHAnsi"/>
          <w:sz w:val="20"/>
          <w:szCs w:val="20"/>
          <w:vertAlign w:val="superscript"/>
        </w:rPr>
        <w:footnoteReference w:id="78"/>
      </w:r>
    </w:p>
    <w:p w14:paraId="534EA17C" w14:textId="77777777" w:rsidR="00383EEB" w:rsidRPr="00D2222C" w:rsidRDefault="00383EEB" w:rsidP="00383EEB">
      <w:pPr>
        <w:pStyle w:val="Heading1"/>
        <w:numPr>
          <w:ilvl w:val="0"/>
          <w:numId w:val="0"/>
        </w:numPr>
        <w:spacing w:before="0"/>
        <w:rPr>
          <w:color w:val="auto"/>
          <w:sz w:val="20"/>
          <w:szCs w:val="20"/>
        </w:rPr>
      </w:pPr>
    </w:p>
    <w:p w14:paraId="0A96006B" w14:textId="77777777" w:rsidR="00383EEB" w:rsidRPr="00213A12" w:rsidRDefault="00383EEB" w:rsidP="00383EEB">
      <w:pPr>
        <w:pStyle w:val="Heading1"/>
        <w:spacing w:before="0"/>
        <w:ind w:hanging="720"/>
        <w:rPr>
          <w:color w:val="auto"/>
          <w:sz w:val="20"/>
          <w:szCs w:val="20"/>
        </w:rPr>
      </w:pPr>
      <w:bookmarkStart w:id="30" w:name="_Toc26550945"/>
      <w:bookmarkStart w:id="31" w:name="_Toc87522018"/>
      <w:bookmarkStart w:id="32" w:name="_Toc90115138"/>
      <w:bookmarkStart w:id="33" w:name="_Toc90283317"/>
      <w:bookmarkStart w:id="34" w:name="_Toc90284151"/>
      <w:r w:rsidRPr="00213A12">
        <w:rPr>
          <w:color w:val="auto"/>
          <w:sz w:val="20"/>
          <w:szCs w:val="20"/>
        </w:rPr>
        <w:t>PUBLICATION</w:t>
      </w:r>
      <w:bookmarkEnd w:id="30"/>
      <w:bookmarkEnd w:id="31"/>
      <w:bookmarkEnd w:id="32"/>
      <w:bookmarkEnd w:id="33"/>
      <w:bookmarkEnd w:id="34"/>
    </w:p>
    <w:p w14:paraId="379AD1B4" w14:textId="77777777" w:rsidR="00383EEB" w:rsidRPr="00213A12" w:rsidRDefault="00383EEB" w:rsidP="00383EEB">
      <w:pPr>
        <w:rPr>
          <w:rFonts w:asciiTheme="majorHAnsi" w:hAnsiTheme="majorHAnsi"/>
          <w:sz w:val="20"/>
          <w:szCs w:val="20"/>
        </w:rPr>
      </w:pPr>
    </w:p>
    <w:p w14:paraId="496BAF25" w14:textId="77777777" w:rsidR="00383EEB" w:rsidRPr="00213A12" w:rsidRDefault="00383EEB" w:rsidP="00383EE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num" w:pos="720"/>
          <w:tab w:val="left" w:pos="1440"/>
        </w:tabs>
        <w:ind w:left="0" w:firstLine="0"/>
        <w:jc w:val="both"/>
        <w:rPr>
          <w:rFonts w:ascii="Cambria" w:eastAsia="Times New Roman" w:hAnsi="Cambria"/>
          <w:sz w:val="20"/>
          <w:szCs w:val="20"/>
        </w:rPr>
      </w:pPr>
      <w:r w:rsidRPr="00213A12">
        <w:rPr>
          <w:rFonts w:asciiTheme="majorHAnsi" w:hAnsiTheme="majorHAnsi"/>
          <w:color w:val="000000" w:themeColor="text1"/>
          <w:sz w:val="20"/>
          <w:szCs w:val="20"/>
        </w:rPr>
        <w:t>In</w:t>
      </w:r>
      <w:r w:rsidRPr="00213A12">
        <w:rPr>
          <w:rFonts w:ascii="Cambria" w:eastAsia="Times New Roman" w:hAnsi="Cambria"/>
          <w:sz w:val="20"/>
          <w:szCs w:val="20"/>
        </w:rPr>
        <w:t xml:space="preserve"> light of the above and in accordance with Article 47.3 of its Rules of Procedure, the IACHR decides to make this report public, and to include it in its Annual Report to the General Assembly of the Organization of American States. The Inter-American Commission, according to the norms contained in the instruments which govern its mandate, will continue evaluating the measures adopted by the United States with respect to the above recommendations until it determines there has been full compliance. </w:t>
      </w:r>
    </w:p>
    <w:p w14:paraId="1034B6D5" w14:textId="2A6A3714" w:rsidR="00677E73" w:rsidRDefault="00677E73" w:rsidP="009D0D81">
      <w:pPr>
        <w:tabs>
          <w:tab w:val="center" w:pos="5400"/>
        </w:tabs>
        <w:suppressAutoHyphens/>
        <w:spacing w:line="276" w:lineRule="auto"/>
        <w:ind w:left="360" w:hanging="360"/>
        <w:rPr>
          <w:rFonts w:asciiTheme="majorHAnsi" w:hAnsiTheme="majorHAnsi"/>
          <w:sz w:val="20"/>
          <w:szCs w:val="20"/>
        </w:rPr>
      </w:pPr>
    </w:p>
    <w:p w14:paraId="0629599D" w14:textId="77777777" w:rsidR="00DE1726" w:rsidRPr="00A525CC" w:rsidRDefault="00DE1726" w:rsidP="004003A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rPr>
      </w:pPr>
      <w:r w:rsidRPr="00A525CC">
        <w:rPr>
          <w:rFonts w:asciiTheme="majorHAnsi" w:eastAsia="Times New Roman" w:hAnsiTheme="majorHAnsi"/>
          <w:sz w:val="20"/>
          <w:szCs w:val="20"/>
        </w:rPr>
        <w:t xml:space="preserve">Approved by the Inter-American Commission on Human Rights on the </w:t>
      </w:r>
      <w:r>
        <w:rPr>
          <w:rFonts w:asciiTheme="majorHAnsi" w:eastAsia="Times New Roman" w:hAnsiTheme="majorHAnsi"/>
          <w:sz w:val="20"/>
          <w:szCs w:val="20"/>
        </w:rPr>
        <w:t>31st</w:t>
      </w:r>
      <w:r w:rsidRPr="00A525CC">
        <w:rPr>
          <w:rFonts w:asciiTheme="majorHAnsi" w:eastAsia="Times New Roman" w:hAnsiTheme="majorHAnsi"/>
          <w:sz w:val="20"/>
          <w:szCs w:val="20"/>
        </w:rPr>
        <w:t xml:space="preserve"> day of </w:t>
      </w:r>
      <w:r>
        <w:rPr>
          <w:rFonts w:asciiTheme="majorHAnsi" w:eastAsia="Times New Roman" w:hAnsiTheme="majorHAnsi"/>
          <w:sz w:val="20"/>
          <w:szCs w:val="20"/>
        </w:rPr>
        <w:t>December</w:t>
      </w:r>
      <w:r w:rsidRPr="00A525CC">
        <w:rPr>
          <w:rFonts w:asciiTheme="majorHAnsi" w:eastAsia="Times New Roman" w:hAnsiTheme="majorHAnsi"/>
          <w:sz w:val="20"/>
          <w:szCs w:val="20"/>
        </w:rPr>
        <w:t xml:space="preserve"> 2021. (Signed):</w:t>
      </w:r>
      <w:r>
        <w:rPr>
          <w:rFonts w:asciiTheme="majorHAnsi" w:eastAsia="Times New Roman" w:hAnsiTheme="majorHAnsi"/>
        </w:rPr>
        <w:t xml:space="preserve"> </w:t>
      </w:r>
      <w:r w:rsidRPr="00A525CC">
        <w:rPr>
          <w:rFonts w:asciiTheme="majorHAnsi" w:eastAsia="Times New Roman" w:hAnsiTheme="majorHAnsi"/>
          <w:sz w:val="20"/>
          <w:szCs w:val="20"/>
        </w:rPr>
        <w:t>Antonia Urrejola Noguera, President; Julissa Mantilla Falcón,</w:t>
      </w:r>
      <w:r>
        <w:rPr>
          <w:rFonts w:asciiTheme="majorHAnsi" w:eastAsia="Times New Roman" w:hAnsiTheme="majorHAnsi"/>
        </w:rPr>
        <w:t xml:space="preserve"> </w:t>
      </w:r>
      <w:r w:rsidRPr="00A525CC">
        <w:rPr>
          <w:rFonts w:asciiTheme="majorHAnsi" w:eastAsia="Times New Roman" w:hAnsiTheme="majorHAnsi"/>
          <w:sz w:val="20"/>
          <w:szCs w:val="20"/>
        </w:rPr>
        <w:t>First Vice President;</w:t>
      </w:r>
      <w:r>
        <w:rPr>
          <w:rFonts w:asciiTheme="majorHAnsi" w:eastAsia="Times New Roman" w:hAnsiTheme="majorHAnsi"/>
        </w:rPr>
        <w:t xml:space="preserve"> </w:t>
      </w:r>
      <w:r w:rsidRPr="00A525CC">
        <w:rPr>
          <w:rFonts w:asciiTheme="majorHAnsi" w:eastAsia="Times New Roman" w:hAnsiTheme="majorHAnsi"/>
          <w:sz w:val="20"/>
          <w:szCs w:val="20"/>
        </w:rPr>
        <w:t>Flávia Piovesan, Second Vice President; Margarette May Macaulay,</w:t>
      </w:r>
      <w:r>
        <w:rPr>
          <w:rFonts w:asciiTheme="majorHAnsi" w:eastAsia="Times New Roman" w:hAnsiTheme="majorHAnsi"/>
        </w:rPr>
        <w:t xml:space="preserve"> </w:t>
      </w:r>
      <w:r w:rsidRPr="00A525CC">
        <w:rPr>
          <w:rFonts w:asciiTheme="majorHAnsi" w:eastAsia="Times New Roman" w:hAnsiTheme="majorHAnsi"/>
          <w:sz w:val="20"/>
          <w:szCs w:val="20"/>
        </w:rPr>
        <w:t>Esmeralda E. Arosemena Bernal de Troitiño</w:t>
      </w:r>
      <w:r>
        <w:rPr>
          <w:rFonts w:asciiTheme="majorHAnsi" w:eastAsia="Times New Roman" w:hAnsiTheme="majorHAnsi"/>
          <w:sz w:val="20"/>
          <w:szCs w:val="20"/>
        </w:rPr>
        <w:t xml:space="preserve">, Joel Hernández García </w:t>
      </w:r>
      <w:r w:rsidRPr="00A525CC">
        <w:rPr>
          <w:rFonts w:asciiTheme="majorHAnsi" w:eastAsia="Times New Roman" w:hAnsiTheme="majorHAnsi"/>
          <w:sz w:val="20"/>
          <w:szCs w:val="20"/>
        </w:rPr>
        <w:t>and</w:t>
      </w:r>
      <w:r>
        <w:rPr>
          <w:rFonts w:asciiTheme="majorHAnsi" w:eastAsia="Times New Roman" w:hAnsiTheme="majorHAnsi"/>
        </w:rPr>
        <w:t xml:space="preserve"> </w:t>
      </w:r>
      <w:r w:rsidRPr="00A525CC">
        <w:rPr>
          <w:rFonts w:asciiTheme="majorHAnsi" w:eastAsia="Times New Roman" w:hAnsiTheme="majorHAnsi"/>
          <w:sz w:val="20"/>
          <w:szCs w:val="20"/>
        </w:rPr>
        <w:t>Edgar Stuardo Ralón Orellana, Commissioners.</w:t>
      </w:r>
    </w:p>
    <w:p w14:paraId="7B5F8086" w14:textId="77777777" w:rsidR="00DE1726" w:rsidRPr="00A525CC" w:rsidRDefault="00DE1726" w:rsidP="00DE172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rPr>
      </w:pPr>
    </w:p>
    <w:sectPr w:rsidR="00DE1726" w:rsidRPr="00A525CC" w:rsidSect="006311DA">
      <w:footerReference w:type="first" r:id="rId22"/>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FD273" w14:textId="77777777" w:rsidR="00763191" w:rsidRDefault="00763191" w:rsidP="00036A8A">
      <w:r>
        <w:separator/>
      </w:r>
    </w:p>
  </w:endnote>
  <w:endnote w:type="continuationSeparator" w:id="0">
    <w:p w14:paraId="775F7B3B" w14:textId="77777777" w:rsidR="00763191" w:rsidRDefault="00763191"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047F4FE4" w14:textId="77777777" w:rsidR="00383EEB" w:rsidRPr="006311DA" w:rsidRDefault="00383EEB">
        <w:pPr>
          <w:pStyle w:val="Footer"/>
          <w:jc w:val="center"/>
          <w:rPr>
            <w:sz w:val="16"/>
          </w:rPr>
        </w:pPr>
        <w:r>
          <w:rPr>
            <w:noProof/>
            <w:sz w:val="16"/>
          </w:rPr>
          <w:fldChar w:fldCharType="begin"/>
        </w:r>
        <w:r>
          <w:rPr>
            <w:noProof/>
            <w:sz w:val="16"/>
          </w:rPr>
          <w:instrText xml:space="preserve"> PAGE   \* MERGEFORMAT </w:instrText>
        </w:r>
        <w:r>
          <w:rPr>
            <w:noProof/>
            <w:sz w:val="16"/>
          </w:rPr>
          <w:fldChar w:fldCharType="separate"/>
        </w:r>
        <w:r>
          <w:rPr>
            <w:noProof/>
            <w:sz w:val="16"/>
          </w:rPr>
          <w:t>17</w:t>
        </w:r>
        <w:r>
          <w:rPr>
            <w:noProof/>
            <w:sz w:val="16"/>
          </w:rPr>
          <w:fldChar w:fldCharType="end"/>
        </w:r>
      </w:p>
    </w:sdtContent>
  </w:sdt>
  <w:p w14:paraId="232880E6" w14:textId="77777777" w:rsidR="00383EEB" w:rsidRDefault="00383E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AA30F" w14:textId="77777777" w:rsidR="00383EEB" w:rsidRDefault="00383EEB">
    <w:pPr>
      <w:pStyle w:val="Footer"/>
      <w:jc w:val="center"/>
    </w:pPr>
  </w:p>
  <w:p w14:paraId="507E65B8" w14:textId="77777777" w:rsidR="00383EEB" w:rsidRDefault="00383E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89080"/>
      <w:docPartObj>
        <w:docPartGallery w:val="Page Numbers (Bottom of Page)"/>
        <w:docPartUnique/>
      </w:docPartObj>
    </w:sdtPr>
    <w:sdtEndPr>
      <w:rPr>
        <w:noProof/>
      </w:rPr>
    </w:sdtEndPr>
    <w:sdtContent>
      <w:p w14:paraId="562B6593" w14:textId="77777777" w:rsidR="00383EEB" w:rsidRDefault="00383EEB">
        <w:pPr>
          <w:pStyle w:val="Footer"/>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59E4A0ED" w14:textId="77777777" w:rsidR="00383EEB" w:rsidRDefault="00383E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AD0DD" w14:textId="77777777" w:rsidR="00763191" w:rsidRPr="00036A8A" w:rsidRDefault="00763191"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4414D49D" w14:textId="77777777" w:rsidR="00763191" w:rsidRPr="00036A8A" w:rsidRDefault="00763191" w:rsidP="00036A8A">
      <w:pPr>
        <w:rPr>
          <w:rFonts w:asciiTheme="majorHAnsi" w:hAnsiTheme="majorHAnsi"/>
          <w:sz w:val="16"/>
          <w:szCs w:val="16"/>
        </w:rPr>
      </w:pPr>
      <w:r w:rsidRPr="00036A8A">
        <w:rPr>
          <w:rFonts w:asciiTheme="majorHAnsi" w:hAnsiTheme="majorHAnsi"/>
          <w:sz w:val="16"/>
          <w:szCs w:val="16"/>
        </w:rPr>
        <w:separator/>
      </w:r>
    </w:p>
    <w:p w14:paraId="6E2D69F8" w14:textId="77777777" w:rsidR="00763191" w:rsidRPr="00036A8A" w:rsidRDefault="00763191"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48C64177" w14:textId="77777777" w:rsidR="00763191" w:rsidRPr="0093441A" w:rsidRDefault="00763191"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4810CE93" w14:textId="77777777" w:rsidR="00383EEB" w:rsidRPr="00BF0A9E" w:rsidRDefault="00383EEB" w:rsidP="008A6254">
      <w:pPr>
        <w:pStyle w:val="FootnoteText"/>
        <w:jc w:val="both"/>
        <w:rPr>
          <w:rFonts w:asciiTheme="majorHAnsi" w:hAnsiTheme="majorHAnsi"/>
          <w:sz w:val="16"/>
          <w:szCs w:val="16"/>
        </w:rPr>
      </w:pPr>
      <w:r w:rsidRPr="00BF0A9E">
        <w:rPr>
          <w:rStyle w:val="FootnoteReference"/>
          <w:rFonts w:asciiTheme="majorHAnsi" w:hAnsiTheme="majorHAnsi"/>
          <w:sz w:val="16"/>
          <w:szCs w:val="16"/>
        </w:rPr>
        <w:footnoteRef/>
      </w:r>
      <w:r w:rsidRPr="00BF0A9E">
        <w:rPr>
          <w:rFonts w:asciiTheme="majorHAnsi" w:hAnsiTheme="majorHAnsi"/>
          <w:sz w:val="16"/>
          <w:szCs w:val="16"/>
        </w:rPr>
        <w:t xml:space="preserve"> On May 10, 2004, the IACHR granted precautionary measures on behalf of Marlin Gray pursuant to Article 25(1) of its Rules of Procedure and requested the United States to take the measures necessary to preserve his life and physical integrity so as not to hinder the processing of his case before the Inter-American system </w:t>
      </w:r>
      <w:r w:rsidRPr="00BF0A9E">
        <w:rPr>
          <w:rFonts w:ascii="Cambria" w:eastAsia="Cambria" w:hAnsi="Cambria" w:cs="Cambria"/>
          <w:sz w:val="16"/>
          <w:szCs w:val="16"/>
        </w:rPr>
        <w:t>and reiterated the same via note of October 10, 2005</w:t>
      </w:r>
      <w:r w:rsidRPr="00BF0A9E">
        <w:rPr>
          <w:rFonts w:asciiTheme="majorHAnsi" w:hAnsiTheme="majorHAnsi"/>
          <w:sz w:val="16"/>
          <w:szCs w:val="16"/>
        </w:rPr>
        <w:t>.</w:t>
      </w:r>
    </w:p>
  </w:footnote>
  <w:footnote w:id="3">
    <w:p w14:paraId="47D1B36B" w14:textId="77777777" w:rsidR="00383EEB" w:rsidRPr="00BF0A9E" w:rsidRDefault="00383EEB" w:rsidP="008A6254">
      <w:pPr>
        <w:pStyle w:val="FootnoteText"/>
        <w:jc w:val="both"/>
        <w:rPr>
          <w:rFonts w:asciiTheme="majorHAnsi" w:hAnsiTheme="majorHAnsi"/>
          <w:sz w:val="16"/>
          <w:szCs w:val="16"/>
        </w:rPr>
      </w:pPr>
      <w:r w:rsidRPr="00BF0A9E">
        <w:rPr>
          <w:rStyle w:val="FootnoteReference"/>
          <w:rFonts w:asciiTheme="majorHAnsi" w:hAnsiTheme="majorHAnsi"/>
          <w:sz w:val="16"/>
        </w:rPr>
        <w:footnoteRef/>
      </w:r>
      <w:r w:rsidRPr="00BF0A9E">
        <w:rPr>
          <w:rFonts w:asciiTheme="majorHAnsi" w:hAnsiTheme="majorHAnsi"/>
          <w:sz w:val="16"/>
        </w:rPr>
        <w:t xml:space="preserve"> </w:t>
      </w:r>
      <w:r w:rsidRPr="00BF0A9E">
        <w:rPr>
          <w:rFonts w:asciiTheme="majorHAnsi" w:hAnsiTheme="majorHAnsi"/>
          <w:sz w:val="16"/>
          <w:szCs w:val="16"/>
        </w:rPr>
        <w:t>IACHR. Report No. 79/05. Petition P-396-04. Admissibility. Marlin Gray. United States. October 24, 2005.</w:t>
      </w:r>
    </w:p>
  </w:footnote>
  <w:footnote w:id="4">
    <w:p w14:paraId="52DCFDCA" w14:textId="77777777" w:rsidR="00383EEB" w:rsidRPr="00BF0A9E" w:rsidRDefault="00383EEB" w:rsidP="008A6254">
      <w:pPr>
        <w:pStyle w:val="FootnoteText"/>
        <w:jc w:val="both"/>
        <w:rPr>
          <w:rFonts w:asciiTheme="majorHAnsi" w:hAnsiTheme="majorHAnsi"/>
          <w:sz w:val="16"/>
          <w:szCs w:val="16"/>
        </w:rPr>
      </w:pPr>
      <w:r w:rsidRPr="00BF0A9E">
        <w:rPr>
          <w:rStyle w:val="FootnoteReference"/>
          <w:rFonts w:asciiTheme="majorHAnsi" w:hAnsiTheme="majorHAnsi"/>
          <w:sz w:val="16"/>
          <w:szCs w:val="16"/>
        </w:rPr>
        <w:footnoteRef/>
      </w:r>
      <w:r w:rsidRPr="00BF0A9E">
        <w:rPr>
          <w:rFonts w:asciiTheme="majorHAnsi" w:hAnsiTheme="majorHAnsi"/>
          <w:sz w:val="16"/>
          <w:szCs w:val="16"/>
        </w:rPr>
        <w:t xml:space="preserve"> State v Gray, 887 S.W. 2d at 377.</w:t>
      </w:r>
    </w:p>
  </w:footnote>
  <w:footnote w:id="5">
    <w:p w14:paraId="03011A22" w14:textId="77777777" w:rsidR="00383EEB" w:rsidRPr="00BF0A9E" w:rsidRDefault="00383EEB" w:rsidP="008A6254">
      <w:pPr>
        <w:pStyle w:val="FootnoteText"/>
        <w:jc w:val="both"/>
        <w:rPr>
          <w:rFonts w:asciiTheme="majorHAnsi" w:hAnsiTheme="majorHAnsi"/>
          <w:sz w:val="16"/>
          <w:szCs w:val="16"/>
        </w:rPr>
      </w:pPr>
      <w:r w:rsidRPr="00BF0A9E">
        <w:rPr>
          <w:rStyle w:val="FootnoteReference"/>
          <w:rFonts w:asciiTheme="majorHAnsi" w:hAnsiTheme="majorHAnsi"/>
          <w:sz w:val="16"/>
          <w:szCs w:val="16"/>
        </w:rPr>
        <w:footnoteRef/>
      </w:r>
      <w:r w:rsidRPr="00BF0A9E">
        <w:rPr>
          <w:rFonts w:asciiTheme="majorHAnsi" w:hAnsiTheme="majorHAnsi"/>
          <w:sz w:val="16"/>
          <w:szCs w:val="16"/>
        </w:rPr>
        <w:t xml:space="preserve"> State v Gray, 887 S.W. 2d at 375.</w:t>
      </w:r>
    </w:p>
  </w:footnote>
  <w:footnote w:id="6">
    <w:p w14:paraId="5C544578" w14:textId="77777777" w:rsidR="00383EEB" w:rsidRPr="00BF0A9E" w:rsidRDefault="00383EEB" w:rsidP="008A6254">
      <w:pPr>
        <w:pStyle w:val="FootnoteText"/>
        <w:jc w:val="both"/>
        <w:rPr>
          <w:rFonts w:asciiTheme="majorHAnsi" w:hAnsiTheme="majorHAnsi"/>
          <w:sz w:val="16"/>
          <w:szCs w:val="16"/>
        </w:rPr>
      </w:pPr>
      <w:r w:rsidRPr="00BF0A9E">
        <w:rPr>
          <w:rStyle w:val="FootnoteReference"/>
          <w:rFonts w:asciiTheme="majorHAnsi" w:hAnsiTheme="majorHAnsi"/>
          <w:sz w:val="16"/>
          <w:szCs w:val="16"/>
        </w:rPr>
        <w:footnoteRef/>
      </w:r>
      <w:r w:rsidRPr="00BF0A9E">
        <w:rPr>
          <w:rFonts w:asciiTheme="majorHAnsi" w:hAnsiTheme="majorHAnsi"/>
          <w:sz w:val="16"/>
          <w:szCs w:val="16"/>
        </w:rPr>
        <w:t xml:space="preserve"> MO. REV. STAT. 565.020(1)</w:t>
      </w:r>
    </w:p>
  </w:footnote>
  <w:footnote w:id="7">
    <w:p w14:paraId="27F9F280" w14:textId="77777777" w:rsidR="00383EEB" w:rsidRPr="00BF0A9E" w:rsidRDefault="00383EEB" w:rsidP="008A6254">
      <w:pPr>
        <w:pStyle w:val="FootnoteText"/>
        <w:jc w:val="both"/>
        <w:rPr>
          <w:rFonts w:asciiTheme="majorHAnsi" w:hAnsiTheme="majorHAnsi"/>
          <w:sz w:val="16"/>
          <w:szCs w:val="16"/>
        </w:rPr>
      </w:pPr>
      <w:r w:rsidRPr="00BF0A9E">
        <w:rPr>
          <w:rStyle w:val="FootnoteReference"/>
          <w:rFonts w:asciiTheme="majorHAnsi" w:hAnsiTheme="majorHAnsi"/>
          <w:sz w:val="16"/>
          <w:szCs w:val="16"/>
        </w:rPr>
        <w:footnoteRef/>
      </w:r>
      <w:r w:rsidRPr="00BF0A9E">
        <w:rPr>
          <w:rFonts w:asciiTheme="majorHAnsi" w:hAnsiTheme="majorHAnsi"/>
          <w:sz w:val="16"/>
          <w:szCs w:val="16"/>
        </w:rPr>
        <w:t xml:space="preserve"> State v Gray, 887 S.W. 2d at 377.</w:t>
      </w:r>
    </w:p>
  </w:footnote>
  <w:footnote w:id="8">
    <w:p w14:paraId="3AD8E42E" w14:textId="77777777" w:rsidR="00383EEB" w:rsidRPr="00BF0A9E" w:rsidRDefault="00383EEB" w:rsidP="008A6254">
      <w:pPr>
        <w:pStyle w:val="FootnoteText"/>
        <w:jc w:val="both"/>
        <w:rPr>
          <w:rFonts w:asciiTheme="majorHAnsi" w:hAnsiTheme="majorHAnsi"/>
          <w:sz w:val="16"/>
          <w:szCs w:val="16"/>
        </w:rPr>
      </w:pPr>
      <w:r w:rsidRPr="00BF0A9E">
        <w:rPr>
          <w:rStyle w:val="FootnoteReference"/>
          <w:rFonts w:asciiTheme="majorHAnsi" w:hAnsiTheme="majorHAnsi"/>
          <w:sz w:val="16"/>
          <w:szCs w:val="16"/>
        </w:rPr>
        <w:footnoteRef/>
      </w:r>
      <w:r w:rsidRPr="00BF0A9E">
        <w:rPr>
          <w:rFonts w:asciiTheme="majorHAnsi" w:hAnsiTheme="majorHAnsi"/>
          <w:sz w:val="16"/>
          <w:szCs w:val="16"/>
        </w:rPr>
        <w:t xml:space="preserve"> State’s third response submitted May 31, 2006.</w:t>
      </w:r>
    </w:p>
  </w:footnote>
  <w:footnote w:id="9">
    <w:p w14:paraId="2DB67DB9" w14:textId="77777777" w:rsidR="00383EEB" w:rsidRPr="00BF0A9E" w:rsidRDefault="00383EEB" w:rsidP="00C92214">
      <w:pPr>
        <w:pStyle w:val="FootnoteText"/>
        <w:jc w:val="both"/>
        <w:rPr>
          <w:rFonts w:asciiTheme="majorHAnsi" w:hAnsiTheme="majorHAnsi"/>
          <w:sz w:val="16"/>
          <w:szCs w:val="16"/>
        </w:rPr>
      </w:pPr>
      <w:r w:rsidRPr="00BF0A9E">
        <w:rPr>
          <w:rStyle w:val="FootnoteReference"/>
          <w:rFonts w:asciiTheme="majorHAnsi" w:hAnsiTheme="majorHAnsi"/>
          <w:sz w:val="16"/>
          <w:szCs w:val="16"/>
        </w:rPr>
        <w:footnoteRef/>
      </w:r>
      <w:r w:rsidRPr="00BF0A9E">
        <w:rPr>
          <w:rFonts w:asciiTheme="majorHAnsi" w:hAnsiTheme="majorHAnsi"/>
          <w:sz w:val="16"/>
          <w:szCs w:val="16"/>
        </w:rPr>
        <w:t xml:space="preserve"> MO. REV. STAT. 562.041.</w:t>
      </w:r>
    </w:p>
  </w:footnote>
  <w:footnote w:id="10">
    <w:p w14:paraId="4D01E0D9" w14:textId="77777777" w:rsidR="00383EEB" w:rsidRPr="00BF0A9E" w:rsidRDefault="00383EEB" w:rsidP="001741DD">
      <w:pPr>
        <w:pStyle w:val="FootnoteText"/>
        <w:jc w:val="both"/>
      </w:pPr>
      <w:r w:rsidRPr="00BF0A9E">
        <w:rPr>
          <w:rStyle w:val="FootnoteReference"/>
          <w:rFonts w:asciiTheme="majorHAnsi" w:hAnsiTheme="majorHAnsi"/>
          <w:sz w:val="16"/>
          <w:szCs w:val="16"/>
        </w:rPr>
        <w:footnoteRef/>
      </w:r>
      <w:r w:rsidRPr="00BF0A9E">
        <w:rPr>
          <w:rStyle w:val="FootnoteReference"/>
          <w:rFonts w:asciiTheme="majorHAnsi" w:hAnsiTheme="majorHAnsi"/>
          <w:sz w:val="16"/>
          <w:szCs w:val="16"/>
        </w:rPr>
        <w:t xml:space="preserve"> </w:t>
      </w:r>
      <w:r w:rsidRPr="00BF0A9E">
        <w:rPr>
          <w:rFonts w:asciiTheme="majorHAnsi" w:hAnsiTheme="majorHAnsi"/>
          <w:sz w:val="16"/>
          <w:szCs w:val="16"/>
        </w:rPr>
        <w:t>State v. Isa, 850 S.W.2d 876, 882-83 (Mo. 1993); State v. Six, 805 S.W.2d 159, 165 (Mo. 1991); State v. Betts, 646 S.W.2d 94, 95 (Mo. 1983).</w:t>
      </w:r>
    </w:p>
  </w:footnote>
  <w:footnote w:id="11">
    <w:p w14:paraId="5C1BB8FA" w14:textId="77777777" w:rsidR="00383EEB" w:rsidRPr="00BF0A9E" w:rsidRDefault="00383EEB">
      <w:pPr>
        <w:pStyle w:val="FootnoteText"/>
      </w:pPr>
      <w:r w:rsidRPr="00BF0A9E">
        <w:rPr>
          <w:rStyle w:val="FootnoteReference"/>
          <w:rFonts w:asciiTheme="majorHAnsi" w:hAnsiTheme="majorHAnsi"/>
          <w:sz w:val="16"/>
          <w:szCs w:val="16"/>
        </w:rPr>
        <w:footnoteRef/>
      </w:r>
      <w:r w:rsidRPr="00BF0A9E">
        <w:rPr>
          <w:rStyle w:val="FootnoteReference"/>
          <w:rFonts w:asciiTheme="majorHAnsi" w:hAnsiTheme="majorHAnsi"/>
          <w:sz w:val="16"/>
          <w:szCs w:val="16"/>
        </w:rPr>
        <w:t xml:space="preserve"> </w:t>
      </w:r>
      <w:r w:rsidRPr="00BF0A9E">
        <w:rPr>
          <w:rFonts w:asciiTheme="majorHAnsi" w:hAnsiTheme="majorHAnsi"/>
          <w:sz w:val="16"/>
          <w:szCs w:val="16"/>
        </w:rPr>
        <w:t>State v. Roberts, 709 S.W.2d 857, 860 (Mo. 1986); State v. Lindsay, 507 S.W.2d 1, 2 (Mo. 1974).</w:t>
      </w:r>
    </w:p>
  </w:footnote>
  <w:footnote w:id="12">
    <w:p w14:paraId="2E9427FD" w14:textId="77777777" w:rsidR="00383EEB" w:rsidRPr="00BF0A9E" w:rsidRDefault="00383EEB" w:rsidP="004B20D9">
      <w:pPr>
        <w:pStyle w:val="FootnoteText"/>
        <w:jc w:val="both"/>
        <w:rPr>
          <w:rFonts w:asciiTheme="majorHAnsi" w:hAnsiTheme="majorHAnsi"/>
          <w:sz w:val="16"/>
          <w:szCs w:val="16"/>
        </w:rPr>
      </w:pPr>
      <w:r w:rsidRPr="00BF0A9E">
        <w:rPr>
          <w:rStyle w:val="FootnoteReference"/>
          <w:rFonts w:asciiTheme="majorHAnsi" w:hAnsiTheme="majorHAnsi"/>
          <w:sz w:val="16"/>
          <w:szCs w:val="16"/>
        </w:rPr>
        <w:footnoteRef/>
      </w:r>
      <w:r w:rsidRPr="00BF0A9E">
        <w:rPr>
          <w:rFonts w:asciiTheme="majorHAnsi" w:hAnsiTheme="majorHAnsi"/>
          <w:sz w:val="16"/>
          <w:szCs w:val="16"/>
        </w:rPr>
        <w:t xml:space="preserve"> Gray v Bowersox 281 F.3d 749 (8</w:t>
      </w:r>
      <w:r w:rsidRPr="00BF0A9E">
        <w:rPr>
          <w:rFonts w:asciiTheme="majorHAnsi" w:hAnsiTheme="majorHAnsi"/>
          <w:sz w:val="16"/>
          <w:szCs w:val="16"/>
          <w:vertAlign w:val="superscript"/>
        </w:rPr>
        <w:t>th</w:t>
      </w:r>
      <w:r w:rsidRPr="00BF0A9E">
        <w:rPr>
          <w:rFonts w:asciiTheme="majorHAnsi" w:hAnsiTheme="majorHAnsi"/>
          <w:sz w:val="16"/>
          <w:szCs w:val="16"/>
        </w:rPr>
        <w:t xml:space="preserve"> Cir. 2002).</w:t>
      </w:r>
    </w:p>
  </w:footnote>
  <w:footnote w:id="13">
    <w:p w14:paraId="04CECE3C" w14:textId="77777777" w:rsidR="00383EEB" w:rsidRPr="00BF0A9E" w:rsidRDefault="00383EEB">
      <w:pPr>
        <w:pStyle w:val="FootnoteText"/>
        <w:rPr>
          <w:rFonts w:asciiTheme="majorHAnsi" w:hAnsiTheme="majorHAnsi"/>
          <w:sz w:val="16"/>
          <w:szCs w:val="16"/>
        </w:rPr>
      </w:pPr>
      <w:r w:rsidRPr="00BF0A9E">
        <w:rPr>
          <w:rStyle w:val="FootnoteReference"/>
          <w:rFonts w:asciiTheme="majorHAnsi" w:hAnsiTheme="majorHAnsi"/>
          <w:color w:val="auto"/>
          <w:sz w:val="16"/>
          <w:szCs w:val="16"/>
        </w:rPr>
        <w:footnoteRef/>
      </w:r>
      <w:r w:rsidRPr="00BF0A9E">
        <w:rPr>
          <w:rFonts w:asciiTheme="majorHAnsi" w:hAnsiTheme="majorHAnsi"/>
          <w:color w:val="auto"/>
          <w:sz w:val="16"/>
          <w:szCs w:val="16"/>
        </w:rPr>
        <w:t xml:space="preserve"> Missouri Death Row. Capital Punishment in Missouri. Available at: </w:t>
      </w:r>
      <w:r w:rsidRPr="00BF0A9E">
        <w:rPr>
          <w:rFonts w:asciiTheme="majorHAnsi" w:hAnsiTheme="majorHAnsi" w:cs="Arial"/>
          <w:color w:val="auto"/>
          <w:spacing w:val="5"/>
          <w:sz w:val="16"/>
          <w:szCs w:val="16"/>
        </w:rPr>
        <w:t>https://missourideathrow.com/2008/12/gray_marlin/</w:t>
      </w:r>
    </w:p>
  </w:footnote>
  <w:footnote w:id="14">
    <w:p w14:paraId="0CCA858D" w14:textId="77777777" w:rsidR="00383EEB" w:rsidRPr="00BF0A9E" w:rsidRDefault="00383EEB">
      <w:pPr>
        <w:pStyle w:val="FootnoteText"/>
      </w:pPr>
      <w:r w:rsidRPr="00BF0A9E">
        <w:rPr>
          <w:rStyle w:val="FootnoteReference"/>
          <w:rFonts w:asciiTheme="majorHAnsi" w:hAnsiTheme="majorHAnsi"/>
          <w:color w:val="auto"/>
          <w:sz w:val="16"/>
          <w:szCs w:val="16"/>
        </w:rPr>
        <w:footnoteRef/>
      </w:r>
      <w:r w:rsidRPr="00BF0A9E">
        <w:rPr>
          <w:rFonts w:asciiTheme="majorHAnsi" w:hAnsiTheme="majorHAnsi"/>
          <w:color w:val="auto"/>
          <w:sz w:val="16"/>
          <w:szCs w:val="16"/>
        </w:rPr>
        <w:t xml:space="preserve"> Missouri Death Row. Capital Punishment in Missouri. Available at:</w:t>
      </w:r>
      <w:r w:rsidRPr="00BF0A9E">
        <w:rPr>
          <w:rFonts w:asciiTheme="majorHAnsi" w:hAnsiTheme="majorHAnsi" w:cs="Arial"/>
          <w:color w:val="auto"/>
          <w:spacing w:val="5"/>
          <w:sz w:val="16"/>
          <w:szCs w:val="16"/>
        </w:rPr>
        <w:t xml:space="preserve"> https://missourideathrow.com/2008/12/gray_marlin/</w:t>
      </w:r>
    </w:p>
  </w:footnote>
  <w:footnote w:id="15">
    <w:p w14:paraId="50723D13" w14:textId="77777777" w:rsidR="00383EEB" w:rsidRPr="00BF0A9E" w:rsidRDefault="00383EEB" w:rsidP="008A6254">
      <w:pPr>
        <w:pStyle w:val="FootnoteText"/>
        <w:jc w:val="both"/>
        <w:rPr>
          <w:rFonts w:asciiTheme="majorHAnsi" w:hAnsiTheme="majorHAnsi"/>
          <w:sz w:val="16"/>
          <w:szCs w:val="16"/>
        </w:rPr>
      </w:pPr>
      <w:r w:rsidRPr="00BF0A9E">
        <w:rPr>
          <w:rStyle w:val="FootnoteReference"/>
          <w:rFonts w:asciiTheme="majorHAnsi" w:hAnsiTheme="majorHAnsi"/>
          <w:color w:val="auto"/>
          <w:sz w:val="16"/>
          <w:szCs w:val="16"/>
        </w:rPr>
        <w:footnoteRef/>
      </w:r>
      <w:r w:rsidRPr="00BF0A9E">
        <w:rPr>
          <w:rFonts w:asciiTheme="majorHAnsi" w:hAnsiTheme="majorHAnsi"/>
          <w:color w:val="auto"/>
          <w:sz w:val="16"/>
          <w:szCs w:val="16"/>
        </w:rPr>
        <w:t xml:space="preserve"> Gray v Bowersox 281 F.3d 749 (8</w:t>
      </w:r>
      <w:r w:rsidRPr="00BF0A9E">
        <w:rPr>
          <w:rFonts w:asciiTheme="majorHAnsi" w:hAnsiTheme="majorHAnsi"/>
          <w:color w:val="auto"/>
          <w:sz w:val="16"/>
          <w:szCs w:val="16"/>
          <w:vertAlign w:val="superscript"/>
        </w:rPr>
        <w:t>th</w:t>
      </w:r>
      <w:r w:rsidRPr="00BF0A9E">
        <w:rPr>
          <w:rFonts w:asciiTheme="majorHAnsi" w:hAnsiTheme="majorHAnsi"/>
          <w:color w:val="auto"/>
          <w:sz w:val="16"/>
          <w:szCs w:val="16"/>
        </w:rPr>
        <w:t xml:space="preserve"> Cir. 2002).</w:t>
      </w:r>
    </w:p>
  </w:footnote>
  <w:footnote w:id="16">
    <w:p w14:paraId="499DED59" w14:textId="77777777" w:rsidR="00383EEB" w:rsidRPr="00BF0A9E" w:rsidRDefault="00383EEB" w:rsidP="00586B77">
      <w:pPr>
        <w:pStyle w:val="FootnoteText"/>
        <w:jc w:val="both"/>
        <w:rPr>
          <w:rFonts w:asciiTheme="majorHAnsi" w:hAnsiTheme="majorHAnsi"/>
          <w:sz w:val="16"/>
          <w:szCs w:val="16"/>
        </w:rPr>
      </w:pPr>
      <w:r w:rsidRPr="00BF0A9E">
        <w:rPr>
          <w:rStyle w:val="FootnoteReference"/>
          <w:rFonts w:asciiTheme="majorHAnsi" w:hAnsiTheme="majorHAnsi"/>
          <w:sz w:val="16"/>
          <w:szCs w:val="16"/>
        </w:rPr>
        <w:footnoteRef/>
      </w:r>
      <w:r w:rsidRPr="00BF0A9E">
        <w:rPr>
          <w:rFonts w:asciiTheme="majorHAnsi" w:hAnsiTheme="majorHAnsi"/>
          <w:sz w:val="16"/>
          <w:szCs w:val="16"/>
        </w:rPr>
        <w:t xml:space="preserve"> State v Gray 887 S.W. 2d 369 (Mo. Banc 1994).</w:t>
      </w:r>
    </w:p>
  </w:footnote>
  <w:footnote w:id="17">
    <w:p w14:paraId="4AA75B4E" w14:textId="77777777" w:rsidR="00383EEB" w:rsidRPr="00BF0A9E" w:rsidRDefault="00383EEB" w:rsidP="0055390F">
      <w:pPr>
        <w:pStyle w:val="FootnoteText"/>
        <w:jc w:val="both"/>
        <w:rPr>
          <w:rFonts w:asciiTheme="majorHAnsi" w:hAnsiTheme="majorHAnsi"/>
          <w:sz w:val="16"/>
          <w:szCs w:val="16"/>
        </w:rPr>
      </w:pPr>
      <w:r w:rsidRPr="00BF0A9E">
        <w:rPr>
          <w:rStyle w:val="FootnoteReference"/>
          <w:rFonts w:asciiTheme="majorHAnsi" w:hAnsiTheme="majorHAnsi"/>
          <w:sz w:val="16"/>
          <w:szCs w:val="16"/>
        </w:rPr>
        <w:footnoteRef/>
      </w:r>
      <w:r w:rsidRPr="00BF0A9E">
        <w:rPr>
          <w:rFonts w:asciiTheme="majorHAnsi" w:hAnsiTheme="majorHAnsi"/>
          <w:sz w:val="16"/>
          <w:szCs w:val="16"/>
        </w:rPr>
        <w:t xml:space="preserve"> State v Gray 887 S.W. 2d 369.</w:t>
      </w:r>
    </w:p>
  </w:footnote>
  <w:footnote w:id="18">
    <w:p w14:paraId="11668F5D" w14:textId="77777777" w:rsidR="00383EEB" w:rsidRPr="00BF0A9E" w:rsidRDefault="00383EEB" w:rsidP="0006511C">
      <w:pPr>
        <w:pStyle w:val="FootnoteText"/>
        <w:jc w:val="both"/>
        <w:rPr>
          <w:rFonts w:asciiTheme="majorHAnsi" w:hAnsiTheme="majorHAnsi"/>
          <w:sz w:val="16"/>
          <w:szCs w:val="16"/>
        </w:rPr>
      </w:pPr>
      <w:r w:rsidRPr="00BF0A9E">
        <w:rPr>
          <w:rStyle w:val="FootnoteReference"/>
          <w:rFonts w:asciiTheme="majorHAnsi" w:hAnsiTheme="majorHAnsi"/>
          <w:sz w:val="16"/>
          <w:szCs w:val="16"/>
        </w:rPr>
        <w:footnoteRef/>
      </w:r>
      <w:r w:rsidRPr="00BF0A9E">
        <w:rPr>
          <w:rFonts w:asciiTheme="majorHAnsi" w:hAnsiTheme="majorHAnsi"/>
          <w:sz w:val="16"/>
          <w:szCs w:val="16"/>
        </w:rPr>
        <w:t xml:space="preserve"> Transcript of Thomas Patrick Cummins, surviving victim, during the Appeal to the Supreme Court of Missouri, Exhibit 1 of the Petitioner’s submission of September 2, 2004.</w:t>
      </w:r>
    </w:p>
  </w:footnote>
  <w:footnote w:id="19">
    <w:p w14:paraId="269695F7" w14:textId="77777777" w:rsidR="00383EEB" w:rsidRPr="00BF0A9E" w:rsidRDefault="00383EEB" w:rsidP="0006511C">
      <w:pPr>
        <w:pStyle w:val="FootnoteText"/>
        <w:jc w:val="both"/>
        <w:rPr>
          <w:rFonts w:asciiTheme="majorHAnsi" w:hAnsiTheme="majorHAnsi"/>
          <w:sz w:val="16"/>
          <w:szCs w:val="16"/>
        </w:rPr>
      </w:pPr>
      <w:r w:rsidRPr="00BF0A9E">
        <w:rPr>
          <w:rStyle w:val="FootnoteReference"/>
          <w:rFonts w:asciiTheme="majorHAnsi" w:hAnsiTheme="majorHAnsi"/>
          <w:sz w:val="16"/>
          <w:szCs w:val="16"/>
        </w:rPr>
        <w:footnoteRef/>
      </w:r>
      <w:r w:rsidRPr="00BF0A9E">
        <w:rPr>
          <w:rFonts w:asciiTheme="majorHAnsi" w:hAnsiTheme="majorHAnsi"/>
          <w:sz w:val="16"/>
          <w:szCs w:val="16"/>
        </w:rPr>
        <w:t xml:space="preserve"> Transcript of </w:t>
      </w:r>
      <w:proofErr w:type="spellStart"/>
      <w:r w:rsidRPr="00BF0A9E">
        <w:rPr>
          <w:rFonts w:asciiTheme="majorHAnsi" w:hAnsiTheme="majorHAnsi"/>
          <w:sz w:val="16"/>
          <w:szCs w:val="16"/>
        </w:rPr>
        <w:t>Nels</w:t>
      </w:r>
      <w:proofErr w:type="spellEnd"/>
      <w:r w:rsidRPr="00BF0A9E">
        <w:rPr>
          <w:rFonts w:asciiTheme="majorHAnsi" w:hAnsiTheme="majorHAnsi"/>
          <w:sz w:val="16"/>
          <w:szCs w:val="16"/>
        </w:rPr>
        <w:t xml:space="preserve"> Moss, lead prosecutor, during the conviction phase of trial, Exhibit A of the Petitioner’s submission of September 2, 2004.</w:t>
      </w:r>
    </w:p>
  </w:footnote>
  <w:footnote w:id="20">
    <w:p w14:paraId="7A03DA87" w14:textId="77777777" w:rsidR="00383EEB" w:rsidRPr="00BF0A9E" w:rsidRDefault="00383EEB" w:rsidP="0006511C">
      <w:pPr>
        <w:pStyle w:val="FootnoteText"/>
        <w:jc w:val="both"/>
        <w:rPr>
          <w:rFonts w:asciiTheme="majorHAnsi" w:hAnsiTheme="majorHAnsi"/>
          <w:sz w:val="16"/>
          <w:szCs w:val="16"/>
        </w:rPr>
      </w:pPr>
      <w:r w:rsidRPr="00BF0A9E">
        <w:rPr>
          <w:rStyle w:val="FootnoteReference"/>
          <w:rFonts w:asciiTheme="majorHAnsi" w:hAnsiTheme="majorHAnsi"/>
          <w:sz w:val="16"/>
          <w:szCs w:val="16"/>
        </w:rPr>
        <w:footnoteRef/>
      </w:r>
      <w:r w:rsidRPr="00BF0A9E">
        <w:rPr>
          <w:rFonts w:asciiTheme="majorHAnsi" w:hAnsiTheme="majorHAnsi"/>
          <w:sz w:val="16"/>
          <w:szCs w:val="16"/>
        </w:rPr>
        <w:t xml:space="preserve"> Transcript of </w:t>
      </w:r>
      <w:proofErr w:type="spellStart"/>
      <w:r w:rsidRPr="00BF0A9E">
        <w:rPr>
          <w:rFonts w:asciiTheme="majorHAnsi" w:hAnsiTheme="majorHAnsi"/>
          <w:sz w:val="16"/>
          <w:szCs w:val="16"/>
        </w:rPr>
        <w:t>Nels</w:t>
      </w:r>
      <w:proofErr w:type="spellEnd"/>
      <w:r w:rsidRPr="00BF0A9E">
        <w:rPr>
          <w:rFonts w:asciiTheme="majorHAnsi" w:hAnsiTheme="majorHAnsi"/>
          <w:sz w:val="16"/>
          <w:szCs w:val="16"/>
        </w:rPr>
        <w:t xml:space="preserve"> Moss, lead prosecutor, during the sentencing phase of trial, Exhibit B of the Petitioner’s submission of September 2, 2004.</w:t>
      </w:r>
    </w:p>
  </w:footnote>
  <w:footnote w:id="21">
    <w:p w14:paraId="00E356EC" w14:textId="77777777" w:rsidR="00383EEB" w:rsidRPr="00BF0A9E" w:rsidRDefault="00383EEB" w:rsidP="0006511C">
      <w:pPr>
        <w:pStyle w:val="FootnoteText"/>
        <w:jc w:val="both"/>
        <w:rPr>
          <w:rFonts w:asciiTheme="majorHAnsi" w:hAnsiTheme="majorHAnsi"/>
          <w:sz w:val="16"/>
          <w:szCs w:val="16"/>
        </w:rPr>
      </w:pPr>
      <w:r w:rsidRPr="00BF0A9E">
        <w:rPr>
          <w:rStyle w:val="FootnoteReference"/>
          <w:rFonts w:asciiTheme="majorHAnsi" w:hAnsiTheme="majorHAnsi"/>
          <w:sz w:val="16"/>
          <w:szCs w:val="16"/>
        </w:rPr>
        <w:footnoteRef/>
      </w:r>
      <w:r w:rsidRPr="00BF0A9E">
        <w:rPr>
          <w:rFonts w:asciiTheme="majorHAnsi" w:hAnsiTheme="majorHAnsi"/>
          <w:sz w:val="16"/>
          <w:szCs w:val="16"/>
        </w:rPr>
        <w:t xml:space="preserve"> Transcript of </w:t>
      </w:r>
      <w:proofErr w:type="spellStart"/>
      <w:r w:rsidRPr="00BF0A9E">
        <w:rPr>
          <w:rFonts w:asciiTheme="majorHAnsi" w:hAnsiTheme="majorHAnsi"/>
          <w:sz w:val="16"/>
          <w:szCs w:val="16"/>
        </w:rPr>
        <w:t>Nels</w:t>
      </w:r>
      <w:proofErr w:type="spellEnd"/>
      <w:r w:rsidRPr="00BF0A9E">
        <w:rPr>
          <w:rFonts w:asciiTheme="majorHAnsi" w:hAnsiTheme="majorHAnsi"/>
          <w:sz w:val="16"/>
          <w:szCs w:val="16"/>
        </w:rPr>
        <w:t xml:space="preserve"> Moss, lead prosecutor, during the conviction phase of trial, Exhibit A of the Petitioner’s submission of September 2, 2004.</w:t>
      </w:r>
    </w:p>
  </w:footnote>
  <w:footnote w:id="22">
    <w:p w14:paraId="2C8A422D" w14:textId="77777777" w:rsidR="00383EEB" w:rsidRPr="00BF0A9E" w:rsidRDefault="00383EEB" w:rsidP="0006511C">
      <w:pPr>
        <w:pStyle w:val="FootnoteText"/>
        <w:jc w:val="both"/>
        <w:rPr>
          <w:rFonts w:asciiTheme="majorHAnsi" w:hAnsiTheme="majorHAnsi"/>
          <w:sz w:val="16"/>
          <w:szCs w:val="16"/>
        </w:rPr>
      </w:pPr>
      <w:r w:rsidRPr="00BF0A9E">
        <w:rPr>
          <w:rStyle w:val="FootnoteReference"/>
          <w:rFonts w:asciiTheme="majorHAnsi" w:hAnsiTheme="majorHAnsi"/>
          <w:sz w:val="16"/>
          <w:szCs w:val="16"/>
        </w:rPr>
        <w:footnoteRef/>
      </w:r>
      <w:r w:rsidRPr="00BF0A9E">
        <w:rPr>
          <w:rFonts w:asciiTheme="majorHAnsi" w:hAnsiTheme="majorHAnsi"/>
          <w:sz w:val="16"/>
          <w:szCs w:val="16"/>
        </w:rPr>
        <w:t xml:space="preserve"> Transcript of </w:t>
      </w:r>
      <w:proofErr w:type="spellStart"/>
      <w:r w:rsidRPr="00BF0A9E">
        <w:rPr>
          <w:rFonts w:asciiTheme="majorHAnsi" w:hAnsiTheme="majorHAnsi"/>
          <w:sz w:val="16"/>
          <w:szCs w:val="16"/>
        </w:rPr>
        <w:t>Nels</w:t>
      </w:r>
      <w:proofErr w:type="spellEnd"/>
      <w:r w:rsidRPr="00BF0A9E">
        <w:rPr>
          <w:rFonts w:asciiTheme="majorHAnsi" w:hAnsiTheme="majorHAnsi"/>
          <w:sz w:val="16"/>
          <w:szCs w:val="16"/>
        </w:rPr>
        <w:t xml:space="preserve"> Moss, lead prosecutor, during the sentencing phase of trial, Exhibit B of the Petitioner’s submission of September 2, 2004.</w:t>
      </w:r>
    </w:p>
  </w:footnote>
  <w:footnote w:id="23">
    <w:p w14:paraId="4F1972CB" w14:textId="77777777" w:rsidR="00383EEB" w:rsidRPr="00BF0A9E" w:rsidRDefault="00383EEB" w:rsidP="0006511C">
      <w:pPr>
        <w:pStyle w:val="FootnoteText"/>
        <w:jc w:val="both"/>
      </w:pPr>
      <w:r w:rsidRPr="00BF0A9E">
        <w:rPr>
          <w:rStyle w:val="FootnoteReference"/>
          <w:rFonts w:asciiTheme="majorHAnsi" w:hAnsiTheme="majorHAnsi"/>
          <w:sz w:val="16"/>
          <w:szCs w:val="16"/>
        </w:rPr>
        <w:footnoteRef/>
      </w:r>
      <w:r w:rsidRPr="00BF0A9E">
        <w:rPr>
          <w:rFonts w:asciiTheme="majorHAnsi" w:hAnsiTheme="majorHAnsi"/>
          <w:sz w:val="16"/>
          <w:szCs w:val="16"/>
        </w:rPr>
        <w:t xml:space="preserve"> </w:t>
      </w:r>
      <w:r w:rsidRPr="00BF0A9E">
        <w:rPr>
          <w:rFonts w:asciiTheme="majorHAnsi" w:hAnsiTheme="majorHAnsi"/>
          <w:color w:val="auto"/>
          <w:sz w:val="16"/>
          <w:szCs w:val="16"/>
        </w:rPr>
        <w:t>Missouri Death Row. Capital Punishment in Missouri. Available at:</w:t>
      </w:r>
      <w:r w:rsidRPr="00BF0A9E">
        <w:rPr>
          <w:rFonts w:asciiTheme="majorHAnsi" w:hAnsiTheme="majorHAnsi" w:cs="Arial"/>
          <w:color w:val="auto"/>
          <w:spacing w:val="5"/>
          <w:sz w:val="16"/>
          <w:szCs w:val="16"/>
        </w:rPr>
        <w:t xml:space="preserve"> https://missourideathrow.com/2008/12/gray_marlin/</w:t>
      </w:r>
    </w:p>
  </w:footnote>
  <w:footnote w:id="24">
    <w:p w14:paraId="1E55AECD" w14:textId="77777777" w:rsidR="00383EEB" w:rsidRPr="00BF0A9E" w:rsidRDefault="00383EEB" w:rsidP="008A6254">
      <w:pPr>
        <w:pStyle w:val="FootnoteText"/>
        <w:jc w:val="both"/>
        <w:rPr>
          <w:rFonts w:asciiTheme="majorHAnsi" w:hAnsiTheme="majorHAnsi"/>
          <w:sz w:val="16"/>
          <w:szCs w:val="16"/>
        </w:rPr>
      </w:pPr>
      <w:r w:rsidRPr="00BF0A9E">
        <w:rPr>
          <w:rStyle w:val="FootnoteReference"/>
          <w:rFonts w:asciiTheme="majorHAnsi" w:hAnsiTheme="majorHAnsi"/>
          <w:sz w:val="16"/>
          <w:szCs w:val="16"/>
        </w:rPr>
        <w:footnoteRef/>
      </w:r>
      <w:r w:rsidRPr="00BF0A9E">
        <w:rPr>
          <w:rFonts w:asciiTheme="majorHAnsi" w:hAnsiTheme="majorHAnsi"/>
          <w:sz w:val="16"/>
          <w:szCs w:val="16"/>
        </w:rPr>
        <w:t xml:space="preserve"> State v Gray 887 S.W. 2d 369 (Mo. Banc 1994).</w:t>
      </w:r>
    </w:p>
  </w:footnote>
  <w:footnote w:id="25">
    <w:p w14:paraId="581FB08F" w14:textId="77777777" w:rsidR="00383EEB" w:rsidRPr="00BF0A9E" w:rsidRDefault="00383EEB" w:rsidP="008A6254">
      <w:pPr>
        <w:pStyle w:val="FootnoteText"/>
        <w:jc w:val="both"/>
        <w:rPr>
          <w:rFonts w:asciiTheme="majorHAnsi" w:hAnsiTheme="majorHAnsi"/>
          <w:sz w:val="16"/>
          <w:szCs w:val="16"/>
        </w:rPr>
      </w:pPr>
      <w:r w:rsidRPr="00BF0A9E">
        <w:rPr>
          <w:rStyle w:val="FootnoteReference"/>
          <w:rFonts w:asciiTheme="majorHAnsi" w:hAnsiTheme="majorHAnsi"/>
          <w:sz w:val="16"/>
          <w:szCs w:val="16"/>
        </w:rPr>
        <w:footnoteRef/>
      </w:r>
      <w:r w:rsidRPr="00BF0A9E">
        <w:rPr>
          <w:rFonts w:asciiTheme="majorHAnsi" w:hAnsiTheme="majorHAnsi"/>
          <w:sz w:val="16"/>
          <w:szCs w:val="16"/>
        </w:rPr>
        <w:t xml:space="preserve"> State v Gray 887 S.W. 2d 369.</w:t>
      </w:r>
    </w:p>
  </w:footnote>
  <w:footnote w:id="26">
    <w:p w14:paraId="52C53FBB" w14:textId="77777777" w:rsidR="00383EEB" w:rsidRPr="00BF0A9E" w:rsidRDefault="00383EEB" w:rsidP="008A6254">
      <w:pPr>
        <w:pStyle w:val="FootnoteText"/>
        <w:jc w:val="both"/>
        <w:rPr>
          <w:rFonts w:asciiTheme="majorHAnsi" w:hAnsiTheme="majorHAnsi"/>
          <w:sz w:val="16"/>
          <w:szCs w:val="16"/>
        </w:rPr>
      </w:pPr>
      <w:r w:rsidRPr="00BF0A9E">
        <w:rPr>
          <w:rStyle w:val="FootnoteReference"/>
          <w:rFonts w:asciiTheme="majorHAnsi" w:hAnsiTheme="majorHAnsi"/>
          <w:sz w:val="16"/>
          <w:szCs w:val="16"/>
        </w:rPr>
        <w:footnoteRef/>
      </w:r>
      <w:r w:rsidRPr="00BF0A9E">
        <w:rPr>
          <w:rFonts w:asciiTheme="majorHAnsi" w:hAnsiTheme="majorHAnsi"/>
          <w:sz w:val="16"/>
          <w:szCs w:val="16"/>
        </w:rPr>
        <w:t xml:space="preserve"> State v Gray 887 S.W. 2d 369.</w:t>
      </w:r>
    </w:p>
  </w:footnote>
  <w:footnote w:id="27">
    <w:p w14:paraId="742AC458" w14:textId="77777777" w:rsidR="00383EEB" w:rsidRPr="00BF0A9E" w:rsidRDefault="00383EEB" w:rsidP="008A6254">
      <w:pPr>
        <w:pStyle w:val="FootnoteText"/>
        <w:jc w:val="both"/>
        <w:rPr>
          <w:rFonts w:asciiTheme="majorHAnsi" w:hAnsiTheme="majorHAnsi"/>
          <w:sz w:val="16"/>
          <w:szCs w:val="16"/>
        </w:rPr>
      </w:pPr>
      <w:r w:rsidRPr="00BF0A9E">
        <w:rPr>
          <w:rStyle w:val="FootnoteReference"/>
          <w:rFonts w:asciiTheme="majorHAnsi" w:hAnsiTheme="majorHAnsi"/>
          <w:sz w:val="16"/>
          <w:szCs w:val="16"/>
        </w:rPr>
        <w:footnoteRef/>
      </w:r>
      <w:r w:rsidRPr="00BF0A9E">
        <w:rPr>
          <w:rFonts w:asciiTheme="majorHAnsi" w:hAnsiTheme="majorHAnsi"/>
          <w:sz w:val="16"/>
          <w:szCs w:val="16"/>
        </w:rPr>
        <w:t xml:space="preserve"> State v Gray 887 S.W. 2d 369.</w:t>
      </w:r>
    </w:p>
  </w:footnote>
  <w:footnote w:id="28">
    <w:p w14:paraId="27BB54E3" w14:textId="77777777" w:rsidR="00383EEB" w:rsidRPr="00BF0A9E" w:rsidRDefault="00383EEB" w:rsidP="008A6254">
      <w:pPr>
        <w:pStyle w:val="FootnoteText"/>
        <w:jc w:val="both"/>
        <w:rPr>
          <w:rFonts w:asciiTheme="majorHAnsi" w:hAnsiTheme="majorHAnsi"/>
          <w:sz w:val="16"/>
          <w:szCs w:val="16"/>
        </w:rPr>
      </w:pPr>
      <w:r w:rsidRPr="00BF0A9E">
        <w:rPr>
          <w:rStyle w:val="FootnoteReference"/>
          <w:rFonts w:asciiTheme="majorHAnsi" w:hAnsiTheme="majorHAnsi"/>
          <w:sz w:val="16"/>
          <w:szCs w:val="16"/>
        </w:rPr>
        <w:footnoteRef/>
      </w:r>
      <w:r w:rsidRPr="00BF0A9E">
        <w:rPr>
          <w:rFonts w:asciiTheme="majorHAnsi" w:hAnsiTheme="majorHAnsi"/>
          <w:sz w:val="16"/>
          <w:szCs w:val="16"/>
        </w:rPr>
        <w:t xml:space="preserve"> </w:t>
      </w:r>
      <w:r w:rsidRPr="00BF0A9E">
        <w:rPr>
          <w:rFonts w:asciiTheme="majorHAnsi" w:eastAsia="Times New Roman" w:hAnsiTheme="majorHAnsi"/>
          <w:sz w:val="16"/>
          <w:szCs w:val="16"/>
        </w:rPr>
        <w:t>State v Isa 850 S.W.2d 876, 882-83 (Mo. Banc 1993).</w:t>
      </w:r>
    </w:p>
  </w:footnote>
  <w:footnote w:id="29">
    <w:p w14:paraId="58B4581D" w14:textId="77777777" w:rsidR="00383EEB" w:rsidRPr="00BF0A9E" w:rsidRDefault="00383EEB" w:rsidP="008A6254">
      <w:pPr>
        <w:pStyle w:val="FootnoteText"/>
        <w:jc w:val="both"/>
        <w:rPr>
          <w:rFonts w:asciiTheme="majorHAnsi" w:hAnsiTheme="majorHAnsi"/>
          <w:sz w:val="16"/>
          <w:szCs w:val="16"/>
        </w:rPr>
      </w:pPr>
      <w:r w:rsidRPr="00BF0A9E">
        <w:rPr>
          <w:rStyle w:val="FootnoteReference"/>
          <w:rFonts w:asciiTheme="majorHAnsi" w:hAnsiTheme="majorHAnsi"/>
          <w:sz w:val="16"/>
          <w:szCs w:val="16"/>
        </w:rPr>
        <w:footnoteRef/>
      </w:r>
      <w:r w:rsidRPr="00BF0A9E">
        <w:rPr>
          <w:rFonts w:asciiTheme="majorHAnsi" w:hAnsiTheme="majorHAnsi"/>
          <w:sz w:val="16"/>
          <w:szCs w:val="16"/>
        </w:rPr>
        <w:t xml:space="preserve"> </w:t>
      </w:r>
      <w:r w:rsidRPr="00BF0A9E">
        <w:rPr>
          <w:rFonts w:asciiTheme="majorHAnsi" w:eastAsia="Times New Roman" w:hAnsiTheme="majorHAnsi"/>
          <w:sz w:val="16"/>
          <w:szCs w:val="16"/>
        </w:rPr>
        <w:t>State v Turner 623 S.W.2D 4, 6-7 (Mo. Banc 1981).</w:t>
      </w:r>
    </w:p>
  </w:footnote>
  <w:footnote w:id="30">
    <w:p w14:paraId="19A52D99" w14:textId="77777777" w:rsidR="00383EEB" w:rsidRPr="00BF0A9E" w:rsidRDefault="00383EEB" w:rsidP="008A6254">
      <w:pPr>
        <w:pStyle w:val="FootnoteText"/>
        <w:jc w:val="both"/>
        <w:rPr>
          <w:rFonts w:asciiTheme="majorHAnsi" w:hAnsiTheme="majorHAnsi"/>
          <w:sz w:val="16"/>
          <w:szCs w:val="16"/>
        </w:rPr>
      </w:pPr>
      <w:r w:rsidRPr="00BF0A9E">
        <w:rPr>
          <w:rStyle w:val="FootnoteReference"/>
          <w:rFonts w:asciiTheme="majorHAnsi" w:hAnsiTheme="majorHAnsi"/>
          <w:sz w:val="16"/>
          <w:szCs w:val="16"/>
        </w:rPr>
        <w:footnoteRef/>
      </w:r>
      <w:r w:rsidRPr="00BF0A9E">
        <w:rPr>
          <w:rFonts w:asciiTheme="majorHAnsi" w:hAnsiTheme="majorHAnsi"/>
          <w:sz w:val="16"/>
          <w:szCs w:val="16"/>
        </w:rPr>
        <w:t xml:space="preserve"> </w:t>
      </w:r>
      <w:r w:rsidRPr="00BF0A9E">
        <w:rPr>
          <w:rFonts w:asciiTheme="majorHAnsi" w:eastAsia="Times New Roman" w:hAnsiTheme="majorHAnsi"/>
          <w:sz w:val="16"/>
          <w:szCs w:val="16"/>
        </w:rPr>
        <w:t>Lindsay 507 S.W.2d.</w:t>
      </w:r>
    </w:p>
  </w:footnote>
  <w:footnote w:id="31">
    <w:p w14:paraId="70D310FC" w14:textId="77777777" w:rsidR="00383EEB" w:rsidRPr="00BF0A9E" w:rsidRDefault="00383EEB" w:rsidP="00766DEB">
      <w:pPr>
        <w:pStyle w:val="FootnoteText"/>
        <w:jc w:val="both"/>
      </w:pPr>
      <w:r w:rsidRPr="00BF0A9E">
        <w:rPr>
          <w:rStyle w:val="FootnoteReference"/>
          <w:rFonts w:asciiTheme="majorHAnsi" w:hAnsiTheme="majorHAnsi"/>
          <w:sz w:val="16"/>
          <w:szCs w:val="16"/>
        </w:rPr>
        <w:footnoteRef/>
      </w:r>
      <w:r w:rsidRPr="00BF0A9E">
        <w:rPr>
          <w:rFonts w:asciiTheme="majorHAnsi" w:hAnsiTheme="majorHAnsi"/>
          <w:sz w:val="16"/>
          <w:szCs w:val="16"/>
        </w:rPr>
        <w:t xml:space="preserve"> State v Gray 887 S.W. 2d 369.</w:t>
      </w:r>
    </w:p>
  </w:footnote>
  <w:footnote w:id="32">
    <w:p w14:paraId="6C3F7B8C" w14:textId="77777777" w:rsidR="00383EEB" w:rsidRPr="00BF0A9E" w:rsidRDefault="00383EEB">
      <w:pPr>
        <w:pStyle w:val="FootnoteText"/>
      </w:pPr>
      <w:r w:rsidRPr="00BF0A9E">
        <w:rPr>
          <w:rStyle w:val="FootnoteReference"/>
          <w:rFonts w:asciiTheme="majorHAnsi" w:hAnsiTheme="majorHAnsi"/>
          <w:sz w:val="16"/>
          <w:szCs w:val="16"/>
        </w:rPr>
        <w:footnoteRef/>
      </w:r>
      <w:r w:rsidRPr="00BF0A9E">
        <w:t xml:space="preserve"> </w:t>
      </w:r>
      <w:r w:rsidRPr="00BF0A9E">
        <w:rPr>
          <w:rFonts w:asciiTheme="majorHAnsi" w:hAnsiTheme="majorHAnsi"/>
          <w:sz w:val="16"/>
          <w:szCs w:val="16"/>
        </w:rPr>
        <w:t>State v Gray 887 S.W. 2d 369.</w:t>
      </w:r>
    </w:p>
  </w:footnote>
  <w:footnote w:id="33">
    <w:p w14:paraId="5A738831" w14:textId="77777777" w:rsidR="00383EEB" w:rsidRPr="00BF0A9E" w:rsidRDefault="00383EEB">
      <w:pPr>
        <w:pStyle w:val="FootnoteText"/>
        <w:rPr>
          <w:rFonts w:asciiTheme="majorHAnsi" w:hAnsiTheme="majorHAnsi"/>
          <w:sz w:val="16"/>
          <w:szCs w:val="16"/>
        </w:rPr>
      </w:pPr>
      <w:r w:rsidRPr="00BF0A9E">
        <w:rPr>
          <w:rStyle w:val="FootnoteReference"/>
          <w:rFonts w:asciiTheme="majorHAnsi" w:hAnsiTheme="majorHAnsi"/>
          <w:sz w:val="16"/>
          <w:szCs w:val="16"/>
        </w:rPr>
        <w:footnoteRef/>
      </w:r>
      <w:r w:rsidRPr="00BF0A9E">
        <w:rPr>
          <w:rFonts w:asciiTheme="majorHAnsi" w:hAnsiTheme="majorHAnsi"/>
          <w:sz w:val="16"/>
          <w:szCs w:val="16"/>
        </w:rPr>
        <w:t xml:space="preserve"> Gray v Missouri, 514 U.S. 1042 (1995)</w:t>
      </w:r>
    </w:p>
  </w:footnote>
  <w:footnote w:id="34">
    <w:p w14:paraId="1D3CB404" w14:textId="77777777" w:rsidR="00383EEB" w:rsidRPr="00BF0A9E" w:rsidRDefault="00383EEB">
      <w:pPr>
        <w:pStyle w:val="FootnoteText"/>
      </w:pPr>
      <w:r w:rsidRPr="00BF0A9E">
        <w:rPr>
          <w:rStyle w:val="FootnoteReference"/>
          <w:rFonts w:asciiTheme="majorHAnsi" w:hAnsiTheme="majorHAnsi"/>
          <w:sz w:val="16"/>
          <w:szCs w:val="16"/>
        </w:rPr>
        <w:footnoteRef/>
      </w:r>
      <w:r w:rsidRPr="00BF0A9E">
        <w:rPr>
          <w:rStyle w:val="FootnoteReference"/>
          <w:rFonts w:asciiTheme="majorHAnsi" w:hAnsiTheme="majorHAnsi"/>
          <w:sz w:val="16"/>
          <w:szCs w:val="16"/>
        </w:rPr>
        <w:t xml:space="preserve"> </w:t>
      </w:r>
      <w:r w:rsidRPr="00BF0A9E">
        <w:rPr>
          <w:rFonts w:asciiTheme="majorHAnsi" w:hAnsiTheme="majorHAnsi"/>
          <w:color w:val="auto"/>
          <w:sz w:val="16"/>
          <w:szCs w:val="16"/>
        </w:rPr>
        <w:t>Missouri Death Row. Capital Punishment in Missouri. Available at:</w:t>
      </w:r>
      <w:r w:rsidRPr="00BF0A9E">
        <w:rPr>
          <w:rFonts w:asciiTheme="majorHAnsi" w:hAnsiTheme="majorHAnsi" w:cs="Arial"/>
          <w:color w:val="auto"/>
          <w:spacing w:val="5"/>
          <w:sz w:val="16"/>
          <w:szCs w:val="16"/>
        </w:rPr>
        <w:t xml:space="preserve"> https://missourideathrow.com/2008/12/gray_marlin/</w:t>
      </w:r>
    </w:p>
  </w:footnote>
  <w:footnote w:id="35">
    <w:p w14:paraId="3CD2CCBA" w14:textId="77777777" w:rsidR="00383EEB" w:rsidRPr="00BF0A9E" w:rsidRDefault="00383EEB">
      <w:pPr>
        <w:pStyle w:val="FootnoteText"/>
        <w:rPr>
          <w:rFonts w:asciiTheme="majorHAnsi" w:hAnsiTheme="majorHAnsi"/>
          <w:sz w:val="16"/>
          <w:szCs w:val="16"/>
        </w:rPr>
      </w:pPr>
      <w:r w:rsidRPr="00BF0A9E">
        <w:rPr>
          <w:rStyle w:val="FootnoteReference"/>
          <w:rFonts w:asciiTheme="majorHAnsi" w:hAnsiTheme="majorHAnsi"/>
          <w:sz w:val="16"/>
          <w:szCs w:val="16"/>
        </w:rPr>
        <w:footnoteRef/>
      </w:r>
      <w:r w:rsidRPr="00BF0A9E">
        <w:rPr>
          <w:rFonts w:asciiTheme="majorHAnsi" w:hAnsiTheme="majorHAnsi"/>
          <w:sz w:val="16"/>
          <w:szCs w:val="16"/>
        </w:rPr>
        <w:t xml:space="preserve"> Gray v Bowersox 281 F.3d 749 (8</w:t>
      </w:r>
      <w:r w:rsidRPr="00BF0A9E">
        <w:rPr>
          <w:rFonts w:asciiTheme="majorHAnsi" w:hAnsiTheme="majorHAnsi"/>
          <w:sz w:val="16"/>
          <w:szCs w:val="16"/>
          <w:vertAlign w:val="superscript"/>
        </w:rPr>
        <w:t>th</w:t>
      </w:r>
      <w:r w:rsidRPr="00BF0A9E">
        <w:rPr>
          <w:rFonts w:asciiTheme="majorHAnsi" w:hAnsiTheme="majorHAnsi"/>
          <w:sz w:val="16"/>
          <w:szCs w:val="16"/>
        </w:rPr>
        <w:t xml:space="preserve"> Cir. 2002).</w:t>
      </w:r>
    </w:p>
  </w:footnote>
  <w:footnote w:id="36">
    <w:p w14:paraId="7E04DC26" w14:textId="77777777" w:rsidR="00383EEB" w:rsidRPr="00BF0A9E" w:rsidRDefault="00383EEB" w:rsidP="008A6254">
      <w:pPr>
        <w:pStyle w:val="FootnoteText"/>
        <w:jc w:val="both"/>
        <w:rPr>
          <w:rFonts w:asciiTheme="majorHAnsi" w:hAnsiTheme="majorHAnsi"/>
          <w:sz w:val="16"/>
          <w:szCs w:val="16"/>
        </w:rPr>
      </w:pPr>
      <w:r w:rsidRPr="00BF0A9E">
        <w:rPr>
          <w:rStyle w:val="FootnoteReference"/>
          <w:rFonts w:asciiTheme="majorHAnsi" w:hAnsiTheme="majorHAnsi"/>
          <w:sz w:val="16"/>
          <w:szCs w:val="16"/>
        </w:rPr>
        <w:footnoteRef/>
      </w:r>
      <w:r w:rsidRPr="00BF0A9E">
        <w:rPr>
          <w:rFonts w:asciiTheme="majorHAnsi" w:hAnsiTheme="majorHAnsi"/>
          <w:sz w:val="16"/>
          <w:szCs w:val="16"/>
        </w:rPr>
        <w:t xml:space="preserve"> Gray v Bowersox 281 F.3d 749 (8</w:t>
      </w:r>
      <w:r w:rsidRPr="00BF0A9E">
        <w:rPr>
          <w:rFonts w:asciiTheme="majorHAnsi" w:hAnsiTheme="majorHAnsi"/>
          <w:sz w:val="16"/>
          <w:szCs w:val="16"/>
          <w:vertAlign w:val="superscript"/>
        </w:rPr>
        <w:t>th</w:t>
      </w:r>
      <w:r w:rsidRPr="00BF0A9E">
        <w:rPr>
          <w:rFonts w:asciiTheme="majorHAnsi" w:hAnsiTheme="majorHAnsi"/>
          <w:sz w:val="16"/>
          <w:szCs w:val="16"/>
        </w:rPr>
        <w:t xml:space="preserve"> Cir. 2002).</w:t>
      </w:r>
    </w:p>
  </w:footnote>
  <w:footnote w:id="37">
    <w:p w14:paraId="1B7EA32E" w14:textId="77777777" w:rsidR="00383EEB" w:rsidRPr="00BF0A9E" w:rsidRDefault="00383EEB">
      <w:pPr>
        <w:pStyle w:val="FootnoteText"/>
        <w:rPr>
          <w:rFonts w:asciiTheme="majorHAnsi" w:hAnsiTheme="majorHAnsi"/>
          <w:sz w:val="16"/>
          <w:szCs w:val="16"/>
        </w:rPr>
      </w:pPr>
      <w:r w:rsidRPr="00BF0A9E">
        <w:rPr>
          <w:rStyle w:val="FootnoteReference"/>
          <w:rFonts w:asciiTheme="majorHAnsi" w:hAnsiTheme="majorHAnsi"/>
          <w:sz w:val="16"/>
          <w:szCs w:val="16"/>
        </w:rPr>
        <w:footnoteRef/>
      </w:r>
      <w:r w:rsidRPr="00BF0A9E">
        <w:rPr>
          <w:rFonts w:asciiTheme="majorHAnsi" w:hAnsiTheme="majorHAnsi"/>
          <w:sz w:val="16"/>
          <w:szCs w:val="16"/>
        </w:rPr>
        <w:t xml:space="preserve"> Gray v </w:t>
      </w:r>
      <w:proofErr w:type="spellStart"/>
      <w:r w:rsidRPr="00BF0A9E">
        <w:rPr>
          <w:rFonts w:asciiTheme="majorHAnsi" w:hAnsiTheme="majorHAnsi"/>
          <w:sz w:val="16"/>
          <w:szCs w:val="16"/>
        </w:rPr>
        <w:t>Luebbers</w:t>
      </w:r>
      <w:proofErr w:type="spellEnd"/>
      <w:r w:rsidRPr="00BF0A9E">
        <w:rPr>
          <w:rFonts w:asciiTheme="majorHAnsi" w:hAnsiTheme="majorHAnsi"/>
          <w:sz w:val="16"/>
          <w:szCs w:val="16"/>
        </w:rPr>
        <w:t>, 537 U.S. 115 (2002)</w:t>
      </w:r>
    </w:p>
  </w:footnote>
  <w:footnote w:id="38">
    <w:p w14:paraId="6446DB79" w14:textId="77777777" w:rsidR="00383EEB" w:rsidRPr="00BF0A9E" w:rsidRDefault="00383EEB">
      <w:pPr>
        <w:pStyle w:val="FootnoteText"/>
      </w:pPr>
      <w:r w:rsidRPr="00BF0A9E">
        <w:rPr>
          <w:rStyle w:val="FootnoteReference"/>
          <w:rFonts w:asciiTheme="majorHAnsi" w:hAnsiTheme="majorHAnsi"/>
          <w:sz w:val="16"/>
          <w:szCs w:val="16"/>
        </w:rPr>
        <w:footnoteRef/>
      </w:r>
      <w:r w:rsidRPr="00BF0A9E">
        <w:rPr>
          <w:rFonts w:asciiTheme="majorHAnsi" w:hAnsiTheme="majorHAnsi"/>
          <w:sz w:val="16"/>
          <w:szCs w:val="16"/>
        </w:rPr>
        <w:t xml:space="preserve"> </w:t>
      </w:r>
      <w:r w:rsidRPr="00BF0A9E">
        <w:rPr>
          <w:rFonts w:asciiTheme="majorHAnsi" w:hAnsiTheme="majorHAnsi"/>
          <w:color w:val="auto"/>
          <w:sz w:val="16"/>
          <w:szCs w:val="16"/>
        </w:rPr>
        <w:t>Missouri Death Row. Capital Punishment in Missouri. Available at:</w:t>
      </w:r>
      <w:r w:rsidRPr="00BF0A9E">
        <w:rPr>
          <w:rFonts w:asciiTheme="majorHAnsi" w:hAnsiTheme="majorHAnsi" w:cs="Arial"/>
          <w:color w:val="auto"/>
          <w:spacing w:val="5"/>
          <w:sz w:val="16"/>
          <w:szCs w:val="16"/>
        </w:rPr>
        <w:t xml:space="preserve"> https://missourideathrow.com/2008/12/gray_marlin/</w:t>
      </w:r>
    </w:p>
  </w:footnote>
  <w:footnote w:id="39">
    <w:p w14:paraId="0D5EA0E7" w14:textId="77777777" w:rsidR="00383EEB" w:rsidRPr="00BF0A9E" w:rsidRDefault="00383EEB" w:rsidP="00314429">
      <w:pPr>
        <w:pStyle w:val="FootnoteText"/>
        <w:jc w:val="both"/>
        <w:rPr>
          <w:rFonts w:asciiTheme="majorHAnsi" w:hAnsiTheme="majorHAnsi"/>
          <w:sz w:val="16"/>
          <w:szCs w:val="16"/>
        </w:rPr>
      </w:pPr>
      <w:r w:rsidRPr="00BF0A9E">
        <w:rPr>
          <w:rStyle w:val="FootnoteReference"/>
          <w:rFonts w:asciiTheme="majorHAnsi" w:hAnsiTheme="majorHAnsi"/>
          <w:sz w:val="16"/>
          <w:szCs w:val="16"/>
        </w:rPr>
        <w:footnoteRef/>
      </w:r>
      <w:r w:rsidRPr="00BF0A9E">
        <w:rPr>
          <w:rFonts w:asciiTheme="majorHAnsi" w:hAnsiTheme="majorHAnsi"/>
          <w:sz w:val="16"/>
          <w:szCs w:val="16"/>
        </w:rPr>
        <w:t xml:space="preserve"> Clemmons v. </w:t>
      </w:r>
      <w:proofErr w:type="spellStart"/>
      <w:r w:rsidRPr="00BF0A9E">
        <w:rPr>
          <w:rFonts w:asciiTheme="majorHAnsi" w:hAnsiTheme="majorHAnsi"/>
          <w:sz w:val="16"/>
          <w:szCs w:val="16"/>
        </w:rPr>
        <w:t>Luebbers</w:t>
      </w:r>
      <w:proofErr w:type="spellEnd"/>
      <w:r w:rsidRPr="00BF0A9E">
        <w:rPr>
          <w:rFonts w:asciiTheme="majorHAnsi" w:hAnsiTheme="majorHAnsi"/>
          <w:sz w:val="16"/>
          <w:szCs w:val="16"/>
        </w:rPr>
        <w:t>, 212 F. Supp.2d 1105 (</w:t>
      </w:r>
      <w:proofErr w:type="spellStart"/>
      <w:r w:rsidRPr="00BF0A9E">
        <w:rPr>
          <w:rFonts w:asciiTheme="majorHAnsi" w:hAnsiTheme="majorHAnsi"/>
          <w:sz w:val="16"/>
          <w:szCs w:val="16"/>
        </w:rPr>
        <w:t>E.D.Mo</w:t>
      </w:r>
      <w:proofErr w:type="spellEnd"/>
      <w:r w:rsidRPr="00BF0A9E">
        <w:rPr>
          <w:rFonts w:asciiTheme="majorHAnsi" w:hAnsiTheme="majorHAnsi"/>
          <w:sz w:val="16"/>
          <w:szCs w:val="16"/>
        </w:rPr>
        <w:t xml:space="preserve">. 2002). Exhibit 5 of the State’s submission of July 28, 2004; Daniel Winfrey v. Missouri Board of Probation and Parole et al. May 30, 2017. Available at: </w:t>
      </w:r>
      <w:hyperlink r:id="rId1" w:history="1">
        <w:r w:rsidRPr="00BF0A9E">
          <w:rPr>
            <w:rFonts w:asciiTheme="majorHAnsi" w:hAnsiTheme="majorHAnsi"/>
            <w:sz w:val="16"/>
            <w:szCs w:val="16"/>
          </w:rPr>
          <w:t>https://caselaw.findlaw.com/mo-court-of-appeals/1862318.html</w:t>
        </w:r>
      </w:hyperlink>
      <w:r w:rsidRPr="00BF0A9E">
        <w:rPr>
          <w:rFonts w:asciiTheme="majorHAnsi" w:hAnsiTheme="majorHAnsi"/>
          <w:sz w:val="16"/>
          <w:szCs w:val="16"/>
        </w:rPr>
        <w:t>;</w:t>
      </w:r>
      <w:r w:rsidRPr="00BF0A9E">
        <w:t xml:space="preserve"> </w:t>
      </w:r>
      <w:r w:rsidRPr="00BF0A9E">
        <w:rPr>
          <w:rFonts w:asciiTheme="majorHAnsi" w:hAnsiTheme="majorHAnsi"/>
          <w:sz w:val="16"/>
          <w:szCs w:val="16"/>
        </w:rPr>
        <w:t xml:space="preserve">The Seattle Times. Ex-Missouri death row inmate re-sentenced to life in prison. December 18, 2017; Belleville News-Democrat. Twenty-six years later, las of four Chain of Rocks Bridge killers pleads guilty. Available at: </w:t>
      </w:r>
      <w:hyperlink r:id="rId2" w:history="1">
        <w:r w:rsidRPr="00BF0A9E">
          <w:rPr>
            <w:rStyle w:val="Hyperlink"/>
            <w:rFonts w:asciiTheme="majorHAnsi" w:hAnsiTheme="majorHAnsi"/>
            <w:sz w:val="16"/>
            <w:szCs w:val="16"/>
          </w:rPr>
          <w:t>https://www.bnd.com/news/local/crime/article190391684.html</w:t>
        </w:r>
      </w:hyperlink>
      <w:r w:rsidRPr="00BF0A9E">
        <w:rPr>
          <w:rFonts w:asciiTheme="majorHAnsi" w:hAnsiTheme="majorHAnsi"/>
          <w:sz w:val="16"/>
          <w:szCs w:val="16"/>
        </w:rPr>
        <w:t xml:space="preserve"> </w:t>
      </w:r>
    </w:p>
  </w:footnote>
  <w:footnote w:id="40">
    <w:p w14:paraId="024F7FA2" w14:textId="77777777" w:rsidR="00383EEB" w:rsidRPr="00BF0A9E" w:rsidRDefault="00383EEB" w:rsidP="00CC0D1F">
      <w:pPr>
        <w:pStyle w:val="FootnoteText"/>
        <w:jc w:val="both"/>
        <w:rPr>
          <w:rFonts w:asciiTheme="majorHAnsi" w:hAnsiTheme="majorHAnsi"/>
          <w:sz w:val="16"/>
          <w:szCs w:val="16"/>
        </w:rPr>
      </w:pPr>
      <w:r w:rsidRPr="00BF0A9E">
        <w:rPr>
          <w:rStyle w:val="FootnoteReference"/>
          <w:rFonts w:asciiTheme="majorHAnsi" w:hAnsiTheme="majorHAnsi"/>
          <w:sz w:val="16"/>
          <w:szCs w:val="16"/>
        </w:rPr>
        <w:footnoteRef/>
      </w:r>
      <w:r w:rsidRPr="00BF0A9E">
        <w:rPr>
          <w:rFonts w:asciiTheme="majorHAnsi" w:hAnsiTheme="majorHAnsi"/>
          <w:sz w:val="16"/>
          <w:szCs w:val="16"/>
        </w:rPr>
        <w:t xml:space="preserve"> Clemmons v. </w:t>
      </w:r>
      <w:proofErr w:type="spellStart"/>
      <w:r w:rsidRPr="00BF0A9E">
        <w:rPr>
          <w:rFonts w:asciiTheme="majorHAnsi" w:hAnsiTheme="majorHAnsi"/>
          <w:sz w:val="16"/>
          <w:szCs w:val="16"/>
        </w:rPr>
        <w:t>Luebbers</w:t>
      </w:r>
      <w:proofErr w:type="spellEnd"/>
      <w:r w:rsidRPr="00BF0A9E">
        <w:rPr>
          <w:rFonts w:asciiTheme="majorHAnsi" w:hAnsiTheme="majorHAnsi"/>
          <w:sz w:val="16"/>
          <w:szCs w:val="16"/>
        </w:rPr>
        <w:t>, 212 F. Supp.2d 1105 (</w:t>
      </w:r>
      <w:proofErr w:type="spellStart"/>
      <w:r w:rsidRPr="00BF0A9E">
        <w:rPr>
          <w:rFonts w:asciiTheme="majorHAnsi" w:hAnsiTheme="majorHAnsi"/>
          <w:sz w:val="16"/>
          <w:szCs w:val="16"/>
        </w:rPr>
        <w:t>E.D.Mo</w:t>
      </w:r>
      <w:proofErr w:type="spellEnd"/>
      <w:r w:rsidRPr="00BF0A9E">
        <w:rPr>
          <w:rFonts w:asciiTheme="majorHAnsi" w:hAnsiTheme="majorHAnsi"/>
          <w:sz w:val="16"/>
          <w:szCs w:val="16"/>
        </w:rPr>
        <w:t>. 2002). Exhibit 5 of the State’s submission of July 28, 2004.</w:t>
      </w:r>
    </w:p>
  </w:footnote>
  <w:footnote w:id="41">
    <w:p w14:paraId="3EE028CB" w14:textId="77777777" w:rsidR="00383EEB" w:rsidRPr="00BF0A9E" w:rsidRDefault="00383EEB">
      <w:pPr>
        <w:pStyle w:val="FootnoteText"/>
      </w:pPr>
      <w:r w:rsidRPr="00BF0A9E">
        <w:rPr>
          <w:rFonts w:asciiTheme="majorHAnsi" w:eastAsia="Cambria" w:hAnsiTheme="majorHAnsi" w:cs="Cambria"/>
          <w:sz w:val="16"/>
          <w:vertAlign w:val="superscript"/>
        </w:rPr>
        <w:footnoteRef/>
      </w:r>
      <w:r w:rsidRPr="00BF0A9E">
        <w:rPr>
          <w:rFonts w:asciiTheme="majorHAnsi" w:eastAsia="Cambria" w:hAnsiTheme="majorHAnsi" w:cs="Cambria"/>
          <w:sz w:val="16"/>
          <w:vertAlign w:val="superscript"/>
        </w:rPr>
        <w:t xml:space="preserve"> </w:t>
      </w:r>
      <w:r w:rsidRPr="00BF0A9E">
        <w:rPr>
          <w:rFonts w:asciiTheme="majorHAnsi" w:hAnsiTheme="majorHAnsi"/>
          <w:sz w:val="16"/>
          <w:szCs w:val="16"/>
        </w:rPr>
        <w:t>State’s submission of July 28, 2004, p. 5.</w:t>
      </w:r>
    </w:p>
  </w:footnote>
  <w:footnote w:id="42">
    <w:p w14:paraId="3889BD67" w14:textId="77777777" w:rsidR="00383EEB" w:rsidRPr="00BF0A9E" w:rsidRDefault="00383EEB">
      <w:pPr>
        <w:pStyle w:val="FootnoteText"/>
      </w:pPr>
      <w:r w:rsidRPr="00BF0A9E">
        <w:rPr>
          <w:rFonts w:asciiTheme="majorHAnsi" w:eastAsia="Cambria" w:hAnsiTheme="majorHAnsi" w:cs="Cambria"/>
          <w:sz w:val="16"/>
          <w:vertAlign w:val="superscript"/>
        </w:rPr>
        <w:footnoteRef/>
      </w:r>
      <w:r w:rsidRPr="00BF0A9E">
        <w:t xml:space="preserve"> </w:t>
      </w:r>
      <w:r w:rsidRPr="00BF0A9E">
        <w:rPr>
          <w:rFonts w:asciiTheme="majorHAnsi" w:hAnsiTheme="majorHAnsi"/>
          <w:sz w:val="16"/>
          <w:szCs w:val="16"/>
        </w:rPr>
        <w:t xml:space="preserve">Clemmons v. </w:t>
      </w:r>
      <w:proofErr w:type="spellStart"/>
      <w:r w:rsidRPr="00BF0A9E">
        <w:rPr>
          <w:rFonts w:asciiTheme="majorHAnsi" w:hAnsiTheme="majorHAnsi"/>
          <w:sz w:val="16"/>
          <w:szCs w:val="16"/>
        </w:rPr>
        <w:t>Luebbers</w:t>
      </w:r>
      <w:proofErr w:type="spellEnd"/>
      <w:r w:rsidRPr="00BF0A9E">
        <w:rPr>
          <w:rFonts w:asciiTheme="majorHAnsi" w:hAnsiTheme="majorHAnsi"/>
          <w:sz w:val="16"/>
          <w:szCs w:val="16"/>
        </w:rPr>
        <w:t>, 212 F. Supp.2d 1105 (</w:t>
      </w:r>
      <w:proofErr w:type="spellStart"/>
      <w:r w:rsidRPr="00BF0A9E">
        <w:rPr>
          <w:rFonts w:asciiTheme="majorHAnsi" w:hAnsiTheme="majorHAnsi"/>
          <w:sz w:val="16"/>
          <w:szCs w:val="16"/>
        </w:rPr>
        <w:t>E.D.Mo</w:t>
      </w:r>
      <w:proofErr w:type="spellEnd"/>
      <w:r w:rsidRPr="00BF0A9E">
        <w:rPr>
          <w:rFonts w:asciiTheme="majorHAnsi" w:hAnsiTheme="majorHAnsi"/>
          <w:sz w:val="16"/>
          <w:szCs w:val="16"/>
        </w:rPr>
        <w:t>. 2002). Exhibit 5 of the State’s submission of July 28, 2004.</w:t>
      </w:r>
    </w:p>
  </w:footnote>
  <w:footnote w:id="43">
    <w:p w14:paraId="1733F81B" w14:textId="77777777" w:rsidR="00383EEB" w:rsidRPr="00BF0A9E" w:rsidRDefault="00383EEB" w:rsidP="008049CD">
      <w:pPr>
        <w:pStyle w:val="FootnoteText"/>
        <w:jc w:val="both"/>
        <w:rPr>
          <w:rFonts w:asciiTheme="majorHAnsi" w:hAnsiTheme="majorHAnsi"/>
          <w:sz w:val="16"/>
          <w:szCs w:val="16"/>
        </w:rPr>
      </w:pPr>
      <w:r w:rsidRPr="00BF0A9E">
        <w:rPr>
          <w:rStyle w:val="FootnoteReference"/>
          <w:rFonts w:asciiTheme="majorHAnsi" w:hAnsiTheme="majorHAnsi"/>
          <w:sz w:val="16"/>
          <w:szCs w:val="16"/>
        </w:rPr>
        <w:footnoteRef/>
      </w:r>
      <w:r w:rsidRPr="00BF0A9E">
        <w:rPr>
          <w:rFonts w:asciiTheme="majorHAnsi" w:hAnsiTheme="majorHAnsi"/>
          <w:sz w:val="16"/>
          <w:szCs w:val="16"/>
        </w:rPr>
        <w:t xml:space="preserve"> The Seattle Times. Ex-Missouri death row inmate re-sentenced to life in prison. December 18, 2017. Available at: </w:t>
      </w:r>
      <w:hyperlink r:id="rId3" w:history="1">
        <w:r w:rsidRPr="00BF0A9E">
          <w:rPr>
            <w:rStyle w:val="Hyperlink"/>
            <w:rFonts w:asciiTheme="majorHAnsi" w:hAnsiTheme="majorHAnsi"/>
            <w:sz w:val="16"/>
            <w:szCs w:val="16"/>
          </w:rPr>
          <w:t>https://www.seattletimes.com/nation-world/ex-missouri-death-row-inmate-re-sentenced-to-life-in-prison/</w:t>
        </w:r>
      </w:hyperlink>
      <w:r w:rsidRPr="00BF0A9E">
        <w:rPr>
          <w:rFonts w:asciiTheme="majorHAnsi" w:hAnsiTheme="majorHAnsi"/>
          <w:sz w:val="16"/>
          <w:szCs w:val="16"/>
        </w:rPr>
        <w:t xml:space="preserve">; Daily News. Killer who raped sisters and pushed them off bridge could be released in two years despite initial death sentence. September 25, 2018. Available at: </w:t>
      </w:r>
      <w:hyperlink r:id="rId4" w:history="1">
        <w:r w:rsidRPr="00BF0A9E">
          <w:rPr>
            <w:rStyle w:val="Hyperlink"/>
            <w:rFonts w:asciiTheme="majorHAnsi" w:hAnsiTheme="majorHAnsi"/>
            <w:sz w:val="16"/>
            <w:szCs w:val="16"/>
          </w:rPr>
          <w:t>http://www.nydailynews.com/news/crime/ny-news-clemons-sisters-parole-20180925-story.html</w:t>
        </w:r>
      </w:hyperlink>
      <w:r w:rsidRPr="00BF0A9E">
        <w:rPr>
          <w:rFonts w:asciiTheme="majorHAnsi" w:hAnsiTheme="majorHAnsi"/>
          <w:sz w:val="16"/>
          <w:szCs w:val="16"/>
        </w:rPr>
        <w:t xml:space="preserve">   </w:t>
      </w:r>
    </w:p>
  </w:footnote>
  <w:footnote w:id="44">
    <w:p w14:paraId="3FC1D590" w14:textId="77777777" w:rsidR="00383EEB" w:rsidRPr="00BF0A9E" w:rsidRDefault="00383EEB" w:rsidP="008049CD">
      <w:pPr>
        <w:pStyle w:val="FootnoteText"/>
        <w:jc w:val="both"/>
        <w:rPr>
          <w:rFonts w:asciiTheme="majorHAnsi" w:hAnsiTheme="majorHAnsi"/>
          <w:sz w:val="16"/>
          <w:szCs w:val="16"/>
        </w:rPr>
      </w:pPr>
      <w:r w:rsidRPr="00BF0A9E">
        <w:rPr>
          <w:rFonts w:asciiTheme="majorHAnsi" w:eastAsia="Cambria" w:hAnsiTheme="majorHAnsi" w:cs="Cambria"/>
          <w:sz w:val="16"/>
          <w:szCs w:val="16"/>
          <w:vertAlign w:val="superscript"/>
        </w:rPr>
        <w:footnoteRef/>
      </w:r>
      <w:r w:rsidRPr="00BF0A9E">
        <w:rPr>
          <w:rFonts w:asciiTheme="majorHAnsi" w:eastAsia="Cambria" w:hAnsiTheme="majorHAnsi" w:cs="Cambria"/>
          <w:sz w:val="16"/>
          <w:szCs w:val="16"/>
        </w:rPr>
        <w:t xml:space="preserve"> See, in this respect, IACHR, The death penalty in the Inter-American System of Human Rights: From restrictions to abolition, OEA/</w:t>
      </w:r>
      <w:proofErr w:type="spellStart"/>
      <w:r w:rsidRPr="00BF0A9E">
        <w:rPr>
          <w:rFonts w:asciiTheme="majorHAnsi" w:eastAsia="Cambria" w:hAnsiTheme="majorHAnsi" w:cs="Cambria"/>
          <w:sz w:val="16"/>
          <w:szCs w:val="16"/>
        </w:rPr>
        <w:t>Ser.L</w:t>
      </w:r>
      <w:proofErr w:type="spellEnd"/>
      <w:r w:rsidRPr="00BF0A9E">
        <w:rPr>
          <w:rFonts w:asciiTheme="majorHAnsi" w:eastAsia="Cambria" w:hAnsiTheme="majorHAnsi" w:cs="Cambria"/>
          <w:sz w:val="16"/>
          <w:szCs w:val="16"/>
        </w:rPr>
        <w:t>/V/II.Doc. 68, December 31, 2011.</w:t>
      </w:r>
    </w:p>
  </w:footnote>
  <w:footnote w:id="45">
    <w:p w14:paraId="0A2AC02B" w14:textId="77777777" w:rsidR="00383EEB" w:rsidRPr="00BF0A9E" w:rsidRDefault="00383EEB" w:rsidP="008049CD">
      <w:pPr>
        <w:pStyle w:val="FootnoteText"/>
        <w:jc w:val="both"/>
        <w:rPr>
          <w:rFonts w:asciiTheme="majorHAnsi" w:hAnsiTheme="majorHAnsi"/>
          <w:sz w:val="16"/>
        </w:rPr>
      </w:pPr>
      <w:r w:rsidRPr="00BF0A9E">
        <w:rPr>
          <w:rFonts w:asciiTheme="majorHAnsi" w:eastAsia="Cambria" w:hAnsiTheme="majorHAnsi" w:cs="Cambria"/>
          <w:sz w:val="16"/>
          <w:szCs w:val="16"/>
          <w:vertAlign w:val="superscript"/>
        </w:rPr>
        <w:footnoteRef/>
      </w:r>
      <w:r w:rsidRPr="00BF0A9E">
        <w:rPr>
          <w:rFonts w:asciiTheme="majorHAnsi" w:eastAsia="Cambria" w:hAnsiTheme="majorHAnsi" w:cs="Cambria"/>
          <w:sz w:val="16"/>
          <w:szCs w:val="16"/>
        </w:rPr>
        <w:t xml:space="preserve"> See, for example: I/A Court H. R., Advisory Opinion OC-16/99 (October 1, 1999), </w:t>
      </w:r>
      <w:r w:rsidRPr="00BF0A9E">
        <w:rPr>
          <w:rFonts w:asciiTheme="majorHAnsi" w:eastAsia="Cambria" w:hAnsiTheme="majorHAnsi" w:cs="Cambria"/>
          <w:i/>
          <w:iCs/>
          <w:sz w:val="16"/>
          <w:szCs w:val="16"/>
        </w:rPr>
        <w:t>The Right to Information on Consular Assistance in the Framework of the Guarantees of the Due Process of Law</w:t>
      </w:r>
      <w:r w:rsidRPr="00BF0A9E">
        <w:rPr>
          <w:rFonts w:asciiTheme="majorHAnsi" w:eastAsia="Cambria" w:hAnsiTheme="majorHAnsi" w:cs="Cambria"/>
          <w:sz w:val="16"/>
          <w:szCs w:val="16"/>
        </w:rPr>
        <w:t xml:space="preserve">, para. 136 (finding that “because execution of the death penalty is irreversible, the strictest and most rigorous enforcement of judicial guarantees is required of the State so that those guarantees are not violated and a human life is not arbitrarily taken as a result”); United Nations Human Rights Committee, </w:t>
      </w:r>
      <w:proofErr w:type="spellStart"/>
      <w:r w:rsidRPr="00BF0A9E">
        <w:rPr>
          <w:rFonts w:asciiTheme="majorHAnsi" w:eastAsia="Cambria" w:hAnsiTheme="majorHAnsi" w:cs="Cambria"/>
          <w:i/>
          <w:iCs/>
          <w:sz w:val="16"/>
          <w:szCs w:val="16"/>
        </w:rPr>
        <w:t>Baboheram-Adhin</w:t>
      </w:r>
      <w:proofErr w:type="spellEnd"/>
      <w:r w:rsidRPr="00BF0A9E">
        <w:rPr>
          <w:rFonts w:asciiTheme="majorHAnsi" w:eastAsia="Cambria" w:hAnsiTheme="majorHAnsi" w:cs="Cambria"/>
          <w:i/>
          <w:iCs/>
          <w:sz w:val="16"/>
          <w:szCs w:val="16"/>
        </w:rPr>
        <w:t xml:space="preserve"> et al. v. Suriname</w:t>
      </w:r>
      <w:r w:rsidRPr="00BF0A9E">
        <w:rPr>
          <w:rFonts w:asciiTheme="majorHAnsi" w:eastAsia="Cambria" w:hAnsiTheme="majorHAnsi" w:cs="Cambria"/>
          <w:sz w:val="16"/>
          <w:szCs w:val="16"/>
        </w:rPr>
        <w:t>,</w:t>
      </w:r>
      <w:r w:rsidRPr="00BF0A9E">
        <w:rPr>
          <w:rFonts w:asciiTheme="majorHAnsi" w:eastAsia="Cambria" w:hAnsiTheme="majorHAnsi" w:cs="Cambria"/>
          <w:i/>
          <w:iCs/>
          <w:sz w:val="16"/>
          <w:szCs w:val="16"/>
        </w:rPr>
        <w:t xml:space="preserve"> </w:t>
      </w:r>
      <w:r w:rsidRPr="00BF0A9E">
        <w:rPr>
          <w:rFonts w:asciiTheme="majorHAnsi" w:eastAsia="Cambria" w:hAnsiTheme="majorHAnsi" w:cs="Cambria"/>
          <w:sz w:val="16"/>
          <w:szCs w:val="16"/>
        </w:rPr>
        <w:t xml:space="preserve">Communications Nos. 148-154/1983, adopted on April 4, 1985, para. 14.3 (observing that “the law must strictly control and limit the circumstances in which a person may be deprived of his life by the authorities of a State”); </w:t>
      </w:r>
      <w:r w:rsidRPr="00BF0A9E">
        <w:rPr>
          <w:rFonts w:asciiTheme="majorHAnsi" w:eastAsia="Cambria" w:hAnsiTheme="majorHAnsi" w:cs="Cambria"/>
          <w:i/>
          <w:iCs/>
          <w:sz w:val="16"/>
          <w:szCs w:val="16"/>
        </w:rPr>
        <w:t>Report of the United Nations Special Rapporteur on Extrajudicial Executions</w:t>
      </w:r>
      <w:r w:rsidRPr="00BF0A9E">
        <w:rPr>
          <w:rFonts w:asciiTheme="majorHAnsi" w:eastAsia="Cambria" w:hAnsiTheme="majorHAnsi" w:cs="Cambria"/>
          <w:sz w:val="16"/>
          <w:szCs w:val="16"/>
        </w:rPr>
        <w:t xml:space="preserve">, </w:t>
      </w:r>
      <w:proofErr w:type="spellStart"/>
      <w:r w:rsidRPr="00BF0A9E">
        <w:rPr>
          <w:rFonts w:asciiTheme="majorHAnsi" w:eastAsia="Cambria" w:hAnsiTheme="majorHAnsi" w:cs="Cambria"/>
          <w:sz w:val="16"/>
          <w:szCs w:val="16"/>
        </w:rPr>
        <w:t>Bacre</w:t>
      </w:r>
      <w:proofErr w:type="spellEnd"/>
      <w:r w:rsidRPr="00BF0A9E">
        <w:rPr>
          <w:rFonts w:asciiTheme="majorHAnsi" w:eastAsia="Cambria" w:hAnsiTheme="majorHAnsi" w:cs="Cambria"/>
          <w:sz w:val="16"/>
          <w:szCs w:val="16"/>
        </w:rPr>
        <w:t xml:space="preserve"> Waly Ndiaye, submitted pursuant to Commission on Human Rights Resolution 1994/82, Question of the Violation of Human Rights and Fundamental Freedoms in any part of the World, with particular reference to Colonial and Other Dependent Countries and Territories, UN </w:t>
      </w:r>
      <w:proofErr w:type="spellStart"/>
      <w:r w:rsidRPr="00BF0A9E">
        <w:rPr>
          <w:rFonts w:asciiTheme="majorHAnsi" w:eastAsia="Cambria" w:hAnsiTheme="majorHAnsi" w:cs="Cambria"/>
          <w:sz w:val="16"/>
          <w:szCs w:val="16"/>
        </w:rPr>
        <w:t>Doc.E</w:t>
      </w:r>
      <w:proofErr w:type="spellEnd"/>
      <w:r w:rsidRPr="00BF0A9E">
        <w:rPr>
          <w:rFonts w:asciiTheme="majorHAnsi" w:eastAsia="Cambria" w:hAnsiTheme="majorHAnsi" w:cs="Cambria"/>
          <w:sz w:val="16"/>
          <w:szCs w:val="16"/>
        </w:rPr>
        <w:t xml:space="preserve">/CN.4/1995/61 (December 14, 1994) (“the Ndiaye Report”), para. 378 (emphasizing that in capital cases, it is the application of the standards of fair trial to </w:t>
      </w:r>
      <w:proofErr w:type="gramStart"/>
      <w:r w:rsidRPr="00BF0A9E">
        <w:rPr>
          <w:rFonts w:asciiTheme="majorHAnsi" w:eastAsia="Cambria" w:hAnsiTheme="majorHAnsi" w:cs="Cambria"/>
          <w:sz w:val="16"/>
          <w:szCs w:val="16"/>
        </w:rPr>
        <w:t>each and every</w:t>
      </w:r>
      <w:proofErr w:type="gramEnd"/>
      <w:r w:rsidRPr="00BF0A9E">
        <w:rPr>
          <w:rFonts w:asciiTheme="majorHAnsi" w:eastAsia="Cambria" w:hAnsiTheme="majorHAnsi" w:cs="Cambria"/>
          <w:sz w:val="16"/>
          <w:szCs w:val="16"/>
        </w:rPr>
        <w:t xml:space="preserve"> case that needs to be ensured and, in case of indications to the contrary, verified, in accordance with the obligation under international law to conduct exhaustive and impartial investigations into all allegations of violation of the right to life).</w:t>
      </w:r>
    </w:p>
  </w:footnote>
  <w:footnote w:id="46">
    <w:p w14:paraId="251AF6B5" w14:textId="77777777" w:rsidR="00383EEB" w:rsidRPr="00BF0A9E" w:rsidRDefault="00383EEB" w:rsidP="008A6254">
      <w:pPr>
        <w:pStyle w:val="FootnoteText"/>
        <w:jc w:val="both"/>
        <w:rPr>
          <w:rFonts w:asciiTheme="majorHAnsi" w:hAnsiTheme="majorHAnsi"/>
          <w:sz w:val="16"/>
        </w:rPr>
      </w:pPr>
      <w:r w:rsidRPr="00BF0A9E">
        <w:rPr>
          <w:rFonts w:asciiTheme="majorHAnsi" w:eastAsia="Cambria" w:hAnsiTheme="majorHAnsi" w:cs="Cambria"/>
          <w:sz w:val="16"/>
          <w:vertAlign w:val="superscript"/>
        </w:rPr>
        <w:footnoteRef/>
      </w:r>
      <w:r w:rsidRPr="00BF0A9E">
        <w:rPr>
          <w:rFonts w:asciiTheme="majorHAnsi" w:eastAsia="Cambria" w:hAnsiTheme="majorHAnsi" w:cs="Cambria"/>
          <w:sz w:val="16"/>
          <w:szCs w:val="16"/>
        </w:rPr>
        <w:t xml:space="preserve"> IACHR, Report No. 11/15, Case 12.833, Merits (Publication), Felix Rocha Diaz, United States, March 23, 2015, para. 54; Report No. 44/14, Case 12.873, Merits (Publication), Edgar Tamayo Arias, United States, July 17, 2014, para. 127;</w:t>
      </w:r>
      <w:r w:rsidRPr="00BF0A9E">
        <w:rPr>
          <w:rFonts w:asciiTheme="majorHAnsi" w:eastAsia="Cambria" w:hAnsiTheme="majorHAnsi" w:cs="Cambria"/>
          <w:i/>
          <w:iCs/>
          <w:sz w:val="16"/>
          <w:szCs w:val="16"/>
        </w:rPr>
        <w:t xml:space="preserve"> </w:t>
      </w:r>
      <w:r w:rsidRPr="00BF0A9E">
        <w:rPr>
          <w:rFonts w:asciiTheme="majorHAnsi" w:eastAsia="Cambria" w:hAnsiTheme="majorHAnsi" w:cs="Cambria"/>
          <w:sz w:val="16"/>
          <w:szCs w:val="16"/>
        </w:rPr>
        <w:t>Report No. 57/96, Andrews, United States, IACHR Annual Report 1997, para. 170-171.</w:t>
      </w:r>
    </w:p>
  </w:footnote>
  <w:footnote w:id="47">
    <w:p w14:paraId="1677435D" w14:textId="77777777" w:rsidR="00383EEB" w:rsidRPr="00BF0A9E" w:rsidRDefault="00383EEB" w:rsidP="008A6254">
      <w:pPr>
        <w:pStyle w:val="Body"/>
        <w:jc w:val="both"/>
        <w:rPr>
          <w:rFonts w:asciiTheme="majorHAnsi" w:hAnsiTheme="majorHAnsi"/>
          <w:sz w:val="16"/>
        </w:rPr>
      </w:pPr>
      <w:r w:rsidRPr="00BF0A9E">
        <w:rPr>
          <w:rFonts w:asciiTheme="majorHAnsi" w:eastAsia="Cambria" w:hAnsiTheme="majorHAnsi" w:cs="Cambria"/>
          <w:sz w:val="16"/>
          <w:szCs w:val="20"/>
          <w:vertAlign w:val="superscript"/>
        </w:rPr>
        <w:footnoteRef/>
      </w:r>
      <w:r w:rsidRPr="00BF0A9E">
        <w:rPr>
          <w:rFonts w:asciiTheme="majorHAnsi" w:eastAsia="Cambria" w:hAnsiTheme="majorHAnsi" w:cs="Cambria"/>
          <w:sz w:val="16"/>
          <w:szCs w:val="16"/>
        </w:rPr>
        <w:t xml:space="preserve"> IACHR, The death penalty in the Inter-American System of Human Rights: From restrictions to abolition, OEA/</w:t>
      </w:r>
      <w:proofErr w:type="spellStart"/>
      <w:r w:rsidRPr="00BF0A9E">
        <w:rPr>
          <w:rFonts w:asciiTheme="majorHAnsi" w:eastAsia="Cambria" w:hAnsiTheme="majorHAnsi" w:cs="Cambria"/>
          <w:sz w:val="16"/>
          <w:szCs w:val="16"/>
        </w:rPr>
        <w:t>Ser.L</w:t>
      </w:r>
      <w:proofErr w:type="spellEnd"/>
      <w:r w:rsidRPr="00BF0A9E">
        <w:rPr>
          <w:rFonts w:asciiTheme="majorHAnsi" w:eastAsia="Cambria" w:hAnsiTheme="majorHAnsi" w:cs="Cambria"/>
          <w:sz w:val="16"/>
          <w:szCs w:val="16"/>
        </w:rPr>
        <w:t>/V/II.Doc. 68, December 31, 2011, para. 41.</w:t>
      </w:r>
    </w:p>
  </w:footnote>
  <w:footnote w:id="48">
    <w:p w14:paraId="786016CE" w14:textId="77777777" w:rsidR="00383EEB" w:rsidRPr="00BF0A9E" w:rsidRDefault="00383EEB" w:rsidP="008A6254">
      <w:pPr>
        <w:pStyle w:val="Body"/>
        <w:jc w:val="both"/>
        <w:rPr>
          <w:rFonts w:asciiTheme="majorHAnsi" w:hAnsiTheme="majorHAnsi"/>
          <w:sz w:val="16"/>
        </w:rPr>
      </w:pPr>
      <w:r w:rsidRPr="00BF0A9E">
        <w:rPr>
          <w:rFonts w:asciiTheme="majorHAnsi" w:eastAsia="Cambria" w:hAnsiTheme="majorHAnsi" w:cs="Cambria"/>
          <w:sz w:val="16"/>
          <w:szCs w:val="20"/>
          <w:vertAlign w:val="superscript"/>
        </w:rPr>
        <w:footnoteRef/>
      </w:r>
      <w:r w:rsidRPr="00BF0A9E">
        <w:rPr>
          <w:rFonts w:asciiTheme="majorHAnsi" w:eastAsia="Cambria" w:hAnsiTheme="majorHAnsi" w:cs="Cambria"/>
          <w:sz w:val="16"/>
          <w:szCs w:val="16"/>
        </w:rPr>
        <w:t xml:space="preserve"> IACHR, Report No. 78/07, Case 12.265, Merits (Publication), Chad Roger Goodman, The Bahamas, October 15, 2007, para. 34.</w:t>
      </w:r>
    </w:p>
  </w:footnote>
  <w:footnote w:id="49">
    <w:p w14:paraId="1957DCBE" w14:textId="77777777" w:rsidR="00383EEB" w:rsidRPr="00BF0A9E" w:rsidRDefault="00383EEB" w:rsidP="008A6254">
      <w:pPr>
        <w:pStyle w:val="FootnoteText"/>
        <w:jc w:val="both"/>
        <w:rPr>
          <w:rFonts w:asciiTheme="majorHAnsi" w:hAnsiTheme="majorHAnsi"/>
          <w:sz w:val="16"/>
        </w:rPr>
      </w:pPr>
      <w:r w:rsidRPr="00BF0A9E">
        <w:rPr>
          <w:rFonts w:asciiTheme="majorHAnsi" w:eastAsia="Cambria" w:hAnsiTheme="majorHAnsi" w:cs="Cambria"/>
          <w:sz w:val="16"/>
          <w:vertAlign w:val="superscript"/>
        </w:rPr>
        <w:footnoteRef/>
      </w:r>
      <w:r w:rsidRPr="00BF0A9E">
        <w:rPr>
          <w:rFonts w:asciiTheme="majorHAnsi" w:eastAsia="Cambria" w:hAnsiTheme="majorHAnsi" w:cs="Cambria"/>
          <w:sz w:val="16"/>
          <w:szCs w:val="16"/>
        </w:rPr>
        <w:t xml:space="preserve"> IACHR, Report No. 44/14, Case 12,873, Report on Merits (Publication), Edgar Tamayo Arias, United States, July 17, 2014, para. 214.</w:t>
      </w:r>
    </w:p>
  </w:footnote>
  <w:footnote w:id="50">
    <w:p w14:paraId="5ABC1AE5" w14:textId="77777777" w:rsidR="00383EEB" w:rsidRPr="00BF0A9E" w:rsidRDefault="00383EEB" w:rsidP="008A6254">
      <w:pPr>
        <w:pStyle w:val="Body"/>
        <w:jc w:val="both"/>
        <w:rPr>
          <w:rFonts w:asciiTheme="majorHAnsi" w:eastAsia="Cambria" w:hAnsiTheme="majorHAnsi" w:cs="Cambria"/>
          <w:sz w:val="16"/>
          <w:szCs w:val="20"/>
        </w:rPr>
      </w:pPr>
      <w:r w:rsidRPr="00BF0A9E">
        <w:rPr>
          <w:rStyle w:val="FootnoteReference"/>
          <w:rFonts w:asciiTheme="majorHAnsi" w:hAnsiTheme="majorHAnsi"/>
          <w:sz w:val="16"/>
          <w:szCs w:val="16"/>
        </w:rPr>
        <w:footnoteRef/>
      </w:r>
      <w:r w:rsidRPr="00BF0A9E">
        <w:rPr>
          <w:rStyle w:val="FootnoteReference"/>
          <w:rFonts w:asciiTheme="majorHAnsi" w:hAnsiTheme="majorHAnsi"/>
          <w:sz w:val="16"/>
          <w:szCs w:val="16"/>
        </w:rPr>
        <w:t xml:space="preserve"> </w:t>
      </w:r>
      <w:r w:rsidRPr="00BF0A9E">
        <w:rPr>
          <w:rFonts w:asciiTheme="majorHAnsi" w:hAnsiTheme="majorHAnsi"/>
          <w:sz w:val="16"/>
          <w:szCs w:val="16"/>
        </w:rPr>
        <w:t>Article I of the American Declaration provides: “</w:t>
      </w:r>
      <w:r w:rsidRPr="00BF0A9E">
        <w:rPr>
          <w:rFonts w:asciiTheme="majorHAnsi" w:eastAsia="Cambria" w:hAnsiTheme="majorHAnsi" w:cs="Cambria"/>
          <w:sz w:val="16"/>
          <w:szCs w:val="16"/>
          <w:shd w:val="clear" w:color="auto" w:fill="FFFFFF"/>
        </w:rPr>
        <w:t>Every human being has the right to life, liberty and the security of his person</w:t>
      </w:r>
      <w:r w:rsidRPr="00BF0A9E">
        <w:rPr>
          <w:rFonts w:asciiTheme="majorHAnsi" w:hAnsiTheme="majorHAnsi"/>
          <w:sz w:val="16"/>
          <w:szCs w:val="16"/>
        </w:rPr>
        <w:t>.”</w:t>
      </w:r>
    </w:p>
  </w:footnote>
  <w:footnote w:id="51">
    <w:p w14:paraId="7D60B408" w14:textId="77777777" w:rsidR="00383EEB" w:rsidRPr="00BF0A9E" w:rsidRDefault="00383EEB" w:rsidP="008A6254">
      <w:pPr>
        <w:pStyle w:val="NormalWeb"/>
        <w:spacing w:before="0" w:beforeAutospacing="0" w:after="0" w:afterAutospacing="0"/>
        <w:jc w:val="both"/>
      </w:pPr>
      <w:r w:rsidRPr="00BF0A9E">
        <w:rPr>
          <w:rFonts w:asciiTheme="majorHAnsi" w:eastAsia="Calibri" w:hAnsiTheme="majorHAnsi" w:cs="Calibri"/>
          <w:sz w:val="16"/>
          <w:szCs w:val="20"/>
          <w:vertAlign w:val="superscript"/>
        </w:rPr>
        <w:footnoteRef/>
      </w:r>
      <w:r w:rsidRPr="00BF0A9E">
        <w:rPr>
          <w:rFonts w:asciiTheme="majorHAnsi" w:hAnsiTheme="majorHAnsi"/>
          <w:sz w:val="16"/>
        </w:rPr>
        <w:t xml:space="preserve"> IACHR, Report No. 121/18, Case 10.573. Merits (Publication). Jose Isabel Salas Galindo and others. United States. October 5, 2018, para. 337. See also, </w:t>
      </w:r>
      <w:r w:rsidRPr="00BF0A9E">
        <w:rPr>
          <w:rFonts w:asciiTheme="majorHAnsi" w:hAnsiTheme="majorHAnsi"/>
          <w:i/>
          <w:sz w:val="16"/>
        </w:rPr>
        <w:t xml:space="preserve">mutatis </w:t>
      </w:r>
      <w:proofErr w:type="spellStart"/>
      <w:r w:rsidRPr="00BF0A9E">
        <w:rPr>
          <w:rFonts w:asciiTheme="majorHAnsi" w:hAnsiTheme="majorHAnsi"/>
          <w:i/>
          <w:sz w:val="16"/>
        </w:rPr>
        <w:t>mutandi</w:t>
      </w:r>
      <w:proofErr w:type="spellEnd"/>
      <w:r w:rsidRPr="00BF0A9E">
        <w:rPr>
          <w:rFonts w:asciiTheme="majorHAnsi" w:hAnsiTheme="majorHAnsi"/>
          <w:sz w:val="16"/>
        </w:rPr>
        <w:t xml:space="preserve">, </w:t>
      </w:r>
      <w:r w:rsidRPr="00BF0A9E">
        <w:rPr>
          <w:rFonts w:asciiTheme="majorHAnsi" w:eastAsia="Calibri" w:hAnsiTheme="majorHAnsi" w:cs="Calibri"/>
          <w:sz w:val="16"/>
          <w:szCs w:val="16"/>
        </w:rPr>
        <w:t xml:space="preserve">I/A Court H.R., </w:t>
      </w:r>
      <w:r w:rsidRPr="00BF0A9E">
        <w:rPr>
          <w:rFonts w:asciiTheme="majorHAnsi" w:eastAsia="Calibri" w:hAnsiTheme="majorHAnsi" w:cs="Calibri"/>
          <w:i/>
          <w:iCs/>
          <w:sz w:val="16"/>
          <w:szCs w:val="16"/>
        </w:rPr>
        <w:t xml:space="preserve">The Right to Information on Consular Assistance in the Framework of the Guarantees of the Due Process of Law. </w:t>
      </w:r>
      <w:r w:rsidRPr="00BF0A9E">
        <w:rPr>
          <w:rFonts w:asciiTheme="majorHAnsi" w:eastAsia="Calibri" w:hAnsiTheme="majorHAnsi" w:cs="Calibri"/>
          <w:sz w:val="16"/>
          <w:szCs w:val="16"/>
        </w:rPr>
        <w:t>Advisory Opinion OC‐16/99 of October 1, 1999. Series A No. 16, para. 136.</w:t>
      </w:r>
      <w:r w:rsidRPr="00BF0A9E">
        <w:rPr>
          <w:rFonts w:ascii="Calibri" w:eastAsia="Calibri" w:hAnsi="Calibri" w:cs="Calibri"/>
          <w:sz w:val="16"/>
          <w:szCs w:val="16"/>
        </w:rPr>
        <w:t xml:space="preserve"> </w:t>
      </w:r>
    </w:p>
  </w:footnote>
  <w:footnote w:id="52">
    <w:p w14:paraId="01E785E1" w14:textId="77777777" w:rsidR="00383EEB" w:rsidRPr="00BF0A9E" w:rsidRDefault="00383EEB" w:rsidP="00182FB6">
      <w:pPr>
        <w:jc w:val="both"/>
        <w:rPr>
          <w:rFonts w:asciiTheme="majorHAnsi" w:eastAsia="Times New Roman" w:hAnsiTheme="majorHAnsi"/>
          <w:sz w:val="16"/>
          <w:szCs w:val="16"/>
        </w:rPr>
      </w:pPr>
      <w:r w:rsidRPr="00BF0A9E">
        <w:rPr>
          <w:rStyle w:val="FootnoteReference"/>
          <w:rFonts w:asciiTheme="majorHAnsi" w:hAnsiTheme="majorHAnsi"/>
          <w:sz w:val="16"/>
          <w:szCs w:val="16"/>
        </w:rPr>
        <w:footnoteRef/>
      </w:r>
      <w:r w:rsidRPr="00BF0A9E">
        <w:rPr>
          <w:rFonts w:asciiTheme="majorHAnsi" w:hAnsiTheme="majorHAnsi"/>
          <w:sz w:val="16"/>
          <w:szCs w:val="16"/>
        </w:rPr>
        <w:t xml:space="preserve"> </w:t>
      </w:r>
      <w:r w:rsidRPr="00BF0A9E">
        <w:rPr>
          <w:rFonts w:asciiTheme="majorHAnsi" w:eastAsia="Times New Roman" w:hAnsiTheme="majorHAnsi"/>
          <w:sz w:val="16"/>
          <w:szCs w:val="16"/>
        </w:rPr>
        <w:t>Case 12,243, Report 52/01, Juan Raul Garza v. United States, Annual Report of the IACHR 2000, paras. 89-91; Case 57/96, Report Nº 57/96, William Andrews v. United States, Annual Report of the IACHR 1997, para. 177.</w:t>
      </w:r>
    </w:p>
  </w:footnote>
  <w:footnote w:id="53">
    <w:p w14:paraId="2A07BCAA" w14:textId="77777777" w:rsidR="00383EEB" w:rsidRPr="00BF0A9E" w:rsidRDefault="00383EEB" w:rsidP="00365545">
      <w:pPr>
        <w:pStyle w:val="FootnoteText"/>
        <w:jc w:val="both"/>
        <w:rPr>
          <w:rFonts w:asciiTheme="majorHAnsi" w:hAnsiTheme="majorHAnsi"/>
          <w:sz w:val="16"/>
          <w:szCs w:val="16"/>
        </w:rPr>
      </w:pPr>
      <w:r w:rsidRPr="00BF0A9E">
        <w:rPr>
          <w:rStyle w:val="FootnoteReference"/>
          <w:rFonts w:asciiTheme="majorHAnsi" w:hAnsiTheme="majorHAnsi"/>
          <w:sz w:val="16"/>
          <w:szCs w:val="16"/>
        </w:rPr>
        <w:footnoteRef/>
      </w:r>
      <w:r w:rsidRPr="00BF0A9E">
        <w:rPr>
          <w:rFonts w:asciiTheme="majorHAnsi" w:hAnsiTheme="majorHAnsi"/>
          <w:sz w:val="16"/>
          <w:szCs w:val="16"/>
        </w:rPr>
        <w:t xml:space="preserve"> I/A Court H.R., Advisory Opinion OC3/83 of September 8, 1983, Restrictions to the Death Penalty. (Articles 4(2) and 4(4) of the American Convention on Human Rights), (Ser. A) No. 3 (1983), para. 54.</w:t>
      </w:r>
    </w:p>
  </w:footnote>
  <w:footnote w:id="54">
    <w:p w14:paraId="05DD9AE2" w14:textId="77777777" w:rsidR="00383EEB" w:rsidRPr="00BF0A9E" w:rsidRDefault="00383EEB" w:rsidP="00C31331">
      <w:pPr>
        <w:pStyle w:val="FootnoteText"/>
        <w:jc w:val="both"/>
        <w:rPr>
          <w:rFonts w:asciiTheme="majorHAnsi" w:hAnsiTheme="majorHAnsi" w:cs="Times New Roman"/>
          <w:b/>
          <w:sz w:val="16"/>
          <w:szCs w:val="16"/>
        </w:rPr>
      </w:pPr>
      <w:r w:rsidRPr="00BF0A9E">
        <w:rPr>
          <w:rStyle w:val="FootnoteReference"/>
          <w:rFonts w:asciiTheme="majorHAnsi" w:hAnsiTheme="majorHAnsi"/>
          <w:sz w:val="16"/>
          <w:szCs w:val="16"/>
          <w:lang w:val="es-ES_tradnl"/>
        </w:rPr>
        <w:footnoteRef/>
      </w:r>
      <w:r w:rsidRPr="00BF0A9E">
        <w:rPr>
          <w:rFonts w:asciiTheme="majorHAnsi" w:hAnsiTheme="majorHAnsi"/>
          <w:sz w:val="16"/>
          <w:szCs w:val="16"/>
        </w:rPr>
        <w:t xml:space="preserve"> </w:t>
      </w:r>
      <w:r w:rsidRPr="00BF0A9E">
        <w:rPr>
          <w:rFonts w:asciiTheme="majorHAnsi" w:hAnsiTheme="majorHAnsi"/>
          <w:bCs/>
          <w:sz w:val="16"/>
          <w:szCs w:val="16"/>
        </w:rPr>
        <w:t xml:space="preserve">I/A Court H.R., Case of Hilaire, </w:t>
      </w:r>
      <w:proofErr w:type="gramStart"/>
      <w:r w:rsidRPr="00BF0A9E">
        <w:rPr>
          <w:rFonts w:asciiTheme="majorHAnsi" w:hAnsiTheme="majorHAnsi"/>
          <w:bCs/>
          <w:sz w:val="16"/>
          <w:szCs w:val="16"/>
        </w:rPr>
        <w:t>Constantine</w:t>
      </w:r>
      <w:proofErr w:type="gramEnd"/>
      <w:r w:rsidRPr="00BF0A9E">
        <w:rPr>
          <w:rFonts w:asciiTheme="majorHAnsi" w:hAnsiTheme="majorHAnsi"/>
          <w:bCs/>
          <w:sz w:val="16"/>
          <w:szCs w:val="16"/>
        </w:rPr>
        <w:t xml:space="preserve"> and Benjamin et al. v. Trinidad and Tobago. Merits, Reparations and Costs. Judgment of June 21, 2002. Series C No. 94, par. </w:t>
      </w:r>
      <w:r w:rsidRPr="00BF0A9E">
        <w:rPr>
          <w:rFonts w:asciiTheme="majorHAnsi" w:hAnsiTheme="majorHAnsi"/>
          <w:sz w:val="16"/>
          <w:szCs w:val="16"/>
        </w:rPr>
        <w:t>102; I</w:t>
      </w:r>
      <w:r w:rsidRPr="00BF0A9E">
        <w:rPr>
          <w:rFonts w:asciiTheme="majorHAnsi" w:hAnsiTheme="majorHAnsi"/>
          <w:bCs/>
          <w:sz w:val="16"/>
          <w:szCs w:val="16"/>
        </w:rPr>
        <w:t xml:space="preserve">/A Court H.R., Case of Boyce et al. v. Barbados. Preliminary Objection, Merits, Reparations and Costs. Judgment of November 20, 2007. Series C No. 169, para. </w:t>
      </w:r>
      <w:r w:rsidRPr="00BF0A9E">
        <w:rPr>
          <w:rFonts w:asciiTheme="majorHAnsi" w:hAnsiTheme="majorHAnsi"/>
          <w:sz w:val="16"/>
          <w:szCs w:val="16"/>
        </w:rPr>
        <w:t>53; and I</w:t>
      </w:r>
      <w:r w:rsidRPr="00BF0A9E">
        <w:rPr>
          <w:rFonts w:asciiTheme="majorHAnsi" w:hAnsiTheme="majorHAnsi"/>
          <w:bCs/>
          <w:sz w:val="16"/>
          <w:szCs w:val="16"/>
        </w:rPr>
        <w:t>/A Court H.R., Case of DaCosta Cadogan v. Barbados. Preliminary Objections, Merits, Reparations, and Costs. Judgment of September 24, 2009. Series C No. 204, para. 50.</w:t>
      </w:r>
    </w:p>
  </w:footnote>
  <w:footnote w:id="55">
    <w:p w14:paraId="218B8168" w14:textId="77777777" w:rsidR="00383EEB" w:rsidRPr="00BF0A9E" w:rsidRDefault="00383EEB" w:rsidP="00C31331">
      <w:pPr>
        <w:pStyle w:val="FootnoteText"/>
        <w:jc w:val="both"/>
        <w:rPr>
          <w:rFonts w:asciiTheme="majorHAnsi" w:hAnsiTheme="majorHAnsi"/>
          <w:sz w:val="16"/>
          <w:szCs w:val="16"/>
        </w:rPr>
      </w:pPr>
      <w:r w:rsidRPr="00BF0A9E">
        <w:rPr>
          <w:rStyle w:val="FootnoteReference"/>
          <w:rFonts w:asciiTheme="majorHAnsi" w:hAnsiTheme="majorHAnsi"/>
          <w:sz w:val="16"/>
          <w:szCs w:val="16"/>
        </w:rPr>
        <w:footnoteRef/>
      </w:r>
      <w:r w:rsidRPr="00BF0A9E">
        <w:rPr>
          <w:rFonts w:asciiTheme="majorHAnsi" w:hAnsiTheme="majorHAnsi"/>
          <w:sz w:val="16"/>
          <w:szCs w:val="16"/>
        </w:rPr>
        <w:t xml:space="preserve"> Article 6, paragraph 2, UN General Assembly, International Convention on Civil and Political Rights, 16 December 1966, United Nations, Treaty Series, vol.999, p.171</w:t>
      </w:r>
    </w:p>
  </w:footnote>
  <w:footnote w:id="56">
    <w:p w14:paraId="7FF03A2F" w14:textId="77777777" w:rsidR="00383EEB" w:rsidRPr="00BF0A9E" w:rsidRDefault="00383EEB" w:rsidP="00C31331">
      <w:pPr>
        <w:pStyle w:val="FootnoteText"/>
        <w:jc w:val="both"/>
        <w:rPr>
          <w:rFonts w:asciiTheme="majorHAnsi" w:hAnsiTheme="majorHAnsi"/>
          <w:sz w:val="16"/>
          <w:szCs w:val="16"/>
        </w:rPr>
      </w:pPr>
      <w:r w:rsidRPr="00BF0A9E">
        <w:rPr>
          <w:rStyle w:val="FootnoteReference"/>
          <w:rFonts w:asciiTheme="majorHAnsi" w:hAnsiTheme="majorHAnsi"/>
          <w:sz w:val="16"/>
          <w:szCs w:val="16"/>
        </w:rPr>
        <w:footnoteRef/>
      </w:r>
      <w:r w:rsidRPr="00BF0A9E">
        <w:rPr>
          <w:rFonts w:asciiTheme="majorHAnsi" w:hAnsiTheme="majorHAnsi"/>
          <w:sz w:val="16"/>
          <w:szCs w:val="16"/>
        </w:rPr>
        <w:t xml:space="preserve"> Report of the Special Rapporteur on extrajudicial, </w:t>
      </w:r>
      <w:proofErr w:type="gramStart"/>
      <w:r w:rsidRPr="00BF0A9E">
        <w:rPr>
          <w:rFonts w:asciiTheme="majorHAnsi" w:hAnsiTheme="majorHAnsi"/>
          <w:sz w:val="16"/>
          <w:szCs w:val="16"/>
        </w:rPr>
        <w:t>summary</w:t>
      </w:r>
      <w:proofErr w:type="gramEnd"/>
      <w:r w:rsidRPr="00BF0A9E">
        <w:rPr>
          <w:rFonts w:asciiTheme="majorHAnsi" w:hAnsiTheme="majorHAnsi"/>
          <w:sz w:val="16"/>
          <w:szCs w:val="16"/>
        </w:rPr>
        <w:t xml:space="preserve"> or arbitrary executions, UN Doc. A/HRC/4/20, 29 January 2007, paragraphs 39-53 and 65. </w:t>
      </w:r>
    </w:p>
  </w:footnote>
  <w:footnote w:id="57">
    <w:p w14:paraId="3DF52140" w14:textId="77777777" w:rsidR="00383EEB" w:rsidRPr="00BF0A9E" w:rsidRDefault="00383EEB" w:rsidP="008A6254">
      <w:pPr>
        <w:pStyle w:val="FootnoteText"/>
        <w:jc w:val="both"/>
        <w:rPr>
          <w:rFonts w:asciiTheme="majorHAnsi" w:hAnsiTheme="majorHAnsi"/>
          <w:sz w:val="16"/>
          <w:szCs w:val="16"/>
        </w:rPr>
      </w:pPr>
      <w:r w:rsidRPr="00BF0A9E">
        <w:rPr>
          <w:rStyle w:val="FootnoteReference"/>
          <w:rFonts w:asciiTheme="majorHAnsi" w:hAnsiTheme="majorHAnsi"/>
          <w:sz w:val="16"/>
          <w:szCs w:val="16"/>
        </w:rPr>
        <w:footnoteRef/>
      </w:r>
      <w:r w:rsidRPr="00BF0A9E">
        <w:rPr>
          <w:rFonts w:asciiTheme="majorHAnsi" w:hAnsiTheme="majorHAnsi"/>
          <w:sz w:val="16"/>
          <w:szCs w:val="16"/>
        </w:rPr>
        <w:t xml:space="preserve"> “</w:t>
      </w:r>
      <w:r w:rsidRPr="00BF0A9E">
        <w:rPr>
          <w:rFonts w:asciiTheme="majorHAnsi" w:hAnsiTheme="majorHAnsi"/>
          <w:color w:val="auto"/>
          <w:sz w:val="16"/>
          <w:szCs w:val="16"/>
        </w:rPr>
        <w:t>Safeguards guaranteeing protection of the rights of those facing the death penalty”, United Nations Economic and Social Council resolution 1984/50 of 25 May 1984.</w:t>
      </w:r>
    </w:p>
  </w:footnote>
  <w:footnote w:id="58">
    <w:p w14:paraId="0009579D" w14:textId="77777777" w:rsidR="00383EEB" w:rsidRPr="00BF0A9E" w:rsidRDefault="00383EEB" w:rsidP="008A6254">
      <w:pPr>
        <w:pStyle w:val="FootnoteText"/>
        <w:jc w:val="both"/>
        <w:rPr>
          <w:rFonts w:asciiTheme="majorHAnsi" w:hAnsiTheme="majorHAnsi"/>
          <w:sz w:val="16"/>
          <w:szCs w:val="16"/>
        </w:rPr>
      </w:pPr>
      <w:r w:rsidRPr="00BF0A9E">
        <w:rPr>
          <w:rStyle w:val="FootnoteReference"/>
          <w:rFonts w:asciiTheme="majorHAnsi" w:hAnsiTheme="majorHAnsi"/>
          <w:sz w:val="16"/>
          <w:szCs w:val="16"/>
        </w:rPr>
        <w:footnoteRef/>
      </w:r>
      <w:r w:rsidRPr="00BF0A9E">
        <w:rPr>
          <w:rFonts w:asciiTheme="majorHAnsi" w:hAnsiTheme="majorHAnsi"/>
          <w:sz w:val="16"/>
          <w:szCs w:val="16"/>
        </w:rPr>
        <w:t xml:space="preserve"> </w:t>
      </w:r>
      <w:proofErr w:type="spellStart"/>
      <w:r w:rsidRPr="00BF0A9E">
        <w:rPr>
          <w:rFonts w:asciiTheme="majorHAnsi" w:hAnsiTheme="majorHAnsi"/>
          <w:sz w:val="16"/>
          <w:szCs w:val="16"/>
        </w:rPr>
        <w:t>Carpo</w:t>
      </w:r>
      <w:proofErr w:type="spellEnd"/>
      <w:r w:rsidRPr="00BF0A9E">
        <w:rPr>
          <w:rFonts w:asciiTheme="majorHAnsi" w:hAnsiTheme="majorHAnsi"/>
          <w:sz w:val="16"/>
          <w:szCs w:val="16"/>
        </w:rPr>
        <w:t xml:space="preserve"> v The Philippines Schabas n. 2, pp. 106-111.</w:t>
      </w:r>
    </w:p>
  </w:footnote>
  <w:footnote w:id="59">
    <w:p w14:paraId="0172E0D4" w14:textId="77777777" w:rsidR="00383EEB" w:rsidRPr="00BF0A9E" w:rsidRDefault="00383EEB" w:rsidP="008A6254">
      <w:pPr>
        <w:pStyle w:val="FootnoteText"/>
        <w:jc w:val="both"/>
        <w:rPr>
          <w:rFonts w:asciiTheme="majorHAnsi" w:hAnsiTheme="majorHAnsi"/>
          <w:sz w:val="16"/>
          <w:szCs w:val="16"/>
        </w:rPr>
      </w:pPr>
      <w:r w:rsidRPr="00BF0A9E">
        <w:rPr>
          <w:rStyle w:val="FootnoteReference"/>
          <w:rFonts w:asciiTheme="majorHAnsi" w:hAnsiTheme="majorHAnsi"/>
          <w:sz w:val="16"/>
          <w:szCs w:val="16"/>
        </w:rPr>
        <w:footnoteRef/>
      </w:r>
      <w:r w:rsidRPr="00BF0A9E">
        <w:rPr>
          <w:rFonts w:asciiTheme="majorHAnsi" w:hAnsiTheme="majorHAnsi"/>
          <w:sz w:val="16"/>
          <w:szCs w:val="16"/>
        </w:rPr>
        <w:t xml:space="preserve"> </w:t>
      </w:r>
      <w:r w:rsidRPr="00BF0A9E">
        <w:rPr>
          <w:rFonts w:asciiTheme="majorHAnsi" w:eastAsia="Times New Roman" w:hAnsiTheme="majorHAnsi" w:cs="Times New Roman"/>
          <w:sz w:val="16"/>
          <w:szCs w:val="16"/>
        </w:rPr>
        <w:t xml:space="preserve">I/A Court H.R., Hilaire, </w:t>
      </w:r>
      <w:proofErr w:type="gramStart"/>
      <w:r w:rsidRPr="00BF0A9E">
        <w:rPr>
          <w:rFonts w:asciiTheme="majorHAnsi" w:eastAsia="Times New Roman" w:hAnsiTheme="majorHAnsi" w:cs="Times New Roman"/>
          <w:sz w:val="16"/>
          <w:szCs w:val="16"/>
        </w:rPr>
        <w:t>Constantine</w:t>
      </w:r>
      <w:proofErr w:type="gramEnd"/>
      <w:r w:rsidRPr="00BF0A9E">
        <w:rPr>
          <w:rFonts w:asciiTheme="majorHAnsi" w:eastAsia="Times New Roman" w:hAnsiTheme="majorHAnsi" w:cs="Times New Roman"/>
          <w:sz w:val="16"/>
          <w:szCs w:val="16"/>
        </w:rPr>
        <w:t xml:space="preserve"> and Benjamin et al. Case, Judgment of June 21, 2002, Series C No. 94, para. 102; I/A Court H.R., </w:t>
      </w:r>
      <w:proofErr w:type="spellStart"/>
      <w:r w:rsidRPr="00BF0A9E">
        <w:rPr>
          <w:rFonts w:asciiTheme="majorHAnsi" w:eastAsia="Times New Roman" w:hAnsiTheme="majorHAnsi" w:cs="Times New Roman"/>
          <w:sz w:val="16"/>
          <w:szCs w:val="16"/>
        </w:rPr>
        <w:t>Raxacacó</w:t>
      </w:r>
      <w:proofErr w:type="spellEnd"/>
      <w:r w:rsidRPr="00BF0A9E">
        <w:rPr>
          <w:rFonts w:asciiTheme="majorHAnsi" w:eastAsia="Times New Roman" w:hAnsiTheme="majorHAnsi" w:cs="Times New Roman"/>
          <w:sz w:val="16"/>
          <w:szCs w:val="16"/>
        </w:rPr>
        <w:t xml:space="preserve"> Reyes case, Judgment of September 15, 2005, Series C No. 133, paras. 79-82; UNHRC, Communication No. 390/1990, </w:t>
      </w:r>
      <w:proofErr w:type="spellStart"/>
      <w:r w:rsidRPr="00BF0A9E">
        <w:rPr>
          <w:rFonts w:asciiTheme="majorHAnsi" w:eastAsia="Times New Roman" w:hAnsiTheme="majorHAnsi" w:cs="Times New Roman"/>
          <w:sz w:val="16"/>
          <w:szCs w:val="16"/>
        </w:rPr>
        <w:t>Lubuto</w:t>
      </w:r>
      <w:proofErr w:type="spellEnd"/>
      <w:r w:rsidRPr="00BF0A9E">
        <w:rPr>
          <w:rFonts w:asciiTheme="majorHAnsi" w:eastAsia="Times New Roman" w:hAnsiTheme="majorHAnsi" w:cs="Times New Roman"/>
          <w:sz w:val="16"/>
          <w:szCs w:val="16"/>
        </w:rPr>
        <w:t xml:space="preserve"> (Zambia), UN Doc. CCRP/C/55/D/390/1990 (November 17, 1995).</w:t>
      </w:r>
    </w:p>
  </w:footnote>
  <w:footnote w:id="60">
    <w:p w14:paraId="2F27E0BC" w14:textId="77777777" w:rsidR="00383EEB" w:rsidRPr="00557BA8" w:rsidRDefault="00383EEB" w:rsidP="008A6254">
      <w:pPr>
        <w:jc w:val="both"/>
        <w:rPr>
          <w:rFonts w:asciiTheme="majorHAnsi" w:eastAsia="Times New Roman" w:hAnsiTheme="majorHAnsi"/>
          <w:sz w:val="16"/>
          <w:szCs w:val="16"/>
          <w:lang w:val="es-US"/>
        </w:rPr>
      </w:pPr>
      <w:r w:rsidRPr="00BF0A9E">
        <w:rPr>
          <w:rStyle w:val="FootnoteReference"/>
          <w:rFonts w:asciiTheme="majorHAnsi" w:hAnsiTheme="majorHAnsi"/>
          <w:sz w:val="16"/>
          <w:szCs w:val="16"/>
        </w:rPr>
        <w:footnoteRef/>
      </w:r>
      <w:r w:rsidRPr="00BF0A9E">
        <w:rPr>
          <w:rFonts w:asciiTheme="majorHAnsi" w:hAnsiTheme="majorHAnsi"/>
          <w:sz w:val="16"/>
          <w:szCs w:val="16"/>
        </w:rPr>
        <w:t xml:space="preserve"> </w:t>
      </w:r>
      <w:r w:rsidRPr="00BF0A9E">
        <w:rPr>
          <w:rFonts w:asciiTheme="majorHAnsi" w:eastAsia="Times New Roman" w:hAnsiTheme="majorHAnsi"/>
          <w:sz w:val="16"/>
          <w:szCs w:val="16"/>
        </w:rPr>
        <w:t xml:space="preserve">I/A Court H.R., Hilaire Case, Judgment of June 21, 2002, </w:t>
      </w:r>
      <w:r w:rsidRPr="00BF0A9E">
        <w:rPr>
          <w:rFonts w:asciiTheme="majorHAnsi" w:eastAsia="Times New Roman" w:hAnsiTheme="majorHAnsi"/>
          <w:color w:val="000000"/>
          <w:sz w:val="16"/>
          <w:szCs w:val="16"/>
        </w:rPr>
        <w:t xml:space="preserve">Series C No. 94, paras. 102-108; </w:t>
      </w:r>
      <w:r w:rsidRPr="00BF0A9E">
        <w:rPr>
          <w:rFonts w:asciiTheme="majorHAnsi" w:eastAsia="Times New Roman" w:hAnsiTheme="majorHAnsi"/>
          <w:sz w:val="16"/>
          <w:szCs w:val="16"/>
        </w:rPr>
        <w:t xml:space="preserve">I/A Court H.R., </w:t>
      </w:r>
      <w:proofErr w:type="spellStart"/>
      <w:r w:rsidRPr="00BF0A9E">
        <w:rPr>
          <w:rFonts w:asciiTheme="majorHAnsi" w:eastAsia="Times New Roman" w:hAnsiTheme="majorHAnsi"/>
          <w:sz w:val="16"/>
          <w:szCs w:val="16"/>
        </w:rPr>
        <w:t>Raxacacó</w:t>
      </w:r>
      <w:proofErr w:type="spellEnd"/>
      <w:r w:rsidRPr="00BF0A9E">
        <w:rPr>
          <w:rFonts w:asciiTheme="majorHAnsi" w:eastAsia="Times New Roman" w:hAnsiTheme="majorHAnsi"/>
          <w:sz w:val="16"/>
          <w:szCs w:val="16"/>
        </w:rPr>
        <w:t xml:space="preserve"> Reyes case, Judgment of September 15, 2005, </w:t>
      </w:r>
      <w:r w:rsidRPr="00BF0A9E">
        <w:rPr>
          <w:rFonts w:asciiTheme="majorHAnsi" w:eastAsia="Times New Roman" w:hAnsiTheme="majorHAnsi"/>
          <w:color w:val="000000"/>
          <w:sz w:val="16"/>
          <w:szCs w:val="16"/>
        </w:rPr>
        <w:t xml:space="preserve">Series C No. 133, para. </w:t>
      </w:r>
      <w:r w:rsidRPr="00557BA8">
        <w:rPr>
          <w:rFonts w:asciiTheme="majorHAnsi" w:eastAsia="Times New Roman" w:hAnsiTheme="majorHAnsi"/>
          <w:color w:val="000000"/>
          <w:sz w:val="16"/>
          <w:szCs w:val="16"/>
          <w:lang w:val="es-US"/>
        </w:rPr>
        <w:t xml:space="preserve">81; </w:t>
      </w:r>
      <w:r w:rsidRPr="00557BA8">
        <w:rPr>
          <w:rFonts w:asciiTheme="majorHAnsi" w:eastAsia="Times New Roman" w:hAnsiTheme="majorHAnsi"/>
          <w:sz w:val="16"/>
          <w:szCs w:val="16"/>
          <w:lang w:val="es-US"/>
        </w:rPr>
        <w:t xml:space="preserve">UNHRC, </w:t>
      </w:r>
      <w:proofErr w:type="spellStart"/>
      <w:r w:rsidRPr="00557BA8">
        <w:rPr>
          <w:rFonts w:asciiTheme="majorHAnsi" w:eastAsia="Times New Roman" w:hAnsiTheme="majorHAnsi"/>
          <w:sz w:val="16"/>
          <w:szCs w:val="16"/>
          <w:lang w:val="es-US"/>
        </w:rPr>
        <w:t>Communication</w:t>
      </w:r>
      <w:proofErr w:type="spellEnd"/>
      <w:r w:rsidRPr="00557BA8">
        <w:rPr>
          <w:rFonts w:asciiTheme="majorHAnsi" w:eastAsia="Times New Roman" w:hAnsiTheme="majorHAnsi"/>
          <w:sz w:val="16"/>
          <w:szCs w:val="16"/>
          <w:lang w:val="es-US"/>
        </w:rPr>
        <w:t xml:space="preserve"> No. 390/1990, </w:t>
      </w:r>
      <w:proofErr w:type="spellStart"/>
      <w:r w:rsidRPr="00557BA8">
        <w:rPr>
          <w:rFonts w:asciiTheme="majorHAnsi" w:eastAsia="Times New Roman" w:hAnsiTheme="majorHAnsi"/>
          <w:sz w:val="16"/>
          <w:szCs w:val="16"/>
          <w:lang w:val="es-US"/>
        </w:rPr>
        <w:t>Lubuto</w:t>
      </w:r>
      <w:proofErr w:type="spellEnd"/>
      <w:r w:rsidRPr="00557BA8">
        <w:rPr>
          <w:rFonts w:asciiTheme="majorHAnsi" w:eastAsia="Times New Roman" w:hAnsiTheme="majorHAnsi"/>
          <w:sz w:val="16"/>
          <w:szCs w:val="16"/>
          <w:lang w:val="es-US"/>
        </w:rPr>
        <w:t xml:space="preserve"> (Zambia), UN Doc. CCRP/C/55/D/390/1990 (</w:t>
      </w:r>
      <w:proofErr w:type="spellStart"/>
      <w:r w:rsidRPr="00557BA8">
        <w:rPr>
          <w:rFonts w:asciiTheme="majorHAnsi" w:eastAsia="Times New Roman" w:hAnsiTheme="majorHAnsi"/>
          <w:sz w:val="16"/>
          <w:szCs w:val="16"/>
          <w:lang w:val="es-US"/>
        </w:rPr>
        <w:t>November</w:t>
      </w:r>
      <w:proofErr w:type="spellEnd"/>
      <w:r w:rsidRPr="00557BA8">
        <w:rPr>
          <w:rFonts w:asciiTheme="majorHAnsi" w:eastAsia="Times New Roman" w:hAnsiTheme="majorHAnsi"/>
          <w:sz w:val="16"/>
          <w:szCs w:val="16"/>
          <w:lang w:val="es-US"/>
        </w:rPr>
        <w:t xml:space="preserve"> 17, 1995), para. 7.2. </w:t>
      </w:r>
    </w:p>
  </w:footnote>
  <w:footnote w:id="61">
    <w:p w14:paraId="27E56AE0" w14:textId="77777777" w:rsidR="00383EEB" w:rsidRPr="00BF0A9E" w:rsidRDefault="00383EEB" w:rsidP="0079658B">
      <w:pPr>
        <w:pStyle w:val="FootnoteText"/>
        <w:jc w:val="both"/>
        <w:rPr>
          <w:rFonts w:asciiTheme="majorHAnsi" w:hAnsiTheme="majorHAnsi"/>
          <w:sz w:val="16"/>
          <w:szCs w:val="16"/>
        </w:rPr>
      </w:pPr>
      <w:r w:rsidRPr="00BF0A9E">
        <w:rPr>
          <w:rStyle w:val="FootnoteReference"/>
          <w:rFonts w:asciiTheme="majorHAnsi" w:hAnsiTheme="majorHAnsi"/>
          <w:sz w:val="16"/>
          <w:szCs w:val="16"/>
        </w:rPr>
        <w:footnoteRef/>
      </w:r>
      <w:r w:rsidRPr="00557BA8">
        <w:rPr>
          <w:rFonts w:asciiTheme="majorHAnsi" w:hAnsiTheme="majorHAnsi"/>
          <w:sz w:val="16"/>
          <w:szCs w:val="16"/>
          <w:lang w:val="es-US"/>
        </w:rPr>
        <w:t xml:space="preserve"> IACHR. </w:t>
      </w:r>
      <w:proofErr w:type="spellStart"/>
      <w:r w:rsidRPr="00557BA8">
        <w:rPr>
          <w:rFonts w:asciiTheme="majorHAnsi" w:hAnsiTheme="majorHAnsi"/>
          <w:sz w:val="16"/>
          <w:szCs w:val="16"/>
          <w:lang w:val="es-US"/>
        </w:rPr>
        <w:t>Report</w:t>
      </w:r>
      <w:proofErr w:type="spellEnd"/>
      <w:r w:rsidRPr="00557BA8">
        <w:rPr>
          <w:rFonts w:asciiTheme="majorHAnsi" w:hAnsiTheme="majorHAnsi"/>
          <w:sz w:val="16"/>
          <w:szCs w:val="16"/>
          <w:lang w:val="es-US"/>
        </w:rPr>
        <w:t xml:space="preserve"> No. 99/17. Case No. 11.782. </w:t>
      </w:r>
      <w:proofErr w:type="spellStart"/>
      <w:r w:rsidRPr="00557BA8">
        <w:rPr>
          <w:rFonts w:asciiTheme="majorHAnsi" w:hAnsiTheme="majorHAnsi"/>
          <w:sz w:val="16"/>
          <w:szCs w:val="16"/>
          <w:lang w:val="es-US"/>
        </w:rPr>
        <w:t>Admissiblity</w:t>
      </w:r>
      <w:proofErr w:type="spellEnd"/>
      <w:r w:rsidRPr="00557BA8">
        <w:rPr>
          <w:rFonts w:asciiTheme="majorHAnsi" w:hAnsiTheme="majorHAnsi"/>
          <w:sz w:val="16"/>
          <w:szCs w:val="16"/>
          <w:lang w:val="es-US"/>
        </w:rPr>
        <w:t xml:space="preserve"> and </w:t>
      </w:r>
      <w:proofErr w:type="spellStart"/>
      <w:r w:rsidRPr="00557BA8">
        <w:rPr>
          <w:rFonts w:asciiTheme="majorHAnsi" w:hAnsiTheme="majorHAnsi"/>
          <w:sz w:val="16"/>
          <w:szCs w:val="16"/>
          <w:lang w:val="es-US"/>
        </w:rPr>
        <w:t>Merits</w:t>
      </w:r>
      <w:proofErr w:type="spellEnd"/>
      <w:r w:rsidRPr="00557BA8">
        <w:rPr>
          <w:rFonts w:asciiTheme="majorHAnsi" w:hAnsiTheme="majorHAnsi"/>
          <w:sz w:val="16"/>
          <w:szCs w:val="16"/>
          <w:lang w:val="es-US"/>
        </w:rPr>
        <w:t xml:space="preserve">. Miguel </w:t>
      </w:r>
      <w:proofErr w:type="spellStart"/>
      <w:r w:rsidRPr="00557BA8">
        <w:rPr>
          <w:rFonts w:asciiTheme="majorHAnsi" w:hAnsiTheme="majorHAnsi"/>
          <w:sz w:val="16"/>
          <w:szCs w:val="16"/>
          <w:lang w:val="es-US"/>
        </w:rPr>
        <w:t>Angel</w:t>
      </w:r>
      <w:proofErr w:type="spellEnd"/>
      <w:r w:rsidRPr="00557BA8">
        <w:rPr>
          <w:rFonts w:asciiTheme="majorHAnsi" w:hAnsiTheme="majorHAnsi"/>
          <w:sz w:val="16"/>
          <w:szCs w:val="16"/>
          <w:lang w:val="es-US"/>
        </w:rPr>
        <w:t xml:space="preserve"> Rodriguez Revolorio, Miguel </w:t>
      </w:r>
      <w:proofErr w:type="spellStart"/>
      <w:r w:rsidRPr="00557BA8">
        <w:rPr>
          <w:rFonts w:asciiTheme="majorHAnsi" w:hAnsiTheme="majorHAnsi"/>
          <w:sz w:val="16"/>
          <w:szCs w:val="16"/>
          <w:lang w:val="es-US"/>
        </w:rPr>
        <w:t>Angel</w:t>
      </w:r>
      <w:proofErr w:type="spellEnd"/>
      <w:r w:rsidRPr="00557BA8">
        <w:rPr>
          <w:rFonts w:asciiTheme="majorHAnsi" w:hAnsiTheme="majorHAnsi"/>
          <w:sz w:val="16"/>
          <w:szCs w:val="16"/>
          <w:lang w:val="es-US"/>
        </w:rPr>
        <w:t xml:space="preserve"> Lopez Calo and Anibal Archilla </w:t>
      </w:r>
      <w:proofErr w:type="spellStart"/>
      <w:r w:rsidRPr="00557BA8">
        <w:rPr>
          <w:rFonts w:asciiTheme="majorHAnsi" w:hAnsiTheme="majorHAnsi"/>
          <w:sz w:val="16"/>
          <w:szCs w:val="16"/>
          <w:lang w:val="es-US"/>
        </w:rPr>
        <w:t>Perez</w:t>
      </w:r>
      <w:proofErr w:type="spellEnd"/>
      <w:r w:rsidRPr="00557BA8">
        <w:rPr>
          <w:rFonts w:asciiTheme="majorHAnsi" w:hAnsiTheme="majorHAnsi"/>
          <w:sz w:val="16"/>
          <w:szCs w:val="16"/>
          <w:lang w:val="es-US"/>
        </w:rPr>
        <w:t xml:space="preserve">. </w:t>
      </w:r>
      <w:r w:rsidRPr="00BF0A9E">
        <w:rPr>
          <w:rFonts w:asciiTheme="majorHAnsi" w:hAnsiTheme="majorHAnsi"/>
          <w:sz w:val="16"/>
          <w:szCs w:val="16"/>
        </w:rPr>
        <w:t>Guatemala. September 5, 2017, para. 123.</w:t>
      </w:r>
    </w:p>
  </w:footnote>
  <w:footnote w:id="62">
    <w:p w14:paraId="2741E2BA" w14:textId="77777777" w:rsidR="00383EEB" w:rsidRPr="00BF0A9E" w:rsidRDefault="00383EEB" w:rsidP="000564D3">
      <w:pPr>
        <w:pStyle w:val="FootnoteText"/>
        <w:jc w:val="both"/>
        <w:rPr>
          <w:rFonts w:asciiTheme="majorHAnsi" w:hAnsiTheme="majorHAnsi"/>
          <w:sz w:val="16"/>
          <w:szCs w:val="16"/>
        </w:rPr>
      </w:pPr>
      <w:r w:rsidRPr="00BF0A9E">
        <w:rPr>
          <w:rStyle w:val="FootnoteReference"/>
          <w:rFonts w:asciiTheme="majorHAnsi" w:hAnsiTheme="majorHAnsi"/>
          <w:sz w:val="16"/>
          <w:szCs w:val="16"/>
        </w:rPr>
        <w:footnoteRef/>
      </w:r>
      <w:r w:rsidRPr="00BF0A9E">
        <w:rPr>
          <w:rFonts w:asciiTheme="majorHAnsi" w:hAnsiTheme="majorHAnsi"/>
          <w:sz w:val="16"/>
          <w:szCs w:val="16"/>
        </w:rPr>
        <w:t xml:space="preserve"> IACHR, Report No. 71/18, Case 12.958. Merits. Russel </w:t>
      </w:r>
      <w:proofErr w:type="spellStart"/>
      <w:r w:rsidRPr="00BF0A9E">
        <w:rPr>
          <w:rFonts w:asciiTheme="majorHAnsi" w:hAnsiTheme="majorHAnsi"/>
          <w:sz w:val="16"/>
          <w:szCs w:val="16"/>
        </w:rPr>
        <w:t>Bucklew</w:t>
      </w:r>
      <w:proofErr w:type="spellEnd"/>
      <w:r w:rsidRPr="00BF0A9E">
        <w:rPr>
          <w:rFonts w:asciiTheme="majorHAnsi" w:hAnsiTheme="majorHAnsi"/>
          <w:sz w:val="16"/>
          <w:szCs w:val="16"/>
        </w:rPr>
        <w:t>. United States. May 10, 2018, para. 93.</w:t>
      </w:r>
    </w:p>
  </w:footnote>
  <w:footnote w:id="63">
    <w:p w14:paraId="25A3BAC3" w14:textId="77777777" w:rsidR="00383EEB" w:rsidRPr="00BF0A9E" w:rsidRDefault="00383EEB" w:rsidP="000564D3">
      <w:pPr>
        <w:pStyle w:val="FootnoteText"/>
      </w:pPr>
      <w:r w:rsidRPr="00BF0A9E">
        <w:rPr>
          <w:rStyle w:val="FootnoteReference"/>
          <w:rFonts w:asciiTheme="majorHAnsi" w:hAnsiTheme="majorHAnsi"/>
          <w:sz w:val="16"/>
          <w:szCs w:val="16"/>
        </w:rPr>
        <w:footnoteRef/>
      </w:r>
      <w:r w:rsidRPr="00BF0A9E">
        <w:rPr>
          <w:rStyle w:val="FootnoteReference"/>
          <w:rFonts w:asciiTheme="majorHAnsi" w:hAnsiTheme="majorHAnsi"/>
          <w:sz w:val="16"/>
          <w:szCs w:val="16"/>
        </w:rPr>
        <w:t xml:space="preserve"> </w:t>
      </w:r>
      <w:r w:rsidRPr="00BF0A9E">
        <w:rPr>
          <w:rFonts w:asciiTheme="majorHAnsi" w:eastAsia="Times New Roman" w:hAnsiTheme="majorHAnsi" w:cs="Times New Roman"/>
          <w:color w:val="auto"/>
          <w:sz w:val="16"/>
          <w:szCs w:val="16"/>
          <w:lang w:eastAsia="en-US"/>
        </w:rPr>
        <w:t xml:space="preserve">IACHR, Report No. 53/13, Case 12.864, Merits (Publication), Iván </w:t>
      </w:r>
      <w:proofErr w:type="spellStart"/>
      <w:r w:rsidRPr="00BF0A9E">
        <w:rPr>
          <w:rFonts w:asciiTheme="majorHAnsi" w:eastAsia="Times New Roman" w:hAnsiTheme="majorHAnsi" w:cs="Times New Roman"/>
          <w:color w:val="auto"/>
          <w:sz w:val="16"/>
          <w:szCs w:val="16"/>
          <w:lang w:eastAsia="en-US"/>
        </w:rPr>
        <w:t>Teleguz</w:t>
      </w:r>
      <w:proofErr w:type="spellEnd"/>
      <w:r w:rsidRPr="00BF0A9E">
        <w:rPr>
          <w:rFonts w:asciiTheme="majorHAnsi" w:eastAsia="Times New Roman" w:hAnsiTheme="majorHAnsi" w:cs="Times New Roman"/>
          <w:color w:val="auto"/>
          <w:sz w:val="16"/>
          <w:szCs w:val="16"/>
          <w:lang w:eastAsia="en-US"/>
        </w:rPr>
        <w:t>, United States, July 15, 2013, para. 129.</w:t>
      </w:r>
      <w:r w:rsidRPr="00BF0A9E">
        <w:rPr>
          <w:sz w:val="16"/>
          <w:szCs w:val="16"/>
        </w:rPr>
        <w:t xml:space="preserve"> </w:t>
      </w:r>
      <w:r w:rsidRPr="00BF0A9E">
        <w:t xml:space="preserve"> </w:t>
      </w:r>
    </w:p>
  </w:footnote>
  <w:footnote w:id="64">
    <w:p w14:paraId="15407F5E" w14:textId="77777777" w:rsidR="00383EEB" w:rsidRPr="00BF0A9E" w:rsidRDefault="00383EEB" w:rsidP="008A6254">
      <w:pPr>
        <w:pStyle w:val="FootnoteText"/>
        <w:jc w:val="both"/>
        <w:rPr>
          <w:rFonts w:asciiTheme="majorHAnsi" w:hAnsiTheme="majorHAnsi"/>
          <w:color w:val="auto"/>
          <w:sz w:val="16"/>
          <w:szCs w:val="16"/>
        </w:rPr>
      </w:pPr>
      <w:r w:rsidRPr="00BF0A9E">
        <w:rPr>
          <w:rStyle w:val="FootnoteReference"/>
          <w:rFonts w:asciiTheme="majorHAnsi" w:hAnsiTheme="majorHAnsi"/>
          <w:color w:val="auto"/>
          <w:sz w:val="16"/>
          <w:szCs w:val="16"/>
        </w:rPr>
        <w:footnoteRef/>
      </w:r>
      <w:r w:rsidRPr="00BF0A9E">
        <w:rPr>
          <w:rFonts w:asciiTheme="majorHAnsi" w:hAnsiTheme="majorHAnsi"/>
          <w:color w:val="auto"/>
          <w:sz w:val="16"/>
          <w:szCs w:val="16"/>
        </w:rPr>
        <w:t xml:space="preserve"> Article XXV of the American Declaration provides: “[…] Every individual who has been deprived of his liberty has the right […] to humane treatment during the time he is in custody.” </w:t>
      </w:r>
    </w:p>
    <w:p w14:paraId="6662F949" w14:textId="77777777" w:rsidR="00383EEB" w:rsidRPr="00BF0A9E" w:rsidRDefault="00383EEB" w:rsidP="008A6254">
      <w:pPr>
        <w:pStyle w:val="FootnoteText"/>
        <w:jc w:val="both"/>
        <w:rPr>
          <w:rFonts w:asciiTheme="majorHAnsi" w:hAnsiTheme="majorHAnsi"/>
          <w:color w:val="auto"/>
          <w:sz w:val="16"/>
          <w:szCs w:val="16"/>
        </w:rPr>
      </w:pPr>
      <w:r w:rsidRPr="00BF0A9E">
        <w:rPr>
          <w:rFonts w:asciiTheme="majorHAnsi" w:hAnsiTheme="majorHAnsi"/>
          <w:color w:val="auto"/>
          <w:sz w:val="16"/>
          <w:szCs w:val="16"/>
        </w:rPr>
        <w:t xml:space="preserve">Article XXVI of the American Declaration provides: “[…] Every person accused of an offense has the right […] not to receive cruel, </w:t>
      </w:r>
      <w:proofErr w:type="gramStart"/>
      <w:r w:rsidRPr="00BF0A9E">
        <w:rPr>
          <w:rFonts w:asciiTheme="majorHAnsi" w:hAnsiTheme="majorHAnsi"/>
          <w:color w:val="auto"/>
          <w:sz w:val="16"/>
          <w:szCs w:val="16"/>
        </w:rPr>
        <w:t>infamous</w:t>
      </w:r>
      <w:proofErr w:type="gramEnd"/>
      <w:r w:rsidRPr="00BF0A9E">
        <w:rPr>
          <w:rFonts w:asciiTheme="majorHAnsi" w:hAnsiTheme="majorHAnsi"/>
          <w:color w:val="auto"/>
          <w:sz w:val="16"/>
          <w:szCs w:val="16"/>
        </w:rPr>
        <w:t xml:space="preserve"> or unusual punishment.”</w:t>
      </w:r>
    </w:p>
  </w:footnote>
  <w:footnote w:id="65">
    <w:p w14:paraId="7E0251F0" w14:textId="77777777" w:rsidR="00383EEB" w:rsidRPr="00BF0A9E" w:rsidRDefault="00383EEB" w:rsidP="00806906">
      <w:pPr>
        <w:pStyle w:val="FootnoteText"/>
        <w:jc w:val="both"/>
        <w:rPr>
          <w:rFonts w:asciiTheme="majorHAnsi" w:hAnsiTheme="majorHAnsi"/>
          <w:color w:val="auto"/>
          <w:sz w:val="16"/>
          <w:szCs w:val="16"/>
        </w:rPr>
      </w:pPr>
      <w:r w:rsidRPr="00BF0A9E">
        <w:rPr>
          <w:rStyle w:val="FootnoteReference"/>
          <w:rFonts w:asciiTheme="majorHAnsi" w:hAnsiTheme="majorHAnsi"/>
          <w:color w:val="auto"/>
          <w:sz w:val="16"/>
          <w:szCs w:val="16"/>
        </w:rPr>
        <w:footnoteRef/>
      </w:r>
      <w:r w:rsidRPr="00BF0A9E">
        <w:rPr>
          <w:rStyle w:val="FootnoteReference"/>
          <w:rFonts w:asciiTheme="majorHAnsi" w:hAnsiTheme="majorHAnsi"/>
          <w:color w:val="auto"/>
          <w:sz w:val="16"/>
          <w:szCs w:val="16"/>
        </w:rPr>
        <w:t xml:space="preserve"> </w:t>
      </w:r>
      <w:r w:rsidRPr="00BF0A9E">
        <w:rPr>
          <w:rFonts w:asciiTheme="majorHAnsi" w:hAnsiTheme="majorHAnsi"/>
          <w:color w:val="auto"/>
          <w:sz w:val="16"/>
          <w:szCs w:val="16"/>
        </w:rPr>
        <w:t xml:space="preserve">IACHR, Report No. 71/18, Case 12.958. Merits. Russell </w:t>
      </w:r>
      <w:proofErr w:type="spellStart"/>
      <w:r w:rsidRPr="00BF0A9E">
        <w:rPr>
          <w:rFonts w:asciiTheme="majorHAnsi" w:hAnsiTheme="majorHAnsi"/>
          <w:color w:val="auto"/>
          <w:sz w:val="16"/>
          <w:szCs w:val="16"/>
        </w:rPr>
        <w:t>Bucklew</w:t>
      </w:r>
      <w:proofErr w:type="spellEnd"/>
      <w:r w:rsidRPr="00BF0A9E">
        <w:rPr>
          <w:rFonts w:asciiTheme="majorHAnsi" w:hAnsiTheme="majorHAnsi"/>
          <w:color w:val="auto"/>
          <w:sz w:val="16"/>
          <w:szCs w:val="16"/>
        </w:rPr>
        <w:t xml:space="preserve">. United States, May 10, 2018, paras. 86-90. In this report the Commission has cited </w:t>
      </w:r>
      <w:proofErr w:type="gramStart"/>
      <w:r w:rsidRPr="00BF0A9E">
        <w:rPr>
          <w:rFonts w:asciiTheme="majorHAnsi" w:hAnsiTheme="majorHAnsi"/>
          <w:color w:val="auto"/>
          <w:sz w:val="16"/>
          <w:szCs w:val="16"/>
        </w:rPr>
        <w:t>a number of</w:t>
      </w:r>
      <w:proofErr w:type="gramEnd"/>
      <w:r w:rsidRPr="00BF0A9E">
        <w:rPr>
          <w:rFonts w:asciiTheme="majorHAnsi" w:hAnsiTheme="majorHAnsi"/>
          <w:color w:val="auto"/>
          <w:sz w:val="16"/>
          <w:szCs w:val="16"/>
        </w:rPr>
        <w:t xml:space="preserve"> developments in the inter-American and other protections systems, including the regional and United Nations systems.</w:t>
      </w:r>
    </w:p>
  </w:footnote>
  <w:footnote w:id="66">
    <w:p w14:paraId="3A0E5E06" w14:textId="77777777" w:rsidR="00383EEB" w:rsidRPr="00BF0A9E" w:rsidRDefault="00383EEB" w:rsidP="008A6254">
      <w:pPr>
        <w:pStyle w:val="FootnoteText"/>
        <w:tabs>
          <w:tab w:val="right" w:pos="0"/>
          <w:tab w:val="left" w:pos="180"/>
          <w:tab w:val="left" w:pos="900"/>
        </w:tabs>
        <w:jc w:val="both"/>
        <w:rPr>
          <w:rFonts w:asciiTheme="majorHAnsi" w:hAnsiTheme="majorHAnsi"/>
          <w:sz w:val="16"/>
          <w:szCs w:val="16"/>
        </w:rPr>
      </w:pPr>
      <w:r w:rsidRPr="00BF0A9E">
        <w:rPr>
          <w:rStyle w:val="FootnoteReference"/>
          <w:rFonts w:asciiTheme="majorHAnsi" w:hAnsiTheme="majorHAnsi"/>
          <w:sz w:val="16"/>
          <w:szCs w:val="16"/>
        </w:rPr>
        <w:footnoteRef/>
      </w:r>
      <w:r w:rsidRPr="00BF0A9E">
        <w:rPr>
          <w:rFonts w:asciiTheme="majorHAnsi" w:hAnsiTheme="majorHAnsi"/>
          <w:sz w:val="16"/>
          <w:szCs w:val="16"/>
        </w:rPr>
        <w:t xml:space="preserve"> United Nations. Report of the Special Rapporteur on torture and other cruel, </w:t>
      </w:r>
      <w:proofErr w:type="gramStart"/>
      <w:r w:rsidRPr="00BF0A9E">
        <w:rPr>
          <w:rFonts w:asciiTheme="majorHAnsi" w:hAnsiTheme="majorHAnsi"/>
          <w:sz w:val="16"/>
          <w:szCs w:val="16"/>
        </w:rPr>
        <w:t>inhuman</w:t>
      </w:r>
      <w:proofErr w:type="gramEnd"/>
      <w:r w:rsidRPr="00BF0A9E">
        <w:rPr>
          <w:rFonts w:asciiTheme="majorHAnsi" w:hAnsiTheme="majorHAnsi"/>
          <w:sz w:val="16"/>
          <w:szCs w:val="16"/>
        </w:rPr>
        <w:t xml:space="preserve"> or degrading treatment of punishment.  9 August 2012. A/67/279, para 42. Citing: Patrick Hudson, “Does the death row phenomenon violate a prisoner’s rights under international </w:t>
      </w:r>
      <w:proofErr w:type="gramStart"/>
      <w:r w:rsidRPr="00BF0A9E">
        <w:rPr>
          <w:rFonts w:asciiTheme="majorHAnsi" w:hAnsiTheme="majorHAnsi"/>
          <w:sz w:val="16"/>
          <w:szCs w:val="16"/>
        </w:rPr>
        <w:t>law?,</w:t>
      </w:r>
      <w:proofErr w:type="gramEnd"/>
      <w:r w:rsidRPr="00BF0A9E">
        <w:rPr>
          <w:rFonts w:asciiTheme="majorHAnsi" w:hAnsiTheme="majorHAnsi"/>
          <w:sz w:val="16"/>
          <w:szCs w:val="16"/>
        </w:rPr>
        <w:t xml:space="preserve">” </w:t>
      </w:r>
      <w:r w:rsidRPr="00BF0A9E">
        <w:rPr>
          <w:rFonts w:asciiTheme="majorHAnsi" w:hAnsiTheme="majorHAnsi"/>
          <w:i/>
          <w:sz w:val="16"/>
          <w:szCs w:val="16"/>
        </w:rPr>
        <w:t>European Journal of International Law</w:t>
      </w:r>
      <w:r w:rsidRPr="00BF0A9E">
        <w:rPr>
          <w:rFonts w:asciiTheme="majorHAnsi" w:hAnsiTheme="majorHAnsi"/>
          <w:sz w:val="16"/>
          <w:szCs w:val="16"/>
        </w:rPr>
        <w:t>, vol. 11, No. 4 (2000), pp. 834-837.</w:t>
      </w:r>
    </w:p>
  </w:footnote>
  <w:footnote w:id="67">
    <w:p w14:paraId="5439CD24" w14:textId="77777777" w:rsidR="00383EEB" w:rsidRPr="00BF0A9E" w:rsidRDefault="00383EEB" w:rsidP="008A6254">
      <w:pPr>
        <w:pStyle w:val="FootnoteText"/>
        <w:jc w:val="both"/>
        <w:rPr>
          <w:rFonts w:asciiTheme="majorHAnsi" w:hAnsiTheme="majorHAnsi"/>
          <w:sz w:val="16"/>
          <w:szCs w:val="16"/>
        </w:rPr>
      </w:pPr>
      <w:r w:rsidRPr="00BF0A9E">
        <w:rPr>
          <w:rStyle w:val="FootnoteReference"/>
          <w:rFonts w:asciiTheme="majorHAnsi" w:hAnsiTheme="majorHAnsi"/>
          <w:sz w:val="16"/>
          <w:szCs w:val="16"/>
        </w:rPr>
        <w:footnoteRef/>
      </w:r>
      <w:r w:rsidRPr="00BF0A9E">
        <w:rPr>
          <w:rFonts w:asciiTheme="majorHAnsi" w:hAnsiTheme="majorHAnsi"/>
          <w:sz w:val="16"/>
          <w:szCs w:val="16"/>
        </w:rPr>
        <w:t xml:space="preserve">  United Nations. Report of the Special Rapporteur on torture and other cruel, </w:t>
      </w:r>
      <w:proofErr w:type="gramStart"/>
      <w:r w:rsidRPr="00BF0A9E">
        <w:rPr>
          <w:rFonts w:asciiTheme="majorHAnsi" w:hAnsiTheme="majorHAnsi"/>
          <w:sz w:val="16"/>
          <w:szCs w:val="16"/>
        </w:rPr>
        <w:t>inhuman</w:t>
      </w:r>
      <w:proofErr w:type="gramEnd"/>
      <w:r w:rsidRPr="00BF0A9E">
        <w:rPr>
          <w:rFonts w:asciiTheme="majorHAnsi" w:hAnsiTheme="majorHAnsi"/>
          <w:sz w:val="16"/>
          <w:szCs w:val="16"/>
        </w:rPr>
        <w:t xml:space="preserve"> or degrading treatment of punishment. 9 August 2012. A/67/279. para 42.</w:t>
      </w:r>
    </w:p>
  </w:footnote>
  <w:footnote w:id="68">
    <w:p w14:paraId="487FCA6D" w14:textId="77777777" w:rsidR="00383EEB" w:rsidRPr="00BF0A9E" w:rsidRDefault="00383EEB" w:rsidP="00217FF0">
      <w:pPr>
        <w:pStyle w:val="FootnoteText"/>
        <w:rPr>
          <w:rFonts w:ascii="Cambria" w:hAnsi="Cambria"/>
          <w:sz w:val="16"/>
          <w:szCs w:val="16"/>
        </w:rPr>
      </w:pPr>
      <w:r w:rsidRPr="00BF0A9E">
        <w:rPr>
          <w:rStyle w:val="FootnoteReference"/>
          <w:rFonts w:ascii="Cambria" w:hAnsi="Cambria"/>
          <w:sz w:val="16"/>
          <w:szCs w:val="16"/>
        </w:rPr>
        <w:footnoteRef/>
      </w:r>
      <w:r w:rsidRPr="00BF0A9E">
        <w:rPr>
          <w:rFonts w:ascii="Cambria" w:hAnsi="Cambria"/>
          <w:sz w:val="16"/>
          <w:szCs w:val="16"/>
        </w:rPr>
        <w:t xml:space="preserve">European Court of Human </w:t>
      </w:r>
      <w:proofErr w:type="spellStart"/>
      <w:r w:rsidRPr="00BF0A9E">
        <w:rPr>
          <w:rFonts w:ascii="Cambria" w:hAnsi="Cambria"/>
          <w:sz w:val="16"/>
          <w:szCs w:val="16"/>
        </w:rPr>
        <w:t>Rigths</w:t>
      </w:r>
      <w:proofErr w:type="spellEnd"/>
      <w:r w:rsidRPr="00BF0A9E">
        <w:rPr>
          <w:rFonts w:ascii="Cambria" w:hAnsi="Cambria"/>
          <w:sz w:val="16"/>
          <w:szCs w:val="16"/>
        </w:rPr>
        <w:t>, Soering v. United Kingdom. Judgment of July 7, 1989. Series A, Vol. 161. Likewise, the Supreme Court of the United States of America recognized that the time spent awaiting the execution of a death sentence destroys the human spirit and constitutes psychological torture that often leads to insanity (Furman v. Georgia, 408 U.S. 238, 287-288 (197)).</w:t>
      </w:r>
    </w:p>
  </w:footnote>
  <w:footnote w:id="69">
    <w:p w14:paraId="69858419" w14:textId="77777777" w:rsidR="00383EEB" w:rsidRPr="00BF0A9E" w:rsidRDefault="00383EEB" w:rsidP="008A6254">
      <w:pPr>
        <w:pStyle w:val="FootnoteText"/>
        <w:tabs>
          <w:tab w:val="right" w:pos="540"/>
          <w:tab w:val="left" w:pos="900"/>
        </w:tabs>
        <w:jc w:val="both"/>
        <w:rPr>
          <w:rFonts w:asciiTheme="majorHAnsi" w:hAnsiTheme="majorHAnsi"/>
          <w:sz w:val="16"/>
          <w:szCs w:val="16"/>
        </w:rPr>
      </w:pPr>
      <w:r w:rsidRPr="00BF0A9E">
        <w:rPr>
          <w:rStyle w:val="FootnoteReference"/>
          <w:rFonts w:asciiTheme="majorHAnsi" w:hAnsiTheme="majorHAnsi"/>
          <w:sz w:val="16"/>
          <w:szCs w:val="16"/>
        </w:rPr>
        <w:footnoteRef/>
      </w:r>
      <w:r w:rsidRPr="00BF0A9E">
        <w:rPr>
          <w:rFonts w:asciiTheme="majorHAnsi" w:hAnsiTheme="majorHAnsi"/>
          <w:sz w:val="16"/>
          <w:szCs w:val="16"/>
        </w:rPr>
        <w:t xml:space="preserve">  ECtHR. Case of Soering v. The United Kingdom. Report No. 14038/88. Judgment, July 7, 1989. para. 111.</w:t>
      </w:r>
    </w:p>
  </w:footnote>
  <w:footnote w:id="70">
    <w:p w14:paraId="42299E61" w14:textId="77777777" w:rsidR="00383EEB" w:rsidRPr="00BF0A9E" w:rsidRDefault="00383EEB" w:rsidP="008A6254">
      <w:pPr>
        <w:widowControl w:val="0"/>
        <w:autoSpaceDE w:val="0"/>
        <w:autoSpaceDN w:val="0"/>
        <w:adjustRightInd w:val="0"/>
        <w:jc w:val="both"/>
        <w:rPr>
          <w:rFonts w:asciiTheme="majorHAnsi" w:hAnsiTheme="majorHAnsi" w:cs="Arial"/>
          <w:bCs/>
          <w:sz w:val="16"/>
          <w:szCs w:val="16"/>
        </w:rPr>
      </w:pPr>
      <w:r w:rsidRPr="00BF0A9E">
        <w:rPr>
          <w:rStyle w:val="FootnoteReference"/>
          <w:rFonts w:asciiTheme="majorHAnsi" w:hAnsiTheme="majorHAnsi"/>
          <w:sz w:val="16"/>
          <w:szCs w:val="16"/>
        </w:rPr>
        <w:footnoteRef/>
      </w:r>
      <w:r w:rsidRPr="00BF0A9E">
        <w:rPr>
          <w:rFonts w:asciiTheme="majorHAnsi" w:hAnsiTheme="majorHAnsi"/>
          <w:sz w:val="16"/>
          <w:szCs w:val="16"/>
        </w:rPr>
        <w:t xml:space="preserve"> Pratt and Morgan v. The Attorney General for Jamaica and another (Jamaica) [1993] UKPC 1 (2nd </w:t>
      </w:r>
      <w:proofErr w:type="gramStart"/>
      <w:r w:rsidRPr="00BF0A9E">
        <w:rPr>
          <w:rFonts w:asciiTheme="majorHAnsi" w:hAnsiTheme="majorHAnsi"/>
          <w:sz w:val="16"/>
          <w:szCs w:val="16"/>
        </w:rPr>
        <w:t>November,</w:t>
      </w:r>
      <w:proofErr w:type="gramEnd"/>
      <w:r w:rsidRPr="00BF0A9E">
        <w:rPr>
          <w:rFonts w:asciiTheme="majorHAnsi" w:hAnsiTheme="majorHAnsi"/>
          <w:sz w:val="16"/>
          <w:szCs w:val="16"/>
        </w:rPr>
        <w:t xml:space="preserve"> 1993), paragraphs 73, 74, 75, and 84. </w:t>
      </w:r>
    </w:p>
  </w:footnote>
  <w:footnote w:id="71">
    <w:p w14:paraId="51ADCD46" w14:textId="77777777" w:rsidR="00383EEB" w:rsidRPr="00BF0A9E" w:rsidRDefault="00383EEB" w:rsidP="008A6254">
      <w:pPr>
        <w:pStyle w:val="Body"/>
        <w:jc w:val="both"/>
        <w:rPr>
          <w:rFonts w:ascii="Cambria" w:eastAsia="Cambria" w:hAnsi="Cambria" w:cs="Cambria"/>
          <w:sz w:val="20"/>
          <w:szCs w:val="20"/>
        </w:rPr>
      </w:pPr>
      <w:r w:rsidRPr="00BF0A9E">
        <w:rPr>
          <w:rStyle w:val="FootnoteReference"/>
          <w:rFonts w:asciiTheme="majorHAnsi" w:hAnsiTheme="majorHAnsi"/>
          <w:sz w:val="16"/>
          <w:szCs w:val="16"/>
        </w:rPr>
        <w:footnoteRef/>
      </w:r>
      <w:r w:rsidRPr="00BF0A9E">
        <w:rPr>
          <w:rStyle w:val="FootnoteReference"/>
          <w:rFonts w:asciiTheme="majorHAnsi" w:hAnsiTheme="majorHAnsi"/>
          <w:sz w:val="16"/>
          <w:szCs w:val="16"/>
        </w:rPr>
        <w:t xml:space="preserve"> </w:t>
      </w:r>
      <w:r w:rsidRPr="00BF0A9E">
        <w:rPr>
          <w:rFonts w:asciiTheme="majorHAnsi" w:hAnsiTheme="majorHAnsi"/>
          <w:sz w:val="16"/>
          <w:szCs w:val="16"/>
        </w:rPr>
        <w:t>Article XXIV of the American Declaration provides: “</w:t>
      </w:r>
      <w:r w:rsidRPr="00BF0A9E">
        <w:rPr>
          <w:rFonts w:ascii="Cambria" w:eastAsia="Cambria" w:hAnsi="Cambria" w:cs="Cambria"/>
          <w:sz w:val="16"/>
          <w:szCs w:val="16"/>
          <w:shd w:val="clear" w:color="auto" w:fill="FFFFFF"/>
        </w:rPr>
        <w:t>Every person has the right to submit respectful petitions to any competent authority, for reasons of either general or private interest, and the right to obtain a prompt decision thereon.</w:t>
      </w:r>
      <w:r w:rsidRPr="00BF0A9E">
        <w:rPr>
          <w:rFonts w:asciiTheme="majorHAnsi" w:hAnsiTheme="majorHAnsi"/>
          <w:sz w:val="16"/>
          <w:szCs w:val="16"/>
        </w:rPr>
        <w:t>”</w:t>
      </w:r>
    </w:p>
  </w:footnote>
  <w:footnote w:id="72">
    <w:p w14:paraId="13A8CEB3" w14:textId="77777777" w:rsidR="00383EEB" w:rsidRPr="00BF0A9E" w:rsidRDefault="00383EEB" w:rsidP="00B346FF">
      <w:pPr>
        <w:pStyle w:val="Body"/>
        <w:jc w:val="both"/>
        <w:rPr>
          <w:rFonts w:asciiTheme="majorHAnsi" w:eastAsia="Cambria" w:hAnsiTheme="majorHAnsi" w:cs="Cambria"/>
          <w:sz w:val="16"/>
          <w:szCs w:val="20"/>
        </w:rPr>
      </w:pPr>
      <w:r w:rsidRPr="00BF0A9E">
        <w:rPr>
          <w:rStyle w:val="FootnoteReference"/>
          <w:rFonts w:asciiTheme="majorHAnsi" w:hAnsiTheme="majorHAnsi"/>
          <w:sz w:val="16"/>
          <w:szCs w:val="16"/>
        </w:rPr>
        <w:footnoteRef/>
      </w:r>
      <w:r w:rsidRPr="00BF0A9E">
        <w:rPr>
          <w:rStyle w:val="FootnoteReference"/>
          <w:rFonts w:asciiTheme="majorHAnsi" w:hAnsiTheme="majorHAnsi"/>
          <w:sz w:val="16"/>
          <w:szCs w:val="16"/>
        </w:rPr>
        <w:t xml:space="preserve"> </w:t>
      </w:r>
      <w:r w:rsidRPr="00BF0A9E">
        <w:rPr>
          <w:rFonts w:asciiTheme="majorHAnsi" w:hAnsiTheme="majorHAnsi"/>
          <w:sz w:val="16"/>
          <w:szCs w:val="16"/>
        </w:rPr>
        <w:t>Article I of the American Declaration provides: “</w:t>
      </w:r>
      <w:r w:rsidRPr="00BF0A9E">
        <w:rPr>
          <w:rFonts w:asciiTheme="majorHAnsi" w:eastAsia="Cambria" w:hAnsiTheme="majorHAnsi" w:cs="Cambria"/>
          <w:sz w:val="16"/>
          <w:szCs w:val="16"/>
          <w:shd w:val="clear" w:color="auto" w:fill="FFFFFF"/>
        </w:rPr>
        <w:t>Every human being has the right to life, liberty and the security of his person</w:t>
      </w:r>
      <w:r w:rsidRPr="00BF0A9E">
        <w:rPr>
          <w:rFonts w:asciiTheme="majorHAnsi" w:hAnsiTheme="majorHAnsi"/>
          <w:sz w:val="16"/>
          <w:szCs w:val="16"/>
        </w:rPr>
        <w:t>.”</w:t>
      </w:r>
    </w:p>
  </w:footnote>
  <w:footnote w:id="73">
    <w:p w14:paraId="4E0E5B74" w14:textId="77777777" w:rsidR="00383EEB" w:rsidRPr="00BF0A9E" w:rsidRDefault="00383EEB" w:rsidP="008A6254">
      <w:pPr>
        <w:pStyle w:val="FootnoteText"/>
        <w:jc w:val="both"/>
        <w:rPr>
          <w:rFonts w:asciiTheme="majorHAnsi" w:hAnsiTheme="majorHAnsi"/>
          <w:sz w:val="16"/>
          <w:szCs w:val="16"/>
        </w:rPr>
      </w:pPr>
      <w:r w:rsidRPr="00BF0A9E">
        <w:rPr>
          <w:rStyle w:val="FootnoteReference"/>
          <w:rFonts w:asciiTheme="majorHAnsi" w:hAnsiTheme="majorHAnsi"/>
          <w:sz w:val="16"/>
          <w:szCs w:val="16"/>
        </w:rPr>
        <w:footnoteRef/>
      </w:r>
      <w:r w:rsidRPr="00BF0A9E">
        <w:rPr>
          <w:rFonts w:asciiTheme="majorHAnsi" w:hAnsiTheme="majorHAnsi"/>
          <w:sz w:val="16"/>
          <w:szCs w:val="16"/>
        </w:rPr>
        <w:t xml:space="preserve"> </w:t>
      </w:r>
      <w:r w:rsidRPr="00BF0A9E">
        <w:rPr>
          <w:rFonts w:asciiTheme="majorHAnsi" w:eastAsia="Times New Roman" w:hAnsiTheme="majorHAnsi" w:cs="Times New Roman"/>
          <w:sz w:val="16"/>
          <w:szCs w:val="16"/>
        </w:rPr>
        <w:t xml:space="preserve">Case 12.243, Report 52/01, Juan Raul Garza v. United States, Annual Report of the IACHR 2000, para. 117. See </w:t>
      </w:r>
      <w:proofErr w:type="gramStart"/>
      <w:r w:rsidRPr="00BF0A9E">
        <w:rPr>
          <w:rFonts w:asciiTheme="majorHAnsi" w:eastAsia="Times New Roman" w:hAnsiTheme="majorHAnsi" w:cs="Times New Roman"/>
          <w:sz w:val="16"/>
          <w:szCs w:val="16"/>
        </w:rPr>
        <w:t xml:space="preserve">similarly </w:t>
      </w:r>
      <w:r w:rsidRPr="00BF0A9E">
        <w:rPr>
          <w:rFonts w:asciiTheme="majorHAnsi" w:eastAsia="Times New Roman" w:hAnsiTheme="majorHAnsi" w:cs="Times New Roman"/>
          <w:i/>
          <w:iCs/>
          <w:sz w:val="16"/>
          <w:szCs w:val="16"/>
        </w:rPr>
        <w:t>;</w:t>
      </w:r>
      <w:proofErr w:type="gramEnd"/>
      <w:r w:rsidRPr="00BF0A9E">
        <w:rPr>
          <w:rFonts w:asciiTheme="majorHAnsi" w:eastAsia="Times New Roman" w:hAnsiTheme="majorHAnsi" w:cs="Times New Roman"/>
          <w:i/>
          <w:iCs/>
          <w:sz w:val="16"/>
          <w:szCs w:val="16"/>
        </w:rPr>
        <w:t xml:space="preserve"> </w:t>
      </w:r>
      <w:r w:rsidRPr="00BF0A9E">
        <w:rPr>
          <w:rFonts w:asciiTheme="majorHAnsi" w:eastAsia="Times New Roman" w:hAnsiTheme="majorHAnsi" w:cs="Times New Roman"/>
          <w:sz w:val="16"/>
          <w:szCs w:val="16"/>
        </w:rPr>
        <w:t>IACHR, Fifth Report on the Situation of Human Rights in Guatemala, Doc. OEA/</w:t>
      </w:r>
      <w:proofErr w:type="spellStart"/>
      <w:r w:rsidRPr="00BF0A9E">
        <w:rPr>
          <w:rFonts w:asciiTheme="majorHAnsi" w:eastAsia="Times New Roman" w:hAnsiTheme="majorHAnsi" w:cs="Times New Roman"/>
          <w:sz w:val="16"/>
          <w:szCs w:val="16"/>
        </w:rPr>
        <w:t>Ser.L</w:t>
      </w:r>
      <w:proofErr w:type="spellEnd"/>
      <w:r w:rsidRPr="00BF0A9E">
        <w:rPr>
          <w:rFonts w:asciiTheme="majorHAnsi" w:eastAsia="Times New Roman" w:hAnsiTheme="majorHAnsi" w:cs="Times New Roman"/>
          <w:sz w:val="16"/>
          <w:szCs w:val="16"/>
        </w:rPr>
        <w:t>/V/II.111 doc.21 rev. (6 April 2001), paras. 71, 72.</w:t>
      </w:r>
    </w:p>
  </w:footnote>
  <w:footnote w:id="74">
    <w:p w14:paraId="17D75459" w14:textId="77777777" w:rsidR="00383EEB" w:rsidRPr="00BF0A9E" w:rsidRDefault="00383EEB" w:rsidP="008A6254">
      <w:pPr>
        <w:pStyle w:val="FootnoteText"/>
        <w:jc w:val="both"/>
        <w:rPr>
          <w:rFonts w:asciiTheme="majorHAnsi" w:hAnsiTheme="majorHAnsi"/>
          <w:sz w:val="16"/>
          <w:szCs w:val="16"/>
        </w:rPr>
      </w:pPr>
      <w:r w:rsidRPr="00BF0A9E">
        <w:rPr>
          <w:rStyle w:val="FootnoteReference"/>
          <w:rFonts w:asciiTheme="majorHAnsi" w:hAnsiTheme="majorHAnsi"/>
          <w:sz w:val="16"/>
          <w:szCs w:val="16"/>
        </w:rPr>
        <w:footnoteRef/>
      </w:r>
      <w:r w:rsidRPr="00BF0A9E">
        <w:rPr>
          <w:rFonts w:asciiTheme="majorHAnsi" w:hAnsiTheme="majorHAnsi"/>
          <w:sz w:val="16"/>
          <w:szCs w:val="16"/>
        </w:rPr>
        <w:t xml:space="preserve"> </w:t>
      </w:r>
      <w:r w:rsidRPr="00BF0A9E">
        <w:rPr>
          <w:rFonts w:asciiTheme="majorHAnsi" w:eastAsia="Times New Roman" w:hAnsiTheme="majorHAnsi" w:cs="Times New Roman"/>
          <w:sz w:val="16"/>
          <w:szCs w:val="16"/>
        </w:rPr>
        <w:t xml:space="preserve">Case 12.243, Report 52/01, Juan Raul Garza v. United States, Annual Report of the IACHR 2000, para. 117. See </w:t>
      </w:r>
      <w:proofErr w:type="gramStart"/>
      <w:r w:rsidRPr="00BF0A9E">
        <w:rPr>
          <w:rFonts w:asciiTheme="majorHAnsi" w:eastAsia="Times New Roman" w:hAnsiTheme="majorHAnsi" w:cs="Times New Roman"/>
          <w:sz w:val="16"/>
          <w:szCs w:val="16"/>
        </w:rPr>
        <w:t xml:space="preserve">similarly </w:t>
      </w:r>
      <w:r w:rsidRPr="00BF0A9E">
        <w:rPr>
          <w:rFonts w:asciiTheme="majorHAnsi" w:eastAsia="Times New Roman" w:hAnsiTheme="majorHAnsi" w:cs="Times New Roman"/>
          <w:i/>
          <w:iCs/>
          <w:sz w:val="16"/>
          <w:szCs w:val="16"/>
        </w:rPr>
        <w:t>;</w:t>
      </w:r>
      <w:proofErr w:type="gramEnd"/>
      <w:r w:rsidRPr="00BF0A9E">
        <w:rPr>
          <w:rFonts w:asciiTheme="majorHAnsi" w:eastAsia="Times New Roman" w:hAnsiTheme="majorHAnsi" w:cs="Times New Roman"/>
          <w:i/>
          <w:iCs/>
          <w:sz w:val="16"/>
          <w:szCs w:val="16"/>
        </w:rPr>
        <w:t xml:space="preserve"> </w:t>
      </w:r>
      <w:r w:rsidRPr="00BF0A9E">
        <w:rPr>
          <w:rFonts w:asciiTheme="majorHAnsi" w:eastAsia="Times New Roman" w:hAnsiTheme="majorHAnsi" w:cs="Times New Roman"/>
          <w:sz w:val="16"/>
          <w:szCs w:val="16"/>
        </w:rPr>
        <w:t>IACHR, Fifth Report on the Situation of Human Rights in Guatemala, Doc. OEA/</w:t>
      </w:r>
      <w:proofErr w:type="spellStart"/>
      <w:r w:rsidRPr="00BF0A9E">
        <w:rPr>
          <w:rFonts w:asciiTheme="majorHAnsi" w:eastAsia="Times New Roman" w:hAnsiTheme="majorHAnsi" w:cs="Times New Roman"/>
          <w:sz w:val="16"/>
          <w:szCs w:val="16"/>
        </w:rPr>
        <w:t>Ser.L</w:t>
      </w:r>
      <w:proofErr w:type="spellEnd"/>
      <w:r w:rsidRPr="00BF0A9E">
        <w:rPr>
          <w:rFonts w:asciiTheme="majorHAnsi" w:eastAsia="Times New Roman" w:hAnsiTheme="majorHAnsi" w:cs="Times New Roman"/>
          <w:sz w:val="16"/>
          <w:szCs w:val="16"/>
        </w:rPr>
        <w:t>/V/II.111 doc.21 rev. (6 April 2001), paras. 71, 72.</w:t>
      </w:r>
    </w:p>
  </w:footnote>
  <w:footnote w:id="75">
    <w:p w14:paraId="3ACBA0B1" w14:textId="77777777" w:rsidR="00383EEB" w:rsidRPr="00BF0A9E" w:rsidRDefault="00383EEB" w:rsidP="008A6254">
      <w:pPr>
        <w:pStyle w:val="FootnoteText"/>
        <w:jc w:val="both"/>
        <w:rPr>
          <w:rFonts w:asciiTheme="majorHAnsi" w:hAnsiTheme="majorHAnsi"/>
          <w:sz w:val="16"/>
          <w:szCs w:val="16"/>
        </w:rPr>
      </w:pPr>
      <w:r w:rsidRPr="00BF0A9E">
        <w:rPr>
          <w:rStyle w:val="FootnoteReference"/>
          <w:rFonts w:asciiTheme="majorHAnsi" w:hAnsiTheme="majorHAnsi"/>
          <w:sz w:val="16"/>
          <w:szCs w:val="16"/>
        </w:rPr>
        <w:footnoteRef/>
      </w:r>
      <w:r w:rsidRPr="00BF0A9E">
        <w:rPr>
          <w:rFonts w:asciiTheme="majorHAnsi" w:hAnsiTheme="majorHAnsi"/>
          <w:sz w:val="16"/>
          <w:szCs w:val="16"/>
        </w:rPr>
        <w:t xml:space="preserve"> </w:t>
      </w:r>
      <w:r w:rsidRPr="00BF0A9E">
        <w:rPr>
          <w:rFonts w:asciiTheme="majorHAnsi" w:eastAsia="Times New Roman" w:hAnsiTheme="majorHAnsi" w:cs="Times New Roman"/>
          <w:sz w:val="16"/>
          <w:szCs w:val="16"/>
        </w:rPr>
        <w:t xml:space="preserve">Case 12.243, Report 52/01, Juan Raul Garza v. United States, Annual Report of the IACHR 2000, para. 117. See </w:t>
      </w:r>
      <w:proofErr w:type="gramStart"/>
      <w:r w:rsidRPr="00BF0A9E">
        <w:rPr>
          <w:rFonts w:asciiTheme="majorHAnsi" w:eastAsia="Times New Roman" w:hAnsiTheme="majorHAnsi" w:cs="Times New Roman"/>
          <w:sz w:val="16"/>
          <w:szCs w:val="16"/>
        </w:rPr>
        <w:t xml:space="preserve">similarly </w:t>
      </w:r>
      <w:r w:rsidRPr="00BF0A9E">
        <w:rPr>
          <w:rFonts w:asciiTheme="majorHAnsi" w:eastAsia="Times New Roman" w:hAnsiTheme="majorHAnsi" w:cs="Times New Roman"/>
          <w:i/>
          <w:iCs/>
          <w:sz w:val="16"/>
          <w:szCs w:val="16"/>
        </w:rPr>
        <w:t>;</w:t>
      </w:r>
      <w:proofErr w:type="gramEnd"/>
      <w:r w:rsidRPr="00BF0A9E">
        <w:rPr>
          <w:rFonts w:asciiTheme="majorHAnsi" w:eastAsia="Times New Roman" w:hAnsiTheme="majorHAnsi" w:cs="Times New Roman"/>
          <w:i/>
          <w:iCs/>
          <w:sz w:val="16"/>
          <w:szCs w:val="16"/>
        </w:rPr>
        <w:t xml:space="preserve"> </w:t>
      </w:r>
      <w:r w:rsidRPr="00BF0A9E">
        <w:rPr>
          <w:rFonts w:asciiTheme="majorHAnsi" w:eastAsia="Times New Roman" w:hAnsiTheme="majorHAnsi" w:cs="Times New Roman"/>
          <w:sz w:val="16"/>
          <w:szCs w:val="16"/>
        </w:rPr>
        <w:t>IACHR, Fifth Report on the Situation of Human Rights in Guatemala, Doc. OEA/</w:t>
      </w:r>
      <w:proofErr w:type="spellStart"/>
      <w:r w:rsidRPr="00BF0A9E">
        <w:rPr>
          <w:rFonts w:asciiTheme="majorHAnsi" w:eastAsia="Times New Roman" w:hAnsiTheme="majorHAnsi" w:cs="Times New Roman"/>
          <w:sz w:val="16"/>
          <w:szCs w:val="16"/>
        </w:rPr>
        <w:t>Ser.L</w:t>
      </w:r>
      <w:proofErr w:type="spellEnd"/>
      <w:r w:rsidRPr="00BF0A9E">
        <w:rPr>
          <w:rFonts w:asciiTheme="majorHAnsi" w:eastAsia="Times New Roman" w:hAnsiTheme="majorHAnsi" w:cs="Times New Roman"/>
          <w:sz w:val="16"/>
          <w:szCs w:val="16"/>
        </w:rPr>
        <w:t>/V/II.111 doc.21 rev. (6 April 2001), paras. 71, 72</w:t>
      </w:r>
      <w:r w:rsidRPr="00BF0A9E">
        <w:rPr>
          <w:rFonts w:asciiTheme="majorHAnsi" w:eastAsia="Times New Roman" w:hAnsiTheme="majorHAnsi"/>
          <w:sz w:val="16"/>
          <w:szCs w:val="16"/>
        </w:rPr>
        <w:t xml:space="preserve">., citing International Court of Justice, Case Concerning the Vienna Convention on Consular Relations (Germany v. United States of America), Request for the Indication of Provisional Measures, Order of 3 March 1999, I.C.J. General List, Nº 104, paras. 22-28; United Nations Human Rights Committee, Dante </w:t>
      </w:r>
      <w:proofErr w:type="spellStart"/>
      <w:proofErr w:type="gramStart"/>
      <w:r w:rsidRPr="00BF0A9E">
        <w:rPr>
          <w:rFonts w:asciiTheme="majorHAnsi" w:eastAsia="Times New Roman" w:hAnsiTheme="majorHAnsi"/>
          <w:sz w:val="16"/>
          <w:szCs w:val="16"/>
        </w:rPr>
        <w:t>Piandiong</w:t>
      </w:r>
      <w:proofErr w:type="spellEnd"/>
      <w:proofErr w:type="gramEnd"/>
      <w:r w:rsidRPr="00BF0A9E">
        <w:rPr>
          <w:rFonts w:asciiTheme="majorHAnsi" w:eastAsia="Times New Roman" w:hAnsiTheme="majorHAnsi"/>
          <w:sz w:val="16"/>
          <w:szCs w:val="16"/>
        </w:rPr>
        <w:t xml:space="preserve"> and others v. The Philippines, Communication Nº 869/1999, U.N. Doc. CCPR/C/70/D/869.1999 (19 October 1999), paras. 5.1-5.4; Eur. Court H.R., Affaire </w:t>
      </w:r>
      <w:proofErr w:type="spellStart"/>
      <w:r w:rsidRPr="00BF0A9E">
        <w:rPr>
          <w:rFonts w:asciiTheme="majorHAnsi" w:eastAsia="Times New Roman" w:hAnsiTheme="majorHAnsi"/>
          <w:sz w:val="16"/>
          <w:szCs w:val="16"/>
        </w:rPr>
        <w:t>Mamatkulov</w:t>
      </w:r>
      <w:proofErr w:type="spellEnd"/>
      <w:r w:rsidRPr="00BF0A9E">
        <w:rPr>
          <w:rFonts w:asciiTheme="majorHAnsi" w:eastAsia="Times New Roman" w:hAnsiTheme="majorHAnsi"/>
          <w:sz w:val="16"/>
          <w:szCs w:val="16"/>
        </w:rPr>
        <w:t xml:space="preserve"> et </w:t>
      </w:r>
      <w:proofErr w:type="spellStart"/>
      <w:r w:rsidRPr="00BF0A9E">
        <w:rPr>
          <w:rFonts w:asciiTheme="majorHAnsi" w:eastAsia="Times New Roman" w:hAnsiTheme="majorHAnsi"/>
          <w:sz w:val="16"/>
          <w:szCs w:val="16"/>
        </w:rPr>
        <w:t>Abdurasulovic</w:t>
      </w:r>
      <w:proofErr w:type="spellEnd"/>
      <w:r w:rsidRPr="00BF0A9E">
        <w:rPr>
          <w:rFonts w:asciiTheme="majorHAnsi" w:eastAsia="Times New Roman" w:hAnsiTheme="majorHAnsi"/>
          <w:sz w:val="16"/>
          <w:szCs w:val="16"/>
        </w:rPr>
        <w:t xml:space="preserve"> c. Turkey, </w:t>
      </w:r>
      <w:proofErr w:type="spellStart"/>
      <w:r w:rsidRPr="00BF0A9E">
        <w:rPr>
          <w:rFonts w:asciiTheme="majorHAnsi" w:eastAsia="Times New Roman" w:hAnsiTheme="majorHAnsi"/>
          <w:sz w:val="16"/>
          <w:szCs w:val="16"/>
        </w:rPr>
        <w:t>Reqs</w:t>
      </w:r>
      <w:proofErr w:type="spellEnd"/>
      <w:r w:rsidRPr="00BF0A9E">
        <w:rPr>
          <w:rFonts w:asciiTheme="majorHAnsi" w:eastAsia="Times New Roman" w:hAnsiTheme="majorHAnsi"/>
          <w:sz w:val="16"/>
          <w:szCs w:val="16"/>
        </w:rPr>
        <w:t xml:space="preserve">. Nos. 46827/99, 46951/99 (6 February 2003), paras. 104-107. </w:t>
      </w:r>
    </w:p>
  </w:footnote>
  <w:footnote w:id="76">
    <w:p w14:paraId="30E06F48" w14:textId="77777777" w:rsidR="00383EEB" w:rsidRPr="00BF0A9E" w:rsidRDefault="00383EEB" w:rsidP="00F86F6E">
      <w:pPr>
        <w:pStyle w:val="NormalWeb"/>
        <w:spacing w:before="0" w:beforeAutospacing="0" w:after="0" w:afterAutospacing="0"/>
      </w:pPr>
      <w:r w:rsidRPr="00BF0A9E">
        <w:rPr>
          <w:rFonts w:asciiTheme="majorHAnsi" w:eastAsia="Calibri" w:hAnsiTheme="majorHAnsi" w:cs="Calibri"/>
          <w:sz w:val="16"/>
          <w:szCs w:val="20"/>
          <w:vertAlign w:val="superscript"/>
        </w:rPr>
        <w:footnoteRef/>
      </w:r>
      <w:r w:rsidRPr="00BF0A9E">
        <w:rPr>
          <w:rFonts w:asciiTheme="majorHAnsi" w:hAnsiTheme="majorHAnsi"/>
          <w:sz w:val="16"/>
        </w:rPr>
        <w:t xml:space="preserve"> </w:t>
      </w:r>
      <w:r w:rsidRPr="00BF0A9E">
        <w:rPr>
          <w:rFonts w:asciiTheme="majorHAnsi" w:eastAsia="Calibri" w:hAnsiTheme="majorHAnsi" w:cs="Calibri"/>
          <w:sz w:val="16"/>
          <w:szCs w:val="16"/>
        </w:rPr>
        <w:t xml:space="preserve">I/A Court H.R., </w:t>
      </w:r>
      <w:r w:rsidRPr="00BF0A9E">
        <w:rPr>
          <w:rFonts w:asciiTheme="majorHAnsi" w:eastAsia="Calibri" w:hAnsiTheme="majorHAnsi" w:cs="Calibri"/>
          <w:i/>
          <w:iCs/>
          <w:sz w:val="16"/>
          <w:szCs w:val="16"/>
        </w:rPr>
        <w:t xml:space="preserve">The Right to Information on Consular Assistance in the Framework of the Guarantees of the Due Process of Law. </w:t>
      </w:r>
      <w:r w:rsidRPr="00BF0A9E">
        <w:rPr>
          <w:rFonts w:asciiTheme="majorHAnsi" w:eastAsia="Calibri" w:hAnsiTheme="majorHAnsi" w:cs="Calibri"/>
          <w:sz w:val="16"/>
          <w:szCs w:val="16"/>
        </w:rPr>
        <w:t>Advisory Opinion OC‐16/99 of October 1, 1999. Series A No. 16, para. 136.</w:t>
      </w:r>
      <w:r w:rsidRPr="00BF0A9E">
        <w:rPr>
          <w:rFonts w:ascii="Calibri" w:eastAsia="Calibri" w:hAnsi="Calibri" w:cs="Calibri"/>
          <w:sz w:val="16"/>
          <w:szCs w:val="16"/>
        </w:rPr>
        <w:t xml:space="preserve"> </w:t>
      </w:r>
    </w:p>
  </w:footnote>
  <w:footnote w:id="77">
    <w:p w14:paraId="424DCD75" w14:textId="77777777" w:rsidR="00383EEB" w:rsidRPr="00700471" w:rsidRDefault="00383EEB" w:rsidP="00677E73">
      <w:pPr>
        <w:pStyle w:val="FootnoteText"/>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auto"/>
          <w:sz w:val="16"/>
          <w:szCs w:val="16"/>
        </w:rPr>
      </w:pPr>
      <w:r w:rsidRPr="00BF0A9E">
        <w:rPr>
          <w:rStyle w:val="FootnoteReference"/>
          <w:rFonts w:asciiTheme="majorHAnsi" w:hAnsiTheme="majorHAnsi"/>
          <w:color w:val="auto"/>
          <w:sz w:val="16"/>
          <w:szCs w:val="16"/>
        </w:rPr>
        <w:footnoteRef/>
      </w:r>
      <w:r w:rsidRPr="00BF0A9E">
        <w:rPr>
          <w:rFonts w:asciiTheme="majorHAnsi" w:hAnsiTheme="majorHAnsi"/>
          <w:color w:val="auto"/>
          <w:sz w:val="16"/>
          <w:szCs w:val="16"/>
        </w:rPr>
        <w:t xml:space="preserve"> See in this regard, IACHR, The death penalty in the Inter-American Human Rights System: From restrictions to abolition, OEA/</w:t>
      </w:r>
      <w:proofErr w:type="spellStart"/>
      <w:r w:rsidRPr="00BF0A9E">
        <w:rPr>
          <w:rFonts w:asciiTheme="majorHAnsi" w:hAnsiTheme="majorHAnsi"/>
          <w:color w:val="auto"/>
          <w:sz w:val="16"/>
          <w:szCs w:val="16"/>
        </w:rPr>
        <w:t>Ser.L</w:t>
      </w:r>
      <w:proofErr w:type="spellEnd"/>
      <w:r w:rsidRPr="00BF0A9E">
        <w:rPr>
          <w:rFonts w:asciiTheme="majorHAnsi" w:hAnsiTheme="majorHAnsi"/>
          <w:color w:val="auto"/>
          <w:sz w:val="16"/>
          <w:szCs w:val="16"/>
        </w:rPr>
        <w:t>/V/</w:t>
      </w:r>
      <w:proofErr w:type="gramStart"/>
      <w:r w:rsidRPr="00BF0A9E">
        <w:rPr>
          <w:rFonts w:asciiTheme="majorHAnsi" w:hAnsiTheme="majorHAnsi"/>
          <w:color w:val="auto"/>
          <w:sz w:val="16"/>
          <w:szCs w:val="16"/>
        </w:rPr>
        <w:t>II.Doc</w:t>
      </w:r>
      <w:proofErr w:type="gramEnd"/>
      <w:r w:rsidRPr="00BF0A9E">
        <w:rPr>
          <w:rFonts w:asciiTheme="majorHAnsi" w:hAnsiTheme="majorHAnsi"/>
          <w:color w:val="auto"/>
          <w:sz w:val="16"/>
          <w:szCs w:val="16"/>
        </w:rPr>
        <w:t xml:space="preserve"> 68, December 31, 2011.</w:t>
      </w:r>
    </w:p>
  </w:footnote>
  <w:footnote w:id="78">
    <w:p w14:paraId="2D19F3DA" w14:textId="77777777" w:rsidR="00383EEB" w:rsidRPr="00700471" w:rsidRDefault="00383EEB" w:rsidP="008A6254">
      <w:pPr>
        <w:pStyle w:val="FootnoteText"/>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auto"/>
          <w:sz w:val="16"/>
          <w:szCs w:val="16"/>
        </w:rPr>
      </w:pPr>
      <w:r w:rsidRPr="00BF0A9E">
        <w:rPr>
          <w:rStyle w:val="FootnoteReference"/>
          <w:rFonts w:asciiTheme="majorHAnsi" w:hAnsiTheme="majorHAnsi"/>
          <w:color w:val="auto"/>
          <w:sz w:val="16"/>
          <w:szCs w:val="16"/>
        </w:rPr>
        <w:footnoteRef/>
      </w:r>
      <w:r w:rsidRPr="00BF0A9E">
        <w:rPr>
          <w:rFonts w:asciiTheme="majorHAnsi" w:hAnsiTheme="majorHAnsi"/>
          <w:color w:val="auto"/>
          <w:sz w:val="16"/>
          <w:szCs w:val="16"/>
        </w:rPr>
        <w:t xml:space="preserve"> See in this regard, IACHR, The death penalty in the Inter-American Human Rights System: From restrictions to abolition, OEA/</w:t>
      </w:r>
      <w:proofErr w:type="spellStart"/>
      <w:r w:rsidRPr="00BF0A9E">
        <w:rPr>
          <w:rFonts w:asciiTheme="majorHAnsi" w:hAnsiTheme="majorHAnsi"/>
          <w:color w:val="auto"/>
          <w:sz w:val="16"/>
          <w:szCs w:val="16"/>
        </w:rPr>
        <w:t>Ser.L</w:t>
      </w:r>
      <w:proofErr w:type="spellEnd"/>
      <w:r w:rsidRPr="00BF0A9E">
        <w:rPr>
          <w:rFonts w:asciiTheme="majorHAnsi" w:hAnsiTheme="majorHAnsi"/>
          <w:color w:val="auto"/>
          <w:sz w:val="16"/>
          <w:szCs w:val="16"/>
        </w:rPr>
        <w:t>/V/</w:t>
      </w:r>
      <w:proofErr w:type="gramStart"/>
      <w:r w:rsidRPr="00BF0A9E">
        <w:rPr>
          <w:rFonts w:asciiTheme="majorHAnsi" w:hAnsiTheme="majorHAnsi"/>
          <w:color w:val="auto"/>
          <w:sz w:val="16"/>
          <w:szCs w:val="16"/>
        </w:rPr>
        <w:t>II.Doc</w:t>
      </w:r>
      <w:proofErr w:type="gramEnd"/>
      <w:r w:rsidRPr="00BF0A9E">
        <w:rPr>
          <w:rFonts w:asciiTheme="majorHAnsi" w:hAnsiTheme="majorHAnsi"/>
          <w:color w:val="auto"/>
          <w:sz w:val="16"/>
          <w:szCs w:val="16"/>
        </w:rPr>
        <w:t xml:space="preserve"> 68, December 31,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CDCF1" w14:textId="77777777" w:rsidR="00383EEB" w:rsidRDefault="00383EEB" w:rsidP="00C14701">
    <w:pPr>
      <w:pStyle w:val="Header"/>
      <w:framePr w:wrap="around" w:vAnchor="text" w:hAnchor="margin" w:xAlign="center" w:y="1"/>
      <w:rPr>
        <w:rStyle w:val="PageNumber"/>
        <w:rFonts w:ascii="Times New Roman" w:eastAsia="Arial Unicode MS" w:hAnsi="Times New Roman" w:cs="Times New Roman"/>
        <w:bdr w:val="nil"/>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804E5C9" w14:textId="77777777" w:rsidR="00383EEB" w:rsidRDefault="00383E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5270B" w14:textId="77777777" w:rsidR="00383EEB" w:rsidRDefault="00383EEB" w:rsidP="002C1641">
    <w:pPr>
      <w:pStyle w:val="Header"/>
      <w:tabs>
        <w:tab w:val="clear" w:pos="4320"/>
        <w:tab w:val="clear" w:pos="8640"/>
      </w:tabs>
      <w:jc w:val="center"/>
      <w:rPr>
        <w:sz w:val="22"/>
        <w:szCs w:val="22"/>
      </w:rPr>
    </w:pPr>
    <w:r>
      <w:rPr>
        <w:noProof/>
        <w:sz w:val="22"/>
        <w:szCs w:val="22"/>
      </w:rPr>
      <w:drawing>
        <wp:inline distT="0" distB="0" distL="0" distR="0" wp14:anchorId="216BEE8E" wp14:editId="44AB89A3">
          <wp:extent cx="2209800" cy="117396"/>
          <wp:effectExtent l="0" t="0" r="0" b="0"/>
          <wp:docPr id="10" name="Picture 10"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04E792DD" w14:textId="77777777" w:rsidR="00383EEB" w:rsidRPr="00EC7D62" w:rsidRDefault="00763191" w:rsidP="002C1641">
    <w:pPr>
      <w:pStyle w:val="Header"/>
      <w:tabs>
        <w:tab w:val="clear" w:pos="4320"/>
        <w:tab w:val="clear" w:pos="8640"/>
      </w:tabs>
      <w:jc w:val="center"/>
      <w:rPr>
        <w:sz w:val="22"/>
        <w:szCs w:val="22"/>
      </w:rPr>
    </w:pPr>
    <w:r>
      <w:rPr>
        <w:noProof/>
        <w:sz w:val="22"/>
        <w:szCs w:val="22"/>
        <w:bdr w:val="nil"/>
      </w:rPr>
      <w:pict w14:anchorId="18248227">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Tahoma"/>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ahoma"/>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Tahoma"/>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Tahoma"/>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Tahoma"/>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Tahoma"/>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Tahoma"/>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Tahoma"/>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Tahoma"/>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ahoma"/>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Tahoma"/>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Tahoma"/>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Tahoma"/>
        <w:color w:val="000000"/>
        <w:position w:val="0"/>
        <w:sz w:val="22"/>
        <w:szCs w:val="22"/>
        <w:u w:color="000000"/>
        <w:lang w:val="es-ES_tradnl"/>
      </w:rPr>
    </w:lvl>
  </w:abstractNum>
  <w:abstractNum w:abstractNumId="4" w15:restartNumberingAfterBreak="0">
    <w:nsid w:val="12322AA3"/>
    <w:multiLevelType w:val="hybridMultilevel"/>
    <w:tmpl w:val="06BA8E26"/>
    <w:lvl w:ilvl="0" w:tplc="BDDE7ADE">
      <w:start w:val="8"/>
      <w:numFmt w:val="decimal"/>
      <w:lvlText w:val="%1."/>
      <w:lvlJc w:val="left"/>
      <w:pPr>
        <w:tabs>
          <w:tab w:val="num" w:pos="1080"/>
        </w:tabs>
        <w:ind w:left="360" w:firstLine="720"/>
      </w:pPr>
      <w:rPr>
        <w:rFonts w:asciiTheme="majorHAnsi" w:hAnsiTheme="majorHAnsi" w:hint="default"/>
        <w:color w:val="auto"/>
        <w:sz w:val="20"/>
      </w:rPr>
    </w:lvl>
    <w:lvl w:ilvl="1" w:tplc="739EDB44">
      <w:start w:val="7"/>
      <w:numFmt w:val="decimal"/>
      <w:lvlText w:val="%2."/>
      <w:lvlJc w:val="left"/>
      <w:pPr>
        <w:tabs>
          <w:tab w:val="num" w:pos="1440"/>
        </w:tabs>
        <w:ind w:left="720" w:firstLine="720"/>
      </w:pPr>
      <w:rPr>
        <w:rFonts w:ascii="Univers" w:hAnsi="Univers" w:hint="default"/>
        <w:color w:val="auto"/>
        <w:sz w:val="20"/>
      </w:rPr>
    </w:lvl>
    <w:lvl w:ilvl="2" w:tplc="64C66088">
      <w:start w:val="4"/>
      <w:numFmt w:val="upperRoman"/>
      <w:lvlText w:val="%3."/>
      <w:lvlJc w:val="left"/>
      <w:pPr>
        <w:tabs>
          <w:tab w:val="num" w:pos="3060"/>
        </w:tabs>
        <w:ind w:left="3060" w:hanging="720"/>
      </w:pPr>
      <w:rPr>
        <w:rFonts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ahoma"/>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Tahoma"/>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Tahoma"/>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Tahoma"/>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Tahoma"/>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ahoma"/>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Tahoma"/>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Tahoma"/>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Tahoma"/>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Tahoma"/>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Tahoma"/>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Tahoma"/>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Tahoma"/>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Tahoma"/>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ahoma"/>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12" w15:restartNumberingAfterBreak="0">
    <w:nsid w:val="21E86F0F"/>
    <w:multiLevelType w:val="hybridMultilevel"/>
    <w:tmpl w:val="D39828EA"/>
    <w:styleLink w:val="ImportedStyle6"/>
    <w:lvl w:ilvl="0" w:tplc="1F008A38">
      <w:start w:val="1"/>
      <w:numFmt w:val="decimal"/>
      <w:lvlText w:val="%1."/>
      <w:lvlJc w:val="left"/>
      <w:pPr>
        <w:tabs>
          <w:tab w:val="num" w:pos="1500"/>
        </w:tabs>
        <w:ind w:left="780" w:hanging="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FBB4C0FE">
      <w:start w:val="1"/>
      <w:numFmt w:val="lowerLetter"/>
      <w:lvlText w:val="%2."/>
      <w:lvlJc w:val="left"/>
      <w:pPr>
        <w:tabs>
          <w:tab w:val="num" w:pos="1095"/>
          <w:tab w:val="left" w:pos="1500"/>
        </w:tabs>
        <w:ind w:left="375" w:firstLine="3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70D8AD98">
      <w:start w:val="1"/>
      <w:numFmt w:val="lowerRoman"/>
      <w:lvlText w:val="%3."/>
      <w:lvlJc w:val="left"/>
      <w:pPr>
        <w:tabs>
          <w:tab w:val="left" w:pos="1500"/>
          <w:tab w:val="num" w:pos="1755"/>
        </w:tabs>
        <w:ind w:left="1035" w:firstLine="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40A8B96E">
      <w:start w:val="1"/>
      <w:numFmt w:val="upperLetter"/>
      <w:lvlText w:val="%4."/>
      <w:lvlJc w:val="left"/>
      <w:pPr>
        <w:tabs>
          <w:tab w:val="left" w:pos="1500"/>
          <w:tab w:val="num" w:pos="2835"/>
        </w:tabs>
        <w:ind w:left="2115" w:hanging="1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4DC85C6C">
      <w:start w:val="1"/>
      <w:numFmt w:val="upperRoman"/>
      <w:lvlText w:val="%5."/>
      <w:lvlJc w:val="left"/>
      <w:pPr>
        <w:tabs>
          <w:tab w:val="left" w:pos="1500"/>
          <w:tab w:val="num" w:pos="3555"/>
        </w:tabs>
        <w:ind w:left="2835" w:hanging="1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AE27590">
      <w:start w:val="1"/>
      <w:numFmt w:val="lowerRoman"/>
      <w:lvlText w:val="%6."/>
      <w:lvlJc w:val="left"/>
      <w:pPr>
        <w:tabs>
          <w:tab w:val="left" w:pos="1500"/>
          <w:tab w:val="num" w:pos="3915"/>
        </w:tabs>
        <w:ind w:left="3195" w:firstLine="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8862A242">
      <w:start w:val="1"/>
      <w:numFmt w:val="decimal"/>
      <w:lvlText w:val="%7."/>
      <w:lvlJc w:val="left"/>
      <w:pPr>
        <w:tabs>
          <w:tab w:val="left" w:pos="1500"/>
          <w:tab w:val="num" w:pos="4635"/>
        </w:tabs>
        <w:ind w:left="3915" w:firstLine="3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41C683C">
      <w:start w:val="1"/>
      <w:numFmt w:val="lowerLetter"/>
      <w:lvlText w:val="%8."/>
      <w:lvlJc w:val="left"/>
      <w:pPr>
        <w:tabs>
          <w:tab w:val="left" w:pos="1500"/>
          <w:tab w:val="num" w:pos="5355"/>
        </w:tabs>
        <w:ind w:left="4635" w:firstLine="3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26B65770">
      <w:start w:val="1"/>
      <w:numFmt w:val="lowerRoman"/>
      <w:lvlText w:val="%9."/>
      <w:lvlJc w:val="left"/>
      <w:pPr>
        <w:tabs>
          <w:tab w:val="left" w:pos="1500"/>
          <w:tab w:val="num" w:pos="6075"/>
        </w:tabs>
        <w:ind w:left="5355" w:firstLine="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ahoma"/>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b/>
        <w:bCs/>
        <w:color w:val="000000"/>
        <w:position w:val="0"/>
        <w:sz w:val="22"/>
        <w:szCs w:val="22"/>
        <w:u w:color="000000"/>
        <w:lang w:val="es-ES_tradnl"/>
      </w:rPr>
    </w:lvl>
  </w:abstractNum>
  <w:abstractNum w:abstractNumId="15" w15:restartNumberingAfterBreak="0">
    <w:nsid w:val="26DD33BB"/>
    <w:multiLevelType w:val="hybridMultilevel"/>
    <w:tmpl w:val="D39828EA"/>
    <w:numStyleLink w:val="ImportedStyle6"/>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18" w15:restartNumberingAfterBreak="0">
    <w:nsid w:val="2BAA43AD"/>
    <w:multiLevelType w:val="hybridMultilevel"/>
    <w:tmpl w:val="1D42AC04"/>
    <w:lvl w:ilvl="0" w:tplc="673286BA">
      <w:start w:val="2"/>
      <w:numFmt w:val="bullet"/>
      <w:lvlText w:val="-"/>
      <w:lvlJc w:val="left"/>
      <w:pPr>
        <w:ind w:left="720" w:hanging="360"/>
      </w:pPr>
      <w:rPr>
        <w:rFonts w:ascii="Segoe UI" w:eastAsia="Arial Unicode MS"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ahoma"/>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ahoma"/>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Tahoma"/>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27" w15:restartNumberingAfterBreak="0">
    <w:nsid w:val="355F2E7A"/>
    <w:multiLevelType w:val="hybridMultilevel"/>
    <w:tmpl w:val="3CACDB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ahoma"/>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Tahoma"/>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Tahoma"/>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Tahoma"/>
        <w:color w:val="000000"/>
        <w:position w:val="0"/>
        <w:sz w:val="22"/>
        <w:szCs w:val="22"/>
        <w:u w:color="000000"/>
        <w:lang w:val="es-ES_tradnl"/>
      </w:rPr>
    </w:lvl>
  </w:abstractNum>
  <w:abstractNum w:abstractNumId="30" w15:restartNumberingAfterBreak="0">
    <w:nsid w:val="3A35477D"/>
    <w:multiLevelType w:val="hybridMultilevel"/>
    <w:tmpl w:val="73727A48"/>
    <w:styleLink w:val="ImportedStyle5"/>
    <w:lvl w:ilvl="0" w:tplc="8B888242">
      <w:start w:val="1"/>
      <w:numFmt w:val="decimal"/>
      <w:lvlText w:val="%1."/>
      <w:lvlJc w:val="left"/>
      <w:pPr>
        <w:tabs>
          <w:tab w:val="num" w:pos="1500"/>
        </w:tabs>
        <w:ind w:left="780" w:hanging="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B7361202">
      <w:start w:val="1"/>
      <w:numFmt w:val="lowerLetter"/>
      <w:lvlText w:val="%2."/>
      <w:lvlJc w:val="left"/>
      <w:pPr>
        <w:tabs>
          <w:tab w:val="num" w:pos="1095"/>
          <w:tab w:val="left" w:pos="1500"/>
        </w:tabs>
        <w:ind w:left="375" w:firstLine="3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5486038E">
      <w:start w:val="1"/>
      <w:numFmt w:val="lowerRoman"/>
      <w:lvlText w:val="%3."/>
      <w:lvlJc w:val="left"/>
      <w:pPr>
        <w:tabs>
          <w:tab w:val="left" w:pos="1500"/>
          <w:tab w:val="num" w:pos="1755"/>
        </w:tabs>
        <w:ind w:left="1035" w:firstLine="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D5407FD4">
      <w:start w:val="1"/>
      <w:numFmt w:val="upperLetter"/>
      <w:lvlText w:val="%4."/>
      <w:lvlJc w:val="left"/>
      <w:pPr>
        <w:tabs>
          <w:tab w:val="left" w:pos="1500"/>
          <w:tab w:val="num" w:pos="2835"/>
        </w:tabs>
        <w:ind w:left="2115" w:hanging="1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59EE6B6A">
      <w:start w:val="1"/>
      <w:numFmt w:val="upperRoman"/>
      <w:lvlText w:val="%5."/>
      <w:lvlJc w:val="left"/>
      <w:pPr>
        <w:tabs>
          <w:tab w:val="left" w:pos="1500"/>
          <w:tab w:val="num" w:pos="3555"/>
        </w:tabs>
        <w:ind w:left="2835" w:hanging="1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523AF742">
      <w:start w:val="1"/>
      <w:numFmt w:val="lowerRoman"/>
      <w:lvlText w:val="%6."/>
      <w:lvlJc w:val="left"/>
      <w:pPr>
        <w:tabs>
          <w:tab w:val="left" w:pos="1500"/>
          <w:tab w:val="num" w:pos="3915"/>
        </w:tabs>
        <w:ind w:left="3195" w:firstLine="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1F3A4A12">
      <w:start w:val="1"/>
      <w:numFmt w:val="decimal"/>
      <w:lvlText w:val="%7."/>
      <w:lvlJc w:val="left"/>
      <w:pPr>
        <w:tabs>
          <w:tab w:val="left" w:pos="1500"/>
          <w:tab w:val="num" w:pos="4635"/>
        </w:tabs>
        <w:ind w:left="3915" w:firstLine="3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155CD5B0">
      <w:start w:val="1"/>
      <w:numFmt w:val="lowerLetter"/>
      <w:lvlText w:val="%8."/>
      <w:lvlJc w:val="left"/>
      <w:pPr>
        <w:tabs>
          <w:tab w:val="left" w:pos="1500"/>
          <w:tab w:val="num" w:pos="5355"/>
        </w:tabs>
        <w:ind w:left="4635" w:firstLine="3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73841E64">
      <w:start w:val="1"/>
      <w:numFmt w:val="lowerRoman"/>
      <w:lvlText w:val="%9."/>
      <w:lvlJc w:val="left"/>
      <w:pPr>
        <w:tabs>
          <w:tab w:val="left" w:pos="1500"/>
          <w:tab w:val="num" w:pos="6075"/>
        </w:tabs>
        <w:ind w:left="5355" w:firstLine="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ahoma"/>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b/>
        <w:bCs/>
        <w:color w:val="000000"/>
        <w:position w:val="0"/>
        <w:sz w:val="22"/>
        <w:szCs w:val="22"/>
        <w:u w:color="000000"/>
        <w:lang w:val="es-ES_tradnl"/>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ahoma"/>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Tahoma"/>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Tahoma"/>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Tahoma"/>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Tahoma"/>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Tahoma"/>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Tahoma"/>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Tahoma"/>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Tahoma"/>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Tahoma"/>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Tahoma"/>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Tahoma"/>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ahoma"/>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Tahoma"/>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Tahoma"/>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Tahoma"/>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Tahoma"/>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Tahoma"/>
        <w:b/>
        <w:bCs/>
        <w:color w:val="000000"/>
        <w:position w:val="0"/>
        <w:sz w:val="22"/>
        <w:szCs w:val="22"/>
        <w:u w:val="single" w:color="000000"/>
        <w:lang w:val="es-ES_tradnl"/>
      </w:rPr>
    </w:lvl>
  </w:abstractNum>
  <w:abstractNum w:abstractNumId="41" w15:restartNumberingAfterBreak="0">
    <w:nsid w:val="4F03689F"/>
    <w:multiLevelType w:val="hybridMultilevel"/>
    <w:tmpl w:val="4AA2B45E"/>
    <w:lvl w:ilvl="0" w:tplc="242CFAE2">
      <w:start w:val="1"/>
      <w:numFmt w:val="decimal"/>
      <w:lvlText w:val="%1."/>
      <w:lvlJc w:val="left"/>
      <w:pPr>
        <w:tabs>
          <w:tab w:val="num" w:pos="851"/>
        </w:tabs>
        <w:ind w:left="0" w:firstLine="0"/>
      </w:pPr>
      <w:rPr>
        <w:rFonts w:ascii="Verdana" w:hAnsi="Verdana" w:hint="default"/>
        <w:b w:val="0"/>
        <w:i w:val="0"/>
        <w:strike w:val="0"/>
        <w:dstrike w:val="0"/>
        <w:color w:val="auto"/>
        <w:sz w:val="20"/>
        <w:szCs w:val="20"/>
        <w:u w:val="none"/>
        <w:effect w:val="none"/>
      </w:rPr>
    </w:lvl>
    <w:lvl w:ilvl="1" w:tplc="75B8E952">
      <w:start w:val="1"/>
      <w:numFmt w:val="decimal"/>
      <w:lvlText w:val="%2."/>
      <w:lvlJc w:val="left"/>
      <w:pPr>
        <w:tabs>
          <w:tab w:val="num" w:pos="1418"/>
        </w:tabs>
        <w:ind w:left="0" w:firstLine="1080"/>
      </w:p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ahoma"/>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b/>
        <w:bCs/>
        <w:color w:val="000000"/>
        <w:position w:val="0"/>
        <w:sz w:val="22"/>
        <w:szCs w:val="22"/>
        <w:u w:color="000000"/>
        <w:lang w:val="es-ES_tradnl"/>
      </w:rPr>
    </w:lvl>
  </w:abstractNum>
  <w:abstractNum w:abstractNumId="45" w15:restartNumberingAfterBreak="0">
    <w:nsid w:val="524A2B98"/>
    <w:multiLevelType w:val="hybridMultilevel"/>
    <w:tmpl w:val="F76477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4063FFC"/>
    <w:multiLevelType w:val="hybridMultilevel"/>
    <w:tmpl w:val="BB6A699E"/>
    <w:styleLink w:val="ImportedStyle4"/>
    <w:lvl w:ilvl="0" w:tplc="4D38D32A">
      <w:start w:val="1"/>
      <w:numFmt w:val="decimal"/>
      <w:lvlText w:val="%1."/>
      <w:lvlJc w:val="left"/>
      <w:pPr>
        <w:tabs>
          <w:tab w:val="num" w:pos="1440"/>
        </w:tabs>
        <w:ind w:left="705" w:firstLine="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B45499D0">
      <w:start w:val="1"/>
      <w:numFmt w:val="lowerLetter"/>
      <w:lvlText w:val="%2."/>
      <w:lvlJc w:val="left"/>
      <w:pPr>
        <w:tabs>
          <w:tab w:val="num" w:pos="1095"/>
        </w:tabs>
        <w:ind w:left="360" w:firstLine="37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6EAA06A2">
      <w:start w:val="1"/>
      <w:numFmt w:val="lowerRoman"/>
      <w:lvlText w:val="%3."/>
      <w:lvlJc w:val="left"/>
      <w:pPr>
        <w:tabs>
          <w:tab w:val="num" w:pos="1770"/>
        </w:tabs>
        <w:ind w:left="1035" w:firstLine="45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B64ABDBE">
      <w:start w:val="1"/>
      <w:numFmt w:val="upperLetter"/>
      <w:lvlText w:val="%4."/>
      <w:lvlJc w:val="left"/>
      <w:pPr>
        <w:tabs>
          <w:tab w:val="num" w:pos="2850"/>
        </w:tabs>
        <w:ind w:left="2115" w:firstLine="1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AB2059AA">
      <w:start w:val="1"/>
      <w:numFmt w:val="upperRoman"/>
      <w:lvlText w:val="%5."/>
      <w:lvlJc w:val="left"/>
      <w:pPr>
        <w:tabs>
          <w:tab w:val="num" w:pos="3570"/>
        </w:tabs>
        <w:ind w:left="2835" w:firstLine="1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29E490CC">
      <w:start w:val="1"/>
      <w:numFmt w:val="lowerRoman"/>
      <w:lvlText w:val="%6."/>
      <w:lvlJc w:val="left"/>
      <w:pPr>
        <w:tabs>
          <w:tab w:val="num" w:pos="3930"/>
        </w:tabs>
        <w:ind w:left="3195" w:firstLine="45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45286372">
      <w:start w:val="1"/>
      <w:numFmt w:val="decimal"/>
      <w:lvlText w:val="%7."/>
      <w:lvlJc w:val="left"/>
      <w:pPr>
        <w:tabs>
          <w:tab w:val="num" w:pos="4650"/>
        </w:tabs>
        <w:ind w:left="3915" w:firstLine="37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88CA4DA4">
      <w:start w:val="1"/>
      <w:numFmt w:val="lowerLetter"/>
      <w:lvlText w:val="%8."/>
      <w:lvlJc w:val="left"/>
      <w:pPr>
        <w:tabs>
          <w:tab w:val="num" w:pos="5370"/>
        </w:tabs>
        <w:ind w:left="4635" w:firstLine="37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2440353E">
      <w:start w:val="1"/>
      <w:numFmt w:val="lowerRoman"/>
      <w:lvlText w:val="%9."/>
      <w:lvlJc w:val="left"/>
      <w:pPr>
        <w:tabs>
          <w:tab w:val="num" w:pos="6090"/>
        </w:tabs>
        <w:ind w:left="5355" w:firstLine="45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7"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ahoma"/>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b/>
        <w:bCs/>
        <w:color w:val="000000"/>
        <w:position w:val="0"/>
        <w:sz w:val="22"/>
        <w:szCs w:val="22"/>
        <w:u w:color="000000"/>
        <w:lang w:val="es-ES_tradnl"/>
      </w:rPr>
    </w:lvl>
  </w:abstractNum>
  <w:abstractNum w:abstractNumId="48" w15:restartNumberingAfterBreak="0">
    <w:nsid w:val="54550C4C"/>
    <w:multiLevelType w:val="multilevel"/>
    <w:tmpl w:val="024A16C2"/>
    <w:numStyleLink w:val="List0"/>
  </w:abstractNum>
  <w:abstractNum w:abstractNumId="49" w15:restartNumberingAfterBreak="0">
    <w:nsid w:val="58A633D6"/>
    <w:multiLevelType w:val="hybridMultilevel"/>
    <w:tmpl w:val="41F4A2C8"/>
    <w:lvl w:ilvl="0" w:tplc="529A4590">
      <w:start w:val="1"/>
      <w:numFmt w:val="decimal"/>
      <w:lvlText w:val="%1."/>
      <w:lvlJc w:val="left"/>
      <w:pPr>
        <w:ind w:left="1425" w:hanging="705"/>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A681F10"/>
    <w:multiLevelType w:val="hybridMultilevel"/>
    <w:tmpl w:val="CE52D2DA"/>
    <w:lvl w:ilvl="0" w:tplc="815C03E6">
      <w:start w:val="1"/>
      <w:numFmt w:val="decimal"/>
      <w:lvlText w:val="%1."/>
      <w:lvlJc w:val="left"/>
      <w:pPr>
        <w:ind w:left="1425" w:hanging="705"/>
      </w:pPr>
      <w:rPr>
        <w:rFonts w:hint="default"/>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ahoma"/>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Tahoma"/>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Tahoma"/>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Tahoma"/>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Tahoma"/>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Tahoma"/>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Tahoma"/>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Tahoma"/>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Tahoma"/>
        <w:b/>
        <w:bCs/>
        <w:color w:val="000000"/>
        <w:position w:val="0"/>
        <w:sz w:val="22"/>
        <w:szCs w:val="22"/>
        <w:u w:val="single" w:color="000000"/>
        <w:lang w:val="es-ES_tradnl"/>
      </w:rPr>
    </w:lvl>
  </w:abstractNum>
  <w:abstractNum w:abstractNumId="5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ahoma"/>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b/>
        <w:bCs/>
        <w:color w:val="000000"/>
        <w:position w:val="0"/>
        <w:sz w:val="22"/>
        <w:szCs w:val="22"/>
        <w:u w:color="000000"/>
        <w:lang w:val="es-ES_tradnl"/>
      </w:rPr>
    </w:lvl>
  </w:abstractNum>
  <w:abstractNum w:abstractNumId="53" w15:restartNumberingAfterBreak="0">
    <w:nsid w:val="5C5E459A"/>
    <w:multiLevelType w:val="hybridMultilevel"/>
    <w:tmpl w:val="DFA2DF36"/>
    <w:styleLink w:val="ImportedStyle8"/>
    <w:lvl w:ilvl="0" w:tplc="AD90ED56">
      <w:start w:val="1"/>
      <w:numFmt w:val="decimal"/>
      <w:lvlText w:val="%1."/>
      <w:lvlJc w:val="left"/>
      <w:pPr>
        <w:ind w:left="1500" w:hanging="7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9014B632">
      <w:start w:val="1"/>
      <w:numFmt w:val="lowerLetter"/>
      <w:lvlText w:val="%2."/>
      <w:lvlJc w:val="left"/>
      <w:pPr>
        <w:tabs>
          <w:tab w:val="left" w:pos="1500"/>
        </w:tabs>
        <w:ind w:left="1815"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2A58011E">
      <w:start w:val="1"/>
      <w:numFmt w:val="lowerRoman"/>
      <w:lvlText w:val="%3."/>
      <w:lvlJc w:val="left"/>
      <w:pPr>
        <w:tabs>
          <w:tab w:val="left" w:pos="1500"/>
        </w:tabs>
        <w:ind w:left="2535"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2DE2ADB6">
      <w:start w:val="1"/>
      <w:numFmt w:val="upperLetter"/>
      <w:lvlText w:val="%4."/>
      <w:lvlJc w:val="left"/>
      <w:pPr>
        <w:tabs>
          <w:tab w:val="left" w:pos="1500"/>
        </w:tabs>
        <w:ind w:left="3615"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C52CB328">
      <w:start w:val="1"/>
      <w:numFmt w:val="upperRoman"/>
      <w:lvlText w:val="%5."/>
      <w:lvlJc w:val="left"/>
      <w:pPr>
        <w:tabs>
          <w:tab w:val="left" w:pos="1500"/>
        </w:tabs>
        <w:ind w:left="4335"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B9E88C54">
      <w:start w:val="1"/>
      <w:numFmt w:val="lowerRoman"/>
      <w:lvlText w:val="%6."/>
      <w:lvlJc w:val="left"/>
      <w:pPr>
        <w:tabs>
          <w:tab w:val="left" w:pos="1500"/>
        </w:tabs>
        <w:ind w:left="4695"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09405738">
      <w:start w:val="1"/>
      <w:numFmt w:val="decimal"/>
      <w:lvlText w:val="%7."/>
      <w:lvlJc w:val="left"/>
      <w:pPr>
        <w:tabs>
          <w:tab w:val="left" w:pos="1500"/>
        </w:tabs>
        <w:ind w:left="5415"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8070B0D0">
      <w:start w:val="1"/>
      <w:numFmt w:val="lowerLetter"/>
      <w:lvlText w:val="%8."/>
      <w:lvlJc w:val="left"/>
      <w:pPr>
        <w:tabs>
          <w:tab w:val="left" w:pos="1500"/>
        </w:tabs>
        <w:ind w:left="6135"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AA88B4D8">
      <w:start w:val="1"/>
      <w:numFmt w:val="lowerRoman"/>
      <w:lvlText w:val="%9."/>
      <w:lvlJc w:val="left"/>
      <w:pPr>
        <w:tabs>
          <w:tab w:val="left" w:pos="1500"/>
        </w:tabs>
        <w:ind w:left="6855"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54" w15:restartNumberingAfterBreak="0">
    <w:nsid w:val="5D1410CC"/>
    <w:multiLevelType w:val="singleLevel"/>
    <w:tmpl w:val="0409000F"/>
    <w:lvl w:ilvl="0">
      <w:start w:val="1"/>
      <w:numFmt w:val="decimal"/>
      <w:lvlText w:val="%1."/>
      <w:lvlJc w:val="left"/>
      <w:pPr>
        <w:tabs>
          <w:tab w:val="num" w:pos="2135"/>
        </w:tabs>
        <w:ind w:left="2135" w:hanging="271"/>
      </w:pPr>
      <w:rPr>
        <w:b/>
        <w:bCs/>
        <w:color w:val="000000"/>
        <w:position w:val="0"/>
        <w:sz w:val="22"/>
        <w:szCs w:val="22"/>
        <w:u w:color="000000"/>
        <w:lang w:val="es-ES_tradnl"/>
      </w:rPr>
    </w:lvl>
  </w:abstractNum>
  <w:abstractNum w:abstractNumId="55" w15:restartNumberingAfterBreak="0">
    <w:nsid w:val="5D7D4B9D"/>
    <w:multiLevelType w:val="hybridMultilevel"/>
    <w:tmpl w:val="94DC54F4"/>
    <w:lvl w:ilvl="0" w:tplc="F704ED20">
      <w:start w:val="1"/>
      <w:numFmt w:val="decimal"/>
      <w:lvlText w:val="%1."/>
      <w:lvlJc w:val="left"/>
      <w:pPr>
        <w:ind w:left="720" w:hanging="360"/>
      </w:pPr>
      <w:rPr>
        <w:rFonts w:ascii="Cambria" w:hAnsi="Cambria" w:hint="default"/>
        <w:b w:val="0"/>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5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ahoma"/>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b/>
        <w:bCs/>
        <w:color w:val="000000"/>
        <w:position w:val="0"/>
        <w:sz w:val="22"/>
        <w:szCs w:val="22"/>
        <w:u w:color="000000"/>
        <w:lang w:val="es-ES_tradnl"/>
      </w:rPr>
    </w:lvl>
  </w:abstractNum>
  <w:abstractNum w:abstractNumId="58" w15:restartNumberingAfterBreak="0">
    <w:nsid w:val="672E115F"/>
    <w:multiLevelType w:val="hybridMultilevel"/>
    <w:tmpl w:val="9ACAA0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7CC5AD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697E60A7"/>
    <w:multiLevelType w:val="hybridMultilevel"/>
    <w:tmpl w:val="F700628C"/>
    <w:lvl w:ilvl="0" w:tplc="1EA2AC34">
      <w:start w:val="22"/>
      <w:numFmt w:val="decimal"/>
      <w:lvlText w:val="%1."/>
      <w:lvlJc w:val="left"/>
      <w:pPr>
        <w:ind w:left="720" w:hanging="360"/>
      </w:pPr>
      <w:rPr>
        <w:rFonts w:hint="default"/>
        <w:b w:val="0"/>
      </w:rPr>
    </w:lvl>
    <w:lvl w:ilvl="1" w:tplc="F40616D2" w:tentative="1">
      <w:start w:val="1"/>
      <w:numFmt w:val="lowerLetter"/>
      <w:lvlText w:val="%2."/>
      <w:lvlJc w:val="left"/>
      <w:pPr>
        <w:ind w:left="1440" w:hanging="360"/>
      </w:pPr>
    </w:lvl>
    <w:lvl w:ilvl="2" w:tplc="DE5C19A4" w:tentative="1">
      <w:start w:val="1"/>
      <w:numFmt w:val="lowerRoman"/>
      <w:lvlText w:val="%3."/>
      <w:lvlJc w:val="right"/>
      <w:pPr>
        <w:ind w:left="2160" w:hanging="180"/>
      </w:pPr>
    </w:lvl>
    <w:lvl w:ilvl="3" w:tplc="07B2AEC4" w:tentative="1">
      <w:start w:val="1"/>
      <w:numFmt w:val="decimal"/>
      <w:lvlText w:val="%4."/>
      <w:lvlJc w:val="left"/>
      <w:pPr>
        <w:ind w:left="2880" w:hanging="360"/>
      </w:pPr>
    </w:lvl>
    <w:lvl w:ilvl="4" w:tplc="257676DA" w:tentative="1">
      <w:start w:val="1"/>
      <w:numFmt w:val="lowerLetter"/>
      <w:lvlText w:val="%5."/>
      <w:lvlJc w:val="left"/>
      <w:pPr>
        <w:ind w:left="3600" w:hanging="360"/>
      </w:pPr>
    </w:lvl>
    <w:lvl w:ilvl="5" w:tplc="1688D3BA" w:tentative="1">
      <w:start w:val="1"/>
      <w:numFmt w:val="lowerRoman"/>
      <w:lvlText w:val="%6."/>
      <w:lvlJc w:val="right"/>
      <w:pPr>
        <w:ind w:left="4320" w:hanging="180"/>
      </w:pPr>
    </w:lvl>
    <w:lvl w:ilvl="6" w:tplc="42E22C46" w:tentative="1">
      <w:start w:val="1"/>
      <w:numFmt w:val="decimal"/>
      <w:lvlText w:val="%7."/>
      <w:lvlJc w:val="left"/>
      <w:pPr>
        <w:ind w:left="5040" w:hanging="360"/>
      </w:pPr>
    </w:lvl>
    <w:lvl w:ilvl="7" w:tplc="EDE28B80" w:tentative="1">
      <w:start w:val="1"/>
      <w:numFmt w:val="lowerLetter"/>
      <w:lvlText w:val="%8."/>
      <w:lvlJc w:val="left"/>
      <w:pPr>
        <w:ind w:left="5760" w:hanging="360"/>
      </w:pPr>
    </w:lvl>
    <w:lvl w:ilvl="8" w:tplc="22BCE6F2" w:tentative="1">
      <w:start w:val="1"/>
      <w:numFmt w:val="lowerRoman"/>
      <w:lvlText w:val="%9."/>
      <w:lvlJc w:val="right"/>
      <w:pPr>
        <w:ind w:left="6480" w:hanging="180"/>
      </w:pPr>
    </w:lvl>
  </w:abstractNum>
  <w:abstractNum w:abstractNumId="6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Tahoma"/>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ahoma"/>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Tahoma"/>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Tahoma"/>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Tahoma"/>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Tahoma"/>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Tahoma"/>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Tahoma"/>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Tahoma"/>
        <w:b/>
        <w:bCs/>
        <w:color w:val="000000"/>
        <w:position w:val="0"/>
        <w:sz w:val="22"/>
        <w:szCs w:val="22"/>
        <w:u w:val="single" w:color="000000"/>
        <w:lang w:val="es-ES_tradnl"/>
      </w:rPr>
    </w:lvl>
  </w:abstractNum>
  <w:abstractNum w:abstractNumId="6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63" w15:restartNumberingAfterBreak="0">
    <w:nsid w:val="70786ED7"/>
    <w:multiLevelType w:val="hybridMultilevel"/>
    <w:tmpl w:val="893AFD0C"/>
    <w:lvl w:ilvl="0" w:tplc="FB4C2A84">
      <w:start w:val="1"/>
      <w:numFmt w:val="upperRoman"/>
      <w:pStyle w:val="Heading1"/>
      <w:lvlText w:val="%1."/>
      <w:lvlJc w:val="left"/>
      <w:pPr>
        <w:ind w:left="720" w:hanging="360"/>
      </w:pPr>
      <w:rPr>
        <w:rFonts w:hint="default"/>
      </w:rPr>
    </w:lvl>
    <w:lvl w:ilvl="1" w:tplc="6BA2B3FA">
      <w:start w:val="1"/>
      <w:numFmt w:val="decimal"/>
      <w:lvlText w:val="%2."/>
      <w:lvlJc w:val="left"/>
      <w:pPr>
        <w:ind w:left="1440" w:hanging="360"/>
      </w:pPr>
      <w:rPr>
        <w:rFonts w:hint="default"/>
      </w:rPr>
    </w:lvl>
    <w:lvl w:ilvl="2" w:tplc="EFD0C2AE" w:tentative="1">
      <w:start w:val="1"/>
      <w:numFmt w:val="lowerRoman"/>
      <w:lvlText w:val="%3."/>
      <w:lvlJc w:val="right"/>
      <w:pPr>
        <w:ind w:left="2160" w:hanging="180"/>
      </w:pPr>
    </w:lvl>
    <w:lvl w:ilvl="3" w:tplc="31A052B0" w:tentative="1">
      <w:start w:val="1"/>
      <w:numFmt w:val="decimal"/>
      <w:lvlText w:val="%4."/>
      <w:lvlJc w:val="left"/>
      <w:pPr>
        <w:ind w:left="2880" w:hanging="360"/>
      </w:pPr>
    </w:lvl>
    <w:lvl w:ilvl="4" w:tplc="90DCEF50" w:tentative="1">
      <w:start w:val="1"/>
      <w:numFmt w:val="lowerLetter"/>
      <w:lvlText w:val="%5."/>
      <w:lvlJc w:val="left"/>
      <w:pPr>
        <w:ind w:left="3600" w:hanging="360"/>
      </w:pPr>
    </w:lvl>
    <w:lvl w:ilvl="5" w:tplc="5838B790" w:tentative="1">
      <w:start w:val="1"/>
      <w:numFmt w:val="lowerRoman"/>
      <w:lvlText w:val="%6."/>
      <w:lvlJc w:val="right"/>
      <w:pPr>
        <w:ind w:left="4320" w:hanging="180"/>
      </w:pPr>
    </w:lvl>
    <w:lvl w:ilvl="6" w:tplc="9D94DA3E" w:tentative="1">
      <w:start w:val="1"/>
      <w:numFmt w:val="decimal"/>
      <w:lvlText w:val="%7."/>
      <w:lvlJc w:val="left"/>
      <w:pPr>
        <w:ind w:left="5040" w:hanging="360"/>
      </w:pPr>
    </w:lvl>
    <w:lvl w:ilvl="7" w:tplc="F9364FEA" w:tentative="1">
      <w:start w:val="1"/>
      <w:numFmt w:val="lowerLetter"/>
      <w:lvlText w:val="%8."/>
      <w:lvlJc w:val="left"/>
      <w:pPr>
        <w:ind w:left="5760" w:hanging="360"/>
      </w:pPr>
    </w:lvl>
    <w:lvl w:ilvl="8" w:tplc="1C2ACEA0" w:tentative="1">
      <w:start w:val="1"/>
      <w:numFmt w:val="lowerRoman"/>
      <w:lvlText w:val="%9."/>
      <w:lvlJc w:val="right"/>
      <w:pPr>
        <w:ind w:left="6480" w:hanging="180"/>
      </w:pPr>
    </w:lvl>
  </w:abstractNum>
  <w:abstractNum w:abstractNumId="6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65" w15:restartNumberingAfterBreak="0">
    <w:nsid w:val="7745554A"/>
    <w:multiLevelType w:val="hybridMultilevel"/>
    <w:tmpl w:val="FA40F4D6"/>
    <w:lvl w:ilvl="0" w:tplc="914ED354">
      <w:start w:val="1"/>
      <w:numFmt w:val="upperLetter"/>
      <w:lvlText w:val="%1."/>
      <w:lvlJc w:val="left"/>
      <w:pPr>
        <w:ind w:left="720" w:hanging="360"/>
      </w:pPr>
      <w:rPr>
        <w:rFonts w:hint="default"/>
      </w:rPr>
    </w:lvl>
    <w:lvl w:ilvl="1" w:tplc="EBC0D542" w:tentative="1">
      <w:start w:val="1"/>
      <w:numFmt w:val="lowerLetter"/>
      <w:lvlText w:val="%2."/>
      <w:lvlJc w:val="left"/>
      <w:pPr>
        <w:ind w:left="1440" w:hanging="360"/>
      </w:pPr>
    </w:lvl>
    <w:lvl w:ilvl="2" w:tplc="D960CBC2" w:tentative="1">
      <w:start w:val="1"/>
      <w:numFmt w:val="lowerRoman"/>
      <w:lvlText w:val="%3."/>
      <w:lvlJc w:val="right"/>
      <w:pPr>
        <w:ind w:left="2160" w:hanging="180"/>
      </w:pPr>
    </w:lvl>
    <w:lvl w:ilvl="3" w:tplc="66AE90F2" w:tentative="1">
      <w:start w:val="1"/>
      <w:numFmt w:val="decimal"/>
      <w:lvlText w:val="%4."/>
      <w:lvlJc w:val="left"/>
      <w:pPr>
        <w:ind w:left="2880" w:hanging="360"/>
      </w:pPr>
    </w:lvl>
    <w:lvl w:ilvl="4" w:tplc="0580476A" w:tentative="1">
      <w:start w:val="1"/>
      <w:numFmt w:val="lowerLetter"/>
      <w:lvlText w:val="%5."/>
      <w:lvlJc w:val="left"/>
      <w:pPr>
        <w:ind w:left="3600" w:hanging="360"/>
      </w:pPr>
    </w:lvl>
    <w:lvl w:ilvl="5" w:tplc="4242414A" w:tentative="1">
      <w:start w:val="1"/>
      <w:numFmt w:val="lowerRoman"/>
      <w:lvlText w:val="%6."/>
      <w:lvlJc w:val="right"/>
      <w:pPr>
        <w:ind w:left="4320" w:hanging="180"/>
      </w:pPr>
    </w:lvl>
    <w:lvl w:ilvl="6" w:tplc="23B41E74" w:tentative="1">
      <w:start w:val="1"/>
      <w:numFmt w:val="decimal"/>
      <w:lvlText w:val="%7."/>
      <w:lvlJc w:val="left"/>
      <w:pPr>
        <w:ind w:left="5040" w:hanging="360"/>
      </w:pPr>
    </w:lvl>
    <w:lvl w:ilvl="7" w:tplc="D0C0D4E8" w:tentative="1">
      <w:start w:val="1"/>
      <w:numFmt w:val="lowerLetter"/>
      <w:lvlText w:val="%8."/>
      <w:lvlJc w:val="left"/>
      <w:pPr>
        <w:ind w:left="5760" w:hanging="360"/>
      </w:pPr>
    </w:lvl>
    <w:lvl w:ilvl="8" w:tplc="4032224E" w:tentative="1">
      <w:start w:val="1"/>
      <w:numFmt w:val="lowerRoman"/>
      <w:lvlText w:val="%9."/>
      <w:lvlJc w:val="right"/>
      <w:pPr>
        <w:ind w:left="6480" w:hanging="180"/>
      </w:pPr>
    </w:lvl>
  </w:abstractNum>
  <w:abstractNum w:abstractNumId="6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6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ahoma"/>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Tahoma"/>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Tahoma"/>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Tahoma"/>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Tahoma"/>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Tahoma"/>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Tahoma"/>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Tahoma"/>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Tahoma"/>
        <w:b/>
        <w:bCs/>
        <w:color w:val="000000"/>
        <w:position w:val="0"/>
        <w:sz w:val="22"/>
        <w:szCs w:val="22"/>
        <w:u w:color="000000"/>
        <w:lang w:val="es-ES_tradnl"/>
      </w:rPr>
    </w:lvl>
  </w:abstractNum>
  <w:abstractNum w:abstractNumId="68" w15:restartNumberingAfterBreak="0">
    <w:nsid w:val="7994649A"/>
    <w:multiLevelType w:val="hybridMultilevel"/>
    <w:tmpl w:val="0EECEAD0"/>
    <w:lvl w:ilvl="0" w:tplc="C6FEA962">
      <w:start w:val="1"/>
      <w:numFmt w:val="upperLetter"/>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70" w15:restartNumberingAfterBreak="0">
    <w:nsid w:val="7C051419"/>
    <w:multiLevelType w:val="hybridMultilevel"/>
    <w:tmpl w:val="66148FEE"/>
    <w:styleLink w:val="ImportedStyle3"/>
    <w:lvl w:ilvl="0" w:tplc="E634E536">
      <w:start w:val="1"/>
      <w:numFmt w:val="decimal"/>
      <w:lvlText w:val="%1."/>
      <w:lvlJc w:val="left"/>
      <w:pPr>
        <w:tabs>
          <w:tab w:val="num" w:pos="1260"/>
          <w:tab w:val="left" w:pos="1440"/>
          <w:tab w:val="left" w:pos="2040"/>
        </w:tabs>
        <w:ind w:left="540" w:firstLine="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FC1C80EA">
      <w:start w:val="1"/>
      <w:numFmt w:val="lowerLetter"/>
      <w:lvlText w:val="%2."/>
      <w:lvlJc w:val="left"/>
      <w:pPr>
        <w:tabs>
          <w:tab w:val="num" w:pos="1260"/>
          <w:tab w:val="left" w:pos="1440"/>
          <w:tab w:val="left" w:pos="2040"/>
        </w:tabs>
        <w:ind w:left="540" w:firstLine="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250CA3F6">
      <w:start w:val="1"/>
      <w:numFmt w:val="lowerRoman"/>
      <w:lvlText w:val="%3."/>
      <w:lvlJc w:val="left"/>
      <w:pPr>
        <w:tabs>
          <w:tab w:val="left" w:pos="1260"/>
          <w:tab w:val="num" w:pos="1620"/>
          <w:tab w:val="left" w:pos="2040"/>
        </w:tabs>
        <w:ind w:left="900" w:firstLine="3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A300CE52">
      <w:start w:val="1"/>
      <w:numFmt w:val="decimal"/>
      <w:lvlText w:val="%4."/>
      <w:lvlJc w:val="left"/>
      <w:pPr>
        <w:tabs>
          <w:tab w:val="left" w:pos="1260"/>
          <w:tab w:val="left" w:pos="1440"/>
          <w:tab w:val="num" w:pos="2340"/>
        </w:tabs>
        <w:ind w:left="1620" w:firstLine="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B1B4FA0C">
      <w:start w:val="1"/>
      <w:numFmt w:val="lowerLetter"/>
      <w:lvlText w:val="%5."/>
      <w:lvlJc w:val="left"/>
      <w:pPr>
        <w:tabs>
          <w:tab w:val="left" w:pos="1260"/>
          <w:tab w:val="left" w:pos="1440"/>
          <w:tab w:val="left" w:pos="2040"/>
          <w:tab w:val="num" w:pos="3060"/>
        </w:tabs>
        <w:ind w:left="2340" w:firstLine="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3F34266A">
      <w:start w:val="1"/>
      <w:numFmt w:val="lowerRoman"/>
      <w:lvlText w:val="%6."/>
      <w:lvlJc w:val="left"/>
      <w:pPr>
        <w:tabs>
          <w:tab w:val="left" w:pos="1260"/>
          <w:tab w:val="left" w:pos="1440"/>
          <w:tab w:val="left" w:pos="2040"/>
          <w:tab w:val="num" w:pos="3780"/>
        </w:tabs>
        <w:ind w:left="3060" w:firstLine="2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3A9AAD74">
      <w:start w:val="1"/>
      <w:numFmt w:val="decimal"/>
      <w:lvlText w:val="%7."/>
      <w:lvlJc w:val="left"/>
      <w:pPr>
        <w:tabs>
          <w:tab w:val="left" w:pos="1260"/>
          <w:tab w:val="left" w:pos="1440"/>
          <w:tab w:val="left" w:pos="2040"/>
          <w:tab w:val="num" w:pos="4500"/>
        </w:tabs>
        <w:ind w:left="3780" w:firstLine="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BC7C8DFA">
      <w:start w:val="1"/>
      <w:numFmt w:val="lowerLetter"/>
      <w:lvlText w:val="%8."/>
      <w:lvlJc w:val="left"/>
      <w:pPr>
        <w:tabs>
          <w:tab w:val="left" w:pos="1260"/>
          <w:tab w:val="left" w:pos="1440"/>
          <w:tab w:val="left" w:pos="2040"/>
          <w:tab w:val="num" w:pos="5220"/>
        </w:tabs>
        <w:ind w:left="4500" w:firstLine="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32EE4376">
      <w:start w:val="1"/>
      <w:numFmt w:val="lowerRoman"/>
      <w:lvlText w:val="%9."/>
      <w:lvlJc w:val="left"/>
      <w:pPr>
        <w:tabs>
          <w:tab w:val="left" w:pos="1260"/>
          <w:tab w:val="left" w:pos="1440"/>
          <w:tab w:val="left" w:pos="2040"/>
          <w:tab w:val="num" w:pos="5940"/>
        </w:tabs>
        <w:ind w:left="5220" w:firstLine="2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7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7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7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7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ahoma"/>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Tahoma"/>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Tahoma"/>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Tahoma"/>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Tahoma"/>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Tahoma"/>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Tahoma"/>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Tahoma"/>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Tahoma"/>
        <w:b/>
        <w:bCs/>
        <w:color w:val="000000"/>
        <w:position w:val="0"/>
        <w:sz w:val="22"/>
        <w:szCs w:val="22"/>
        <w:u w:val="single" w:color="000000"/>
        <w:lang w:val="es-ES_tradnl"/>
      </w:rPr>
    </w:lvl>
  </w:abstractNum>
  <w:num w:numId="1">
    <w:abstractNumId w:val="3"/>
  </w:num>
  <w:num w:numId="2">
    <w:abstractNumId w:val="5"/>
  </w:num>
  <w:num w:numId="3">
    <w:abstractNumId w:val="67"/>
  </w:num>
  <w:num w:numId="4">
    <w:abstractNumId w:val="23"/>
  </w:num>
  <w:num w:numId="5">
    <w:abstractNumId w:val="57"/>
  </w:num>
  <w:num w:numId="6">
    <w:abstractNumId w:val="29"/>
  </w:num>
  <w:num w:numId="7">
    <w:abstractNumId w:val="6"/>
  </w:num>
  <w:num w:numId="8">
    <w:abstractNumId w:val="19"/>
  </w:num>
  <w:num w:numId="9">
    <w:abstractNumId w:val="47"/>
  </w:num>
  <w:num w:numId="10">
    <w:abstractNumId w:val="0"/>
  </w:num>
  <w:num w:numId="11">
    <w:abstractNumId w:val="39"/>
  </w:num>
  <w:num w:numId="12">
    <w:abstractNumId w:val="40"/>
  </w:num>
  <w:num w:numId="13">
    <w:abstractNumId w:val="51"/>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3"/>
  </w:num>
  <w:num w:numId="22">
    <w:abstractNumId w:val="14"/>
  </w:num>
  <w:num w:numId="23">
    <w:abstractNumId w:val="16"/>
  </w:num>
  <w:num w:numId="24">
    <w:abstractNumId w:val="17"/>
  </w:num>
  <w:num w:numId="25">
    <w:abstractNumId w:val="20"/>
  </w:num>
  <w:num w:numId="26">
    <w:abstractNumId w:val="21"/>
  </w:num>
  <w:num w:numId="27">
    <w:abstractNumId w:val="24"/>
  </w:num>
  <w:num w:numId="28">
    <w:abstractNumId w:val="25"/>
  </w:num>
  <w:num w:numId="29">
    <w:abstractNumId w:val="26"/>
  </w:num>
  <w:num w:numId="30">
    <w:abstractNumId w:val="28"/>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42"/>
  </w:num>
  <w:num w:numId="40">
    <w:abstractNumId w:val="43"/>
  </w:num>
  <w:num w:numId="41">
    <w:abstractNumId w:val="56"/>
  </w:num>
  <w:num w:numId="42">
    <w:abstractNumId w:val="61"/>
  </w:num>
  <w:num w:numId="43">
    <w:abstractNumId w:val="62"/>
  </w:num>
  <w:num w:numId="44">
    <w:abstractNumId w:val="64"/>
  </w:num>
  <w:num w:numId="45">
    <w:abstractNumId w:val="66"/>
  </w:num>
  <w:num w:numId="46">
    <w:abstractNumId w:val="69"/>
  </w:num>
  <w:num w:numId="47">
    <w:abstractNumId w:val="71"/>
  </w:num>
  <w:num w:numId="48">
    <w:abstractNumId w:val="72"/>
  </w:num>
  <w:num w:numId="49">
    <w:abstractNumId w:val="73"/>
  </w:num>
  <w:num w:numId="50">
    <w:abstractNumId w:val="74"/>
  </w:num>
  <w:num w:numId="51">
    <w:abstractNumId w:val="22"/>
  </w:num>
  <w:num w:numId="52">
    <w:abstractNumId w:val="44"/>
  </w:num>
  <w:num w:numId="53">
    <w:abstractNumId w:val="63"/>
  </w:num>
  <w:num w:numId="54">
    <w:abstractNumId w:val="52"/>
  </w:num>
  <w:num w:numId="55">
    <w:abstractNumId w:val="55"/>
  </w:num>
  <w:num w:numId="56">
    <w:abstractNumId w:val="50"/>
  </w:num>
  <w:num w:numId="57">
    <w:abstractNumId w:val="59"/>
  </w:num>
  <w:num w:numId="58">
    <w:abstractNumId w:val="45"/>
  </w:num>
  <w:num w:numId="59">
    <w:abstractNumId w:val="65"/>
  </w:num>
  <w:num w:numId="60">
    <w:abstractNumId w:val="4"/>
  </w:num>
  <w:num w:numId="61">
    <w:abstractNumId w:val="60"/>
  </w:num>
  <w:num w:numId="62">
    <w:abstractNumId w:val="70"/>
  </w:num>
  <w:num w:numId="63">
    <w:abstractNumId w:val="46"/>
  </w:num>
  <w:num w:numId="64">
    <w:abstractNumId w:val="30"/>
  </w:num>
  <w:num w:numId="65">
    <w:abstractNumId w:val="12"/>
  </w:num>
  <w:num w:numId="66">
    <w:abstractNumId w:val="15"/>
  </w:num>
  <w:num w:numId="67">
    <w:abstractNumId w:val="53"/>
  </w:num>
  <w:num w:numId="68">
    <w:abstractNumId w:val="18"/>
  </w:num>
  <w:num w:numId="69">
    <w:abstractNumId w:val="48"/>
  </w:num>
  <w:num w:numId="70">
    <w:abstractNumId w:val="54"/>
  </w:num>
  <w:num w:numId="71">
    <w:abstractNumId w:val="49"/>
  </w:num>
  <w:num w:numId="72">
    <w:abstractNumId w:val="58"/>
  </w:num>
  <w:num w:numId="73">
    <w:abstractNumId w:val="27"/>
  </w:num>
  <w:num w:numId="7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1132"/>
    <w:rsid w:val="00001B5B"/>
    <w:rsid w:val="00002328"/>
    <w:rsid w:val="000038CF"/>
    <w:rsid w:val="000050CC"/>
    <w:rsid w:val="00006DD7"/>
    <w:rsid w:val="00006E50"/>
    <w:rsid w:val="00006EDD"/>
    <w:rsid w:val="00006F2E"/>
    <w:rsid w:val="000070D7"/>
    <w:rsid w:val="00007690"/>
    <w:rsid w:val="00007B4D"/>
    <w:rsid w:val="00007C5F"/>
    <w:rsid w:val="00010877"/>
    <w:rsid w:val="00010A7E"/>
    <w:rsid w:val="00010E1E"/>
    <w:rsid w:val="000111A8"/>
    <w:rsid w:val="00011E4C"/>
    <w:rsid w:val="00011EB8"/>
    <w:rsid w:val="00012470"/>
    <w:rsid w:val="00012683"/>
    <w:rsid w:val="00012ADD"/>
    <w:rsid w:val="00012E4F"/>
    <w:rsid w:val="00013F78"/>
    <w:rsid w:val="000157B5"/>
    <w:rsid w:val="00015C68"/>
    <w:rsid w:val="00015C72"/>
    <w:rsid w:val="00015F42"/>
    <w:rsid w:val="000160EE"/>
    <w:rsid w:val="00017552"/>
    <w:rsid w:val="0001788C"/>
    <w:rsid w:val="000203E6"/>
    <w:rsid w:val="00021201"/>
    <w:rsid w:val="00022424"/>
    <w:rsid w:val="000225C7"/>
    <w:rsid w:val="0002357A"/>
    <w:rsid w:val="00024730"/>
    <w:rsid w:val="000248B7"/>
    <w:rsid w:val="00024BB7"/>
    <w:rsid w:val="000265CB"/>
    <w:rsid w:val="0002681D"/>
    <w:rsid w:val="0002683C"/>
    <w:rsid w:val="00027222"/>
    <w:rsid w:val="0003022F"/>
    <w:rsid w:val="00030834"/>
    <w:rsid w:val="00031A82"/>
    <w:rsid w:val="00032BDA"/>
    <w:rsid w:val="0003324D"/>
    <w:rsid w:val="000332F4"/>
    <w:rsid w:val="000351D4"/>
    <w:rsid w:val="00036A8A"/>
    <w:rsid w:val="00037CC9"/>
    <w:rsid w:val="00040C3A"/>
    <w:rsid w:val="000427EE"/>
    <w:rsid w:val="00042FA0"/>
    <w:rsid w:val="0004390C"/>
    <w:rsid w:val="00044DA8"/>
    <w:rsid w:val="00045601"/>
    <w:rsid w:val="000459E0"/>
    <w:rsid w:val="0004681B"/>
    <w:rsid w:val="0004761C"/>
    <w:rsid w:val="00047F35"/>
    <w:rsid w:val="000516F4"/>
    <w:rsid w:val="000517B2"/>
    <w:rsid w:val="00051EB4"/>
    <w:rsid w:val="000520FB"/>
    <w:rsid w:val="00053172"/>
    <w:rsid w:val="00053D12"/>
    <w:rsid w:val="00054E1B"/>
    <w:rsid w:val="000550C0"/>
    <w:rsid w:val="00055FAE"/>
    <w:rsid w:val="000564D3"/>
    <w:rsid w:val="000564E1"/>
    <w:rsid w:val="000576AA"/>
    <w:rsid w:val="00057D4F"/>
    <w:rsid w:val="00057EDB"/>
    <w:rsid w:val="00060666"/>
    <w:rsid w:val="0006097A"/>
    <w:rsid w:val="000615CF"/>
    <w:rsid w:val="000620DE"/>
    <w:rsid w:val="00062C0F"/>
    <w:rsid w:val="00062C28"/>
    <w:rsid w:val="00062FEC"/>
    <w:rsid w:val="000630E1"/>
    <w:rsid w:val="000639C0"/>
    <w:rsid w:val="0006434A"/>
    <w:rsid w:val="00064BE5"/>
    <w:rsid w:val="0006511C"/>
    <w:rsid w:val="000657E1"/>
    <w:rsid w:val="000679BC"/>
    <w:rsid w:val="0007019C"/>
    <w:rsid w:val="00070F3A"/>
    <w:rsid w:val="0007127E"/>
    <w:rsid w:val="000716C5"/>
    <w:rsid w:val="00071A9D"/>
    <w:rsid w:val="00071E45"/>
    <w:rsid w:val="00073088"/>
    <w:rsid w:val="00074669"/>
    <w:rsid w:val="00075292"/>
    <w:rsid w:val="0007563A"/>
    <w:rsid w:val="00075E23"/>
    <w:rsid w:val="000764E3"/>
    <w:rsid w:val="0007744E"/>
    <w:rsid w:val="00077A87"/>
    <w:rsid w:val="00080249"/>
    <w:rsid w:val="00080357"/>
    <w:rsid w:val="00080AEA"/>
    <w:rsid w:val="00081EC3"/>
    <w:rsid w:val="000823DA"/>
    <w:rsid w:val="00082CBB"/>
    <w:rsid w:val="00082CF2"/>
    <w:rsid w:val="000830D5"/>
    <w:rsid w:val="000833FB"/>
    <w:rsid w:val="00083E3C"/>
    <w:rsid w:val="00084A11"/>
    <w:rsid w:val="00084C5B"/>
    <w:rsid w:val="00084FE7"/>
    <w:rsid w:val="00085F60"/>
    <w:rsid w:val="00085F65"/>
    <w:rsid w:val="000868E3"/>
    <w:rsid w:val="00086BFA"/>
    <w:rsid w:val="0008733D"/>
    <w:rsid w:val="00090720"/>
    <w:rsid w:val="00091707"/>
    <w:rsid w:val="000919DF"/>
    <w:rsid w:val="000922C5"/>
    <w:rsid w:val="000924E3"/>
    <w:rsid w:val="00092817"/>
    <w:rsid w:val="000929D9"/>
    <w:rsid w:val="00092F32"/>
    <w:rsid w:val="00093055"/>
    <w:rsid w:val="0009344A"/>
    <w:rsid w:val="0009454E"/>
    <w:rsid w:val="00094AFA"/>
    <w:rsid w:val="00094ED2"/>
    <w:rsid w:val="00095575"/>
    <w:rsid w:val="0009575D"/>
    <w:rsid w:val="0009719E"/>
    <w:rsid w:val="000973C5"/>
    <w:rsid w:val="000A0445"/>
    <w:rsid w:val="000A0EF3"/>
    <w:rsid w:val="000A1126"/>
    <w:rsid w:val="000A16DB"/>
    <w:rsid w:val="000A1E84"/>
    <w:rsid w:val="000A2085"/>
    <w:rsid w:val="000A254B"/>
    <w:rsid w:val="000A3276"/>
    <w:rsid w:val="000A3E84"/>
    <w:rsid w:val="000A4138"/>
    <w:rsid w:val="000A4DDD"/>
    <w:rsid w:val="000A575F"/>
    <w:rsid w:val="000A584B"/>
    <w:rsid w:val="000A5B0F"/>
    <w:rsid w:val="000A62C0"/>
    <w:rsid w:val="000A650D"/>
    <w:rsid w:val="000A6C50"/>
    <w:rsid w:val="000A7A76"/>
    <w:rsid w:val="000A7DBA"/>
    <w:rsid w:val="000B040F"/>
    <w:rsid w:val="000B25FC"/>
    <w:rsid w:val="000B276D"/>
    <w:rsid w:val="000B2A22"/>
    <w:rsid w:val="000B2EF7"/>
    <w:rsid w:val="000B478D"/>
    <w:rsid w:val="000B4DAF"/>
    <w:rsid w:val="000B4EAA"/>
    <w:rsid w:val="000B50C3"/>
    <w:rsid w:val="000B64A7"/>
    <w:rsid w:val="000B6581"/>
    <w:rsid w:val="000B6B28"/>
    <w:rsid w:val="000C0092"/>
    <w:rsid w:val="000C0149"/>
    <w:rsid w:val="000C04CF"/>
    <w:rsid w:val="000C09A7"/>
    <w:rsid w:val="000C1094"/>
    <w:rsid w:val="000C1B5A"/>
    <w:rsid w:val="000C376B"/>
    <w:rsid w:val="000C4902"/>
    <w:rsid w:val="000C6615"/>
    <w:rsid w:val="000C6FFD"/>
    <w:rsid w:val="000D10DB"/>
    <w:rsid w:val="000D1FC7"/>
    <w:rsid w:val="000D3921"/>
    <w:rsid w:val="000D3B27"/>
    <w:rsid w:val="000D5691"/>
    <w:rsid w:val="000D6817"/>
    <w:rsid w:val="000D68F4"/>
    <w:rsid w:val="000D6EEF"/>
    <w:rsid w:val="000E0F8F"/>
    <w:rsid w:val="000E1356"/>
    <w:rsid w:val="000E2AD7"/>
    <w:rsid w:val="000E2BD0"/>
    <w:rsid w:val="000E3937"/>
    <w:rsid w:val="000E44C7"/>
    <w:rsid w:val="000E56C3"/>
    <w:rsid w:val="000E69B3"/>
    <w:rsid w:val="000E6C43"/>
    <w:rsid w:val="000E6EDD"/>
    <w:rsid w:val="000E7140"/>
    <w:rsid w:val="000E7636"/>
    <w:rsid w:val="000E7B4D"/>
    <w:rsid w:val="000E7ED0"/>
    <w:rsid w:val="000E7F69"/>
    <w:rsid w:val="000F030F"/>
    <w:rsid w:val="000F0A25"/>
    <w:rsid w:val="000F0E52"/>
    <w:rsid w:val="000F0EEC"/>
    <w:rsid w:val="000F1E39"/>
    <w:rsid w:val="000F214A"/>
    <w:rsid w:val="000F2A83"/>
    <w:rsid w:val="000F4547"/>
    <w:rsid w:val="000F4C8A"/>
    <w:rsid w:val="000F4D36"/>
    <w:rsid w:val="000F5B71"/>
    <w:rsid w:val="000F5C19"/>
    <w:rsid w:val="000F7409"/>
    <w:rsid w:val="00101553"/>
    <w:rsid w:val="00102348"/>
    <w:rsid w:val="001024E3"/>
    <w:rsid w:val="001025B1"/>
    <w:rsid w:val="00103174"/>
    <w:rsid w:val="001032AB"/>
    <w:rsid w:val="00103526"/>
    <w:rsid w:val="00104889"/>
    <w:rsid w:val="00104896"/>
    <w:rsid w:val="00104C50"/>
    <w:rsid w:val="00105433"/>
    <w:rsid w:val="001063FA"/>
    <w:rsid w:val="001067A5"/>
    <w:rsid w:val="00106990"/>
    <w:rsid w:val="00107414"/>
    <w:rsid w:val="00111F1D"/>
    <w:rsid w:val="00112617"/>
    <w:rsid w:val="001126EB"/>
    <w:rsid w:val="00112AA3"/>
    <w:rsid w:val="00113149"/>
    <w:rsid w:val="00114527"/>
    <w:rsid w:val="00115009"/>
    <w:rsid w:val="00116FBD"/>
    <w:rsid w:val="00123ECD"/>
    <w:rsid w:val="00125D3B"/>
    <w:rsid w:val="001267FB"/>
    <w:rsid w:val="00127A93"/>
    <w:rsid w:val="00130A27"/>
    <w:rsid w:val="00130DE9"/>
    <w:rsid w:val="00130E12"/>
    <w:rsid w:val="00131042"/>
    <w:rsid w:val="0013104F"/>
    <w:rsid w:val="00131239"/>
    <w:rsid w:val="0013178F"/>
    <w:rsid w:val="00131B01"/>
    <w:rsid w:val="00133465"/>
    <w:rsid w:val="0013403C"/>
    <w:rsid w:val="00134B21"/>
    <w:rsid w:val="00134FF0"/>
    <w:rsid w:val="001357AD"/>
    <w:rsid w:val="001365B6"/>
    <w:rsid w:val="001369FD"/>
    <w:rsid w:val="00137EBA"/>
    <w:rsid w:val="00137FBC"/>
    <w:rsid w:val="00140921"/>
    <w:rsid w:val="00141DEA"/>
    <w:rsid w:val="00142AE8"/>
    <w:rsid w:val="00143E4B"/>
    <w:rsid w:val="00143EB9"/>
    <w:rsid w:val="00144208"/>
    <w:rsid w:val="00144871"/>
    <w:rsid w:val="00145EDC"/>
    <w:rsid w:val="00147723"/>
    <w:rsid w:val="001503E0"/>
    <w:rsid w:val="00150DD0"/>
    <w:rsid w:val="00151AFC"/>
    <w:rsid w:val="00152085"/>
    <w:rsid w:val="00152829"/>
    <w:rsid w:val="001528F1"/>
    <w:rsid w:val="00152944"/>
    <w:rsid w:val="0015335C"/>
    <w:rsid w:val="00154179"/>
    <w:rsid w:val="00155010"/>
    <w:rsid w:val="00155F1D"/>
    <w:rsid w:val="00157341"/>
    <w:rsid w:val="001577B2"/>
    <w:rsid w:val="00157A9F"/>
    <w:rsid w:val="001600A4"/>
    <w:rsid w:val="0016108B"/>
    <w:rsid w:val="00161150"/>
    <w:rsid w:val="00161160"/>
    <w:rsid w:val="0016186F"/>
    <w:rsid w:val="00162AAD"/>
    <w:rsid w:val="00162CEF"/>
    <w:rsid w:val="001638DF"/>
    <w:rsid w:val="0016440B"/>
    <w:rsid w:val="001644FC"/>
    <w:rsid w:val="0016465A"/>
    <w:rsid w:val="00166F26"/>
    <w:rsid w:val="00167A34"/>
    <w:rsid w:val="0017088C"/>
    <w:rsid w:val="00170952"/>
    <w:rsid w:val="00170976"/>
    <w:rsid w:val="001710D1"/>
    <w:rsid w:val="00171725"/>
    <w:rsid w:val="001733D5"/>
    <w:rsid w:val="0017348C"/>
    <w:rsid w:val="001739DA"/>
    <w:rsid w:val="001739F5"/>
    <w:rsid w:val="001741DD"/>
    <w:rsid w:val="001747B4"/>
    <w:rsid w:val="00174911"/>
    <w:rsid w:val="00174F72"/>
    <w:rsid w:val="00175827"/>
    <w:rsid w:val="0017635E"/>
    <w:rsid w:val="0017642E"/>
    <w:rsid w:val="0018037F"/>
    <w:rsid w:val="001805B4"/>
    <w:rsid w:val="00180D3C"/>
    <w:rsid w:val="00180E3B"/>
    <w:rsid w:val="001810E2"/>
    <w:rsid w:val="00181186"/>
    <w:rsid w:val="001819A8"/>
    <w:rsid w:val="00181B73"/>
    <w:rsid w:val="00182F27"/>
    <w:rsid w:val="00182FB6"/>
    <w:rsid w:val="00184083"/>
    <w:rsid w:val="00184BFA"/>
    <w:rsid w:val="00184C6F"/>
    <w:rsid w:val="00187268"/>
    <w:rsid w:val="00187CED"/>
    <w:rsid w:val="00190214"/>
    <w:rsid w:val="001917D9"/>
    <w:rsid w:val="00191C42"/>
    <w:rsid w:val="00191F07"/>
    <w:rsid w:val="0019332D"/>
    <w:rsid w:val="001937A5"/>
    <w:rsid w:val="00195976"/>
    <w:rsid w:val="001965CC"/>
    <w:rsid w:val="0019748D"/>
    <w:rsid w:val="001A0225"/>
    <w:rsid w:val="001A1776"/>
    <w:rsid w:val="001A2310"/>
    <w:rsid w:val="001A2434"/>
    <w:rsid w:val="001A3A62"/>
    <w:rsid w:val="001A5F27"/>
    <w:rsid w:val="001A6423"/>
    <w:rsid w:val="001A64EB"/>
    <w:rsid w:val="001A67D1"/>
    <w:rsid w:val="001A7439"/>
    <w:rsid w:val="001A7870"/>
    <w:rsid w:val="001A7EDC"/>
    <w:rsid w:val="001B17B9"/>
    <w:rsid w:val="001B3279"/>
    <w:rsid w:val="001B4974"/>
    <w:rsid w:val="001B56BC"/>
    <w:rsid w:val="001B5F45"/>
    <w:rsid w:val="001B71B2"/>
    <w:rsid w:val="001B7BA1"/>
    <w:rsid w:val="001C04BF"/>
    <w:rsid w:val="001C0C9B"/>
    <w:rsid w:val="001C1B41"/>
    <w:rsid w:val="001C2003"/>
    <w:rsid w:val="001C2173"/>
    <w:rsid w:val="001C3032"/>
    <w:rsid w:val="001C38BC"/>
    <w:rsid w:val="001C3B2D"/>
    <w:rsid w:val="001C4006"/>
    <w:rsid w:val="001C48AF"/>
    <w:rsid w:val="001C4E97"/>
    <w:rsid w:val="001C5228"/>
    <w:rsid w:val="001C6025"/>
    <w:rsid w:val="001C68E7"/>
    <w:rsid w:val="001C6E0E"/>
    <w:rsid w:val="001C6F52"/>
    <w:rsid w:val="001D1343"/>
    <w:rsid w:val="001D1A17"/>
    <w:rsid w:val="001D1FC1"/>
    <w:rsid w:val="001D2946"/>
    <w:rsid w:val="001D328C"/>
    <w:rsid w:val="001D41FC"/>
    <w:rsid w:val="001D4913"/>
    <w:rsid w:val="001D4D75"/>
    <w:rsid w:val="001D59B1"/>
    <w:rsid w:val="001D5E5E"/>
    <w:rsid w:val="001D7B45"/>
    <w:rsid w:val="001E0270"/>
    <w:rsid w:val="001E10CA"/>
    <w:rsid w:val="001E2867"/>
    <w:rsid w:val="001E3060"/>
    <w:rsid w:val="001E3F3E"/>
    <w:rsid w:val="001E477E"/>
    <w:rsid w:val="001E4D7D"/>
    <w:rsid w:val="001E52D7"/>
    <w:rsid w:val="001E53FB"/>
    <w:rsid w:val="001E555D"/>
    <w:rsid w:val="001E5A1A"/>
    <w:rsid w:val="001E5F04"/>
    <w:rsid w:val="001E699E"/>
    <w:rsid w:val="001E6A1A"/>
    <w:rsid w:val="001E6C37"/>
    <w:rsid w:val="001F0B72"/>
    <w:rsid w:val="001F3B00"/>
    <w:rsid w:val="001F3CD7"/>
    <w:rsid w:val="001F3D15"/>
    <w:rsid w:val="001F4294"/>
    <w:rsid w:val="001F62D9"/>
    <w:rsid w:val="001F76BD"/>
    <w:rsid w:val="001F79C0"/>
    <w:rsid w:val="00200BBE"/>
    <w:rsid w:val="0020134D"/>
    <w:rsid w:val="00201F31"/>
    <w:rsid w:val="002027D1"/>
    <w:rsid w:val="00202A19"/>
    <w:rsid w:val="00203307"/>
    <w:rsid w:val="00203653"/>
    <w:rsid w:val="00203841"/>
    <w:rsid w:val="00204924"/>
    <w:rsid w:val="00204DFD"/>
    <w:rsid w:val="002056C8"/>
    <w:rsid w:val="0020667C"/>
    <w:rsid w:val="00207544"/>
    <w:rsid w:val="0021055A"/>
    <w:rsid w:val="00210E0E"/>
    <w:rsid w:val="00211A8A"/>
    <w:rsid w:val="00212CAA"/>
    <w:rsid w:val="00213A12"/>
    <w:rsid w:val="00213A2F"/>
    <w:rsid w:val="0021591D"/>
    <w:rsid w:val="00215CE2"/>
    <w:rsid w:val="002170B5"/>
    <w:rsid w:val="00217D6A"/>
    <w:rsid w:val="00217FF0"/>
    <w:rsid w:val="00220055"/>
    <w:rsid w:val="0022169F"/>
    <w:rsid w:val="00222050"/>
    <w:rsid w:val="002226AA"/>
    <w:rsid w:val="00223245"/>
    <w:rsid w:val="002240FB"/>
    <w:rsid w:val="00225375"/>
    <w:rsid w:val="002256AE"/>
    <w:rsid w:val="002277C3"/>
    <w:rsid w:val="00227BDB"/>
    <w:rsid w:val="0023061B"/>
    <w:rsid w:val="00231CD1"/>
    <w:rsid w:val="002351E7"/>
    <w:rsid w:val="00236FA5"/>
    <w:rsid w:val="0024070A"/>
    <w:rsid w:val="00241361"/>
    <w:rsid w:val="00241B9E"/>
    <w:rsid w:val="0024247E"/>
    <w:rsid w:val="0024379B"/>
    <w:rsid w:val="00244726"/>
    <w:rsid w:val="002449BB"/>
    <w:rsid w:val="00245446"/>
    <w:rsid w:val="00246E7D"/>
    <w:rsid w:val="00247019"/>
    <w:rsid w:val="002470B2"/>
    <w:rsid w:val="0024722E"/>
    <w:rsid w:val="00247403"/>
    <w:rsid w:val="00247542"/>
    <w:rsid w:val="00247592"/>
    <w:rsid w:val="00250662"/>
    <w:rsid w:val="00250B61"/>
    <w:rsid w:val="00250F0E"/>
    <w:rsid w:val="00250F42"/>
    <w:rsid w:val="00252C93"/>
    <w:rsid w:val="00252FB1"/>
    <w:rsid w:val="00253096"/>
    <w:rsid w:val="00253F1B"/>
    <w:rsid w:val="00255140"/>
    <w:rsid w:val="002552DF"/>
    <w:rsid w:val="0025532E"/>
    <w:rsid w:val="00255475"/>
    <w:rsid w:val="00255759"/>
    <w:rsid w:val="00256677"/>
    <w:rsid w:val="00256813"/>
    <w:rsid w:val="00256D45"/>
    <w:rsid w:val="00257614"/>
    <w:rsid w:val="00257893"/>
    <w:rsid w:val="0026109F"/>
    <w:rsid w:val="0026154C"/>
    <w:rsid w:val="002626A2"/>
    <w:rsid w:val="002626F5"/>
    <w:rsid w:val="00262CC1"/>
    <w:rsid w:val="00262ECA"/>
    <w:rsid w:val="00263B2B"/>
    <w:rsid w:val="00264033"/>
    <w:rsid w:val="00264225"/>
    <w:rsid w:val="00264870"/>
    <w:rsid w:val="00264944"/>
    <w:rsid w:val="00266092"/>
    <w:rsid w:val="002669F0"/>
    <w:rsid w:val="00266B61"/>
    <w:rsid w:val="0026712A"/>
    <w:rsid w:val="00267891"/>
    <w:rsid w:val="00267EF0"/>
    <w:rsid w:val="002701A7"/>
    <w:rsid w:val="002704DB"/>
    <w:rsid w:val="002704E0"/>
    <w:rsid w:val="00270C7A"/>
    <w:rsid w:val="00271175"/>
    <w:rsid w:val="00272596"/>
    <w:rsid w:val="00272854"/>
    <w:rsid w:val="00272A02"/>
    <w:rsid w:val="00272DEF"/>
    <w:rsid w:val="00272F7D"/>
    <w:rsid w:val="00273032"/>
    <w:rsid w:val="002730F6"/>
    <w:rsid w:val="00273645"/>
    <w:rsid w:val="00273817"/>
    <w:rsid w:val="00274F86"/>
    <w:rsid w:val="00275FC9"/>
    <w:rsid w:val="00276C31"/>
    <w:rsid w:val="0028111A"/>
    <w:rsid w:val="00283851"/>
    <w:rsid w:val="00283909"/>
    <w:rsid w:val="00284E33"/>
    <w:rsid w:val="00284E86"/>
    <w:rsid w:val="002869C6"/>
    <w:rsid w:val="00287642"/>
    <w:rsid w:val="00287680"/>
    <w:rsid w:val="00290094"/>
    <w:rsid w:val="00291C7D"/>
    <w:rsid w:val="00291D28"/>
    <w:rsid w:val="00292239"/>
    <w:rsid w:val="00292CEC"/>
    <w:rsid w:val="00292E86"/>
    <w:rsid w:val="0029397E"/>
    <w:rsid w:val="00293AEB"/>
    <w:rsid w:val="00293B75"/>
    <w:rsid w:val="0029466E"/>
    <w:rsid w:val="00294727"/>
    <w:rsid w:val="00294B4A"/>
    <w:rsid w:val="00294FA9"/>
    <w:rsid w:val="0029518F"/>
    <w:rsid w:val="0029615A"/>
    <w:rsid w:val="002963E4"/>
    <w:rsid w:val="0029715B"/>
    <w:rsid w:val="00297288"/>
    <w:rsid w:val="002972C2"/>
    <w:rsid w:val="0029754B"/>
    <w:rsid w:val="00297D44"/>
    <w:rsid w:val="002A00C2"/>
    <w:rsid w:val="002A036F"/>
    <w:rsid w:val="002A05B1"/>
    <w:rsid w:val="002A1C6E"/>
    <w:rsid w:val="002A1D6A"/>
    <w:rsid w:val="002A24D4"/>
    <w:rsid w:val="002A2720"/>
    <w:rsid w:val="002A2E09"/>
    <w:rsid w:val="002A3CD5"/>
    <w:rsid w:val="002A50B1"/>
    <w:rsid w:val="002A733A"/>
    <w:rsid w:val="002A7A01"/>
    <w:rsid w:val="002B008D"/>
    <w:rsid w:val="002B01A2"/>
    <w:rsid w:val="002B0BE7"/>
    <w:rsid w:val="002B110C"/>
    <w:rsid w:val="002B1184"/>
    <w:rsid w:val="002B2AB5"/>
    <w:rsid w:val="002B30E6"/>
    <w:rsid w:val="002B3E05"/>
    <w:rsid w:val="002B4B61"/>
    <w:rsid w:val="002B5F8A"/>
    <w:rsid w:val="002C10D7"/>
    <w:rsid w:val="002C1641"/>
    <w:rsid w:val="002C1EB3"/>
    <w:rsid w:val="002C3312"/>
    <w:rsid w:val="002C3671"/>
    <w:rsid w:val="002C3D66"/>
    <w:rsid w:val="002C4070"/>
    <w:rsid w:val="002C53A9"/>
    <w:rsid w:val="002C58D2"/>
    <w:rsid w:val="002C5A89"/>
    <w:rsid w:val="002C5EC4"/>
    <w:rsid w:val="002C6169"/>
    <w:rsid w:val="002D033F"/>
    <w:rsid w:val="002D0ED4"/>
    <w:rsid w:val="002D1C82"/>
    <w:rsid w:val="002D45C2"/>
    <w:rsid w:val="002D4CA0"/>
    <w:rsid w:val="002D51E2"/>
    <w:rsid w:val="002D52BE"/>
    <w:rsid w:val="002D628F"/>
    <w:rsid w:val="002D6C75"/>
    <w:rsid w:val="002D6E69"/>
    <w:rsid w:val="002D7DC4"/>
    <w:rsid w:val="002D7EA2"/>
    <w:rsid w:val="002E03A4"/>
    <w:rsid w:val="002E10DC"/>
    <w:rsid w:val="002E15DF"/>
    <w:rsid w:val="002E187C"/>
    <w:rsid w:val="002E18E3"/>
    <w:rsid w:val="002E1CDE"/>
    <w:rsid w:val="002E21F2"/>
    <w:rsid w:val="002E2451"/>
    <w:rsid w:val="002E299B"/>
    <w:rsid w:val="002E349E"/>
    <w:rsid w:val="002E35D7"/>
    <w:rsid w:val="002E3C15"/>
    <w:rsid w:val="002E432F"/>
    <w:rsid w:val="002E4F78"/>
    <w:rsid w:val="002E61E7"/>
    <w:rsid w:val="002E6267"/>
    <w:rsid w:val="002E6465"/>
    <w:rsid w:val="002E6E57"/>
    <w:rsid w:val="002E755E"/>
    <w:rsid w:val="002E78C1"/>
    <w:rsid w:val="002E7E79"/>
    <w:rsid w:val="002F097A"/>
    <w:rsid w:val="002F0CB4"/>
    <w:rsid w:val="002F15EA"/>
    <w:rsid w:val="002F17C9"/>
    <w:rsid w:val="002F1B00"/>
    <w:rsid w:val="002F1D34"/>
    <w:rsid w:val="002F2D41"/>
    <w:rsid w:val="002F2E1F"/>
    <w:rsid w:val="002F3202"/>
    <w:rsid w:val="002F3554"/>
    <w:rsid w:val="002F3598"/>
    <w:rsid w:val="002F35CB"/>
    <w:rsid w:val="002F3D27"/>
    <w:rsid w:val="002F414B"/>
    <w:rsid w:val="002F443F"/>
    <w:rsid w:val="002F4DB7"/>
    <w:rsid w:val="002F503E"/>
    <w:rsid w:val="002F5E45"/>
    <w:rsid w:val="002F6201"/>
    <w:rsid w:val="002F63D9"/>
    <w:rsid w:val="002F6C1E"/>
    <w:rsid w:val="002F6ECD"/>
    <w:rsid w:val="002F7284"/>
    <w:rsid w:val="002F7B0F"/>
    <w:rsid w:val="00301075"/>
    <w:rsid w:val="00301B3D"/>
    <w:rsid w:val="00301F71"/>
    <w:rsid w:val="00302733"/>
    <w:rsid w:val="00302E8A"/>
    <w:rsid w:val="00303707"/>
    <w:rsid w:val="00303B04"/>
    <w:rsid w:val="0030446B"/>
    <w:rsid w:val="00304BDA"/>
    <w:rsid w:val="00304EED"/>
    <w:rsid w:val="0030600F"/>
    <w:rsid w:val="00306D2A"/>
    <w:rsid w:val="00307C53"/>
    <w:rsid w:val="00307C8D"/>
    <w:rsid w:val="00310042"/>
    <w:rsid w:val="003112C6"/>
    <w:rsid w:val="00311A4F"/>
    <w:rsid w:val="00313332"/>
    <w:rsid w:val="00314078"/>
    <w:rsid w:val="00314429"/>
    <w:rsid w:val="00315905"/>
    <w:rsid w:val="00316559"/>
    <w:rsid w:val="0031724D"/>
    <w:rsid w:val="00317255"/>
    <w:rsid w:val="00317E8A"/>
    <w:rsid w:val="00317FFC"/>
    <w:rsid w:val="00320402"/>
    <w:rsid w:val="00320A64"/>
    <w:rsid w:val="00321A96"/>
    <w:rsid w:val="00322398"/>
    <w:rsid w:val="00322450"/>
    <w:rsid w:val="003241CF"/>
    <w:rsid w:val="003245A7"/>
    <w:rsid w:val="003246B5"/>
    <w:rsid w:val="003249CF"/>
    <w:rsid w:val="003265BE"/>
    <w:rsid w:val="003267B5"/>
    <w:rsid w:val="00326FBD"/>
    <w:rsid w:val="00327501"/>
    <w:rsid w:val="00330196"/>
    <w:rsid w:val="00330B23"/>
    <w:rsid w:val="00330E0E"/>
    <w:rsid w:val="0033161A"/>
    <w:rsid w:val="00331687"/>
    <w:rsid w:val="0033169F"/>
    <w:rsid w:val="00332152"/>
    <w:rsid w:val="003330D2"/>
    <w:rsid w:val="00336085"/>
    <w:rsid w:val="0033706A"/>
    <w:rsid w:val="00337546"/>
    <w:rsid w:val="003378E0"/>
    <w:rsid w:val="00337961"/>
    <w:rsid w:val="00337C43"/>
    <w:rsid w:val="003407E0"/>
    <w:rsid w:val="00340A95"/>
    <w:rsid w:val="003410A6"/>
    <w:rsid w:val="003414AC"/>
    <w:rsid w:val="003414E6"/>
    <w:rsid w:val="00342070"/>
    <w:rsid w:val="00342AF4"/>
    <w:rsid w:val="0034357F"/>
    <w:rsid w:val="003447BB"/>
    <w:rsid w:val="00344B38"/>
    <w:rsid w:val="003464A2"/>
    <w:rsid w:val="00346770"/>
    <w:rsid w:val="00346D16"/>
    <w:rsid w:val="00347742"/>
    <w:rsid w:val="0034794C"/>
    <w:rsid w:val="00347AF6"/>
    <w:rsid w:val="00350BB3"/>
    <w:rsid w:val="003520F3"/>
    <w:rsid w:val="0035485A"/>
    <w:rsid w:val="00355779"/>
    <w:rsid w:val="00356185"/>
    <w:rsid w:val="00357206"/>
    <w:rsid w:val="0035777A"/>
    <w:rsid w:val="00357C4D"/>
    <w:rsid w:val="00357D78"/>
    <w:rsid w:val="00360380"/>
    <w:rsid w:val="0036137D"/>
    <w:rsid w:val="00361744"/>
    <w:rsid w:val="00361EB7"/>
    <w:rsid w:val="003627DA"/>
    <w:rsid w:val="00362FE0"/>
    <w:rsid w:val="0036346A"/>
    <w:rsid w:val="00365545"/>
    <w:rsid w:val="00365D52"/>
    <w:rsid w:val="00366182"/>
    <w:rsid w:val="00366924"/>
    <w:rsid w:val="00366DBE"/>
    <w:rsid w:val="00366FA7"/>
    <w:rsid w:val="00367444"/>
    <w:rsid w:val="003675B8"/>
    <w:rsid w:val="00370DD4"/>
    <w:rsid w:val="003712A0"/>
    <w:rsid w:val="003712A7"/>
    <w:rsid w:val="00371EFD"/>
    <w:rsid w:val="003726A4"/>
    <w:rsid w:val="00372C5E"/>
    <w:rsid w:val="00372F8E"/>
    <w:rsid w:val="00373790"/>
    <w:rsid w:val="003741EF"/>
    <w:rsid w:val="003745F9"/>
    <w:rsid w:val="00374940"/>
    <w:rsid w:val="003750C8"/>
    <w:rsid w:val="003759D2"/>
    <w:rsid w:val="00376244"/>
    <w:rsid w:val="003763A9"/>
    <w:rsid w:val="00377AD8"/>
    <w:rsid w:val="00380645"/>
    <w:rsid w:val="00380A1D"/>
    <w:rsid w:val="00380B68"/>
    <w:rsid w:val="00380ECF"/>
    <w:rsid w:val="0038209A"/>
    <w:rsid w:val="00382403"/>
    <w:rsid w:val="00382598"/>
    <w:rsid w:val="00382B98"/>
    <w:rsid w:val="00382CE7"/>
    <w:rsid w:val="0038330F"/>
    <w:rsid w:val="00383EEB"/>
    <w:rsid w:val="00384072"/>
    <w:rsid w:val="0038421B"/>
    <w:rsid w:val="00385B08"/>
    <w:rsid w:val="00386CF0"/>
    <w:rsid w:val="00386FEA"/>
    <w:rsid w:val="00387480"/>
    <w:rsid w:val="003902B2"/>
    <w:rsid w:val="0039046B"/>
    <w:rsid w:val="0039061F"/>
    <w:rsid w:val="00390A8A"/>
    <w:rsid w:val="00390D19"/>
    <w:rsid w:val="00391CD8"/>
    <w:rsid w:val="00392C2B"/>
    <w:rsid w:val="00392FEA"/>
    <w:rsid w:val="00393C8E"/>
    <w:rsid w:val="00394608"/>
    <w:rsid w:val="0039471C"/>
    <w:rsid w:val="00394A5D"/>
    <w:rsid w:val="003954CE"/>
    <w:rsid w:val="00396106"/>
    <w:rsid w:val="003964BF"/>
    <w:rsid w:val="00397B1B"/>
    <w:rsid w:val="003A187E"/>
    <w:rsid w:val="003A1AE3"/>
    <w:rsid w:val="003A27F4"/>
    <w:rsid w:val="003A2DC1"/>
    <w:rsid w:val="003A3C43"/>
    <w:rsid w:val="003A4790"/>
    <w:rsid w:val="003A485E"/>
    <w:rsid w:val="003A4B42"/>
    <w:rsid w:val="003A527A"/>
    <w:rsid w:val="003A6019"/>
    <w:rsid w:val="003A632E"/>
    <w:rsid w:val="003A71F1"/>
    <w:rsid w:val="003A7BFE"/>
    <w:rsid w:val="003B10C0"/>
    <w:rsid w:val="003B13EE"/>
    <w:rsid w:val="003B2C5F"/>
    <w:rsid w:val="003B2C86"/>
    <w:rsid w:val="003B349D"/>
    <w:rsid w:val="003B3E94"/>
    <w:rsid w:val="003B5C8C"/>
    <w:rsid w:val="003B63A0"/>
    <w:rsid w:val="003B640E"/>
    <w:rsid w:val="003B6423"/>
    <w:rsid w:val="003B6609"/>
    <w:rsid w:val="003B66DC"/>
    <w:rsid w:val="003B6950"/>
    <w:rsid w:val="003C1E38"/>
    <w:rsid w:val="003C32BC"/>
    <w:rsid w:val="003C3722"/>
    <w:rsid w:val="003C3FC6"/>
    <w:rsid w:val="003C4BC0"/>
    <w:rsid w:val="003C54AD"/>
    <w:rsid w:val="003C6480"/>
    <w:rsid w:val="003C7061"/>
    <w:rsid w:val="003C7271"/>
    <w:rsid w:val="003D0A3F"/>
    <w:rsid w:val="003D0C05"/>
    <w:rsid w:val="003D0CF4"/>
    <w:rsid w:val="003D0D3E"/>
    <w:rsid w:val="003D1390"/>
    <w:rsid w:val="003D1B14"/>
    <w:rsid w:val="003D1E49"/>
    <w:rsid w:val="003D2871"/>
    <w:rsid w:val="003D28BB"/>
    <w:rsid w:val="003D2C7F"/>
    <w:rsid w:val="003D3435"/>
    <w:rsid w:val="003D3507"/>
    <w:rsid w:val="003D3CD4"/>
    <w:rsid w:val="003D3E1C"/>
    <w:rsid w:val="003D40A7"/>
    <w:rsid w:val="003D4A67"/>
    <w:rsid w:val="003D5176"/>
    <w:rsid w:val="003D51A2"/>
    <w:rsid w:val="003D5A38"/>
    <w:rsid w:val="003D5CD7"/>
    <w:rsid w:val="003D5F18"/>
    <w:rsid w:val="003D640B"/>
    <w:rsid w:val="003D79BC"/>
    <w:rsid w:val="003E06A3"/>
    <w:rsid w:val="003E0852"/>
    <w:rsid w:val="003E1FEC"/>
    <w:rsid w:val="003E2564"/>
    <w:rsid w:val="003E366F"/>
    <w:rsid w:val="003E3DD2"/>
    <w:rsid w:val="003E4D93"/>
    <w:rsid w:val="003E4E8A"/>
    <w:rsid w:val="003E520F"/>
    <w:rsid w:val="003E60B8"/>
    <w:rsid w:val="003E65E7"/>
    <w:rsid w:val="003E68BB"/>
    <w:rsid w:val="003E6FB6"/>
    <w:rsid w:val="003E70A6"/>
    <w:rsid w:val="003E70EF"/>
    <w:rsid w:val="003E7380"/>
    <w:rsid w:val="003F0153"/>
    <w:rsid w:val="003F03FA"/>
    <w:rsid w:val="003F0B2B"/>
    <w:rsid w:val="003F1230"/>
    <w:rsid w:val="003F1820"/>
    <w:rsid w:val="003F1BBF"/>
    <w:rsid w:val="003F2D46"/>
    <w:rsid w:val="003F6707"/>
    <w:rsid w:val="003F7001"/>
    <w:rsid w:val="003F7161"/>
    <w:rsid w:val="004003A5"/>
    <w:rsid w:val="00400E6B"/>
    <w:rsid w:val="00400EA4"/>
    <w:rsid w:val="004010E9"/>
    <w:rsid w:val="004022E4"/>
    <w:rsid w:val="00404333"/>
    <w:rsid w:val="00404A51"/>
    <w:rsid w:val="00404EFC"/>
    <w:rsid w:val="00404F22"/>
    <w:rsid w:val="00405991"/>
    <w:rsid w:val="00405F19"/>
    <w:rsid w:val="00406721"/>
    <w:rsid w:val="00406CB6"/>
    <w:rsid w:val="0040735D"/>
    <w:rsid w:val="0040759C"/>
    <w:rsid w:val="00407F3D"/>
    <w:rsid w:val="00410925"/>
    <w:rsid w:val="004122AE"/>
    <w:rsid w:val="00413B37"/>
    <w:rsid w:val="004142F6"/>
    <w:rsid w:val="004155D1"/>
    <w:rsid w:val="00415804"/>
    <w:rsid w:val="00415BAE"/>
    <w:rsid w:val="004165C2"/>
    <w:rsid w:val="00417263"/>
    <w:rsid w:val="00417356"/>
    <w:rsid w:val="0041797E"/>
    <w:rsid w:val="00417E33"/>
    <w:rsid w:val="00421ECF"/>
    <w:rsid w:val="0042334E"/>
    <w:rsid w:val="00423909"/>
    <w:rsid w:val="00425BA4"/>
    <w:rsid w:val="0042692E"/>
    <w:rsid w:val="00426A93"/>
    <w:rsid w:val="00426DB7"/>
    <w:rsid w:val="00427406"/>
    <w:rsid w:val="00427487"/>
    <w:rsid w:val="0042749C"/>
    <w:rsid w:val="00427B63"/>
    <w:rsid w:val="00427C8F"/>
    <w:rsid w:val="00431C20"/>
    <w:rsid w:val="00432731"/>
    <w:rsid w:val="00433039"/>
    <w:rsid w:val="004332C3"/>
    <w:rsid w:val="00433505"/>
    <w:rsid w:val="0043404D"/>
    <w:rsid w:val="00436C66"/>
    <w:rsid w:val="004413C0"/>
    <w:rsid w:val="00441954"/>
    <w:rsid w:val="00441D48"/>
    <w:rsid w:val="00443E6F"/>
    <w:rsid w:val="00444596"/>
    <w:rsid w:val="00445B43"/>
    <w:rsid w:val="00445C74"/>
    <w:rsid w:val="00446259"/>
    <w:rsid w:val="0044656D"/>
    <w:rsid w:val="00446F15"/>
    <w:rsid w:val="0044706E"/>
    <w:rsid w:val="00447468"/>
    <w:rsid w:val="00447B8F"/>
    <w:rsid w:val="00450A4A"/>
    <w:rsid w:val="00450C5A"/>
    <w:rsid w:val="00450D96"/>
    <w:rsid w:val="00451A25"/>
    <w:rsid w:val="00451E96"/>
    <w:rsid w:val="00452DAB"/>
    <w:rsid w:val="00453073"/>
    <w:rsid w:val="00453466"/>
    <w:rsid w:val="00453D04"/>
    <w:rsid w:val="00454492"/>
    <w:rsid w:val="0045481D"/>
    <w:rsid w:val="00455165"/>
    <w:rsid w:val="0045524E"/>
    <w:rsid w:val="00457228"/>
    <w:rsid w:val="00457B89"/>
    <w:rsid w:val="004600B9"/>
    <w:rsid w:val="00460177"/>
    <w:rsid w:val="0046041C"/>
    <w:rsid w:val="0046072C"/>
    <w:rsid w:val="00460C26"/>
    <w:rsid w:val="004613B3"/>
    <w:rsid w:val="0046208F"/>
    <w:rsid w:val="00462248"/>
    <w:rsid w:val="00462781"/>
    <w:rsid w:val="00462F9A"/>
    <w:rsid w:val="004630F5"/>
    <w:rsid w:val="004641C1"/>
    <w:rsid w:val="004642EF"/>
    <w:rsid w:val="0046574C"/>
    <w:rsid w:val="004658D0"/>
    <w:rsid w:val="004660D1"/>
    <w:rsid w:val="0046622A"/>
    <w:rsid w:val="004666FB"/>
    <w:rsid w:val="00467542"/>
    <w:rsid w:val="00467B7E"/>
    <w:rsid w:val="00467CF1"/>
    <w:rsid w:val="0047006D"/>
    <w:rsid w:val="00471927"/>
    <w:rsid w:val="00471BC8"/>
    <w:rsid w:val="004730AF"/>
    <w:rsid w:val="00473463"/>
    <w:rsid w:val="00474D97"/>
    <w:rsid w:val="00476B10"/>
    <w:rsid w:val="00477BE3"/>
    <w:rsid w:val="00477C46"/>
    <w:rsid w:val="00477D29"/>
    <w:rsid w:val="0048119E"/>
    <w:rsid w:val="00481C1F"/>
    <w:rsid w:val="00482208"/>
    <w:rsid w:val="00482528"/>
    <w:rsid w:val="00482644"/>
    <w:rsid w:val="00483146"/>
    <w:rsid w:val="004831F1"/>
    <w:rsid w:val="00483697"/>
    <w:rsid w:val="00483974"/>
    <w:rsid w:val="00483B03"/>
    <w:rsid w:val="00483D9E"/>
    <w:rsid w:val="00484B2F"/>
    <w:rsid w:val="00484F80"/>
    <w:rsid w:val="004850C2"/>
    <w:rsid w:val="00486A15"/>
    <w:rsid w:val="00486D1F"/>
    <w:rsid w:val="0048701C"/>
    <w:rsid w:val="00487254"/>
    <w:rsid w:val="004907E1"/>
    <w:rsid w:val="00490BE7"/>
    <w:rsid w:val="00490C98"/>
    <w:rsid w:val="00490FC7"/>
    <w:rsid w:val="00493004"/>
    <w:rsid w:val="00493649"/>
    <w:rsid w:val="0049419D"/>
    <w:rsid w:val="00495029"/>
    <w:rsid w:val="00495396"/>
    <w:rsid w:val="00495CD7"/>
    <w:rsid w:val="004962B8"/>
    <w:rsid w:val="00496687"/>
    <w:rsid w:val="00496C69"/>
    <w:rsid w:val="00496DBC"/>
    <w:rsid w:val="0049749D"/>
    <w:rsid w:val="004977D3"/>
    <w:rsid w:val="00497D2C"/>
    <w:rsid w:val="00497D68"/>
    <w:rsid w:val="004A0977"/>
    <w:rsid w:val="004A17A5"/>
    <w:rsid w:val="004A1B66"/>
    <w:rsid w:val="004A1EEA"/>
    <w:rsid w:val="004A2B9D"/>
    <w:rsid w:val="004A37A5"/>
    <w:rsid w:val="004A3806"/>
    <w:rsid w:val="004A3DC4"/>
    <w:rsid w:val="004A4A3E"/>
    <w:rsid w:val="004A4DB0"/>
    <w:rsid w:val="004A514F"/>
    <w:rsid w:val="004A7B58"/>
    <w:rsid w:val="004B0888"/>
    <w:rsid w:val="004B20D9"/>
    <w:rsid w:val="004B2762"/>
    <w:rsid w:val="004B2DE8"/>
    <w:rsid w:val="004B388C"/>
    <w:rsid w:val="004B40A9"/>
    <w:rsid w:val="004B417A"/>
    <w:rsid w:val="004B45B7"/>
    <w:rsid w:val="004B4E6F"/>
    <w:rsid w:val="004B62CE"/>
    <w:rsid w:val="004B7EB6"/>
    <w:rsid w:val="004C0FE4"/>
    <w:rsid w:val="004C127B"/>
    <w:rsid w:val="004C17B4"/>
    <w:rsid w:val="004C3B13"/>
    <w:rsid w:val="004C4474"/>
    <w:rsid w:val="004C4A47"/>
    <w:rsid w:val="004C4B62"/>
    <w:rsid w:val="004C599D"/>
    <w:rsid w:val="004C5FC3"/>
    <w:rsid w:val="004C68B8"/>
    <w:rsid w:val="004C6FAC"/>
    <w:rsid w:val="004C7257"/>
    <w:rsid w:val="004C758F"/>
    <w:rsid w:val="004C77DC"/>
    <w:rsid w:val="004C7EE2"/>
    <w:rsid w:val="004D0229"/>
    <w:rsid w:val="004D37B1"/>
    <w:rsid w:val="004D4782"/>
    <w:rsid w:val="004D4A6A"/>
    <w:rsid w:val="004D4D1B"/>
    <w:rsid w:val="004D5088"/>
    <w:rsid w:val="004D6025"/>
    <w:rsid w:val="004D657F"/>
    <w:rsid w:val="004D72BC"/>
    <w:rsid w:val="004D78B4"/>
    <w:rsid w:val="004E2452"/>
    <w:rsid w:val="004E3A16"/>
    <w:rsid w:val="004E4761"/>
    <w:rsid w:val="004E6B90"/>
    <w:rsid w:val="004E6C9C"/>
    <w:rsid w:val="004E7FF7"/>
    <w:rsid w:val="004F04A5"/>
    <w:rsid w:val="004F0842"/>
    <w:rsid w:val="004F15C4"/>
    <w:rsid w:val="004F16E8"/>
    <w:rsid w:val="004F1DAD"/>
    <w:rsid w:val="004F21CF"/>
    <w:rsid w:val="004F2694"/>
    <w:rsid w:val="004F2FC4"/>
    <w:rsid w:val="004F37CA"/>
    <w:rsid w:val="004F3905"/>
    <w:rsid w:val="004F441A"/>
    <w:rsid w:val="004F455B"/>
    <w:rsid w:val="004F4C1C"/>
    <w:rsid w:val="004F530D"/>
    <w:rsid w:val="004F5466"/>
    <w:rsid w:val="004F6949"/>
    <w:rsid w:val="004F69EA"/>
    <w:rsid w:val="004F69ED"/>
    <w:rsid w:val="004F73E5"/>
    <w:rsid w:val="004F7B27"/>
    <w:rsid w:val="005008C7"/>
    <w:rsid w:val="0050128F"/>
    <w:rsid w:val="00501399"/>
    <w:rsid w:val="00501DFB"/>
    <w:rsid w:val="005028FE"/>
    <w:rsid w:val="00502E35"/>
    <w:rsid w:val="00503C4C"/>
    <w:rsid w:val="0050536C"/>
    <w:rsid w:val="00505B63"/>
    <w:rsid w:val="005066A4"/>
    <w:rsid w:val="005068B0"/>
    <w:rsid w:val="00506C98"/>
    <w:rsid w:val="00507534"/>
    <w:rsid w:val="00507BC4"/>
    <w:rsid w:val="00510311"/>
    <w:rsid w:val="005128E4"/>
    <w:rsid w:val="00512A35"/>
    <w:rsid w:val="00513229"/>
    <w:rsid w:val="005134DB"/>
    <w:rsid w:val="005152B7"/>
    <w:rsid w:val="0051637B"/>
    <w:rsid w:val="00516BBE"/>
    <w:rsid w:val="00516C89"/>
    <w:rsid w:val="00521909"/>
    <w:rsid w:val="00521D9B"/>
    <w:rsid w:val="005223AF"/>
    <w:rsid w:val="00522E6E"/>
    <w:rsid w:val="00523977"/>
    <w:rsid w:val="0052411B"/>
    <w:rsid w:val="00524268"/>
    <w:rsid w:val="00524416"/>
    <w:rsid w:val="00524748"/>
    <w:rsid w:val="00525278"/>
    <w:rsid w:val="00525560"/>
    <w:rsid w:val="00525C32"/>
    <w:rsid w:val="00525F05"/>
    <w:rsid w:val="00526204"/>
    <w:rsid w:val="00526215"/>
    <w:rsid w:val="005267AC"/>
    <w:rsid w:val="00526B7D"/>
    <w:rsid w:val="00527461"/>
    <w:rsid w:val="00530295"/>
    <w:rsid w:val="00530B2B"/>
    <w:rsid w:val="00531008"/>
    <w:rsid w:val="0053187E"/>
    <w:rsid w:val="005325F6"/>
    <w:rsid w:val="00532F64"/>
    <w:rsid w:val="00533CF3"/>
    <w:rsid w:val="005343C0"/>
    <w:rsid w:val="005346E1"/>
    <w:rsid w:val="005348AB"/>
    <w:rsid w:val="00535135"/>
    <w:rsid w:val="005357A6"/>
    <w:rsid w:val="0053592E"/>
    <w:rsid w:val="00535FF9"/>
    <w:rsid w:val="005366E5"/>
    <w:rsid w:val="005367D0"/>
    <w:rsid w:val="00536848"/>
    <w:rsid w:val="00536B9E"/>
    <w:rsid w:val="005401F2"/>
    <w:rsid w:val="00540AEC"/>
    <w:rsid w:val="0054113A"/>
    <w:rsid w:val="00541B01"/>
    <w:rsid w:val="005422EF"/>
    <w:rsid w:val="00542B4F"/>
    <w:rsid w:val="005430A6"/>
    <w:rsid w:val="0054316E"/>
    <w:rsid w:val="00543705"/>
    <w:rsid w:val="005439C3"/>
    <w:rsid w:val="00544278"/>
    <w:rsid w:val="00544C49"/>
    <w:rsid w:val="00544C80"/>
    <w:rsid w:val="0054561F"/>
    <w:rsid w:val="005456B2"/>
    <w:rsid w:val="0054591A"/>
    <w:rsid w:val="00547EB7"/>
    <w:rsid w:val="00550141"/>
    <w:rsid w:val="0055160C"/>
    <w:rsid w:val="00552FC3"/>
    <w:rsid w:val="005531BB"/>
    <w:rsid w:val="0055390F"/>
    <w:rsid w:val="00553EC6"/>
    <w:rsid w:val="00554AD7"/>
    <w:rsid w:val="00554BAB"/>
    <w:rsid w:val="005557F2"/>
    <w:rsid w:val="00555A6E"/>
    <w:rsid w:val="00555CD9"/>
    <w:rsid w:val="005570AF"/>
    <w:rsid w:val="00557BA8"/>
    <w:rsid w:val="00557C07"/>
    <w:rsid w:val="00561652"/>
    <w:rsid w:val="005627FD"/>
    <w:rsid w:val="00562E4A"/>
    <w:rsid w:val="005633E7"/>
    <w:rsid w:val="00563F04"/>
    <w:rsid w:val="005640EF"/>
    <w:rsid w:val="0056432A"/>
    <w:rsid w:val="00565B4B"/>
    <w:rsid w:val="005706EF"/>
    <w:rsid w:val="00570AF2"/>
    <w:rsid w:val="00571247"/>
    <w:rsid w:val="0057402A"/>
    <w:rsid w:val="00574148"/>
    <w:rsid w:val="005744A4"/>
    <w:rsid w:val="0057509A"/>
    <w:rsid w:val="005755D5"/>
    <w:rsid w:val="00575C82"/>
    <w:rsid w:val="005764DD"/>
    <w:rsid w:val="00576832"/>
    <w:rsid w:val="00576D19"/>
    <w:rsid w:val="005771D0"/>
    <w:rsid w:val="0058022B"/>
    <w:rsid w:val="00581ACD"/>
    <w:rsid w:val="00582750"/>
    <w:rsid w:val="00582E54"/>
    <w:rsid w:val="0058343A"/>
    <w:rsid w:val="005837C8"/>
    <w:rsid w:val="00584C28"/>
    <w:rsid w:val="00585DED"/>
    <w:rsid w:val="00586B77"/>
    <w:rsid w:val="00587964"/>
    <w:rsid w:val="00587D7B"/>
    <w:rsid w:val="005902A3"/>
    <w:rsid w:val="0059066D"/>
    <w:rsid w:val="00590BF3"/>
    <w:rsid w:val="00590C43"/>
    <w:rsid w:val="005910C0"/>
    <w:rsid w:val="005916E2"/>
    <w:rsid w:val="0059191A"/>
    <w:rsid w:val="00591B96"/>
    <w:rsid w:val="00591DEE"/>
    <w:rsid w:val="00591F60"/>
    <w:rsid w:val="005921FF"/>
    <w:rsid w:val="00592751"/>
    <w:rsid w:val="0059318E"/>
    <w:rsid w:val="005937E2"/>
    <w:rsid w:val="00594CE1"/>
    <w:rsid w:val="00596514"/>
    <w:rsid w:val="00596694"/>
    <w:rsid w:val="0059670F"/>
    <w:rsid w:val="00596ABE"/>
    <w:rsid w:val="00596AD3"/>
    <w:rsid w:val="00596F42"/>
    <w:rsid w:val="00597162"/>
    <w:rsid w:val="0059770B"/>
    <w:rsid w:val="00597C8A"/>
    <w:rsid w:val="00597E00"/>
    <w:rsid w:val="005A0410"/>
    <w:rsid w:val="005A20B8"/>
    <w:rsid w:val="005A2217"/>
    <w:rsid w:val="005A2E9B"/>
    <w:rsid w:val="005A482E"/>
    <w:rsid w:val="005A6205"/>
    <w:rsid w:val="005A6D0E"/>
    <w:rsid w:val="005A6E50"/>
    <w:rsid w:val="005A734E"/>
    <w:rsid w:val="005B0001"/>
    <w:rsid w:val="005B1D89"/>
    <w:rsid w:val="005B222D"/>
    <w:rsid w:val="005B28A7"/>
    <w:rsid w:val="005B3DEC"/>
    <w:rsid w:val="005B3EF2"/>
    <w:rsid w:val="005B52B0"/>
    <w:rsid w:val="005B67DE"/>
    <w:rsid w:val="005B6806"/>
    <w:rsid w:val="005B711D"/>
    <w:rsid w:val="005B7BC5"/>
    <w:rsid w:val="005C00F9"/>
    <w:rsid w:val="005C05FA"/>
    <w:rsid w:val="005C1326"/>
    <w:rsid w:val="005C164F"/>
    <w:rsid w:val="005C1853"/>
    <w:rsid w:val="005C1A8D"/>
    <w:rsid w:val="005C1D3C"/>
    <w:rsid w:val="005C1D8E"/>
    <w:rsid w:val="005C207A"/>
    <w:rsid w:val="005C232A"/>
    <w:rsid w:val="005C23BD"/>
    <w:rsid w:val="005C2BA2"/>
    <w:rsid w:val="005C2E02"/>
    <w:rsid w:val="005C3149"/>
    <w:rsid w:val="005C4011"/>
    <w:rsid w:val="005C4225"/>
    <w:rsid w:val="005C4AF4"/>
    <w:rsid w:val="005C5F93"/>
    <w:rsid w:val="005C63A0"/>
    <w:rsid w:val="005C6EDD"/>
    <w:rsid w:val="005C717C"/>
    <w:rsid w:val="005D0AC5"/>
    <w:rsid w:val="005D0FBF"/>
    <w:rsid w:val="005D1076"/>
    <w:rsid w:val="005D4283"/>
    <w:rsid w:val="005D50AD"/>
    <w:rsid w:val="005D55A5"/>
    <w:rsid w:val="005D5C54"/>
    <w:rsid w:val="005D5DED"/>
    <w:rsid w:val="005D6797"/>
    <w:rsid w:val="005D6891"/>
    <w:rsid w:val="005D6A03"/>
    <w:rsid w:val="005D6AC4"/>
    <w:rsid w:val="005D6B2C"/>
    <w:rsid w:val="005D7191"/>
    <w:rsid w:val="005D7280"/>
    <w:rsid w:val="005D7DFE"/>
    <w:rsid w:val="005E022B"/>
    <w:rsid w:val="005E09BC"/>
    <w:rsid w:val="005E1D4B"/>
    <w:rsid w:val="005E2BDE"/>
    <w:rsid w:val="005E435E"/>
    <w:rsid w:val="005E47EE"/>
    <w:rsid w:val="005E49AA"/>
    <w:rsid w:val="005E4A95"/>
    <w:rsid w:val="005E5196"/>
    <w:rsid w:val="005E5258"/>
    <w:rsid w:val="005E5419"/>
    <w:rsid w:val="005E6C0C"/>
    <w:rsid w:val="005E6EE3"/>
    <w:rsid w:val="005E74C5"/>
    <w:rsid w:val="005E7642"/>
    <w:rsid w:val="005E772D"/>
    <w:rsid w:val="005E7CF8"/>
    <w:rsid w:val="005F0F33"/>
    <w:rsid w:val="005F1405"/>
    <w:rsid w:val="005F1C54"/>
    <w:rsid w:val="005F2254"/>
    <w:rsid w:val="005F2A0D"/>
    <w:rsid w:val="005F32A0"/>
    <w:rsid w:val="005F3F11"/>
    <w:rsid w:val="005F46E6"/>
    <w:rsid w:val="005F5456"/>
    <w:rsid w:val="005F55DC"/>
    <w:rsid w:val="005F66C7"/>
    <w:rsid w:val="005F6935"/>
    <w:rsid w:val="005F724E"/>
    <w:rsid w:val="005F7459"/>
    <w:rsid w:val="005F7C35"/>
    <w:rsid w:val="0060040E"/>
    <w:rsid w:val="006005C1"/>
    <w:rsid w:val="00600A96"/>
    <w:rsid w:val="00600DEB"/>
    <w:rsid w:val="00600EE3"/>
    <w:rsid w:val="00602146"/>
    <w:rsid w:val="00602B9B"/>
    <w:rsid w:val="00603949"/>
    <w:rsid w:val="00603D6F"/>
    <w:rsid w:val="0060445F"/>
    <w:rsid w:val="00604B83"/>
    <w:rsid w:val="00605291"/>
    <w:rsid w:val="006059FA"/>
    <w:rsid w:val="0060786A"/>
    <w:rsid w:val="00607F83"/>
    <w:rsid w:val="006112EF"/>
    <w:rsid w:val="0061250B"/>
    <w:rsid w:val="00612D8E"/>
    <w:rsid w:val="00613027"/>
    <w:rsid w:val="006130E4"/>
    <w:rsid w:val="00613120"/>
    <w:rsid w:val="00613A08"/>
    <w:rsid w:val="0061412F"/>
    <w:rsid w:val="00614153"/>
    <w:rsid w:val="006145C8"/>
    <w:rsid w:val="00614AE8"/>
    <w:rsid w:val="00615073"/>
    <w:rsid w:val="0061546B"/>
    <w:rsid w:val="00616320"/>
    <w:rsid w:val="00617156"/>
    <w:rsid w:val="006206FF"/>
    <w:rsid w:val="00620A30"/>
    <w:rsid w:val="00620A65"/>
    <w:rsid w:val="00620B75"/>
    <w:rsid w:val="00621073"/>
    <w:rsid w:val="006225B7"/>
    <w:rsid w:val="00623324"/>
    <w:rsid w:val="006238CB"/>
    <w:rsid w:val="00624716"/>
    <w:rsid w:val="006247DB"/>
    <w:rsid w:val="00624E66"/>
    <w:rsid w:val="00626360"/>
    <w:rsid w:val="006263C9"/>
    <w:rsid w:val="006263CE"/>
    <w:rsid w:val="00626A1D"/>
    <w:rsid w:val="00626BBA"/>
    <w:rsid w:val="00627A51"/>
    <w:rsid w:val="00627AC3"/>
    <w:rsid w:val="00627C9F"/>
    <w:rsid w:val="006307DF"/>
    <w:rsid w:val="00630B42"/>
    <w:rsid w:val="00630C75"/>
    <w:rsid w:val="00630F01"/>
    <w:rsid w:val="00630F7D"/>
    <w:rsid w:val="00631023"/>
    <w:rsid w:val="006311DA"/>
    <w:rsid w:val="006311E9"/>
    <w:rsid w:val="00631F5F"/>
    <w:rsid w:val="006322B9"/>
    <w:rsid w:val="00632354"/>
    <w:rsid w:val="00632429"/>
    <w:rsid w:val="00632BF2"/>
    <w:rsid w:val="00633261"/>
    <w:rsid w:val="006333B2"/>
    <w:rsid w:val="006354CD"/>
    <w:rsid w:val="00636406"/>
    <w:rsid w:val="00636E0C"/>
    <w:rsid w:val="00636F4A"/>
    <w:rsid w:val="00637539"/>
    <w:rsid w:val="00637B7B"/>
    <w:rsid w:val="00637E84"/>
    <w:rsid w:val="00640173"/>
    <w:rsid w:val="006418C1"/>
    <w:rsid w:val="006420B7"/>
    <w:rsid w:val="00642810"/>
    <w:rsid w:val="00643F66"/>
    <w:rsid w:val="00644643"/>
    <w:rsid w:val="00644689"/>
    <w:rsid w:val="00644E9E"/>
    <w:rsid w:val="006458AD"/>
    <w:rsid w:val="006468F2"/>
    <w:rsid w:val="0064708D"/>
    <w:rsid w:val="0064712F"/>
    <w:rsid w:val="0064793C"/>
    <w:rsid w:val="00647ECE"/>
    <w:rsid w:val="00650FA3"/>
    <w:rsid w:val="006516A4"/>
    <w:rsid w:val="006516FE"/>
    <w:rsid w:val="00651D1D"/>
    <w:rsid w:val="00652333"/>
    <w:rsid w:val="00653AC7"/>
    <w:rsid w:val="006549A4"/>
    <w:rsid w:val="00654F6F"/>
    <w:rsid w:val="00656085"/>
    <w:rsid w:val="00656FE7"/>
    <w:rsid w:val="0065765B"/>
    <w:rsid w:val="00657A39"/>
    <w:rsid w:val="006605AC"/>
    <w:rsid w:val="00662F5D"/>
    <w:rsid w:val="006634C1"/>
    <w:rsid w:val="00663571"/>
    <w:rsid w:val="006636C8"/>
    <w:rsid w:val="00664C08"/>
    <w:rsid w:val="00664DDE"/>
    <w:rsid w:val="006653BD"/>
    <w:rsid w:val="00666536"/>
    <w:rsid w:val="00666AEF"/>
    <w:rsid w:val="00671ABB"/>
    <w:rsid w:val="00671CE4"/>
    <w:rsid w:val="0067329C"/>
    <w:rsid w:val="00673C1A"/>
    <w:rsid w:val="00674465"/>
    <w:rsid w:val="0067472A"/>
    <w:rsid w:val="00677938"/>
    <w:rsid w:val="00677E73"/>
    <w:rsid w:val="0068009E"/>
    <w:rsid w:val="006802A8"/>
    <w:rsid w:val="00683305"/>
    <w:rsid w:val="00684434"/>
    <w:rsid w:val="006847BC"/>
    <w:rsid w:val="006849BF"/>
    <w:rsid w:val="00685184"/>
    <w:rsid w:val="00687432"/>
    <w:rsid w:val="00687725"/>
    <w:rsid w:val="006901ED"/>
    <w:rsid w:val="006906BB"/>
    <w:rsid w:val="0069244C"/>
    <w:rsid w:val="00692996"/>
    <w:rsid w:val="00692A55"/>
    <w:rsid w:val="006938A1"/>
    <w:rsid w:val="0069578C"/>
    <w:rsid w:val="006972FB"/>
    <w:rsid w:val="006A0548"/>
    <w:rsid w:val="006A0E85"/>
    <w:rsid w:val="006A0F00"/>
    <w:rsid w:val="006A0F77"/>
    <w:rsid w:val="006A11FD"/>
    <w:rsid w:val="006A17D2"/>
    <w:rsid w:val="006A3B33"/>
    <w:rsid w:val="006A508B"/>
    <w:rsid w:val="006A538E"/>
    <w:rsid w:val="006A58D1"/>
    <w:rsid w:val="006A6E1A"/>
    <w:rsid w:val="006A70B4"/>
    <w:rsid w:val="006A72B7"/>
    <w:rsid w:val="006A7316"/>
    <w:rsid w:val="006A73E6"/>
    <w:rsid w:val="006A7408"/>
    <w:rsid w:val="006A7764"/>
    <w:rsid w:val="006B0169"/>
    <w:rsid w:val="006B057B"/>
    <w:rsid w:val="006B0699"/>
    <w:rsid w:val="006B130C"/>
    <w:rsid w:val="006B17B3"/>
    <w:rsid w:val="006B248C"/>
    <w:rsid w:val="006B2623"/>
    <w:rsid w:val="006B265D"/>
    <w:rsid w:val="006B295E"/>
    <w:rsid w:val="006B2D5C"/>
    <w:rsid w:val="006B3773"/>
    <w:rsid w:val="006B4324"/>
    <w:rsid w:val="006B544B"/>
    <w:rsid w:val="006B6D64"/>
    <w:rsid w:val="006B6FFA"/>
    <w:rsid w:val="006C0F5D"/>
    <w:rsid w:val="006C1815"/>
    <w:rsid w:val="006C2346"/>
    <w:rsid w:val="006C2B38"/>
    <w:rsid w:val="006C379B"/>
    <w:rsid w:val="006C3D28"/>
    <w:rsid w:val="006C4233"/>
    <w:rsid w:val="006C4596"/>
    <w:rsid w:val="006C49B8"/>
    <w:rsid w:val="006C4EB1"/>
    <w:rsid w:val="006C588F"/>
    <w:rsid w:val="006C6E31"/>
    <w:rsid w:val="006C7E62"/>
    <w:rsid w:val="006D0195"/>
    <w:rsid w:val="006D01E3"/>
    <w:rsid w:val="006D0424"/>
    <w:rsid w:val="006D1A3C"/>
    <w:rsid w:val="006D27EC"/>
    <w:rsid w:val="006D2C28"/>
    <w:rsid w:val="006D2D13"/>
    <w:rsid w:val="006D3E68"/>
    <w:rsid w:val="006D48BB"/>
    <w:rsid w:val="006D5D5D"/>
    <w:rsid w:val="006D6E36"/>
    <w:rsid w:val="006D6E3A"/>
    <w:rsid w:val="006D7976"/>
    <w:rsid w:val="006E00AB"/>
    <w:rsid w:val="006E0166"/>
    <w:rsid w:val="006E07EB"/>
    <w:rsid w:val="006E1163"/>
    <w:rsid w:val="006E18B8"/>
    <w:rsid w:val="006E1DFC"/>
    <w:rsid w:val="006E2E1A"/>
    <w:rsid w:val="006E35A0"/>
    <w:rsid w:val="006E4B61"/>
    <w:rsid w:val="006E4CCE"/>
    <w:rsid w:val="006E5C58"/>
    <w:rsid w:val="006E6048"/>
    <w:rsid w:val="006E67F6"/>
    <w:rsid w:val="006E6C78"/>
    <w:rsid w:val="006E6F1E"/>
    <w:rsid w:val="006E7B34"/>
    <w:rsid w:val="006E7C8A"/>
    <w:rsid w:val="006E7EA4"/>
    <w:rsid w:val="006F157C"/>
    <w:rsid w:val="006F317C"/>
    <w:rsid w:val="006F3590"/>
    <w:rsid w:val="006F3597"/>
    <w:rsid w:val="006F374D"/>
    <w:rsid w:val="006F672E"/>
    <w:rsid w:val="006F732C"/>
    <w:rsid w:val="006F7488"/>
    <w:rsid w:val="0070045F"/>
    <w:rsid w:val="00700471"/>
    <w:rsid w:val="00700C65"/>
    <w:rsid w:val="00701610"/>
    <w:rsid w:val="00701B24"/>
    <w:rsid w:val="00702565"/>
    <w:rsid w:val="0070267B"/>
    <w:rsid w:val="00702A7C"/>
    <w:rsid w:val="00702CD7"/>
    <w:rsid w:val="00702DE6"/>
    <w:rsid w:val="00702EA5"/>
    <w:rsid w:val="00702F10"/>
    <w:rsid w:val="00703F90"/>
    <w:rsid w:val="0070404E"/>
    <w:rsid w:val="00704098"/>
    <w:rsid w:val="0070456C"/>
    <w:rsid w:val="0070603C"/>
    <w:rsid w:val="00706591"/>
    <w:rsid w:val="00706698"/>
    <w:rsid w:val="00706D7E"/>
    <w:rsid w:val="007070DC"/>
    <w:rsid w:val="00707116"/>
    <w:rsid w:val="007072EE"/>
    <w:rsid w:val="00707486"/>
    <w:rsid w:val="00707BAF"/>
    <w:rsid w:val="00707E8E"/>
    <w:rsid w:val="00710376"/>
    <w:rsid w:val="00710ED5"/>
    <w:rsid w:val="00711137"/>
    <w:rsid w:val="007140C0"/>
    <w:rsid w:val="00715928"/>
    <w:rsid w:val="00716BEC"/>
    <w:rsid w:val="00716D62"/>
    <w:rsid w:val="00717B70"/>
    <w:rsid w:val="0072003B"/>
    <w:rsid w:val="00720169"/>
    <w:rsid w:val="0072130B"/>
    <w:rsid w:val="00722812"/>
    <w:rsid w:val="0072335A"/>
    <w:rsid w:val="007237C3"/>
    <w:rsid w:val="0072472F"/>
    <w:rsid w:val="007247E2"/>
    <w:rsid w:val="00724BC2"/>
    <w:rsid w:val="00724D5D"/>
    <w:rsid w:val="007278E3"/>
    <w:rsid w:val="00727D80"/>
    <w:rsid w:val="00730731"/>
    <w:rsid w:val="00731DA0"/>
    <w:rsid w:val="00732EDB"/>
    <w:rsid w:val="00734033"/>
    <w:rsid w:val="007359CB"/>
    <w:rsid w:val="00737936"/>
    <w:rsid w:val="00737A15"/>
    <w:rsid w:val="007400D8"/>
    <w:rsid w:val="0074145C"/>
    <w:rsid w:val="007419F4"/>
    <w:rsid w:val="00741D4C"/>
    <w:rsid w:val="007433B0"/>
    <w:rsid w:val="007451C8"/>
    <w:rsid w:val="0074535C"/>
    <w:rsid w:val="0074572F"/>
    <w:rsid w:val="0074581C"/>
    <w:rsid w:val="00745899"/>
    <w:rsid w:val="00746AB9"/>
    <w:rsid w:val="00750078"/>
    <w:rsid w:val="00750568"/>
    <w:rsid w:val="00750BB6"/>
    <w:rsid w:val="00751379"/>
    <w:rsid w:val="0075164B"/>
    <w:rsid w:val="007538FC"/>
    <w:rsid w:val="007542BA"/>
    <w:rsid w:val="00754A2A"/>
    <w:rsid w:val="00754E95"/>
    <w:rsid w:val="00755E74"/>
    <w:rsid w:val="00755F05"/>
    <w:rsid w:val="007561AD"/>
    <w:rsid w:val="00756737"/>
    <w:rsid w:val="007570FA"/>
    <w:rsid w:val="00757F66"/>
    <w:rsid w:val="007607C4"/>
    <w:rsid w:val="007607EC"/>
    <w:rsid w:val="00760ABE"/>
    <w:rsid w:val="00760B45"/>
    <w:rsid w:val="00761A58"/>
    <w:rsid w:val="00762A2F"/>
    <w:rsid w:val="00763191"/>
    <w:rsid w:val="00763403"/>
    <w:rsid w:val="00763B20"/>
    <w:rsid w:val="0076457E"/>
    <w:rsid w:val="007649AF"/>
    <w:rsid w:val="00765584"/>
    <w:rsid w:val="007658AF"/>
    <w:rsid w:val="00765CB7"/>
    <w:rsid w:val="0076643F"/>
    <w:rsid w:val="00766DEB"/>
    <w:rsid w:val="007700F7"/>
    <w:rsid w:val="00771045"/>
    <w:rsid w:val="00771205"/>
    <w:rsid w:val="00773C5A"/>
    <w:rsid w:val="00774375"/>
    <w:rsid w:val="007744CC"/>
    <w:rsid w:val="00774D86"/>
    <w:rsid w:val="007771C5"/>
    <w:rsid w:val="007776FF"/>
    <w:rsid w:val="0078069F"/>
    <w:rsid w:val="0078085D"/>
    <w:rsid w:val="007809DA"/>
    <w:rsid w:val="00780ED7"/>
    <w:rsid w:val="00781C89"/>
    <w:rsid w:val="00782080"/>
    <w:rsid w:val="007820BB"/>
    <w:rsid w:val="00782E68"/>
    <w:rsid w:val="0078305D"/>
    <w:rsid w:val="0078426B"/>
    <w:rsid w:val="00784600"/>
    <w:rsid w:val="00784DE5"/>
    <w:rsid w:val="00784FEC"/>
    <w:rsid w:val="0078587E"/>
    <w:rsid w:val="0078595F"/>
    <w:rsid w:val="00785F8D"/>
    <w:rsid w:val="00786501"/>
    <w:rsid w:val="00790499"/>
    <w:rsid w:val="007928DA"/>
    <w:rsid w:val="00793A12"/>
    <w:rsid w:val="00793C17"/>
    <w:rsid w:val="00795940"/>
    <w:rsid w:val="00795E01"/>
    <w:rsid w:val="0079658B"/>
    <w:rsid w:val="00796E7A"/>
    <w:rsid w:val="007977A5"/>
    <w:rsid w:val="00797F96"/>
    <w:rsid w:val="007A13D7"/>
    <w:rsid w:val="007A17C8"/>
    <w:rsid w:val="007A18EB"/>
    <w:rsid w:val="007A2423"/>
    <w:rsid w:val="007A2EC7"/>
    <w:rsid w:val="007A2F70"/>
    <w:rsid w:val="007A3293"/>
    <w:rsid w:val="007A3478"/>
    <w:rsid w:val="007A4240"/>
    <w:rsid w:val="007A44FF"/>
    <w:rsid w:val="007A4980"/>
    <w:rsid w:val="007A57A6"/>
    <w:rsid w:val="007A7F31"/>
    <w:rsid w:val="007B04BF"/>
    <w:rsid w:val="007B186C"/>
    <w:rsid w:val="007B19A1"/>
    <w:rsid w:val="007B19FE"/>
    <w:rsid w:val="007B1B6A"/>
    <w:rsid w:val="007B2769"/>
    <w:rsid w:val="007B3B97"/>
    <w:rsid w:val="007B3C72"/>
    <w:rsid w:val="007B430B"/>
    <w:rsid w:val="007B4826"/>
    <w:rsid w:val="007B4C00"/>
    <w:rsid w:val="007B5867"/>
    <w:rsid w:val="007B6279"/>
    <w:rsid w:val="007B6492"/>
    <w:rsid w:val="007B6A17"/>
    <w:rsid w:val="007B6C22"/>
    <w:rsid w:val="007B762A"/>
    <w:rsid w:val="007C10AC"/>
    <w:rsid w:val="007C16AB"/>
    <w:rsid w:val="007C22DF"/>
    <w:rsid w:val="007C25BB"/>
    <w:rsid w:val="007C3334"/>
    <w:rsid w:val="007C3481"/>
    <w:rsid w:val="007C396A"/>
    <w:rsid w:val="007C50F6"/>
    <w:rsid w:val="007C52BB"/>
    <w:rsid w:val="007C5476"/>
    <w:rsid w:val="007C58E8"/>
    <w:rsid w:val="007C6557"/>
    <w:rsid w:val="007C6F4C"/>
    <w:rsid w:val="007C7402"/>
    <w:rsid w:val="007C757E"/>
    <w:rsid w:val="007C798F"/>
    <w:rsid w:val="007C7B95"/>
    <w:rsid w:val="007D0207"/>
    <w:rsid w:val="007D0309"/>
    <w:rsid w:val="007D06CB"/>
    <w:rsid w:val="007D278F"/>
    <w:rsid w:val="007D29B6"/>
    <w:rsid w:val="007D2B98"/>
    <w:rsid w:val="007D2FEE"/>
    <w:rsid w:val="007D3E9B"/>
    <w:rsid w:val="007D4C93"/>
    <w:rsid w:val="007D4FA5"/>
    <w:rsid w:val="007D69AC"/>
    <w:rsid w:val="007E13CE"/>
    <w:rsid w:val="007E1856"/>
    <w:rsid w:val="007E1AF3"/>
    <w:rsid w:val="007E42C4"/>
    <w:rsid w:val="007E5338"/>
    <w:rsid w:val="007E5C9F"/>
    <w:rsid w:val="007E6A48"/>
    <w:rsid w:val="007E6D7C"/>
    <w:rsid w:val="007E6DAC"/>
    <w:rsid w:val="007E783F"/>
    <w:rsid w:val="007E7889"/>
    <w:rsid w:val="007F05E6"/>
    <w:rsid w:val="007F074A"/>
    <w:rsid w:val="007F2DA5"/>
    <w:rsid w:val="007F410D"/>
    <w:rsid w:val="007F42BF"/>
    <w:rsid w:val="007F4A54"/>
    <w:rsid w:val="007F4B82"/>
    <w:rsid w:val="007F4F2C"/>
    <w:rsid w:val="007F4FE2"/>
    <w:rsid w:val="007F53E1"/>
    <w:rsid w:val="007F5625"/>
    <w:rsid w:val="007F6EF7"/>
    <w:rsid w:val="00800983"/>
    <w:rsid w:val="00800E57"/>
    <w:rsid w:val="00801B96"/>
    <w:rsid w:val="00802AC1"/>
    <w:rsid w:val="00803232"/>
    <w:rsid w:val="0080393B"/>
    <w:rsid w:val="00803F1C"/>
    <w:rsid w:val="008040C3"/>
    <w:rsid w:val="008049CD"/>
    <w:rsid w:val="00804A43"/>
    <w:rsid w:val="008054CB"/>
    <w:rsid w:val="00805784"/>
    <w:rsid w:val="00805885"/>
    <w:rsid w:val="0080600E"/>
    <w:rsid w:val="00806906"/>
    <w:rsid w:val="0081181A"/>
    <w:rsid w:val="008125C0"/>
    <w:rsid w:val="00812EAF"/>
    <w:rsid w:val="00813CCC"/>
    <w:rsid w:val="008141EA"/>
    <w:rsid w:val="00817612"/>
    <w:rsid w:val="00817D2F"/>
    <w:rsid w:val="00820860"/>
    <w:rsid w:val="00820D73"/>
    <w:rsid w:val="008215C0"/>
    <w:rsid w:val="008218A2"/>
    <w:rsid w:val="008234B0"/>
    <w:rsid w:val="00823A91"/>
    <w:rsid w:val="0082595F"/>
    <w:rsid w:val="00825AC2"/>
    <w:rsid w:val="00825B7F"/>
    <w:rsid w:val="00825CC2"/>
    <w:rsid w:val="00827DB7"/>
    <w:rsid w:val="00830930"/>
    <w:rsid w:val="00830E88"/>
    <w:rsid w:val="00831BA5"/>
    <w:rsid w:val="008321E7"/>
    <w:rsid w:val="00835F5A"/>
    <w:rsid w:val="008367C9"/>
    <w:rsid w:val="00836F32"/>
    <w:rsid w:val="0083716D"/>
    <w:rsid w:val="008373B6"/>
    <w:rsid w:val="00837C45"/>
    <w:rsid w:val="008414A3"/>
    <w:rsid w:val="008426FE"/>
    <w:rsid w:val="00844BE3"/>
    <w:rsid w:val="00845C1A"/>
    <w:rsid w:val="00845F70"/>
    <w:rsid w:val="00846865"/>
    <w:rsid w:val="00846904"/>
    <w:rsid w:val="008472FB"/>
    <w:rsid w:val="00847A8B"/>
    <w:rsid w:val="00847B26"/>
    <w:rsid w:val="008509CC"/>
    <w:rsid w:val="00850B3B"/>
    <w:rsid w:val="00852AFB"/>
    <w:rsid w:val="00853318"/>
    <w:rsid w:val="00853419"/>
    <w:rsid w:val="00853A23"/>
    <w:rsid w:val="00854FE3"/>
    <w:rsid w:val="008560E1"/>
    <w:rsid w:val="0085746D"/>
    <w:rsid w:val="00860233"/>
    <w:rsid w:val="00861437"/>
    <w:rsid w:val="0086147D"/>
    <w:rsid w:val="00861972"/>
    <w:rsid w:val="00861EC2"/>
    <w:rsid w:val="008628FD"/>
    <w:rsid w:val="0086292E"/>
    <w:rsid w:val="00864785"/>
    <w:rsid w:val="008648E9"/>
    <w:rsid w:val="00864EF3"/>
    <w:rsid w:val="00865279"/>
    <w:rsid w:val="00865368"/>
    <w:rsid w:val="00865A1C"/>
    <w:rsid w:val="00865C9B"/>
    <w:rsid w:val="0086628D"/>
    <w:rsid w:val="00866353"/>
    <w:rsid w:val="008665EC"/>
    <w:rsid w:val="00866D7E"/>
    <w:rsid w:val="008678EF"/>
    <w:rsid w:val="0087014C"/>
    <w:rsid w:val="00871372"/>
    <w:rsid w:val="00871EBE"/>
    <w:rsid w:val="00872B1E"/>
    <w:rsid w:val="0087347D"/>
    <w:rsid w:val="008741A2"/>
    <w:rsid w:val="00874BEE"/>
    <w:rsid w:val="00875ABB"/>
    <w:rsid w:val="00875BA1"/>
    <w:rsid w:val="00875EC6"/>
    <w:rsid w:val="00876085"/>
    <w:rsid w:val="00877E1B"/>
    <w:rsid w:val="00880B21"/>
    <w:rsid w:val="00880F95"/>
    <w:rsid w:val="00882952"/>
    <w:rsid w:val="00882C32"/>
    <w:rsid w:val="0088373B"/>
    <w:rsid w:val="00883E89"/>
    <w:rsid w:val="00883EA4"/>
    <w:rsid w:val="00884270"/>
    <w:rsid w:val="00884C43"/>
    <w:rsid w:val="008869BA"/>
    <w:rsid w:val="00887B7D"/>
    <w:rsid w:val="00890066"/>
    <w:rsid w:val="008903D5"/>
    <w:rsid w:val="0089156D"/>
    <w:rsid w:val="008917C2"/>
    <w:rsid w:val="00893E24"/>
    <w:rsid w:val="00893E44"/>
    <w:rsid w:val="008945B4"/>
    <w:rsid w:val="00894EB3"/>
    <w:rsid w:val="0089514B"/>
    <w:rsid w:val="008969D3"/>
    <w:rsid w:val="008971D8"/>
    <w:rsid w:val="00897E12"/>
    <w:rsid w:val="008A065A"/>
    <w:rsid w:val="008A0A13"/>
    <w:rsid w:val="008A0F37"/>
    <w:rsid w:val="008A1C4B"/>
    <w:rsid w:val="008A1C95"/>
    <w:rsid w:val="008A3434"/>
    <w:rsid w:val="008A36FA"/>
    <w:rsid w:val="008A4398"/>
    <w:rsid w:val="008A4B7D"/>
    <w:rsid w:val="008A4FAC"/>
    <w:rsid w:val="008A5A80"/>
    <w:rsid w:val="008A5BF4"/>
    <w:rsid w:val="008A6254"/>
    <w:rsid w:val="008A67CF"/>
    <w:rsid w:val="008A6DA2"/>
    <w:rsid w:val="008A6E6B"/>
    <w:rsid w:val="008A7EB9"/>
    <w:rsid w:val="008A7F97"/>
    <w:rsid w:val="008A7FC7"/>
    <w:rsid w:val="008B0E6D"/>
    <w:rsid w:val="008B0EE7"/>
    <w:rsid w:val="008B14CB"/>
    <w:rsid w:val="008B1E82"/>
    <w:rsid w:val="008B24D5"/>
    <w:rsid w:val="008B25FC"/>
    <w:rsid w:val="008B2DA9"/>
    <w:rsid w:val="008B3466"/>
    <w:rsid w:val="008B44C5"/>
    <w:rsid w:val="008B5124"/>
    <w:rsid w:val="008C00EE"/>
    <w:rsid w:val="008C2789"/>
    <w:rsid w:val="008C2DF6"/>
    <w:rsid w:val="008C3661"/>
    <w:rsid w:val="008C606A"/>
    <w:rsid w:val="008C6FC4"/>
    <w:rsid w:val="008C7564"/>
    <w:rsid w:val="008D03B0"/>
    <w:rsid w:val="008D0556"/>
    <w:rsid w:val="008D2607"/>
    <w:rsid w:val="008D2EC1"/>
    <w:rsid w:val="008D307A"/>
    <w:rsid w:val="008D33C9"/>
    <w:rsid w:val="008D3FC2"/>
    <w:rsid w:val="008D43BA"/>
    <w:rsid w:val="008D6249"/>
    <w:rsid w:val="008D6465"/>
    <w:rsid w:val="008D7317"/>
    <w:rsid w:val="008D7DF4"/>
    <w:rsid w:val="008E10AE"/>
    <w:rsid w:val="008E3602"/>
    <w:rsid w:val="008E3759"/>
    <w:rsid w:val="008E46CE"/>
    <w:rsid w:val="008E4DBE"/>
    <w:rsid w:val="008E53E4"/>
    <w:rsid w:val="008E5615"/>
    <w:rsid w:val="008E668C"/>
    <w:rsid w:val="008E71E6"/>
    <w:rsid w:val="008E7622"/>
    <w:rsid w:val="008F27B1"/>
    <w:rsid w:val="008F298E"/>
    <w:rsid w:val="008F2A35"/>
    <w:rsid w:val="008F2A73"/>
    <w:rsid w:val="008F2E03"/>
    <w:rsid w:val="008F2E1C"/>
    <w:rsid w:val="008F3BF9"/>
    <w:rsid w:val="008F3E4A"/>
    <w:rsid w:val="008F405E"/>
    <w:rsid w:val="008F40FD"/>
    <w:rsid w:val="008F4101"/>
    <w:rsid w:val="008F4522"/>
    <w:rsid w:val="008F4684"/>
    <w:rsid w:val="008F49E6"/>
    <w:rsid w:val="008F559D"/>
    <w:rsid w:val="008F6470"/>
    <w:rsid w:val="008F6AA1"/>
    <w:rsid w:val="008F7B4C"/>
    <w:rsid w:val="008F7D4D"/>
    <w:rsid w:val="008F7F3F"/>
    <w:rsid w:val="009003AB"/>
    <w:rsid w:val="0090091F"/>
    <w:rsid w:val="009011FD"/>
    <w:rsid w:val="009021D6"/>
    <w:rsid w:val="00902845"/>
    <w:rsid w:val="009041DC"/>
    <w:rsid w:val="009047EE"/>
    <w:rsid w:val="00904B4B"/>
    <w:rsid w:val="0090668D"/>
    <w:rsid w:val="00907012"/>
    <w:rsid w:val="00907CCD"/>
    <w:rsid w:val="00910304"/>
    <w:rsid w:val="009104B4"/>
    <w:rsid w:val="00912171"/>
    <w:rsid w:val="00912642"/>
    <w:rsid w:val="00913B6D"/>
    <w:rsid w:val="00914897"/>
    <w:rsid w:val="00915CDE"/>
    <w:rsid w:val="00915FDE"/>
    <w:rsid w:val="0091677E"/>
    <w:rsid w:val="0091728F"/>
    <w:rsid w:val="0091789D"/>
    <w:rsid w:val="00917ACD"/>
    <w:rsid w:val="00917EEF"/>
    <w:rsid w:val="009207F2"/>
    <w:rsid w:val="00921023"/>
    <w:rsid w:val="00922A9F"/>
    <w:rsid w:val="00923920"/>
    <w:rsid w:val="00924D62"/>
    <w:rsid w:val="00924F0A"/>
    <w:rsid w:val="009252BC"/>
    <w:rsid w:val="00925564"/>
    <w:rsid w:val="00925FCD"/>
    <w:rsid w:val="00926B12"/>
    <w:rsid w:val="00926E99"/>
    <w:rsid w:val="00927B0B"/>
    <w:rsid w:val="0093035E"/>
    <w:rsid w:val="00930ED0"/>
    <w:rsid w:val="009322FE"/>
    <w:rsid w:val="009324EB"/>
    <w:rsid w:val="0093441A"/>
    <w:rsid w:val="00934829"/>
    <w:rsid w:val="0093569C"/>
    <w:rsid w:val="009356F2"/>
    <w:rsid w:val="00935735"/>
    <w:rsid w:val="009359E3"/>
    <w:rsid w:val="00935A29"/>
    <w:rsid w:val="0093658A"/>
    <w:rsid w:val="00936C4F"/>
    <w:rsid w:val="00940F2D"/>
    <w:rsid w:val="0094103C"/>
    <w:rsid w:val="009412E0"/>
    <w:rsid w:val="0094199B"/>
    <w:rsid w:val="009424BD"/>
    <w:rsid w:val="00942703"/>
    <w:rsid w:val="00942AA6"/>
    <w:rsid w:val="00942BBC"/>
    <w:rsid w:val="009435DC"/>
    <w:rsid w:val="00943C6D"/>
    <w:rsid w:val="00945F51"/>
    <w:rsid w:val="0094702E"/>
    <w:rsid w:val="00950D77"/>
    <w:rsid w:val="00951A16"/>
    <w:rsid w:val="00952CAA"/>
    <w:rsid w:val="00952DC4"/>
    <w:rsid w:val="0095466D"/>
    <w:rsid w:val="009546BF"/>
    <w:rsid w:val="00954BF7"/>
    <w:rsid w:val="00955093"/>
    <w:rsid w:val="009554F0"/>
    <w:rsid w:val="00955EA3"/>
    <w:rsid w:val="0095624F"/>
    <w:rsid w:val="0095641C"/>
    <w:rsid w:val="00957A32"/>
    <w:rsid w:val="00960555"/>
    <w:rsid w:val="00963233"/>
    <w:rsid w:val="00964B54"/>
    <w:rsid w:val="009653A0"/>
    <w:rsid w:val="00965F42"/>
    <w:rsid w:val="009661AD"/>
    <w:rsid w:val="009668D9"/>
    <w:rsid w:val="009668E5"/>
    <w:rsid w:val="0096706E"/>
    <w:rsid w:val="00967ECF"/>
    <w:rsid w:val="00970006"/>
    <w:rsid w:val="009714F6"/>
    <w:rsid w:val="00971BFC"/>
    <w:rsid w:val="0097237F"/>
    <w:rsid w:val="009724C3"/>
    <w:rsid w:val="00973675"/>
    <w:rsid w:val="00973798"/>
    <w:rsid w:val="00973E1D"/>
    <w:rsid w:val="00973FD3"/>
    <w:rsid w:val="009753D7"/>
    <w:rsid w:val="00976209"/>
    <w:rsid w:val="00976E74"/>
    <w:rsid w:val="00981203"/>
    <w:rsid w:val="00981FBA"/>
    <w:rsid w:val="009826CC"/>
    <w:rsid w:val="00982E24"/>
    <w:rsid w:val="009835AD"/>
    <w:rsid w:val="00983AF6"/>
    <w:rsid w:val="009843A2"/>
    <w:rsid w:val="009844C2"/>
    <w:rsid w:val="00985A4B"/>
    <w:rsid w:val="00985ADA"/>
    <w:rsid w:val="00986129"/>
    <w:rsid w:val="00986662"/>
    <w:rsid w:val="00986AEE"/>
    <w:rsid w:val="009879D3"/>
    <w:rsid w:val="009908CD"/>
    <w:rsid w:val="00991846"/>
    <w:rsid w:val="0099229D"/>
    <w:rsid w:val="009923C3"/>
    <w:rsid w:val="00992A7F"/>
    <w:rsid w:val="009937A7"/>
    <w:rsid w:val="00993D72"/>
    <w:rsid w:val="00994ECF"/>
    <w:rsid w:val="00995BB7"/>
    <w:rsid w:val="009967AF"/>
    <w:rsid w:val="0099714E"/>
    <w:rsid w:val="00997E99"/>
    <w:rsid w:val="009A03DC"/>
    <w:rsid w:val="009A03E7"/>
    <w:rsid w:val="009A0816"/>
    <w:rsid w:val="009A0B09"/>
    <w:rsid w:val="009A0F04"/>
    <w:rsid w:val="009A1A5D"/>
    <w:rsid w:val="009A1D2A"/>
    <w:rsid w:val="009A28FA"/>
    <w:rsid w:val="009A2BA7"/>
    <w:rsid w:val="009A6130"/>
    <w:rsid w:val="009A67CC"/>
    <w:rsid w:val="009A67D9"/>
    <w:rsid w:val="009A7953"/>
    <w:rsid w:val="009B07BE"/>
    <w:rsid w:val="009B1206"/>
    <w:rsid w:val="009B1525"/>
    <w:rsid w:val="009B1A02"/>
    <w:rsid w:val="009B26C8"/>
    <w:rsid w:val="009B2E1C"/>
    <w:rsid w:val="009B2F9E"/>
    <w:rsid w:val="009B351F"/>
    <w:rsid w:val="009B3602"/>
    <w:rsid w:val="009B381B"/>
    <w:rsid w:val="009B4536"/>
    <w:rsid w:val="009B507E"/>
    <w:rsid w:val="009B5129"/>
    <w:rsid w:val="009B541A"/>
    <w:rsid w:val="009B61B2"/>
    <w:rsid w:val="009B71D5"/>
    <w:rsid w:val="009B74A4"/>
    <w:rsid w:val="009C1615"/>
    <w:rsid w:val="009C1691"/>
    <w:rsid w:val="009C1877"/>
    <w:rsid w:val="009C1D8B"/>
    <w:rsid w:val="009C2F9F"/>
    <w:rsid w:val="009C458A"/>
    <w:rsid w:val="009C4893"/>
    <w:rsid w:val="009C4D68"/>
    <w:rsid w:val="009C56A5"/>
    <w:rsid w:val="009C6C2B"/>
    <w:rsid w:val="009D0946"/>
    <w:rsid w:val="009D0D81"/>
    <w:rsid w:val="009D0DEE"/>
    <w:rsid w:val="009D15C7"/>
    <w:rsid w:val="009D16D3"/>
    <w:rsid w:val="009D2342"/>
    <w:rsid w:val="009D280B"/>
    <w:rsid w:val="009D3728"/>
    <w:rsid w:val="009D50C6"/>
    <w:rsid w:val="009D561E"/>
    <w:rsid w:val="009D6116"/>
    <w:rsid w:val="009D7611"/>
    <w:rsid w:val="009E075C"/>
    <w:rsid w:val="009E27A9"/>
    <w:rsid w:val="009E329A"/>
    <w:rsid w:val="009E3488"/>
    <w:rsid w:val="009E374A"/>
    <w:rsid w:val="009E3A41"/>
    <w:rsid w:val="009E3ABD"/>
    <w:rsid w:val="009E3C23"/>
    <w:rsid w:val="009E4331"/>
    <w:rsid w:val="009E4906"/>
    <w:rsid w:val="009E53DE"/>
    <w:rsid w:val="009E5D2B"/>
    <w:rsid w:val="009E6FD9"/>
    <w:rsid w:val="009E7A69"/>
    <w:rsid w:val="009F08C8"/>
    <w:rsid w:val="009F0AED"/>
    <w:rsid w:val="009F0CF2"/>
    <w:rsid w:val="009F114F"/>
    <w:rsid w:val="009F1B62"/>
    <w:rsid w:val="009F1ED5"/>
    <w:rsid w:val="009F24AF"/>
    <w:rsid w:val="009F24FF"/>
    <w:rsid w:val="009F297A"/>
    <w:rsid w:val="009F2CC4"/>
    <w:rsid w:val="009F3705"/>
    <w:rsid w:val="009F3B22"/>
    <w:rsid w:val="009F54BA"/>
    <w:rsid w:val="009F7113"/>
    <w:rsid w:val="009F76DF"/>
    <w:rsid w:val="009F76E5"/>
    <w:rsid w:val="00A014DA"/>
    <w:rsid w:val="00A03579"/>
    <w:rsid w:val="00A03B6C"/>
    <w:rsid w:val="00A03CAB"/>
    <w:rsid w:val="00A03DA5"/>
    <w:rsid w:val="00A049B5"/>
    <w:rsid w:val="00A05C64"/>
    <w:rsid w:val="00A05F15"/>
    <w:rsid w:val="00A06FEB"/>
    <w:rsid w:val="00A072E8"/>
    <w:rsid w:val="00A07CAA"/>
    <w:rsid w:val="00A10246"/>
    <w:rsid w:val="00A10403"/>
    <w:rsid w:val="00A10450"/>
    <w:rsid w:val="00A10A25"/>
    <w:rsid w:val="00A10C01"/>
    <w:rsid w:val="00A11E0C"/>
    <w:rsid w:val="00A12250"/>
    <w:rsid w:val="00A13A94"/>
    <w:rsid w:val="00A147AE"/>
    <w:rsid w:val="00A14D37"/>
    <w:rsid w:val="00A15A9B"/>
    <w:rsid w:val="00A15C9A"/>
    <w:rsid w:val="00A1636C"/>
    <w:rsid w:val="00A163A4"/>
    <w:rsid w:val="00A16474"/>
    <w:rsid w:val="00A1688B"/>
    <w:rsid w:val="00A169DC"/>
    <w:rsid w:val="00A17625"/>
    <w:rsid w:val="00A17C14"/>
    <w:rsid w:val="00A17E82"/>
    <w:rsid w:val="00A2015A"/>
    <w:rsid w:val="00A20B65"/>
    <w:rsid w:val="00A20F5F"/>
    <w:rsid w:val="00A213FD"/>
    <w:rsid w:val="00A22B7B"/>
    <w:rsid w:val="00A23924"/>
    <w:rsid w:val="00A24331"/>
    <w:rsid w:val="00A24409"/>
    <w:rsid w:val="00A2456A"/>
    <w:rsid w:val="00A25C0A"/>
    <w:rsid w:val="00A27314"/>
    <w:rsid w:val="00A27941"/>
    <w:rsid w:val="00A31451"/>
    <w:rsid w:val="00A31CB0"/>
    <w:rsid w:val="00A32364"/>
    <w:rsid w:val="00A3286C"/>
    <w:rsid w:val="00A32D38"/>
    <w:rsid w:val="00A3305E"/>
    <w:rsid w:val="00A34273"/>
    <w:rsid w:val="00A344FD"/>
    <w:rsid w:val="00A349B5"/>
    <w:rsid w:val="00A34F17"/>
    <w:rsid w:val="00A36168"/>
    <w:rsid w:val="00A36E16"/>
    <w:rsid w:val="00A376A9"/>
    <w:rsid w:val="00A3773C"/>
    <w:rsid w:val="00A37DA9"/>
    <w:rsid w:val="00A40463"/>
    <w:rsid w:val="00A40CED"/>
    <w:rsid w:val="00A43458"/>
    <w:rsid w:val="00A438C4"/>
    <w:rsid w:val="00A438F6"/>
    <w:rsid w:val="00A444C4"/>
    <w:rsid w:val="00A445B3"/>
    <w:rsid w:val="00A447CD"/>
    <w:rsid w:val="00A449AE"/>
    <w:rsid w:val="00A44B56"/>
    <w:rsid w:val="00A44E4C"/>
    <w:rsid w:val="00A47174"/>
    <w:rsid w:val="00A47D0B"/>
    <w:rsid w:val="00A500DA"/>
    <w:rsid w:val="00A50201"/>
    <w:rsid w:val="00A5028C"/>
    <w:rsid w:val="00A50CF2"/>
    <w:rsid w:val="00A52375"/>
    <w:rsid w:val="00A5251F"/>
    <w:rsid w:val="00A527E1"/>
    <w:rsid w:val="00A528D1"/>
    <w:rsid w:val="00A53D23"/>
    <w:rsid w:val="00A542D1"/>
    <w:rsid w:val="00A54E22"/>
    <w:rsid w:val="00A553C1"/>
    <w:rsid w:val="00A55776"/>
    <w:rsid w:val="00A56E9B"/>
    <w:rsid w:val="00A5736F"/>
    <w:rsid w:val="00A60093"/>
    <w:rsid w:val="00A618DF"/>
    <w:rsid w:val="00A6269C"/>
    <w:rsid w:val="00A6287A"/>
    <w:rsid w:val="00A62FDE"/>
    <w:rsid w:val="00A63958"/>
    <w:rsid w:val="00A64DA8"/>
    <w:rsid w:val="00A64EE8"/>
    <w:rsid w:val="00A64F5F"/>
    <w:rsid w:val="00A650D1"/>
    <w:rsid w:val="00A669C6"/>
    <w:rsid w:val="00A66BE5"/>
    <w:rsid w:val="00A709DB"/>
    <w:rsid w:val="00A70FA6"/>
    <w:rsid w:val="00A71D99"/>
    <w:rsid w:val="00A731AE"/>
    <w:rsid w:val="00A75116"/>
    <w:rsid w:val="00A7605D"/>
    <w:rsid w:val="00A774E2"/>
    <w:rsid w:val="00A77577"/>
    <w:rsid w:val="00A802FC"/>
    <w:rsid w:val="00A80C1E"/>
    <w:rsid w:val="00A80D3F"/>
    <w:rsid w:val="00A81D28"/>
    <w:rsid w:val="00A8335C"/>
    <w:rsid w:val="00A83588"/>
    <w:rsid w:val="00A84A45"/>
    <w:rsid w:val="00A84A53"/>
    <w:rsid w:val="00A84B01"/>
    <w:rsid w:val="00A871CA"/>
    <w:rsid w:val="00A87FF5"/>
    <w:rsid w:val="00A91C87"/>
    <w:rsid w:val="00A91F89"/>
    <w:rsid w:val="00A92714"/>
    <w:rsid w:val="00A92784"/>
    <w:rsid w:val="00A92AB3"/>
    <w:rsid w:val="00A92DCA"/>
    <w:rsid w:val="00A947C6"/>
    <w:rsid w:val="00A9530F"/>
    <w:rsid w:val="00A95F1A"/>
    <w:rsid w:val="00A978E7"/>
    <w:rsid w:val="00A97CDE"/>
    <w:rsid w:val="00AA00C2"/>
    <w:rsid w:val="00AA09FF"/>
    <w:rsid w:val="00AA23D3"/>
    <w:rsid w:val="00AA25DA"/>
    <w:rsid w:val="00AA33AF"/>
    <w:rsid w:val="00AA4746"/>
    <w:rsid w:val="00AA57B5"/>
    <w:rsid w:val="00AA5C88"/>
    <w:rsid w:val="00AA792C"/>
    <w:rsid w:val="00AA7A2C"/>
    <w:rsid w:val="00AA7E8A"/>
    <w:rsid w:val="00AB0745"/>
    <w:rsid w:val="00AB097B"/>
    <w:rsid w:val="00AB09C5"/>
    <w:rsid w:val="00AB2233"/>
    <w:rsid w:val="00AB2F3B"/>
    <w:rsid w:val="00AB3118"/>
    <w:rsid w:val="00AB352F"/>
    <w:rsid w:val="00AB3712"/>
    <w:rsid w:val="00AB4B54"/>
    <w:rsid w:val="00AB4CD6"/>
    <w:rsid w:val="00AB55B8"/>
    <w:rsid w:val="00AB5A7B"/>
    <w:rsid w:val="00AB5DFA"/>
    <w:rsid w:val="00AB6166"/>
    <w:rsid w:val="00AC043D"/>
    <w:rsid w:val="00AC0531"/>
    <w:rsid w:val="00AC2C74"/>
    <w:rsid w:val="00AC313B"/>
    <w:rsid w:val="00AC388E"/>
    <w:rsid w:val="00AC4106"/>
    <w:rsid w:val="00AC4E50"/>
    <w:rsid w:val="00AC4F7C"/>
    <w:rsid w:val="00AC619C"/>
    <w:rsid w:val="00AC6A4A"/>
    <w:rsid w:val="00AC6AE6"/>
    <w:rsid w:val="00AC7F4D"/>
    <w:rsid w:val="00AD0AFC"/>
    <w:rsid w:val="00AD1164"/>
    <w:rsid w:val="00AD1E27"/>
    <w:rsid w:val="00AD29F5"/>
    <w:rsid w:val="00AD2BC6"/>
    <w:rsid w:val="00AD34D9"/>
    <w:rsid w:val="00AD37C1"/>
    <w:rsid w:val="00AD38AF"/>
    <w:rsid w:val="00AD38E9"/>
    <w:rsid w:val="00AD4435"/>
    <w:rsid w:val="00AD452E"/>
    <w:rsid w:val="00AD4A7C"/>
    <w:rsid w:val="00AD4C6C"/>
    <w:rsid w:val="00AD4CD7"/>
    <w:rsid w:val="00AD4E05"/>
    <w:rsid w:val="00AD5B57"/>
    <w:rsid w:val="00AD5EB5"/>
    <w:rsid w:val="00AD7A33"/>
    <w:rsid w:val="00AE0DEC"/>
    <w:rsid w:val="00AE1302"/>
    <w:rsid w:val="00AE15A9"/>
    <w:rsid w:val="00AE1F0C"/>
    <w:rsid w:val="00AE38BC"/>
    <w:rsid w:val="00AE4B8D"/>
    <w:rsid w:val="00AE4C43"/>
    <w:rsid w:val="00AE6271"/>
    <w:rsid w:val="00AE66EC"/>
    <w:rsid w:val="00AE6AE5"/>
    <w:rsid w:val="00AE6F91"/>
    <w:rsid w:val="00AE7200"/>
    <w:rsid w:val="00AF0440"/>
    <w:rsid w:val="00AF22CE"/>
    <w:rsid w:val="00AF24AF"/>
    <w:rsid w:val="00AF264B"/>
    <w:rsid w:val="00AF2782"/>
    <w:rsid w:val="00AF3344"/>
    <w:rsid w:val="00AF3D8C"/>
    <w:rsid w:val="00AF5571"/>
    <w:rsid w:val="00AF79FA"/>
    <w:rsid w:val="00B016BF"/>
    <w:rsid w:val="00B016EF"/>
    <w:rsid w:val="00B01D8D"/>
    <w:rsid w:val="00B033E8"/>
    <w:rsid w:val="00B057C9"/>
    <w:rsid w:val="00B05FCA"/>
    <w:rsid w:val="00B0667E"/>
    <w:rsid w:val="00B06BF4"/>
    <w:rsid w:val="00B124E6"/>
    <w:rsid w:val="00B13F5E"/>
    <w:rsid w:val="00B1479A"/>
    <w:rsid w:val="00B14837"/>
    <w:rsid w:val="00B1519B"/>
    <w:rsid w:val="00B15287"/>
    <w:rsid w:val="00B160A4"/>
    <w:rsid w:val="00B167E9"/>
    <w:rsid w:val="00B16FF4"/>
    <w:rsid w:val="00B17170"/>
    <w:rsid w:val="00B1724A"/>
    <w:rsid w:val="00B17E2C"/>
    <w:rsid w:val="00B20180"/>
    <w:rsid w:val="00B20427"/>
    <w:rsid w:val="00B2068A"/>
    <w:rsid w:val="00B207F5"/>
    <w:rsid w:val="00B20B83"/>
    <w:rsid w:val="00B20BD7"/>
    <w:rsid w:val="00B20FE7"/>
    <w:rsid w:val="00B21064"/>
    <w:rsid w:val="00B211D5"/>
    <w:rsid w:val="00B21BC5"/>
    <w:rsid w:val="00B22C40"/>
    <w:rsid w:val="00B23A86"/>
    <w:rsid w:val="00B24843"/>
    <w:rsid w:val="00B27127"/>
    <w:rsid w:val="00B2728E"/>
    <w:rsid w:val="00B27C65"/>
    <w:rsid w:val="00B301E8"/>
    <w:rsid w:val="00B30278"/>
    <w:rsid w:val="00B314DB"/>
    <w:rsid w:val="00B316A7"/>
    <w:rsid w:val="00B31EBE"/>
    <w:rsid w:val="00B321B3"/>
    <w:rsid w:val="00B346FF"/>
    <w:rsid w:val="00B34B9E"/>
    <w:rsid w:val="00B34D82"/>
    <w:rsid w:val="00B36E37"/>
    <w:rsid w:val="00B3718B"/>
    <w:rsid w:val="00B37C3B"/>
    <w:rsid w:val="00B41AAC"/>
    <w:rsid w:val="00B424CD"/>
    <w:rsid w:val="00B42ABC"/>
    <w:rsid w:val="00B42FB2"/>
    <w:rsid w:val="00B432D6"/>
    <w:rsid w:val="00B4461B"/>
    <w:rsid w:val="00B44F4C"/>
    <w:rsid w:val="00B45BE7"/>
    <w:rsid w:val="00B45ECD"/>
    <w:rsid w:val="00B46033"/>
    <w:rsid w:val="00B46313"/>
    <w:rsid w:val="00B4632A"/>
    <w:rsid w:val="00B475F0"/>
    <w:rsid w:val="00B478B1"/>
    <w:rsid w:val="00B478C4"/>
    <w:rsid w:val="00B506F8"/>
    <w:rsid w:val="00B50B12"/>
    <w:rsid w:val="00B50F68"/>
    <w:rsid w:val="00B5149E"/>
    <w:rsid w:val="00B515A8"/>
    <w:rsid w:val="00B5358C"/>
    <w:rsid w:val="00B540E8"/>
    <w:rsid w:val="00B54D6D"/>
    <w:rsid w:val="00B553D0"/>
    <w:rsid w:val="00B55E95"/>
    <w:rsid w:val="00B56796"/>
    <w:rsid w:val="00B56ED1"/>
    <w:rsid w:val="00B574EE"/>
    <w:rsid w:val="00B575D6"/>
    <w:rsid w:val="00B60E25"/>
    <w:rsid w:val="00B62894"/>
    <w:rsid w:val="00B62BC0"/>
    <w:rsid w:val="00B63572"/>
    <w:rsid w:val="00B63577"/>
    <w:rsid w:val="00B64D22"/>
    <w:rsid w:val="00B673F4"/>
    <w:rsid w:val="00B67539"/>
    <w:rsid w:val="00B70462"/>
    <w:rsid w:val="00B72E00"/>
    <w:rsid w:val="00B74DAF"/>
    <w:rsid w:val="00B75BE4"/>
    <w:rsid w:val="00B75D57"/>
    <w:rsid w:val="00B765F1"/>
    <w:rsid w:val="00B76BE8"/>
    <w:rsid w:val="00B779A8"/>
    <w:rsid w:val="00B77B09"/>
    <w:rsid w:val="00B80183"/>
    <w:rsid w:val="00B801CB"/>
    <w:rsid w:val="00B83A9C"/>
    <w:rsid w:val="00B84FC7"/>
    <w:rsid w:val="00B85B6B"/>
    <w:rsid w:val="00B8646F"/>
    <w:rsid w:val="00B86577"/>
    <w:rsid w:val="00B8664E"/>
    <w:rsid w:val="00B868A4"/>
    <w:rsid w:val="00B86A06"/>
    <w:rsid w:val="00B871DF"/>
    <w:rsid w:val="00B8786D"/>
    <w:rsid w:val="00B90178"/>
    <w:rsid w:val="00B920B7"/>
    <w:rsid w:val="00B926B1"/>
    <w:rsid w:val="00B92DC9"/>
    <w:rsid w:val="00B933E1"/>
    <w:rsid w:val="00B933E4"/>
    <w:rsid w:val="00B945B3"/>
    <w:rsid w:val="00BA0255"/>
    <w:rsid w:val="00BA0E3E"/>
    <w:rsid w:val="00BA11D2"/>
    <w:rsid w:val="00BA154C"/>
    <w:rsid w:val="00BA198F"/>
    <w:rsid w:val="00BA1D41"/>
    <w:rsid w:val="00BA273E"/>
    <w:rsid w:val="00BA276C"/>
    <w:rsid w:val="00BA2988"/>
    <w:rsid w:val="00BA3099"/>
    <w:rsid w:val="00BA3133"/>
    <w:rsid w:val="00BA31DF"/>
    <w:rsid w:val="00BA3565"/>
    <w:rsid w:val="00BA6FFA"/>
    <w:rsid w:val="00BA7984"/>
    <w:rsid w:val="00BB151F"/>
    <w:rsid w:val="00BB285D"/>
    <w:rsid w:val="00BB3066"/>
    <w:rsid w:val="00BB306F"/>
    <w:rsid w:val="00BB31F9"/>
    <w:rsid w:val="00BB3466"/>
    <w:rsid w:val="00BB356D"/>
    <w:rsid w:val="00BB36D4"/>
    <w:rsid w:val="00BB438F"/>
    <w:rsid w:val="00BB4587"/>
    <w:rsid w:val="00BB521F"/>
    <w:rsid w:val="00BB53AD"/>
    <w:rsid w:val="00BB5A59"/>
    <w:rsid w:val="00BB633E"/>
    <w:rsid w:val="00BB6D96"/>
    <w:rsid w:val="00BB7556"/>
    <w:rsid w:val="00BB78FE"/>
    <w:rsid w:val="00BB7B0A"/>
    <w:rsid w:val="00BB7C2F"/>
    <w:rsid w:val="00BB7C52"/>
    <w:rsid w:val="00BC04F8"/>
    <w:rsid w:val="00BC0C11"/>
    <w:rsid w:val="00BC2154"/>
    <w:rsid w:val="00BC243A"/>
    <w:rsid w:val="00BC35EB"/>
    <w:rsid w:val="00BC397C"/>
    <w:rsid w:val="00BC5C8F"/>
    <w:rsid w:val="00BC68ED"/>
    <w:rsid w:val="00BC6FB1"/>
    <w:rsid w:val="00BC73B5"/>
    <w:rsid w:val="00BD10AC"/>
    <w:rsid w:val="00BD1D31"/>
    <w:rsid w:val="00BD232B"/>
    <w:rsid w:val="00BD2443"/>
    <w:rsid w:val="00BD2C5B"/>
    <w:rsid w:val="00BD3469"/>
    <w:rsid w:val="00BD393F"/>
    <w:rsid w:val="00BD4B89"/>
    <w:rsid w:val="00BD5B66"/>
    <w:rsid w:val="00BD7372"/>
    <w:rsid w:val="00BD7F14"/>
    <w:rsid w:val="00BE0098"/>
    <w:rsid w:val="00BE014C"/>
    <w:rsid w:val="00BE118B"/>
    <w:rsid w:val="00BE1438"/>
    <w:rsid w:val="00BE14B2"/>
    <w:rsid w:val="00BE201A"/>
    <w:rsid w:val="00BE35D9"/>
    <w:rsid w:val="00BE36D7"/>
    <w:rsid w:val="00BE4872"/>
    <w:rsid w:val="00BE4C89"/>
    <w:rsid w:val="00BE59EF"/>
    <w:rsid w:val="00BE60A3"/>
    <w:rsid w:val="00BE6182"/>
    <w:rsid w:val="00BE6B74"/>
    <w:rsid w:val="00BE7E23"/>
    <w:rsid w:val="00BF0063"/>
    <w:rsid w:val="00BF08CB"/>
    <w:rsid w:val="00BF0A9E"/>
    <w:rsid w:val="00BF1F10"/>
    <w:rsid w:val="00BF2000"/>
    <w:rsid w:val="00BF2523"/>
    <w:rsid w:val="00BF2939"/>
    <w:rsid w:val="00BF334F"/>
    <w:rsid w:val="00BF4865"/>
    <w:rsid w:val="00BF4871"/>
    <w:rsid w:val="00BF4AF7"/>
    <w:rsid w:val="00BF7C42"/>
    <w:rsid w:val="00C0028D"/>
    <w:rsid w:val="00C010E4"/>
    <w:rsid w:val="00C01451"/>
    <w:rsid w:val="00C01BA5"/>
    <w:rsid w:val="00C03059"/>
    <w:rsid w:val="00C0391B"/>
    <w:rsid w:val="00C03A29"/>
    <w:rsid w:val="00C04473"/>
    <w:rsid w:val="00C070BA"/>
    <w:rsid w:val="00C07884"/>
    <w:rsid w:val="00C101BC"/>
    <w:rsid w:val="00C11023"/>
    <w:rsid w:val="00C111ED"/>
    <w:rsid w:val="00C144E7"/>
    <w:rsid w:val="00C14557"/>
    <w:rsid w:val="00C14701"/>
    <w:rsid w:val="00C14CE0"/>
    <w:rsid w:val="00C1525C"/>
    <w:rsid w:val="00C1586E"/>
    <w:rsid w:val="00C16D95"/>
    <w:rsid w:val="00C2142B"/>
    <w:rsid w:val="00C21762"/>
    <w:rsid w:val="00C224DF"/>
    <w:rsid w:val="00C22DD6"/>
    <w:rsid w:val="00C2324A"/>
    <w:rsid w:val="00C23BA8"/>
    <w:rsid w:val="00C24049"/>
    <w:rsid w:val="00C24543"/>
    <w:rsid w:val="00C256A2"/>
    <w:rsid w:val="00C25808"/>
    <w:rsid w:val="00C26A69"/>
    <w:rsid w:val="00C31331"/>
    <w:rsid w:val="00C31770"/>
    <w:rsid w:val="00C3238A"/>
    <w:rsid w:val="00C32560"/>
    <w:rsid w:val="00C32A61"/>
    <w:rsid w:val="00C338B0"/>
    <w:rsid w:val="00C33D69"/>
    <w:rsid w:val="00C33EB0"/>
    <w:rsid w:val="00C340DC"/>
    <w:rsid w:val="00C3492D"/>
    <w:rsid w:val="00C34E6A"/>
    <w:rsid w:val="00C34F68"/>
    <w:rsid w:val="00C35CD6"/>
    <w:rsid w:val="00C3629F"/>
    <w:rsid w:val="00C36E35"/>
    <w:rsid w:val="00C378D1"/>
    <w:rsid w:val="00C4068A"/>
    <w:rsid w:val="00C40941"/>
    <w:rsid w:val="00C41AB9"/>
    <w:rsid w:val="00C423E4"/>
    <w:rsid w:val="00C43174"/>
    <w:rsid w:val="00C43FC7"/>
    <w:rsid w:val="00C443E8"/>
    <w:rsid w:val="00C44886"/>
    <w:rsid w:val="00C44ECB"/>
    <w:rsid w:val="00C45555"/>
    <w:rsid w:val="00C45976"/>
    <w:rsid w:val="00C45A93"/>
    <w:rsid w:val="00C4696E"/>
    <w:rsid w:val="00C46A80"/>
    <w:rsid w:val="00C4716E"/>
    <w:rsid w:val="00C47791"/>
    <w:rsid w:val="00C4793D"/>
    <w:rsid w:val="00C47E39"/>
    <w:rsid w:val="00C506EB"/>
    <w:rsid w:val="00C50A5C"/>
    <w:rsid w:val="00C50C1E"/>
    <w:rsid w:val="00C53F60"/>
    <w:rsid w:val="00C546AB"/>
    <w:rsid w:val="00C5474E"/>
    <w:rsid w:val="00C548C3"/>
    <w:rsid w:val="00C548FA"/>
    <w:rsid w:val="00C55378"/>
    <w:rsid w:val="00C55560"/>
    <w:rsid w:val="00C573C7"/>
    <w:rsid w:val="00C60644"/>
    <w:rsid w:val="00C61997"/>
    <w:rsid w:val="00C62393"/>
    <w:rsid w:val="00C6266E"/>
    <w:rsid w:val="00C62BF4"/>
    <w:rsid w:val="00C640EB"/>
    <w:rsid w:val="00C669C1"/>
    <w:rsid w:val="00C66B72"/>
    <w:rsid w:val="00C674CD"/>
    <w:rsid w:val="00C67F18"/>
    <w:rsid w:val="00C702E0"/>
    <w:rsid w:val="00C714BB"/>
    <w:rsid w:val="00C71F81"/>
    <w:rsid w:val="00C7275B"/>
    <w:rsid w:val="00C7281A"/>
    <w:rsid w:val="00C73487"/>
    <w:rsid w:val="00C74AAA"/>
    <w:rsid w:val="00C74C37"/>
    <w:rsid w:val="00C7526E"/>
    <w:rsid w:val="00C75A4F"/>
    <w:rsid w:val="00C75E68"/>
    <w:rsid w:val="00C76135"/>
    <w:rsid w:val="00C768EA"/>
    <w:rsid w:val="00C76EBB"/>
    <w:rsid w:val="00C77013"/>
    <w:rsid w:val="00C771A2"/>
    <w:rsid w:val="00C77F47"/>
    <w:rsid w:val="00C80BAC"/>
    <w:rsid w:val="00C81339"/>
    <w:rsid w:val="00C81FBE"/>
    <w:rsid w:val="00C82B0B"/>
    <w:rsid w:val="00C84B0E"/>
    <w:rsid w:val="00C84E16"/>
    <w:rsid w:val="00C850FD"/>
    <w:rsid w:val="00C85897"/>
    <w:rsid w:val="00C85CF6"/>
    <w:rsid w:val="00C85DDE"/>
    <w:rsid w:val="00C866C0"/>
    <w:rsid w:val="00C86C06"/>
    <w:rsid w:val="00C87075"/>
    <w:rsid w:val="00C8737F"/>
    <w:rsid w:val="00C9055F"/>
    <w:rsid w:val="00C90AD6"/>
    <w:rsid w:val="00C9128B"/>
    <w:rsid w:val="00C92214"/>
    <w:rsid w:val="00C92CF7"/>
    <w:rsid w:val="00C936C3"/>
    <w:rsid w:val="00C949E2"/>
    <w:rsid w:val="00C94B6D"/>
    <w:rsid w:val="00C94BF5"/>
    <w:rsid w:val="00C9567A"/>
    <w:rsid w:val="00C957E5"/>
    <w:rsid w:val="00C95BF6"/>
    <w:rsid w:val="00C9670F"/>
    <w:rsid w:val="00C96AF3"/>
    <w:rsid w:val="00C96BFF"/>
    <w:rsid w:val="00CA0E2F"/>
    <w:rsid w:val="00CA249C"/>
    <w:rsid w:val="00CA28C5"/>
    <w:rsid w:val="00CA43BB"/>
    <w:rsid w:val="00CA44E8"/>
    <w:rsid w:val="00CA53D1"/>
    <w:rsid w:val="00CA61E3"/>
    <w:rsid w:val="00CA65F1"/>
    <w:rsid w:val="00CA6E49"/>
    <w:rsid w:val="00CB088F"/>
    <w:rsid w:val="00CB13BC"/>
    <w:rsid w:val="00CB17C1"/>
    <w:rsid w:val="00CB2422"/>
    <w:rsid w:val="00CB2660"/>
    <w:rsid w:val="00CB2A1A"/>
    <w:rsid w:val="00CB359E"/>
    <w:rsid w:val="00CB3738"/>
    <w:rsid w:val="00CB3827"/>
    <w:rsid w:val="00CB3A1A"/>
    <w:rsid w:val="00CB6764"/>
    <w:rsid w:val="00CB712B"/>
    <w:rsid w:val="00CB7A42"/>
    <w:rsid w:val="00CC0D1F"/>
    <w:rsid w:val="00CC0D91"/>
    <w:rsid w:val="00CC30E5"/>
    <w:rsid w:val="00CC5E13"/>
    <w:rsid w:val="00CC5E90"/>
    <w:rsid w:val="00CD046C"/>
    <w:rsid w:val="00CD2EE9"/>
    <w:rsid w:val="00CD36BA"/>
    <w:rsid w:val="00CD57D3"/>
    <w:rsid w:val="00CD6BCF"/>
    <w:rsid w:val="00CD7BB2"/>
    <w:rsid w:val="00CE0FD7"/>
    <w:rsid w:val="00CE1390"/>
    <w:rsid w:val="00CE4868"/>
    <w:rsid w:val="00CE4999"/>
    <w:rsid w:val="00CE5199"/>
    <w:rsid w:val="00CE66D5"/>
    <w:rsid w:val="00CE6E2C"/>
    <w:rsid w:val="00CF100C"/>
    <w:rsid w:val="00CF1FF5"/>
    <w:rsid w:val="00CF2346"/>
    <w:rsid w:val="00CF24B3"/>
    <w:rsid w:val="00CF2824"/>
    <w:rsid w:val="00CF297E"/>
    <w:rsid w:val="00CF3EBB"/>
    <w:rsid w:val="00CF4138"/>
    <w:rsid w:val="00CF439C"/>
    <w:rsid w:val="00CF449A"/>
    <w:rsid w:val="00CF4BAF"/>
    <w:rsid w:val="00CF5539"/>
    <w:rsid w:val="00CF6754"/>
    <w:rsid w:val="00CF768E"/>
    <w:rsid w:val="00CF78FA"/>
    <w:rsid w:val="00CF7930"/>
    <w:rsid w:val="00D002FC"/>
    <w:rsid w:val="00D02E9F"/>
    <w:rsid w:val="00D03633"/>
    <w:rsid w:val="00D03C39"/>
    <w:rsid w:val="00D03C79"/>
    <w:rsid w:val="00D04137"/>
    <w:rsid w:val="00D04674"/>
    <w:rsid w:val="00D05066"/>
    <w:rsid w:val="00D07439"/>
    <w:rsid w:val="00D0799B"/>
    <w:rsid w:val="00D07A1B"/>
    <w:rsid w:val="00D11349"/>
    <w:rsid w:val="00D1169D"/>
    <w:rsid w:val="00D11888"/>
    <w:rsid w:val="00D12D6C"/>
    <w:rsid w:val="00D14582"/>
    <w:rsid w:val="00D14B21"/>
    <w:rsid w:val="00D15ABB"/>
    <w:rsid w:val="00D15E54"/>
    <w:rsid w:val="00D16299"/>
    <w:rsid w:val="00D16C41"/>
    <w:rsid w:val="00D208AB"/>
    <w:rsid w:val="00D20D54"/>
    <w:rsid w:val="00D211D9"/>
    <w:rsid w:val="00D2131F"/>
    <w:rsid w:val="00D21D95"/>
    <w:rsid w:val="00D21DA2"/>
    <w:rsid w:val="00D2250C"/>
    <w:rsid w:val="00D22F94"/>
    <w:rsid w:val="00D2345D"/>
    <w:rsid w:val="00D23785"/>
    <w:rsid w:val="00D24291"/>
    <w:rsid w:val="00D2456B"/>
    <w:rsid w:val="00D25889"/>
    <w:rsid w:val="00D25C75"/>
    <w:rsid w:val="00D27FBF"/>
    <w:rsid w:val="00D30316"/>
    <w:rsid w:val="00D30FA7"/>
    <w:rsid w:val="00D31A13"/>
    <w:rsid w:val="00D32D94"/>
    <w:rsid w:val="00D340AA"/>
    <w:rsid w:val="00D34786"/>
    <w:rsid w:val="00D35609"/>
    <w:rsid w:val="00D3641C"/>
    <w:rsid w:val="00D36696"/>
    <w:rsid w:val="00D36A2C"/>
    <w:rsid w:val="00D37539"/>
    <w:rsid w:val="00D40341"/>
    <w:rsid w:val="00D4040F"/>
    <w:rsid w:val="00D40A1E"/>
    <w:rsid w:val="00D41308"/>
    <w:rsid w:val="00D42BAB"/>
    <w:rsid w:val="00D439AE"/>
    <w:rsid w:val="00D43C78"/>
    <w:rsid w:val="00D44A80"/>
    <w:rsid w:val="00D44B04"/>
    <w:rsid w:val="00D44BDF"/>
    <w:rsid w:val="00D45150"/>
    <w:rsid w:val="00D45500"/>
    <w:rsid w:val="00D46CDC"/>
    <w:rsid w:val="00D47631"/>
    <w:rsid w:val="00D47E97"/>
    <w:rsid w:val="00D5025B"/>
    <w:rsid w:val="00D50AFF"/>
    <w:rsid w:val="00D512DC"/>
    <w:rsid w:val="00D52B5B"/>
    <w:rsid w:val="00D537DA"/>
    <w:rsid w:val="00D53F3D"/>
    <w:rsid w:val="00D54FD9"/>
    <w:rsid w:val="00D558C4"/>
    <w:rsid w:val="00D55D01"/>
    <w:rsid w:val="00D568A0"/>
    <w:rsid w:val="00D57019"/>
    <w:rsid w:val="00D57047"/>
    <w:rsid w:val="00D57833"/>
    <w:rsid w:val="00D6092C"/>
    <w:rsid w:val="00D61163"/>
    <w:rsid w:val="00D6144B"/>
    <w:rsid w:val="00D62BD0"/>
    <w:rsid w:val="00D62FFA"/>
    <w:rsid w:val="00D63033"/>
    <w:rsid w:val="00D63233"/>
    <w:rsid w:val="00D63DBE"/>
    <w:rsid w:val="00D64D80"/>
    <w:rsid w:val="00D65E4F"/>
    <w:rsid w:val="00D6603B"/>
    <w:rsid w:val="00D677D5"/>
    <w:rsid w:val="00D712D3"/>
    <w:rsid w:val="00D71422"/>
    <w:rsid w:val="00D7145E"/>
    <w:rsid w:val="00D71A30"/>
    <w:rsid w:val="00D720FF"/>
    <w:rsid w:val="00D72985"/>
    <w:rsid w:val="00D7314E"/>
    <w:rsid w:val="00D73376"/>
    <w:rsid w:val="00D73E27"/>
    <w:rsid w:val="00D74A1F"/>
    <w:rsid w:val="00D74B5B"/>
    <w:rsid w:val="00D74C93"/>
    <w:rsid w:val="00D74F68"/>
    <w:rsid w:val="00D7558D"/>
    <w:rsid w:val="00D76163"/>
    <w:rsid w:val="00D76232"/>
    <w:rsid w:val="00D7649A"/>
    <w:rsid w:val="00D77796"/>
    <w:rsid w:val="00D80145"/>
    <w:rsid w:val="00D80440"/>
    <w:rsid w:val="00D811FF"/>
    <w:rsid w:val="00D81D92"/>
    <w:rsid w:val="00D825B6"/>
    <w:rsid w:val="00D826A0"/>
    <w:rsid w:val="00D82EA8"/>
    <w:rsid w:val="00D838BE"/>
    <w:rsid w:val="00D83DD3"/>
    <w:rsid w:val="00D83FFE"/>
    <w:rsid w:val="00D84378"/>
    <w:rsid w:val="00D84B06"/>
    <w:rsid w:val="00D86569"/>
    <w:rsid w:val="00D87416"/>
    <w:rsid w:val="00D8763F"/>
    <w:rsid w:val="00D877CC"/>
    <w:rsid w:val="00D9040B"/>
    <w:rsid w:val="00D9087A"/>
    <w:rsid w:val="00D915AB"/>
    <w:rsid w:val="00D91B1E"/>
    <w:rsid w:val="00D93446"/>
    <w:rsid w:val="00D9382D"/>
    <w:rsid w:val="00D946AA"/>
    <w:rsid w:val="00D94D1C"/>
    <w:rsid w:val="00D9539C"/>
    <w:rsid w:val="00D95402"/>
    <w:rsid w:val="00D96245"/>
    <w:rsid w:val="00D978E5"/>
    <w:rsid w:val="00DA1520"/>
    <w:rsid w:val="00DA18BD"/>
    <w:rsid w:val="00DA1C24"/>
    <w:rsid w:val="00DA1D1A"/>
    <w:rsid w:val="00DA2A7C"/>
    <w:rsid w:val="00DA3005"/>
    <w:rsid w:val="00DA300A"/>
    <w:rsid w:val="00DA341C"/>
    <w:rsid w:val="00DA41B6"/>
    <w:rsid w:val="00DA44EA"/>
    <w:rsid w:val="00DA4E4E"/>
    <w:rsid w:val="00DA559E"/>
    <w:rsid w:val="00DA55E5"/>
    <w:rsid w:val="00DA5ECF"/>
    <w:rsid w:val="00DA6AB3"/>
    <w:rsid w:val="00DA7151"/>
    <w:rsid w:val="00DA77AA"/>
    <w:rsid w:val="00DA7982"/>
    <w:rsid w:val="00DA79D0"/>
    <w:rsid w:val="00DA7A6A"/>
    <w:rsid w:val="00DA7B5F"/>
    <w:rsid w:val="00DB0387"/>
    <w:rsid w:val="00DB0672"/>
    <w:rsid w:val="00DB0D0D"/>
    <w:rsid w:val="00DB0F13"/>
    <w:rsid w:val="00DB187F"/>
    <w:rsid w:val="00DB18A8"/>
    <w:rsid w:val="00DB1DA3"/>
    <w:rsid w:val="00DB3050"/>
    <w:rsid w:val="00DB30EC"/>
    <w:rsid w:val="00DB3374"/>
    <w:rsid w:val="00DB4573"/>
    <w:rsid w:val="00DB4A1E"/>
    <w:rsid w:val="00DB4D80"/>
    <w:rsid w:val="00DB5C3C"/>
    <w:rsid w:val="00DB710E"/>
    <w:rsid w:val="00DB7493"/>
    <w:rsid w:val="00DC008A"/>
    <w:rsid w:val="00DC07A4"/>
    <w:rsid w:val="00DC174D"/>
    <w:rsid w:val="00DC28C0"/>
    <w:rsid w:val="00DC2FF2"/>
    <w:rsid w:val="00DC3121"/>
    <w:rsid w:val="00DC4839"/>
    <w:rsid w:val="00DC5165"/>
    <w:rsid w:val="00DC6453"/>
    <w:rsid w:val="00DC6D2C"/>
    <w:rsid w:val="00DC7597"/>
    <w:rsid w:val="00DC7693"/>
    <w:rsid w:val="00DD045E"/>
    <w:rsid w:val="00DD1E65"/>
    <w:rsid w:val="00DD2615"/>
    <w:rsid w:val="00DD2635"/>
    <w:rsid w:val="00DD2BE4"/>
    <w:rsid w:val="00DD2C54"/>
    <w:rsid w:val="00DD6DEF"/>
    <w:rsid w:val="00DD6F04"/>
    <w:rsid w:val="00DD759E"/>
    <w:rsid w:val="00DD7C5E"/>
    <w:rsid w:val="00DE0266"/>
    <w:rsid w:val="00DE1726"/>
    <w:rsid w:val="00DE174A"/>
    <w:rsid w:val="00DE26A2"/>
    <w:rsid w:val="00DE5D25"/>
    <w:rsid w:val="00DE62F2"/>
    <w:rsid w:val="00DE67FF"/>
    <w:rsid w:val="00DE735D"/>
    <w:rsid w:val="00DE7417"/>
    <w:rsid w:val="00DE783D"/>
    <w:rsid w:val="00DE7D2E"/>
    <w:rsid w:val="00DF0A39"/>
    <w:rsid w:val="00DF1CDD"/>
    <w:rsid w:val="00DF1DF9"/>
    <w:rsid w:val="00DF23E1"/>
    <w:rsid w:val="00DF4BDE"/>
    <w:rsid w:val="00DF5077"/>
    <w:rsid w:val="00DF7793"/>
    <w:rsid w:val="00E01B40"/>
    <w:rsid w:val="00E02360"/>
    <w:rsid w:val="00E023DF"/>
    <w:rsid w:val="00E04093"/>
    <w:rsid w:val="00E052B0"/>
    <w:rsid w:val="00E067A6"/>
    <w:rsid w:val="00E06DDE"/>
    <w:rsid w:val="00E0702F"/>
    <w:rsid w:val="00E0734B"/>
    <w:rsid w:val="00E0740A"/>
    <w:rsid w:val="00E10778"/>
    <w:rsid w:val="00E10805"/>
    <w:rsid w:val="00E11392"/>
    <w:rsid w:val="00E11D68"/>
    <w:rsid w:val="00E12B3B"/>
    <w:rsid w:val="00E1339C"/>
    <w:rsid w:val="00E1451D"/>
    <w:rsid w:val="00E1542D"/>
    <w:rsid w:val="00E15FBA"/>
    <w:rsid w:val="00E16F9D"/>
    <w:rsid w:val="00E17683"/>
    <w:rsid w:val="00E200F9"/>
    <w:rsid w:val="00E2121C"/>
    <w:rsid w:val="00E22278"/>
    <w:rsid w:val="00E2284A"/>
    <w:rsid w:val="00E230FD"/>
    <w:rsid w:val="00E2398E"/>
    <w:rsid w:val="00E23A98"/>
    <w:rsid w:val="00E25A41"/>
    <w:rsid w:val="00E25AE9"/>
    <w:rsid w:val="00E2673A"/>
    <w:rsid w:val="00E26EDD"/>
    <w:rsid w:val="00E26F97"/>
    <w:rsid w:val="00E26FCD"/>
    <w:rsid w:val="00E27AA4"/>
    <w:rsid w:val="00E30281"/>
    <w:rsid w:val="00E32696"/>
    <w:rsid w:val="00E3317B"/>
    <w:rsid w:val="00E337D9"/>
    <w:rsid w:val="00E33CA7"/>
    <w:rsid w:val="00E33E64"/>
    <w:rsid w:val="00E3622A"/>
    <w:rsid w:val="00E364C4"/>
    <w:rsid w:val="00E3757F"/>
    <w:rsid w:val="00E37980"/>
    <w:rsid w:val="00E42C74"/>
    <w:rsid w:val="00E43157"/>
    <w:rsid w:val="00E43212"/>
    <w:rsid w:val="00E4390D"/>
    <w:rsid w:val="00E43C54"/>
    <w:rsid w:val="00E43C96"/>
    <w:rsid w:val="00E45D29"/>
    <w:rsid w:val="00E461F9"/>
    <w:rsid w:val="00E46307"/>
    <w:rsid w:val="00E4781D"/>
    <w:rsid w:val="00E50136"/>
    <w:rsid w:val="00E50499"/>
    <w:rsid w:val="00E50799"/>
    <w:rsid w:val="00E533FF"/>
    <w:rsid w:val="00E53BD8"/>
    <w:rsid w:val="00E53DC6"/>
    <w:rsid w:val="00E53E5E"/>
    <w:rsid w:val="00E54EF8"/>
    <w:rsid w:val="00E56477"/>
    <w:rsid w:val="00E56B6C"/>
    <w:rsid w:val="00E57833"/>
    <w:rsid w:val="00E57B6B"/>
    <w:rsid w:val="00E57ECF"/>
    <w:rsid w:val="00E6049E"/>
    <w:rsid w:val="00E608CA"/>
    <w:rsid w:val="00E61067"/>
    <w:rsid w:val="00E61732"/>
    <w:rsid w:val="00E61DC3"/>
    <w:rsid w:val="00E61FC3"/>
    <w:rsid w:val="00E62965"/>
    <w:rsid w:val="00E6356C"/>
    <w:rsid w:val="00E6364D"/>
    <w:rsid w:val="00E638AB"/>
    <w:rsid w:val="00E63B98"/>
    <w:rsid w:val="00E64645"/>
    <w:rsid w:val="00E64863"/>
    <w:rsid w:val="00E648F3"/>
    <w:rsid w:val="00E64AF6"/>
    <w:rsid w:val="00E64E6F"/>
    <w:rsid w:val="00E654A2"/>
    <w:rsid w:val="00E65CB4"/>
    <w:rsid w:val="00E676AB"/>
    <w:rsid w:val="00E67989"/>
    <w:rsid w:val="00E709B3"/>
    <w:rsid w:val="00E70B54"/>
    <w:rsid w:val="00E711AB"/>
    <w:rsid w:val="00E7126F"/>
    <w:rsid w:val="00E71E57"/>
    <w:rsid w:val="00E71FD7"/>
    <w:rsid w:val="00E72C66"/>
    <w:rsid w:val="00E73318"/>
    <w:rsid w:val="00E74123"/>
    <w:rsid w:val="00E74177"/>
    <w:rsid w:val="00E753FA"/>
    <w:rsid w:val="00E75FA5"/>
    <w:rsid w:val="00E766FD"/>
    <w:rsid w:val="00E7676B"/>
    <w:rsid w:val="00E767BD"/>
    <w:rsid w:val="00E7739E"/>
    <w:rsid w:val="00E774E4"/>
    <w:rsid w:val="00E80E83"/>
    <w:rsid w:val="00E81771"/>
    <w:rsid w:val="00E81A3E"/>
    <w:rsid w:val="00E82A9C"/>
    <w:rsid w:val="00E82F32"/>
    <w:rsid w:val="00E830CC"/>
    <w:rsid w:val="00E867DE"/>
    <w:rsid w:val="00E86ABD"/>
    <w:rsid w:val="00E86E84"/>
    <w:rsid w:val="00E86EAF"/>
    <w:rsid w:val="00E87515"/>
    <w:rsid w:val="00E8789F"/>
    <w:rsid w:val="00E908CF"/>
    <w:rsid w:val="00E91BE2"/>
    <w:rsid w:val="00E920D0"/>
    <w:rsid w:val="00E92107"/>
    <w:rsid w:val="00E92215"/>
    <w:rsid w:val="00E92993"/>
    <w:rsid w:val="00E9316D"/>
    <w:rsid w:val="00E9318F"/>
    <w:rsid w:val="00E93BDB"/>
    <w:rsid w:val="00E94203"/>
    <w:rsid w:val="00E94D19"/>
    <w:rsid w:val="00E94E3D"/>
    <w:rsid w:val="00E96942"/>
    <w:rsid w:val="00E978C5"/>
    <w:rsid w:val="00E97B71"/>
    <w:rsid w:val="00EA01E7"/>
    <w:rsid w:val="00EA077D"/>
    <w:rsid w:val="00EA0E0D"/>
    <w:rsid w:val="00EA1283"/>
    <w:rsid w:val="00EA26BA"/>
    <w:rsid w:val="00EA425E"/>
    <w:rsid w:val="00EA4410"/>
    <w:rsid w:val="00EA5A04"/>
    <w:rsid w:val="00EA5FE2"/>
    <w:rsid w:val="00EA603E"/>
    <w:rsid w:val="00EA6A6E"/>
    <w:rsid w:val="00EA70E0"/>
    <w:rsid w:val="00EB0252"/>
    <w:rsid w:val="00EB134D"/>
    <w:rsid w:val="00EB24D7"/>
    <w:rsid w:val="00EB4080"/>
    <w:rsid w:val="00EB454D"/>
    <w:rsid w:val="00EB454F"/>
    <w:rsid w:val="00EB4B7E"/>
    <w:rsid w:val="00EB51DC"/>
    <w:rsid w:val="00EB51EA"/>
    <w:rsid w:val="00EB55C1"/>
    <w:rsid w:val="00EB6170"/>
    <w:rsid w:val="00EB62D9"/>
    <w:rsid w:val="00EB6316"/>
    <w:rsid w:val="00EB6B06"/>
    <w:rsid w:val="00EB7F0A"/>
    <w:rsid w:val="00EC0411"/>
    <w:rsid w:val="00EC0BA4"/>
    <w:rsid w:val="00EC112E"/>
    <w:rsid w:val="00EC1628"/>
    <w:rsid w:val="00EC20C2"/>
    <w:rsid w:val="00EC27D8"/>
    <w:rsid w:val="00EC2AAD"/>
    <w:rsid w:val="00EC2E20"/>
    <w:rsid w:val="00EC31F9"/>
    <w:rsid w:val="00EC45C1"/>
    <w:rsid w:val="00EC5570"/>
    <w:rsid w:val="00EC596F"/>
    <w:rsid w:val="00EC68B2"/>
    <w:rsid w:val="00EC6931"/>
    <w:rsid w:val="00EC73C8"/>
    <w:rsid w:val="00EC74EB"/>
    <w:rsid w:val="00ED0E31"/>
    <w:rsid w:val="00ED1405"/>
    <w:rsid w:val="00ED147C"/>
    <w:rsid w:val="00ED18FD"/>
    <w:rsid w:val="00ED19E9"/>
    <w:rsid w:val="00ED1A76"/>
    <w:rsid w:val="00ED1C8D"/>
    <w:rsid w:val="00ED2D1D"/>
    <w:rsid w:val="00ED3A8E"/>
    <w:rsid w:val="00ED3AB2"/>
    <w:rsid w:val="00ED4CBA"/>
    <w:rsid w:val="00ED56AB"/>
    <w:rsid w:val="00ED5BE1"/>
    <w:rsid w:val="00EE04C1"/>
    <w:rsid w:val="00EE0BA9"/>
    <w:rsid w:val="00EE0D3E"/>
    <w:rsid w:val="00EE140F"/>
    <w:rsid w:val="00EE14C5"/>
    <w:rsid w:val="00EE3522"/>
    <w:rsid w:val="00EE36D7"/>
    <w:rsid w:val="00EE39AD"/>
    <w:rsid w:val="00EE39F1"/>
    <w:rsid w:val="00EE4E4B"/>
    <w:rsid w:val="00EE5C5E"/>
    <w:rsid w:val="00EE5D7E"/>
    <w:rsid w:val="00EE5E58"/>
    <w:rsid w:val="00EF04A0"/>
    <w:rsid w:val="00EF0CEF"/>
    <w:rsid w:val="00EF1247"/>
    <w:rsid w:val="00EF2493"/>
    <w:rsid w:val="00EF36AC"/>
    <w:rsid w:val="00EF49F0"/>
    <w:rsid w:val="00EF4EC3"/>
    <w:rsid w:val="00EF56CE"/>
    <w:rsid w:val="00EF5AA9"/>
    <w:rsid w:val="00EF619B"/>
    <w:rsid w:val="00EF6972"/>
    <w:rsid w:val="00EF7231"/>
    <w:rsid w:val="00EF774B"/>
    <w:rsid w:val="00F005EE"/>
    <w:rsid w:val="00F00B55"/>
    <w:rsid w:val="00F0193E"/>
    <w:rsid w:val="00F04AFE"/>
    <w:rsid w:val="00F059CF"/>
    <w:rsid w:val="00F05B63"/>
    <w:rsid w:val="00F06961"/>
    <w:rsid w:val="00F0764A"/>
    <w:rsid w:val="00F1005F"/>
    <w:rsid w:val="00F11242"/>
    <w:rsid w:val="00F11741"/>
    <w:rsid w:val="00F1380F"/>
    <w:rsid w:val="00F13CDA"/>
    <w:rsid w:val="00F14613"/>
    <w:rsid w:val="00F14F0E"/>
    <w:rsid w:val="00F14F98"/>
    <w:rsid w:val="00F15799"/>
    <w:rsid w:val="00F15B6A"/>
    <w:rsid w:val="00F16AD4"/>
    <w:rsid w:val="00F175ED"/>
    <w:rsid w:val="00F1763D"/>
    <w:rsid w:val="00F17799"/>
    <w:rsid w:val="00F20236"/>
    <w:rsid w:val="00F2059E"/>
    <w:rsid w:val="00F20D2B"/>
    <w:rsid w:val="00F21553"/>
    <w:rsid w:val="00F21703"/>
    <w:rsid w:val="00F2328B"/>
    <w:rsid w:val="00F24C29"/>
    <w:rsid w:val="00F253CC"/>
    <w:rsid w:val="00F25C31"/>
    <w:rsid w:val="00F267BE"/>
    <w:rsid w:val="00F27458"/>
    <w:rsid w:val="00F274FC"/>
    <w:rsid w:val="00F277DB"/>
    <w:rsid w:val="00F27ACD"/>
    <w:rsid w:val="00F27CD8"/>
    <w:rsid w:val="00F311E2"/>
    <w:rsid w:val="00F31814"/>
    <w:rsid w:val="00F3379A"/>
    <w:rsid w:val="00F337EB"/>
    <w:rsid w:val="00F34265"/>
    <w:rsid w:val="00F352FC"/>
    <w:rsid w:val="00F35C2A"/>
    <w:rsid w:val="00F35E2A"/>
    <w:rsid w:val="00F3660C"/>
    <w:rsid w:val="00F36D40"/>
    <w:rsid w:val="00F36F27"/>
    <w:rsid w:val="00F37044"/>
    <w:rsid w:val="00F37481"/>
    <w:rsid w:val="00F37F99"/>
    <w:rsid w:val="00F40879"/>
    <w:rsid w:val="00F40B92"/>
    <w:rsid w:val="00F4129A"/>
    <w:rsid w:val="00F427E6"/>
    <w:rsid w:val="00F434F9"/>
    <w:rsid w:val="00F438CD"/>
    <w:rsid w:val="00F441B9"/>
    <w:rsid w:val="00F44529"/>
    <w:rsid w:val="00F45EBF"/>
    <w:rsid w:val="00F461D1"/>
    <w:rsid w:val="00F46498"/>
    <w:rsid w:val="00F503B5"/>
    <w:rsid w:val="00F508E3"/>
    <w:rsid w:val="00F511F7"/>
    <w:rsid w:val="00F51F0D"/>
    <w:rsid w:val="00F5237B"/>
    <w:rsid w:val="00F545AC"/>
    <w:rsid w:val="00F548A6"/>
    <w:rsid w:val="00F5497B"/>
    <w:rsid w:val="00F54CB0"/>
    <w:rsid w:val="00F55507"/>
    <w:rsid w:val="00F55F3B"/>
    <w:rsid w:val="00F5694D"/>
    <w:rsid w:val="00F56A40"/>
    <w:rsid w:val="00F56BA5"/>
    <w:rsid w:val="00F56BE1"/>
    <w:rsid w:val="00F56D59"/>
    <w:rsid w:val="00F57538"/>
    <w:rsid w:val="00F6022A"/>
    <w:rsid w:val="00F60E01"/>
    <w:rsid w:val="00F61379"/>
    <w:rsid w:val="00F6160F"/>
    <w:rsid w:val="00F61BE4"/>
    <w:rsid w:val="00F6255A"/>
    <w:rsid w:val="00F62C42"/>
    <w:rsid w:val="00F637BF"/>
    <w:rsid w:val="00F642A9"/>
    <w:rsid w:val="00F644B2"/>
    <w:rsid w:val="00F644E6"/>
    <w:rsid w:val="00F6589A"/>
    <w:rsid w:val="00F66BDC"/>
    <w:rsid w:val="00F71643"/>
    <w:rsid w:val="00F71F53"/>
    <w:rsid w:val="00F725D1"/>
    <w:rsid w:val="00F737D9"/>
    <w:rsid w:val="00F7392C"/>
    <w:rsid w:val="00F746CA"/>
    <w:rsid w:val="00F74B0B"/>
    <w:rsid w:val="00F760C8"/>
    <w:rsid w:val="00F769C7"/>
    <w:rsid w:val="00F7730A"/>
    <w:rsid w:val="00F7784C"/>
    <w:rsid w:val="00F77995"/>
    <w:rsid w:val="00F77BFA"/>
    <w:rsid w:val="00F77E6F"/>
    <w:rsid w:val="00F820EF"/>
    <w:rsid w:val="00F82683"/>
    <w:rsid w:val="00F83D11"/>
    <w:rsid w:val="00F857F6"/>
    <w:rsid w:val="00F86586"/>
    <w:rsid w:val="00F86B08"/>
    <w:rsid w:val="00F86E36"/>
    <w:rsid w:val="00F86EE8"/>
    <w:rsid w:val="00F86F6E"/>
    <w:rsid w:val="00F87A9A"/>
    <w:rsid w:val="00F916AC"/>
    <w:rsid w:val="00F92CA1"/>
    <w:rsid w:val="00F93061"/>
    <w:rsid w:val="00F93826"/>
    <w:rsid w:val="00F945F6"/>
    <w:rsid w:val="00F9518D"/>
    <w:rsid w:val="00F9653B"/>
    <w:rsid w:val="00F97714"/>
    <w:rsid w:val="00F97B89"/>
    <w:rsid w:val="00F97D53"/>
    <w:rsid w:val="00FA081A"/>
    <w:rsid w:val="00FA1759"/>
    <w:rsid w:val="00FA1ADA"/>
    <w:rsid w:val="00FA2245"/>
    <w:rsid w:val="00FA2C02"/>
    <w:rsid w:val="00FA2C1D"/>
    <w:rsid w:val="00FA310E"/>
    <w:rsid w:val="00FA359A"/>
    <w:rsid w:val="00FA3BDF"/>
    <w:rsid w:val="00FA63CD"/>
    <w:rsid w:val="00FA7982"/>
    <w:rsid w:val="00FA7CCD"/>
    <w:rsid w:val="00FB0E27"/>
    <w:rsid w:val="00FB0F94"/>
    <w:rsid w:val="00FB10AF"/>
    <w:rsid w:val="00FB1A16"/>
    <w:rsid w:val="00FB1A3C"/>
    <w:rsid w:val="00FB2597"/>
    <w:rsid w:val="00FB2DC9"/>
    <w:rsid w:val="00FB4EE9"/>
    <w:rsid w:val="00FB62CF"/>
    <w:rsid w:val="00FB74AE"/>
    <w:rsid w:val="00FC052E"/>
    <w:rsid w:val="00FC084F"/>
    <w:rsid w:val="00FC1E3D"/>
    <w:rsid w:val="00FC3262"/>
    <w:rsid w:val="00FC3283"/>
    <w:rsid w:val="00FC3EB4"/>
    <w:rsid w:val="00FC544A"/>
    <w:rsid w:val="00FC6C58"/>
    <w:rsid w:val="00FC789C"/>
    <w:rsid w:val="00FC78B0"/>
    <w:rsid w:val="00FD0B4D"/>
    <w:rsid w:val="00FD1C8A"/>
    <w:rsid w:val="00FD1DD0"/>
    <w:rsid w:val="00FD1E1C"/>
    <w:rsid w:val="00FD279F"/>
    <w:rsid w:val="00FD3BD1"/>
    <w:rsid w:val="00FD49B3"/>
    <w:rsid w:val="00FD5518"/>
    <w:rsid w:val="00FD635E"/>
    <w:rsid w:val="00FD71F0"/>
    <w:rsid w:val="00FD746F"/>
    <w:rsid w:val="00FE022B"/>
    <w:rsid w:val="00FE09CA"/>
    <w:rsid w:val="00FE140A"/>
    <w:rsid w:val="00FE144F"/>
    <w:rsid w:val="00FE157F"/>
    <w:rsid w:val="00FE1EAD"/>
    <w:rsid w:val="00FE1FFB"/>
    <w:rsid w:val="00FE21AB"/>
    <w:rsid w:val="00FE3B59"/>
    <w:rsid w:val="00FE3CEC"/>
    <w:rsid w:val="00FE40DE"/>
    <w:rsid w:val="00FE4DCD"/>
    <w:rsid w:val="00FE5165"/>
    <w:rsid w:val="00FE57F6"/>
    <w:rsid w:val="00FE6B45"/>
    <w:rsid w:val="00FE6B58"/>
    <w:rsid w:val="00FE6EBC"/>
    <w:rsid w:val="00FE769E"/>
    <w:rsid w:val="00FF05BC"/>
    <w:rsid w:val="00FF0651"/>
    <w:rsid w:val="00FF087F"/>
    <w:rsid w:val="00FF1B5F"/>
    <w:rsid w:val="00FF1C1C"/>
    <w:rsid w:val="00FF2B99"/>
    <w:rsid w:val="00FF379A"/>
    <w:rsid w:val="00FF3FB7"/>
    <w:rsid w:val="00FF4B22"/>
    <w:rsid w:val="00FF5724"/>
    <w:rsid w:val="00FF5851"/>
    <w:rsid w:val="00FF6C89"/>
    <w:rsid w:val="00FF7818"/>
    <w:rsid w:val="00FF7B79"/>
  </w:rsids>
  <m:mathPr>
    <m:mathFont m:val="Cambria Math"/>
    <m:brkBin m:val="before"/>
    <m:brkBinSub m:val="--"/>
    <m:smallFrac/>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E3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sz w:val="24"/>
        <w:szCs w:val="24"/>
        <w:bdr w:val="nil"/>
        <w:lang w:val="es-ES" w:eastAsia="es-ES" w:bidi="ar-SA"/>
      </w:rPr>
    </w:rPrDefault>
    <w:pPrDefault>
      <w:pPr>
        <w:pBdr>
          <w:top w:val="nil"/>
          <w:left w:val="nil"/>
          <w:bottom w:val="nil"/>
          <w:right w:val="nil"/>
          <w:between w:val="nil"/>
          <w:bar w:val="nil"/>
        </w:pBdr>
      </w:pPr>
    </w:pPrDefault>
  </w:docDefaults>
  <w:latentStyles w:defLockedState="0" w:defUIPriority="0" w:defSemiHidden="0" w:defUnhideWhenUsed="0" w:defQFormat="0" w:count="376">
    <w:lsdException w:name="heading 1" w:uiPriority="9" w:qFormat="1"/>
    <w:lsdException w:name="heading 2" w:uiPriority="9" w:qFormat="1"/>
    <w:lsdException w:name="heading 3" w:uiPriority="9"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F0CEF"/>
    <w:rPr>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B54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B541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84E33"/>
    <w:rPr>
      <w:u w:val="single"/>
    </w:rPr>
  </w:style>
  <w:style w:type="paragraph" w:customStyle="1" w:styleId="Cabeceraypie">
    <w:name w:val="Cabecera y pie"/>
    <w:rsid w:val="00284E33"/>
    <w:pPr>
      <w:tabs>
        <w:tab w:val="right" w:pos="9020"/>
      </w:tabs>
    </w:pPr>
    <w:rPr>
      <w:rFonts w:ascii="Helvetica" w:hAnsi="Arial Unicode MS" w:cs="Arial Unicode MS"/>
      <w:color w:val="000000"/>
    </w:rPr>
  </w:style>
  <w:style w:type="paragraph" w:styleId="Footer">
    <w:name w:val="footer"/>
    <w:link w:val="FooterChar"/>
    <w:uiPriority w:val="99"/>
    <w:rsid w:val="00284E33"/>
    <w:pPr>
      <w:tabs>
        <w:tab w:val="center" w:pos="4513"/>
        <w:tab w:val="right" w:pos="9026"/>
      </w:tabs>
    </w:pPr>
    <w:rPr>
      <w:rFonts w:ascii="Cambria" w:eastAsia="Cambria" w:hAnsi="Cambria" w:cs="Cambria"/>
      <w:color w:val="000000"/>
      <w:u w:color="000000"/>
      <w:lang w:val="en-US"/>
    </w:rPr>
  </w:style>
  <w:style w:type="paragraph" w:customStyle="1" w:styleId="Cuerpo">
    <w:name w:val="Cuerpo"/>
    <w:rsid w:val="00284E33"/>
    <w:rPr>
      <w:rFonts w:ascii="Cambria" w:eastAsia="Cambria" w:hAnsi="Cambria" w:cs="Cambria"/>
      <w:color w:val="000000"/>
      <w:u w:color="000000"/>
    </w:rPr>
  </w:style>
  <w:style w:type="paragraph" w:styleId="BodyTextIndent">
    <w:name w:val="Body Text Indent"/>
    <w:rsid w:val="00284E33"/>
    <w:pPr>
      <w:ind w:left="2160" w:hanging="720"/>
    </w:pPr>
    <w:rPr>
      <w:rFonts w:eastAsia="Times New Roman"/>
      <w:color w:val="000000"/>
      <w:u w:color="000000"/>
      <w:lang w:val="es-ES_tradnl"/>
    </w:rPr>
  </w:style>
  <w:style w:type="paragraph" w:styleId="ListParagraph">
    <w:name w:val="List Paragraph"/>
    <w:aliases w:val="Párrafo de lista1,List Paragraph1,Colorful List - Accent 11,List Paragraph11,List Paragraph2,Lista vistosa - Énfasis 11"/>
    <w:link w:val="ListParagraphChar"/>
    <w:qFormat/>
    <w:rsid w:val="00284E33"/>
    <w:pPr>
      <w:ind w:left="720"/>
    </w:pPr>
    <w:rPr>
      <w:rFonts w:ascii="Cambria" w:eastAsia="Cambria" w:hAnsi="Cambria" w:cs="Cambria"/>
      <w:color w:val="000000"/>
      <w:u w:color="000000"/>
      <w:lang w:val="en-US"/>
    </w:rPr>
  </w:style>
  <w:style w:type="numbering" w:customStyle="1" w:styleId="List0">
    <w:name w:val="List 0"/>
    <w:basedOn w:val="Estiloimportado1"/>
    <w:rsid w:val="00284E33"/>
    <w:pPr>
      <w:numPr>
        <w:numId w:val="31"/>
      </w:numPr>
    </w:pPr>
  </w:style>
  <w:style w:type="numbering" w:customStyle="1" w:styleId="Estiloimportado1">
    <w:name w:val="Estilo importado 1"/>
    <w:rsid w:val="00284E33"/>
  </w:style>
  <w:style w:type="numbering" w:customStyle="1" w:styleId="List1">
    <w:name w:val="List 1"/>
    <w:basedOn w:val="Estiloimportado2"/>
    <w:rsid w:val="00284E33"/>
    <w:pPr>
      <w:numPr>
        <w:numId w:val="1"/>
      </w:numPr>
    </w:pPr>
  </w:style>
  <w:style w:type="numbering" w:customStyle="1" w:styleId="Estiloimportado2">
    <w:name w:val="Estilo importado 2"/>
    <w:rsid w:val="00284E33"/>
  </w:style>
  <w:style w:type="numbering" w:customStyle="1" w:styleId="List210">
    <w:name w:val="List 21"/>
    <w:basedOn w:val="Estiloimportado3"/>
    <w:rsid w:val="00284E33"/>
    <w:pPr>
      <w:numPr>
        <w:numId w:val="52"/>
      </w:numPr>
    </w:pPr>
  </w:style>
  <w:style w:type="numbering" w:customStyle="1" w:styleId="Estiloimportado3">
    <w:name w:val="Estilo importado 3"/>
    <w:rsid w:val="00284E33"/>
  </w:style>
  <w:style w:type="numbering" w:customStyle="1" w:styleId="List31">
    <w:name w:val="List 31"/>
    <w:basedOn w:val="Estiloimportado4"/>
    <w:rsid w:val="00284E33"/>
    <w:pPr>
      <w:numPr>
        <w:numId w:val="51"/>
      </w:numPr>
    </w:pPr>
  </w:style>
  <w:style w:type="numbering" w:customStyle="1" w:styleId="Estiloimportado4">
    <w:name w:val="Estilo importado 4"/>
    <w:rsid w:val="00284E33"/>
  </w:style>
  <w:style w:type="numbering" w:customStyle="1" w:styleId="List41">
    <w:name w:val="List 41"/>
    <w:basedOn w:val="Estiloimportado5"/>
    <w:rsid w:val="00284E33"/>
    <w:pPr>
      <w:numPr>
        <w:numId w:val="2"/>
      </w:numPr>
    </w:pPr>
  </w:style>
  <w:style w:type="numbering" w:customStyle="1" w:styleId="Estiloimportado5">
    <w:name w:val="Estilo importado 5"/>
    <w:rsid w:val="00284E33"/>
  </w:style>
  <w:style w:type="numbering" w:customStyle="1" w:styleId="List510">
    <w:name w:val="List 51"/>
    <w:basedOn w:val="Estiloimportado6"/>
    <w:rsid w:val="00284E33"/>
    <w:pPr>
      <w:numPr>
        <w:numId w:val="54"/>
      </w:numPr>
    </w:pPr>
  </w:style>
  <w:style w:type="numbering" w:customStyle="1" w:styleId="Estiloimportado6">
    <w:name w:val="Estilo importado 6"/>
    <w:rsid w:val="00284E33"/>
  </w:style>
  <w:style w:type="numbering" w:customStyle="1" w:styleId="List6">
    <w:name w:val="List 6"/>
    <w:basedOn w:val="Estiloimportado7"/>
    <w:rsid w:val="00284E33"/>
    <w:pPr>
      <w:numPr>
        <w:numId w:val="3"/>
      </w:numPr>
    </w:pPr>
  </w:style>
  <w:style w:type="numbering" w:customStyle="1" w:styleId="Estiloimportado7">
    <w:name w:val="Estilo importado 7"/>
    <w:rsid w:val="00284E33"/>
  </w:style>
  <w:style w:type="numbering" w:customStyle="1" w:styleId="List7">
    <w:name w:val="List 7"/>
    <w:basedOn w:val="Estiloimportado8"/>
    <w:rsid w:val="00284E33"/>
    <w:pPr>
      <w:numPr>
        <w:numId w:val="4"/>
      </w:numPr>
    </w:pPr>
  </w:style>
  <w:style w:type="numbering" w:customStyle="1" w:styleId="Estiloimportado8">
    <w:name w:val="Estilo importado 8"/>
    <w:rsid w:val="00284E33"/>
  </w:style>
  <w:style w:type="numbering" w:customStyle="1" w:styleId="List8">
    <w:name w:val="List 8"/>
    <w:basedOn w:val="Estiloimportado9"/>
    <w:rsid w:val="00284E33"/>
    <w:pPr>
      <w:numPr>
        <w:numId w:val="5"/>
      </w:numPr>
    </w:pPr>
  </w:style>
  <w:style w:type="numbering" w:customStyle="1" w:styleId="Estiloimportado9">
    <w:name w:val="Estilo importado 9"/>
    <w:rsid w:val="00284E33"/>
  </w:style>
  <w:style w:type="numbering" w:customStyle="1" w:styleId="List9">
    <w:name w:val="List 9"/>
    <w:basedOn w:val="Estiloimportado10"/>
    <w:rsid w:val="00284E33"/>
    <w:pPr>
      <w:numPr>
        <w:numId w:val="22"/>
      </w:numPr>
    </w:pPr>
  </w:style>
  <w:style w:type="numbering" w:customStyle="1" w:styleId="Estiloimportado10">
    <w:name w:val="Estilo importado 10"/>
    <w:rsid w:val="00284E33"/>
  </w:style>
  <w:style w:type="numbering" w:customStyle="1" w:styleId="List10">
    <w:name w:val="List 10"/>
    <w:basedOn w:val="Estiloimportado11"/>
    <w:rsid w:val="00284E33"/>
    <w:pPr>
      <w:numPr>
        <w:numId w:val="6"/>
      </w:numPr>
    </w:pPr>
  </w:style>
  <w:style w:type="numbering" w:customStyle="1" w:styleId="Estiloimportado11">
    <w:name w:val="Estilo importado 11"/>
    <w:rsid w:val="00284E33"/>
  </w:style>
  <w:style w:type="numbering" w:customStyle="1" w:styleId="List11">
    <w:name w:val="List 11"/>
    <w:basedOn w:val="Estiloimportado12"/>
    <w:rsid w:val="00284E33"/>
    <w:pPr>
      <w:numPr>
        <w:numId w:val="7"/>
      </w:numPr>
    </w:pPr>
  </w:style>
  <w:style w:type="numbering" w:customStyle="1" w:styleId="Estiloimportado12">
    <w:name w:val="Estilo importado 12"/>
    <w:rsid w:val="00284E33"/>
  </w:style>
  <w:style w:type="numbering" w:customStyle="1" w:styleId="List12">
    <w:name w:val="List 12"/>
    <w:basedOn w:val="Estiloimportado13"/>
    <w:rsid w:val="00284E33"/>
    <w:pPr>
      <w:numPr>
        <w:numId w:val="36"/>
      </w:numPr>
    </w:pPr>
  </w:style>
  <w:style w:type="numbering" w:customStyle="1" w:styleId="Estiloimportado13">
    <w:name w:val="Estilo importado 13"/>
    <w:rsid w:val="00284E33"/>
  </w:style>
  <w:style w:type="numbering" w:customStyle="1" w:styleId="List13">
    <w:name w:val="List 13"/>
    <w:basedOn w:val="Estiloimportado14"/>
    <w:rsid w:val="00284E33"/>
    <w:pPr>
      <w:numPr>
        <w:numId w:val="42"/>
      </w:numPr>
    </w:pPr>
  </w:style>
  <w:style w:type="numbering" w:customStyle="1" w:styleId="Estiloimportado14">
    <w:name w:val="Estilo importado 14"/>
    <w:rsid w:val="00284E33"/>
  </w:style>
  <w:style w:type="numbering" w:customStyle="1" w:styleId="List14">
    <w:name w:val="List 14"/>
    <w:basedOn w:val="Estiloimportado15"/>
    <w:rsid w:val="00284E33"/>
    <w:pPr>
      <w:numPr>
        <w:numId w:val="17"/>
      </w:numPr>
    </w:pPr>
  </w:style>
  <w:style w:type="numbering" w:customStyle="1" w:styleId="Estiloimportado15">
    <w:name w:val="Estilo importado 15"/>
    <w:rsid w:val="00284E33"/>
  </w:style>
  <w:style w:type="numbering" w:customStyle="1" w:styleId="List15">
    <w:name w:val="List 15"/>
    <w:basedOn w:val="Estiloimportado16"/>
    <w:rsid w:val="00284E33"/>
    <w:pPr>
      <w:numPr>
        <w:numId w:val="16"/>
      </w:numPr>
    </w:pPr>
  </w:style>
  <w:style w:type="numbering" w:customStyle="1" w:styleId="Estiloimportado16">
    <w:name w:val="Estilo importado 16"/>
    <w:rsid w:val="00284E33"/>
  </w:style>
  <w:style w:type="numbering" w:customStyle="1" w:styleId="List16">
    <w:name w:val="List 16"/>
    <w:basedOn w:val="Estiloimportado16"/>
    <w:rsid w:val="00284E33"/>
    <w:pPr>
      <w:numPr>
        <w:numId w:val="10"/>
      </w:numPr>
    </w:pPr>
  </w:style>
  <w:style w:type="numbering" w:customStyle="1" w:styleId="List17">
    <w:name w:val="List 17"/>
    <w:basedOn w:val="Estiloimportado17"/>
    <w:rsid w:val="00284E33"/>
    <w:pPr>
      <w:numPr>
        <w:numId w:val="25"/>
      </w:numPr>
    </w:pPr>
  </w:style>
  <w:style w:type="numbering" w:customStyle="1" w:styleId="Estiloimportado17">
    <w:name w:val="Estilo importado 17"/>
    <w:rsid w:val="00284E33"/>
  </w:style>
  <w:style w:type="numbering" w:customStyle="1" w:styleId="List18">
    <w:name w:val="List 18"/>
    <w:basedOn w:val="Estiloimportado18"/>
    <w:rsid w:val="00284E33"/>
    <w:pPr>
      <w:numPr>
        <w:numId w:val="27"/>
      </w:numPr>
    </w:pPr>
  </w:style>
  <w:style w:type="numbering" w:customStyle="1" w:styleId="Estiloimportado18">
    <w:name w:val="Estilo importado 18"/>
    <w:rsid w:val="00284E33"/>
  </w:style>
  <w:style w:type="numbering" w:customStyle="1" w:styleId="List19">
    <w:name w:val="List 19"/>
    <w:basedOn w:val="Estiloimportado10"/>
    <w:rsid w:val="00284E33"/>
    <w:pPr>
      <w:numPr>
        <w:numId w:val="19"/>
      </w:numPr>
    </w:pPr>
  </w:style>
  <w:style w:type="numbering" w:customStyle="1" w:styleId="List20">
    <w:name w:val="List 20"/>
    <w:basedOn w:val="Estiloimportado12"/>
    <w:rsid w:val="00284E33"/>
    <w:pPr>
      <w:numPr>
        <w:numId w:val="43"/>
      </w:numPr>
    </w:pPr>
  </w:style>
  <w:style w:type="numbering" w:customStyle="1" w:styleId="List21">
    <w:name w:val="List 21"/>
    <w:basedOn w:val="Estiloimportado19"/>
    <w:rsid w:val="00284E33"/>
    <w:pPr>
      <w:numPr>
        <w:numId w:val="38"/>
      </w:numPr>
    </w:pPr>
  </w:style>
  <w:style w:type="numbering" w:customStyle="1" w:styleId="Estiloimportado19">
    <w:name w:val="Estilo importado 19"/>
    <w:rsid w:val="00284E33"/>
  </w:style>
  <w:style w:type="numbering" w:customStyle="1" w:styleId="List22">
    <w:name w:val="List 22"/>
    <w:basedOn w:val="Estiloimportado19"/>
    <w:rsid w:val="00284E33"/>
    <w:pPr>
      <w:numPr>
        <w:numId w:val="28"/>
      </w:numPr>
    </w:pPr>
  </w:style>
  <w:style w:type="numbering" w:customStyle="1" w:styleId="List23">
    <w:name w:val="List 23"/>
    <w:basedOn w:val="Estiloimportado19"/>
    <w:rsid w:val="00284E33"/>
    <w:pPr>
      <w:numPr>
        <w:numId w:val="18"/>
      </w:numPr>
    </w:pPr>
  </w:style>
  <w:style w:type="numbering" w:customStyle="1" w:styleId="List24">
    <w:name w:val="List 24"/>
    <w:basedOn w:val="Estiloimportado20"/>
    <w:rsid w:val="00284E33"/>
    <w:pPr>
      <w:numPr>
        <w:numId w:val="13"/>
      </w:numPr>
    </w:pPr>
  </w:style>
  <w:style w:type="numbering" w:customStyle="1" w:styleId="Estiloimportado20">
    <w:name w:val="Estilo importado 20"/>
    <w:rsid w:val="00284E33"/>
  </w:style>
  <w:style w:type="numbering" w:customStyle="1" w:styleId="List25">
    <w:name w:val="List 25"/>
    <w:basedOn w:val="Estiloimportado21"/>
    <w:rsid w:val="00284E33"/>
    <w:pPr>
      <w:numPr>
        <w:numId w:val="15"/>
      </w:numPr>
    </w:pPr>
  </w:style>
  <w:style w:type="numbering" w:customStyle="1" w:styleId="Estiloimportado21">
    <w:name w:val="Estilo importado 21"/>
    <w:rsid w:val="00284E33"/>
  </w:style>
  <w:style w:type="numbering" w:customStyle="1" w:styleId="List26">
    <w:name w:val="List 26"/>
    <w:basedOn w:val="Estiloimportado22"/>
    <w:rsid w:val="00284E33"/>
    <w:pPr>
      <w:numPr>
        <w:numId w:val="49"/>
      </w:numPr>
    </w:pPr>
  </w:style>
  <w:style w:type="numbering" w:customStyle="1" w:styleId="Estiloimportado22">
    <w:name w:val="Estilo importado 22"/>
    <w:rsid w:val="00284E33"/>
  </w:style>
  <w:style w:type="numbering" w:customStyle="1" w:styleId="List27">
    <w:name w:val="List 27"/>
    <w:basedOn w:val="Estiloimportado23"/>
    <w:rsid w:val="00284E33"/>
    <w:pPr>
      <w:numPr>
        <w:numId w:val="41"/>
      </w:numPr>
    </w:pPr>
  </w:style>
  <w:style w:type="numbering" w:customStyle="1" w:styleId="Estiloimportado23">
    <w:name w:val="Estilo importado 23"/>
    <w:rsid w:val="00284E33"/>
  </w:style>
  <w:style w:type="numbering" w:customStyle="1" w:styleId="List28">
    <w:name w:val="List 28"/>
    <w:basedOn w:val="Estiloimportado24"/>
    <w:rsid w:val="00284E33"/>
    <w:pPr>
      <w:numPr>
        <w:numId w:val="30"/>
      </w:numPr>
    </w:pPr>
  </w:style>
  <w:style w:type="numbering" w:customStyle="1" w:styleId="Estiloimportado24">
    <w:name w:val="Estilo importado 24"/>
    <w:rsid w:val="00284E33"/>
  </w:style>
  <w:style w:type="numbering" w:customStyle="1" w:styleId="List29">
    <w:name w:val="List 29"/>
    <w:basedOn w:val="Estiloimportado25"/>
    <w:rsid w:val="00284E33"/>
    <w:pPr>
      <w:numPr>
        <w:numId w:val="34"/>
      </w:numPr>
    </w:pPr>
  </w:style>
  <w:style w:type="numbering" w:customStyle="1" w:styleId="Estiloimportado25">
    <w:name w:val="Estilo importado 25"/>
    <w:rsid w:val="00284E33"/>
  </w:style>
  <w:style w:type="numbering" w:customStyle="1" w:styleId="List30">
    <w:name w:val="List 30"/>
    <w:basedOn w:val="Estiloimportado26"/>
    <w:rsid w:val="00284E33"/>
    <w:pPr>
      <w:numPr>
        <w:numId w:val="32"/>
      </w:numPr>
    </w:pPr>
  </w:style>
  <w:style w:type="numbering" w:customStyle="1" w:styleId="Estiloimportado26">
    <w:name w:val="Estilo importado 26"/>
    <w:rsid w:val="00284E33"/>
  </w:style>
  <w:style w:type="numbering" w:customStyle="1" w:styleId="List310">
    <w:name w:val="List 31"/>
    <w:basedOn w:val="Estiloimportado27"/>
    <w:rsid w:val="00284E33"/>
    <w:pPr>
      <w:numPr>
        <w:numId w:val="45"/>
      </w:numPr>
    </w:pPr>
  </w:style>
  <w:style w:type="numbering" w:customStyle="1" w:styleId="Estiloimportado27">
    <w:name w:val="Estilo importado 27"/>
    <w:rsid w:val="00284E33"/>
  </w:style>
  <w:style w:type="numbering" w:customStyle="1" w:styleId="List32">
    <w:name w:val="List 32"/>
    <w:basedOn w:val="Estiloimportado28"/>
    <w:rsid w:val="00284E33"/>
    <w:pPr>
      <w:numPr>
        <w:numId w:val="48"/>
      </w:numPr>
    </w:pPr>
  </w:style>
  <w:style w:type="numbering" w:customStyle="1" w:styleId="Estiloimportado28">
    <w:name w:val="Estilo importado 28"/>
    <w:rsid w:val="00284E33"/>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sid w:val="00284E33"/>
    <w:rPr>
      <w:rFonts w:ascii="Calibri" w:eastAsia="Calibri" w:hAnsi="Calibri" w:cs="Calibri"/>
      <w:color w:val="000000"/>
      <w:u w:color="000000"/>
      <w:lang w:val="en-US"/>
    </w:rPr>
  </w:style>
  <w:style w:type="numbering" w:customStyle="1" w:styleId="List33">
    <w:name w:val="List 33"/>
    <w:basedOn w:val="Estiloimportado29"/>
    <w:rsid w:val="00284E33"/>
    <w:pPr>
      <w:numPr>
        <w:numId w:val="26"/>
      </w:numPr>
    </w:pPr>
  </w:style>
  <w:style w:type="numbering" w:customStyle="1" w:styleId="Estiloimportado29">
    <w:name w:val="Estilo importado 29"/>
    <w:rsid w:val="00284E33"/>
  </w:style>
  <w:style w:type="numbering" w:customStyle="1" w:styleId="List34">
    <w:name w:val="List 34"/>
    <w:basedOn w:val="Estiloimportado30"/>
    <w:rsid w:val="00284E33"/>
    <w:pPr>
      <w:numPr>
        <w:numId w:val="11"/>
      </w:numPr>
    </w:pPr>
  </w:style>
  <w:style w:type="numbering" w:customStyle="1" w:styleId="Estiloimportado30">
    <w:name w:val="Estilo importado 30"/>
    <w:rsid w:val="00284E33"/>
  </w:style>
  <w:style w:type="numbering" w:customStyle="1" w:styleId="List35">
    <w:name w:val="List 35"/>
    <w:basedOn w:val="Estiloimportado31"/>
    <w:rsid w:val="00284E33"/>
    <w:pPr>
      <w:numPr>
        <w:numId w:val="8"/>
      </w:numPr>
    </w:pPr>
  </w:style>
  <w:style w:type="numbering" w:customStyle="1" w:styleId="Estiloimportado31">
    <w:name w:val="Estilo importado 31"/>
    <w:rsid w:val="00284E33"/>
  </w:style>
  <w:style w:type="numbering" w:customStyle="1" w:styleId="List36">
    <w:name w:val="List 36"/>
    <w:basedOn w:val="Estiloimportado32"/>
    <w:rsid w:val="00284E33"/>
    <w:pPr>
      <w:numPr>
        <w:numId w:val="14"/>
      </w:numPr>
    </w:pPr>
  </w:style>
  <w:style w:type="numbering" w:customStyle="1" w:styleId="Estiloimportado32">
    <w:name w:val="Estilo importado 32"/>
    <w:rsid w:val="00284E33"/>
  </w:style>
  <w:style w:type="numbering" w:customStyle="1" w:styleId="List37">
    <w:name w:val="List 37"/>
    <w:basedOn w:val="Estiloimportado33"/>
    <w:rsid w:val="00284E33"/>
    <w:pPr>
      <w:numPr>
        <w:numId w:val="47"/>
      </w:numPr>
    </w:pPr>
  </w:style>
  <w:style w:type="numbering" w:customStyle="1" w:styleId="Estiloimportado33">
    <w:name w:val="Estilo importado 33"/>
    <w:rsid w:val="00284E33"/>
  </w:style>
  <w:style w:type="numbering" w:customStyle="1" w:styleId="List38">
    <w:name w:val="List 38"/>
    <w:basedOn w:val="Estiloimportado34"/>
    <w:rsid w:val="00284E33"/>
    <w:pPr>
      <w:numPr>
        <w:numId w:val="35"/>
      </w:numPr>
    </w:pPr>
  </w:style>
  <w:style w:type="numbering" w:customStyle="1" w:styleId="Estiloimportado34">
    <w:name w:val="Estilo importado 34"/>
    <w:rsid w:val="00284E33"/>
  </w:style>
  <w:style w:type="numbering" w:customStyle="1" w:styleId="List39">
    <w:name w:val="List 39"/>
    <w:basedOn w:val="Estiloimportado35"/>
    <w:rsid w:val="00284E33"/>
    <w:pPr>
      <w:numPr>
        <w:numId w:val="46"/>
      </w:numPr>
    </w:pPr>
  </w:style>
  <w:style w:type="numbering" w:customStyle="1" w:styleId="Estiloimportado35">
    <w:name w:val="Estilo importado 35"/>
    <w:rsid w:val="00284E33"/>
  </w:style>
  <w:style w:type="numbering" w:customStyle="1" w:styleId="List40">
    <w:name w:val="List 40"/>
    <w:basedOn w:val="Estiloimportado36"/>
    <w:rsid w:val="00284E33"/>
    <w:pPr>
      <w:numPr>
        <w:numId w:val="21"/>
      </w:numPr>
    </w:pPr>
  </w:style>
  <w:style w:type="numbering" w:customStyle="1" w:styleId="Estiloimportado36">
    <w:name w:val="Estilo importado 36"/>
    <w:rsid w:val="00284E33"/>
  </w:style>
  <w:style w:type="numbering" w:customStyle="1" w:styleId="List410">
    <w:name w:val="List 41"/>
    <w:basedOn w:val="Estiloimportado37"/>
    <w:rsid w:val="00284E33"/>
    <w:pPr>
      <w:numPr>
        <w:numId w:val="44"/>
      </w:numPr>
    </w:pPr>
  </w:style>
  <w:style w:type="numbering" w:customStyle="1" w:styleId="Estiloimportado37">
    <w:name w:val="Estilo importado 37"/>
    <w:rsid w:val="00284E33"/>
  </w:style>
  <w:style w:type="numbering" w:customStyle="1" w:styleId="List42">
    <w:name w:val="List 42"/>
    <w:basedOn w:val="Estiloimportado12"/>
    <w:rsid w:val="00284E33"/>
    <w:pPr>
      <w:numPr>
        <w:numId w:val="12"/>
      </w:numPr>
    </w:pPr>
  </w:style>
  <w:style w:type="numbering" w:customStyle="1" w:styleId="List43">
    <w:name w:val="List 43"/>
    <w:basedOn w:val="Estiloimportado38"/>
    <w:rsid w:val="00284E33"/>
    <w:pPr>
      <w:numPr>
        <w:numId w:val="23"/>
      </w:numPr>
    </w:pPr>
  </w:style>
  <w:style w:type="numbering" w:customStyle="1" w:styleId="Estiloimportado38">
    <w:name w:val="Estilo importado 38"/>
    <w:rsid w:val="00284E33"/>
  </w:style>
  <w:style w:type="numbering" w:customStyle="1" w:styleId="List44">
    <w:name w:val="List 44"/>
    <w:basedOn w:val="Estiloimportado39"/>
    <w:rsid w:val="00284E33"/>
    <w:pPr>
      <w:numPr>
        <w:numId w:val="40"/>
      </w:numPr>
    </w:pPr>
  </w:style>
  <w:style w:type="numbering" w:customStyle="1" w:styleId="Estiloimportado39">
    <w:name w:val="Estilo importado 39"/>
    <w:rsid w:val="00284E33"/>
  </w:style>
  <w:style w:type="numbering" w:customStyle="1" w:styleId="List45">
    <w:name w:val="List 45"/>
    <w:basedOn w:val="Estiloimportado40"/>
    <w:rsid w:val="00284E33"/>
    <w:pPr>
      <w:numPr>
        <w:numId w:val="20"/>
      </w:numPr>
    </w:pPr>
  </w:style>
  <w:style w:type="numbering" w:customStyle="1" w:styleId="Estiloimportado40">
    <w:name w:val="Estilo importado 40"/>
    <w:rsid w:val="00284E33"/>
  </w:style>
  <w:style w:type="numbering" w:customStyle="1" w:styleId="List46">
    <w:name w:val="List 46"/>
    <w:basedOn w:val="Estiloimportado41"/>
    <w:rsid w:val="00284E33"/>
    <w:pPr>
      <w:numPr>
        <w:numId w:val="24"/>
      </w:numPr>
    </w:pPr>
  </w:style>
  <w:style w:type="numbering" w:customStyle="1" w:styleId="Estiloimportado41">
    <w:name w:val="Estilo importado 41"/>
    <w:rsid w:val="00284E33"/>
  </w:style>
  <w:style w:type="numbering" w:customStyle="1" w:styleId="List47">
    <w:name w:val="List 47"/>
    <w:basedOn w:val="Estiloimportado42"/>
    <w:rsid w:val="00284E33"/>
    <w:pPr>
      <w:numPr>
        <w:numId w:val="29"/>
      </w:numPr>
    </w:pPr>
  </w:style>
  <w:style w:type="numbering" w:customStyle="1" w:styleId="Estiloimportado42">
    <w:name w:val="Estilo importado 42"/>
    <w:rsid w:val="00284E33"/>
  </w:style>
  <w:style w:type="numbering" w:customStyle="1" w:styleId="List48">
    <w:name w:val="List 48"/>
    <w:basedOn w:val="Estiloimportado43"/>
    <w:rsid w:val="00284E33"/>
    <w:pPr>
      <w:numPr>
        <w:numId w:val="50"/>
      </w:numPr>
    </w:pPr>
  </w:style>
  <w:style w:type="numbering" w:customStyle="1" w:styleId="Estiloimportado43">
    <w:name w:val="Estilo importado 43"/>
    <w:rsid w:val="00284E33"/>
  </w:style>
  <w:style w:type="numbering" w:customStyle="1" w:styleId="List49">
    <w:name w:val="List 49"/>
    <w:basedOn w:val="Estiloimportado44"/>
    <w:rsid w:val="00284E33"/>
    <w:pPr>
      <w:numPr>
        <w:numId w:val="39"/>
      </w:numPr>
    </w:pPr>
  </w:style>
  <w:style w:type="numbering" w:customStyle="1" w:styleId="Estiloimportado44">
    <w:name w:val="Estilo importado 44"/>
    <w:rsid w:val="00284E33"/>
  </w:style>
  <w:style w:type="numbering" w:customStyle="1" w:styleId="List50">
    <w:name w:val="List 50"/>
    <w:basedOn w:val="Estiloimportado45"/>
    <w:rsid w:val="00284E33"/>
    <w:pPr>
      <w:numPr>
        <w:numId w:val="37"/>
      </w:numPr>
    </w:pPr>
  </w:style>
  <w:style w:type="numbering" w:customStyle="1" w:styleId="Estiloimportado45">
    <w:name w:val="Estilo importado 45"/>
    <w:rsid w:val="00284E33"/>
  </w:style>
  <w:style w:type="numbering" w:customStyle="1" w:styleId="List51">
    <w:name w:val="List 51"/>
    <w:basedOn w:val="Estiloimportado46"/>
    <w:rsid w:val="00284E33"/>
    <w:pPr>
      <w:numPr>
        <w:numId w:val="33"/>
      </w:numPr>
    </w:pPr>
  </w:style>
  <w:style w:type="numbering" w:customStyle="1" w:styleId="Estiloimportado46">
    <w:name w:val="Estilo importado 46"/>
    <w:rsid w:val="00284E33"/>
  </w:style>
  <w:style w:type="numbering" w:customStyle="1" w:styleId="List52">
    <w:name w:val="List 52"/>
    <w:basedOn w:val="Estiloimportado1"/>
    <w:rsid w:val="00284E33"/>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6E07EB"/>
    <w:pPr>
      <w:tabs>
        <w:tab w:val="left" w:pos="1440"/>
        <w:tab w:val="right" w:leader="dot" w:pos="9350"/>
      </w:tabs>
      <w:spacing w:after="100"/>
      <w:ind w:left="1440" w:hanging="360"/>
    </w:pPr>
  </w:style>
  <w:style w:type="paragraph" w:styleId="TOC1">
    <w:name w:val="toc 1"/>
    <w:basedOn w:val="Normal"/>
    <w:next w:val="Normal"/>
    <w:autoRedefine/>
    <w:uiPriority w:val="39"/>
    <w:unhideWhenUsed/>
    <w:rsid w:val="006E07EB"/>
    <w:pPr>
      <w:tabs>
        <w:tab w:val="left" w:pos="1080"/>
        <w:tab w:val="left" w:pos="1440"/>
        <w:tab w:val="right" w:leader="dot" w:pos="9350"/>
      </w:tabs>
      <w:spacing w:after="100"/>
      <w:ind w:left="720"/>
    </w:pPr>
    <w:rPr>
      <w:rFonts w:asciiTheme="majorHAnsi" w:hAnsiTheme="majorHAnsi"/>
      <w:noProof/>
      <w:sz w:val="20"/>
      <w:szCs w:val="20"/>
      <w:lang w:val="es-ES_tradnl"/>
    </w:rPr>
  </w:style>
  <w:style w:type="paragraph" w:styleId="TOC3">
    <w:name w:val="toc 3"/>
    <w:basedOn w:val="Normal"/>
    <w:next w:val="Normal"/>
    <w:autoRedefine/>
    <w:uiPriority w:val="39"/>
    <w:unhideWhenUsed/>
    <w:rsid w:val="00836F32"/>
    <w:pPr>
      <w:tabs>
        <w:tab w:val="left" w:pos="880"/>
        <w:tab w:val="left" w:pos="1440"/>
        <w:tab w:val="left" w:pos="1800"/>
        <w:tab w:val="right" w:leader="dot" w:pos="9350"/>
      </w:tabs>
      <w:spacing w:after="100"/>
      <w:ind w:left="180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
    <w:link w:val="FootnotesrefssChar1Char"/>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036A8A"/>
    <w:rPr>
      <w:rFonts w:ascii="Calibri" w:eastAsia="Calibri" w:hAnsi="Calibri" w:cs="Calibri"/>
      <w:color w:val="000000"/>
      <w:u w:color="000000"/>
      <w:lang w:val="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F45EBF"/>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locked/>
    <w:rsid w:val="00F45EBF"/>
    <w:rPr>
      <w:rFonts w:ascii="Cambria" w:eastAsia="Cambria" w:hAnsi="Cambria" w:cs="Cambria"/>
      <w:color w:val="000000"/>
      <w:sz w:val="24"/>
      <w:szCs w:val="24"/>
      <w:u w:color="000000"/>
      <w:lang w:val="en-US"/>
    </w:rPr>
  </w:style>
  <w:style w:type="paragraph" w:customStyle="1" w:styleId="indent">
    <w:name w:val="indent"/>
    <w:basedOn w:val="Normal"/>
    <w:rsid w:val="00D8741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um">
    <w:name w:val="num"/>
    <w:basedOn w:val="DefaultParagraphFont"/>
    <w:rsid w:val="00D87416"/>
  </w:style>
  <w:style w:type="paragraph" w:styleId="NormalWeb">
    <w:name w:val="Normal (Web)"/>
    <w:basedOn w:val="Normal"/>
    <w:uiPriority w:val="99"/>
    <w:unhideWhenUsed/>
    <w:rsid w:val="0050753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tyle1Char">
    <w:name w:val="Style1 Char"/>
    <w:link w:val="Style1"/>
    <w:locked/>
    <w:rsid w:val="007D2FEE"/>
    <w:rPr>
      <w:rFonts w:ascii="Cambria" w:eastAsia="Times New Roman" w:hAnsi="Cambria"/>
      <w:b/>
      <w:bCs/>
      <w:bdr w:val="none" w:sz="0" w:space="0" w:color="auto" w:frame="1"/>
      <w:lang w:val="es-ES_tradnl" w:eastAsia="en-US"/>
    </w:rPr>
  </w:style>
  <w:style w:type="paragraph" w:customStyle="1" w:styleId="Style1">
    <w:name w:val="Style1"/>
    <w:basedOn w:val="Normal"/>
    <w:link w:val="Style1Char"/>
    <w:qFormat/>
    <w:rsid w:val="007D2FE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ascii="Cambria" w:eastAsia="Times New Roman" w:hAnsi="Cambria"/>
      <w:b/>
      <w:bCs/>
      <w:sz w:val="20"/>
      <w:szCs w:val="20"/>
      <w:bdr w:val="none" w:sz="0" w:space="0" w:color="auto" w:frame="1"/>
      <w:lang w:val="es-ES_tradnl"/>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9D15C7"/>
    <w:rPr>
      <w:rFonts w:ascii="Calibri" w:hAnsi="Calibri"/>
      <w:color w:val="000000"/>
      <w:u w:color="000000"/>
    </w:rPr>
  </w:style>
  <w:style w:type="paragraph" w:customStyle="1" w:styleId="Footnotes">
    <w:name w:val="Footnotes"/>
    <w:basedOn w:val="FootnoteText"/>
    <w:qFormat/>
    <w:rsid w:val="000332F4"/>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jc w:val="both"/>
    </w:pPr>
    <w:rPr>
      <w:rFonts w:ascii="Cambria" w:hAnsi="Cambria" w:cs="Times New Roman"/>
      <w:color w:val="auto"/>
      <w:sz w:val="18"/>
      <w:szCs w:val="18"/>
      <w:bdr w:val="none" w:sz="0" w:space="0" w:color="auto"/>
      <w:lang w:eastAsia="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1937A5"/>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Theme="minorHAnsi" w:eastAsiaTheme="minorEastAsia" w:hAnsiTheme="minorHAnsi" w:cstheme="minorBidi"/>
      <w:bdr w:val="none" w:sz="0" w:space="0" w:color="auto"/>
      <w:vertAlign w:val="superscript"/>
      <w:lang w:val="es-ES_tradnl" w:eastAsia="es-ES"/>
    </w:rPr>
  </w:style>
  <w:style w:type="character" w:customStyle="1" w:styleId="apple-converted-space">
    <w:name w:val="apple-converted-space"/>
    <w:rsid w:val="007607EC"/>
  </w:style>
  <w:style w:type="character" w:customStyle="1" w:styleId="apple-style-span">
    <w:name w:val="apple-style-span"/>
    <w:basedOn w:val="DefaultParagraphFont"/>
    <w:rsid w:val="00095575"/>
    <w:rPr>
      <w:rFonts w:cs="Times New Roman"/>
    </w:rPr>
  </w:style>
  <w:style w:type="character" w:customStyle="1" w:styleId="Heading2Char">
    <w:name w:val="Heading 2 Char"/>
    <w:basedOn w:val="DefaultParagraphFont"/>
    <w:link w:val="Heading2"/>
    <w:uiPriority w:val="9"/>
    <w:rsid w:val="009B541A"/>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9B541A"/>
    <w:rPr>
      <w:rFonts w:asciiTheme="majorHAnsi" w:eastAsiaTheme="majorEastAsia" w:hAnsiTheme="majorHAnsi" w:cstheme="majorBidi"/>
      <w:b/>
      <w:bCs/>
      <w:color w:val="4F81BD" w:themeColor="accent1"/>
      <w:sz w:val="24"/>
      <w:szCs w:val="24"/>
      <w:lang w:val="en-US" w:eastAsia="en-US"/>
    </w:rPr>
  </w:style>
  <w:style w:type="paragraph" w:customStyle="1" w:styleId="Default">
    <w:name w:val="Default"/>
    <w:rsid w:val="009B541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HAnsi"/>
      <w:color w:val="000000"/>
      <w:bdr w:val="none" w:sz="0" w:space="0" w:color="auto"/>
      <w:lang w:val="en-GB" w:eastAsia="en-US"/>
    </w:rPr>
  </w:style>
  <w:style w:type="character" w:customStyle="1" w:styleId="sb8d990e2">
    <w:name w:val="sb8d990e2"/>
    <w:rsid w:val="00E43C54"/>
  </w:style>
  <w:style w:type="numbering" w:styleId="111111">
    <w:name w:val="Outline List 2"/>
    <w:basedOn w:val="NoList"/>
    <w:uiPriority w:val="99"/>
    <w:semiHidden/>
    <w:unhideWhenUsed/>
    <w:rsid w:val="00ED56AB"/>
    <w:pPr>
      <w:numPr>
        <w:numId w:val="57"/>
      </w:numPr>
    </w:pPr>
  </w:style>
  <w:style w:type="character" w:styleId="CommentReference">
    <w:name w:val="annotation reference"/>
    <w:basedOn w:val="DefaultParagraphFont"/>
    <w:uiPriority w:val="99"/>
    <w:semiHidden/>
    <w:unhideWhenUsed/>
    <w:rsid w:val="00EA6A6E"/>
    <w:rPr>
      <w:sz w:val="16"/>
      <w:szCs w:val="16"/>
    </w:rPr>
  </w:style>
  <w:style w:type="paragraph" w:styleId="CommentText">
    <w:name w:val="annotation text"/>
    <w:basedOn w:val="Normal"/>
    <w:link w:val="CommentTextChar"/>
    <w:uiPriority w:val="99"/>
    <w:semiHidden/>
    <w:unhideWhenUsed/>
    <w:rsid w:val="00EA6A6E"/>
    <w:rPr>
      <w:sz w:val="20"/>
      <w:szCs w:val="20"/>
    </w:rPr>
  </w:style>
  <w:style w:type="character" w:customStyle="1" w:styleId="CommentTextChar">
    <w:name w:val="Comment Text Char"/>
    <w:basedOn w:val="DefaultParagraphFont"/>
    <w:link w:val="CommentText"/>
    <w:uiPriority w:val="99"/>
    <w:semiHidden/>
    <w:rsid w:val="00EA6A6E"/>
    <w:rPr>
      <w:lang w:val="en-US" w:eastAsia="en-US"/>
    </w:rPr>
  </w:style>
  <w:style w:type="paragraph" w:styleId="CommentSubject">
    <w:name w:val="annotation subject"/>
    <w:basedOn w:val="CommentText"/>
    <w:next w:val="CommentText"/>
    <w:link w:val="CommentSubjectChar"/>
    <w:uiPriority w:val="99"/>
    <w:semiHidden/>
    <w:unhideWhenUsed/>
    <w:rsid w:val="00EA6A6E"/>
    <w:rPr>
      <w:b/>
      <w:bCs/>
    </w:rPr>
  </w:style>
  <w:style w:type="character" w:customStyle="1" w:styleId="CommentSubjectChar">
    <w:name w:val="Comment Subject Char"/>
    <w:basedOn w:val="CommentTextChar"/>
    <w:link w:val="CommentSubject"/>
    <w:uiPriority w:val="99"/>
    <w:semiHidden/>
    <w:rsid w:val="00EA6A6E"/>
    <w:rPr>
      <w:b/>
      <w:bCs/>
      <w:lang w:val="en-US" w:eastAsia="en-US"/>
    </w:rPr>
  </w:style>
  <w:style w:type="paragraph" w:styleId="Revision">
    <w:name w:val="Revision"/>
    <w:hidden/>
    <w:uiPriority w:val="99"/>
    <w:semiHidden/>
    <w:rsid w:val="006C1815"/>
    <w:pPr>
      <w:pBdr>
        <w:top w:val="none" w:sz="0" w:space="0" w:color="auto"/>
        <w:left w:val="none" w:sz="0" w:space="0" w:color="auto"/>
        <w:bottom w:val="none" w:sz="0" w:space="0" w:color="auto"/>
        <w:right w:val="none" w:sz="0" w:space="0" w:color="auto"/>
        <w:between w:val="none" w:sz="0" w:space="0" w:color="auto"/>
        <w:bar w:val="none" w:sz="0" w:color="auto"/>
      </w:pBdr>
    </w:pPr>
    <w:rPr>
      <w:lang w:val="en-US" w:eastAsia="en-US"/>
    </w:rPr>
  </w:style>
  <w:style w:type="character" w:styleId="Strong">
    <w:name w:val="Strong"/>
    <w:basedOn w:val="DefaultParagraphFont"/>
    <w:uiPriority w:val="22"/>
    <w:qFormat/>
    <w:rsid w:val="006A538E"/>
    <w:rPr>
      <w:b/>
      <w:bCs/>
    </w:rPr>
  </w:style>
  <w:style w:type="paragraph" w:customStyle="1" w:styleId="Body">
    <w:name w:val="Body"/>
    <w:uiPriority w:val="99"/>
    <w:rsid w:val="00191F07"/>
    <w:rPr>
      <w:rFonts w:cs="Arial Unicode MS"/>
      <w:color w:val="000000"/>
      <w:u w:color="000000"/>
      <w:lang w:val="en-US" w:eastAsia="en-US"/>
    </w:rPr>
  </w:style>
  <w:style w:type="numbering" w:customStyle="1" w:styleId="ImportedStyle3">
    <w:name w:val="Imported Style 3"/>
    <w:rsid w:val="006A72B7"/>
    <w:pPr>
      <w:numPr>
        <w:numId w:val="62"/>
      </w:numPr>
    </w:pPr>
  </w:style>
  <w:style w:type="numbering" w:customStyle="1" w:styleId="ImportedStyle4">
    <w:name w:val="Imported Style 4"/>
    <w:rsid w:val="00EA425E"/>
    <w:pPr>
      <w:numPr>
        <w:numId w:val="63"/>
      </w:numPr>
    </w:pPr>
  </w:style>
  <w:style w:type="numbering" w:customStyle="1" w:styleId="ImportedStyle5">
    <w:name w:val="Imported Style 5"/>
    <w:rsid w:val="00C80BAC"/>
    <w:pPr>
      <w:numPr>
        <w:numId w:val="64"/>
      </w:numPr>
    </w:pPr>
  </w:style>
  <w:style w:type="numbering" w:customStyle="1" w:styleId="ImportedStyle6">
    <w:name w:val="Imported Style 6"/>
    <w:rsid w:val="00264225"/>
    <w:pPr>
      <w:numPr>
        <w:numId w:val="65"/>
      </w:numPr>
    </w:pPr>
  </w:style>
  <w:style w:type="numbering" w:customStyle="1" w:styleId="ImportedStyle8">
    <w:name w:val="Imported Style 8"/>
    <w:rsid w:val="00037CC9"/>
    <w:pPr>
      <w:numPr>
        <w:numId w:val="67"/>
      </w:numPr>
    </w:pPr>
  </w:style>
  <w:style w:type="character" w:customStyle="1" w:styleId="Hyperlink0">
    <w:name w:val="Hyperlink.0"/>
    <w:basedOn w:val="DefaultParagraphFont"/>
    <w:rsid w:val="000A1126"/>
    <w:rPr>
      <w:rFonts w:ascii="Cambria" w:eastAsia="Cambria" w:hAnsi="Cambria" w:cs="Cambria"/>
      <w:color w:val="0000FF"/>
      <w:sz w:val="16"/>
      <w:szCs w:val="16"/>
      <w:u w:val="single" w:color="0000FF"/>
    </w:rPr>
  </w:style>
  <w:style w:type="paragraph" w:styleId="Index1">
    <w:name w:val="index 1"/>
    <w:basedOn w:val="Normal"/>
    <w:next w:val="Normal"/>
    <w:autoRedefine/>
    <w:uiPriority w:val="99"/>
    <w:semiHidden/>
    <w:unhideWhenUsed/>
    <w:rsid w:val="00C01BA5"/>
    <w:pPr>
      <w:ind w:left="240" w:hanging="240"/>
    </w:pPr>
  </w:style>
  <w:style w:type="paragraph" w:styleId="Index2">
    <w:name w:val="index 2"/>
    <w:basedOn w:val="Normal"/>
    <w:next w:val="Normal"/>
    <w:autoRedefine/>
    <w:uiPriority w:val="99"/>
    <w:semiHidden/>
    <w:unhideWhenUsed/>
    <w:rsid w:val="00C01BA5"/>
    <w:pPr>
      <w:ind w:left="480" w:hanging="240"/>
    </w:pPr>
  </w:style>
  <w:style w:type="paragraph" w:styleId="Index3">
    <w:name w:val="index 3"/>
    <w:basedOn w:val="Normal"/>
    <w:next w:val="Normal"/>
    <w:autoRedefine/>
    <w:uiPriority w:val="99"/>
    <w:semiHidden/>
    <w:unhideWhenUsed/>
    <w:rsid w:val="00C01BA5"/>
    <w:pPr>
      <w:ind w:left="720" w:hanging="240"/>
    </w:pPr>
  </w:style>
  <w:style w:type="paragraph" w:styleId="Index4">
    <w:name w:val="index 4"/>
    <w:basedOn w:val="Normal"/>
    <w:next w:val="Normal"/>
    <w:autoRedefine/>
    <w:uiPriority w:val="99"/>
    <w:semiHidden/>
    <w:unhideWhenUsed/>
    <w:rsid w:val="00C01BA5"/>
    <w:pPr>
      <w:ind w:left="960" w:hanging="240"/>
    </w:pPr>
  </w:style>
  <w:style w:type="paragraph" w:styleId="Index5">
    <w:name w:val="index 5"/>
    <w:basedOn w:val="Normal"/>
    <w:next w:val="Normal"/>
    <w:autoRedefine/>
    <w:uiPriority w:val="99"/>
    <w:semiHidden/>
    <w:unhideWhenUsed/>
    <w:rsid w:val="00C01BA5"/>
    <w:pPr>
      <w:ind w:left="1200" w:hanging="240"/>
    </w:pPr>
  </w:style>
  <w:style w:type="paragraph" w:styleId="Index6">
    <w:name w:val="index 6"/>
    <w:basedOn w:val="Normal"/>
    <w:next w:val="Normal"/>
    <w:autoRedefine/>
    <w:uiPriority w:val="99"/>
    <w:semiHidden/>
    <w:unhideWhenUsed/>
    <w:rsid w:val="00C01BA5"/>
    <w:pPr>
      <w:ind w:left="1440" w:hanging="240"/>
    </w:pPr>
  </w:style>
  <w:style w:type="paragraph" w:styleId="Index7">
    <w:name w:val="index 7"/>
    <w:basedOn w:val="Normal"/>
    <w:next w:val="Normal"/>
    <w:autoRedefine/>
    <w:uiPriority w:val="99"/>
    <w:semiHidden/>
    <w:unhideWhenUsed/>
    <w:rsid w:val="00C01BA5"/>
    <w:pPr>
      <w:ind w:left="1680" w:hanging="240"/>
    </w:pPr>
  </w:style>
  <w:style w:type="paragraph" w:styleId="Index8">
    <w:name w:val="index 8"/>
    <w:basedOn w:val="Normal"/>
    <w:next w:val="Normal"/>
    <w:autoRedefine/>
    <w:uiPriority w:val="99"/>
    <w:semiHidden/>
    <w:unhideWhenUsed/>
    <w:rsid w:val="00C01BA5"/>
    <w:pPr>
      <w:ind w:left="1920" w:hanging="240"/>
    </w:pPr>
  </w:style>
  <w:style w:type="paragraph" w:styleId="Index9">
    <w:name w:val="index 9"/>
    <w:basedOn w:val="Normal"/>
    <w:next w:val="Normal"/>
    <w:autoRedefine/>
    <w:uiPriority w:val="99"/>
    <w:semiHidden/>
    <w:unhideWhenUsed/>
    <w:rsid w:val="00C01BA5"/>
    <w:pPr>
      <w:ind w:left="2160" w:hanging="240"/>
    </w:pPr>
  </w:style>
  <w:style w:type="paragraph" w:styleId="IndexHeading">
    <w:name w:val="index heading"/>
    <w:basedOn w:val="Normal"/>
    <w:next w:val="Index1"/>
    <w:uiPriority w:val="99"/>
    <w:semiHidden/>
    <w:unhideWhenUsed/>
    <w:rsid w:val="00C01BA5"/>
  </w:style>
  <w:style w:type="paragraph" w:styleId="TOC5">
    <w:name w:val="toc 5"/>
    <w:basedOn w:val="Normal"/>
    <w:next w:val="Normal"/>
    <w:autoRedefine/>
    <w:rsid w:val="00E200F9"/>
    <w:pPr>
      <w:ind w:left="960"/>
    </w:pPr>
  </w:style>
  <w:style w:type="paragraph" w:styleId="TOC6">
    <w:name w:val="toc 6"/>
    <w:basedOn w:val="Normal"/>
    <w:next w:val="Normal"/>
    <w:autoRedefine/>
    <w:rsid w:val="00E200F9"/>
    <w:pPr>
      <w:ind w:left="1200"/>
    </w:pPr>
  </w:style>
  <w:style w:type="paragraph" w:styleId="TOC7">
    <w:name w:val="toc 7"/>
    <w:basedOn w:val="Normal"/>
    <w:next w:val="Normal"/>
    <w:autoRedefine/>
    <w:rsid w:val="00E200F9"/>
    <w:pPr>
      <w:ind w:left="1440"/>
    </w:pPr>
  </w:style>
  <w:style w:type="paragraph" w:styleId="TOC8">
    <w:name w:val="toc 8"/>
    <w:basedOn w:val="Normal"/>
    <w:next w:val="Normal"/>
    <w:autoRedefine/>
    <w:rsid w:val="00E200F9"/>
    <w:pPr>
      <w:ind w:left="1680"/>
    </w:pPr>
  </w:style>
  <w:style w:type="paragraph" w:styleId="TOC9">
    <w:name w:val="toc 9"/>
    <w:basedOn w:val="Normal"/>
    <w:next w:val="Normal"/>
    <w:autoRedefine/>
    <w:rsid w:val="00E200F9"/>
    <w:pPr>
      <w:ind w:left="1920"/>
    </w:pPr>
  </w:style>
  <w:style w:type="paragraph" w:customStyle="1" w:styleId="norm">
    <w:name w:val="norm"/>
    <w:basedOn w:val="Normal"/>
    <w:rsid w:val="00ED1C8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pPr>
    <w:rPr>
      <w:rFonts w:ascii="Palatino Linotype" w:eastAsia="Times New Roman" w:hAnsi="Palatino Linotype"/>
      <w:sz w:val="28"/>
      <w:szCs w:val="28"/>
      <w:bdr w:val="none" w:sz="0" w:space="0" w:color="auto"/>
    </w:rPr>
  </w:style>
  <w:style w:type="character" w:customStyle="1" w:styleId="bold1">
    <w:name w:val="bold1"/>
    <w:basedOn w:val="DefaultParagraphFont"/>
    <w:rsid w:val="00ED1C8D"/>
    <w:rPr>
      <w:rFonts w:ascii="Palatino Linotype" w:hAnsi="Palatino Linotype" w:hint="default"/>
      <w:b/>
      <w:bCs/>
      <w:sz w:val="28"/>
      <w:szCs w:val="28"/>
    </w:rPr>
  </w:style>
  <w:style w:type="paragraph" w:customStyle="1" w:styleId="tiny">
    <w:name w:val="tiny"/>
    <w:basedOn w:val="Normal"/>
    <w:rsid w:val="001E555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i/>
      <w:iCs/>
      <w:color w:val="FFFFFF"/>
      <w:sz w:val="8"/>
      <w:szCs w:val="8"/>
      <w:bdr w:val="none" w:sz="0" w:space="0" w:color="auto"/>
    </w:rPr>
  </w:style>
  <w:style w:type="paragraph" w:styleId="BodyTextIndent2">
    <w:name w:val="Body Text Indent 2"/>
    <w:basedOn w:val="Normal"/>
    <w:link w:val="BodyTextIndent2Char"/>
    <w:semiHidden/>
    <w:unhideWhenUsed/>
    <w:rsid w:val="00BA273E"/>
    <w:pPr>
      <w:spacing w:after="120" w:line="480" w:lineRule="auto"/>
      <w:ind w:left="360"/>
    </w:pPr>
  </w:style>
  <w:style w:type="character" w:customStyle="1" w:styleId="BodyTextIndent2Char">
    <w:name w:val="Body Text Indent 2 Char"/>
    <w:basedOn w:val="DefaultParagraphFont"/>
    <w:link w:val="BodyTextIndent2"/>
    <w:semiHidden/>
    <w:rsid w:val="00BA273E"/>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7233">
      <w:bodyDiv w:val="1"/>
      <w:marLeft w:val="0"/>
      <w:marRight w:val="0"/>
      <w:marTop w:val="0"/>
      <w:marBottom w:val="0"/>
      <w:divBdr>
        <w:top w:val="none" w:sz="0" w:space="0" w:color="auto"/>
        <w:left w:val="none" w:sz="0" w:space="0" w:color="auto"/>
        <w:bottom w:val="none" w:sz="0" w:space="0" w:color="auto"/>
        <w:right w:val="none" w:sz="0" w:space="0" w:color="auto"/>
      </w:divBdr>
    </w:div>
    <w:div w:id="134296202">
      <w:bodyDiv w:val="1"/>
      <w:marLeft w:val="0"/>
      <w:marRight w:val="0"/>
      <w:marTop w:val="0"/>
      <w:marBottom w:val="0"/>
      <w:divBdr>
        <w:top w:val="none" w:sz="0" w:space="0" w:color="auto"/>
        <w:left w:val="none" w:sz="0" w:space="0" w:color="auto"/>
        <w:bottom w:val="none" w:sz="0" w:space="0" w:color="auto"/>
        <w:right w:val="none" w:sz="0" w:space="0" w:color="auto"/>
      </w:divBdr>
    </w:div>
    <w:div w:id="534736935">
      <w:bodyDiv w:val="1"/>
      <w:marLeft w:val="0"/>
      <w:marRight w:val="0"/>
      <w:marTop w:val="0"/>
      <w:marBottom w:val="0"/>
      <w:divBdr>
        <w:top w:val="none" w:sz="0" w:space="0" w:color="auto"/>
        <w:left w:val="none" w:sz="0" w:space="0" w:color="auto"/>
        <w:bottom w:val="none" w:sz="0" w:space="0" w:color="auto"/>
        <w:right w:val="none" w:sz="0" w:space="0" w:color="auto"/>
      </w:divBdr>
    </w:div>
    <w:div w:id="593631155">
      <w:bodyDiv w:val="1"/>
      <w:marLeft w:val="0"/>
      <w:marRight w:val="0"/>
      <w:marTop w:val="0"/>
      <w:marBottom w:val="0"/>
      <w:divBdr>
        <w:top w:val="none" w:sz="0" w:space="0" w:color="auto"/>
        <w:left w:val="none" w:sz="0" w:space="0" w:color="auto"/>
        <w:bottom w:val="none" w:sz="0" w:space="0" w:color="auto"/>
        <w:right w:val="none" w:sz="0" w:space="0" w:color="auto"/>
      </w:divBdr>
    </w:div>
    <w:div w:id="626014000">
      <w:bodyDiv w:val="1"/>
      <w:marLeft w:val="0"/>
      <w:marRight w:val="0"/>
      <w:marTop w:val="0"/>
      <w:marBottom w:val="0"/>
      <w:divBdr>
        <w:top w:val="none" w:sz="0" w:space="0" w:color="auto"/>
        <w:left w:val="none" w:sz="0" w:space="0" w:color="auto"/>
        <w:bottom w:val="none" w:sz="0" w:space="0" w:color="auto"/>
        <w:right w:val="none" w:sz="0" w:space="0" w:color="auto"/>
      </w:divBdr>
    </w:div>
    <w:div w:id="761800827">
      <w:bodyDiv w:val="1"/>
      <w:marLeft w:val="0"/>
      <w:marRight w:val="0"/>
      <w:marTop w:val="0"/>
      <w:marBottom w:val="0"/>
      <w:divBdr>
        <w:top w:val="none" w:sz="0" w:space="0" w:color="auto"/>
        <w:left w:val="none" w:sz="0" w:space="0" w:color="auto"/>
        <w:bottom w:val="none" w:sz="0" w:space="0" w:color="auto"/>
        <w:right w:val="none" w:sz="0" w:space="0" w:color="auto"/>
      </w:divBdr>
    </w:div>
    <w:div w:id="771164389">
      <w:bodyDiv w:val="1"/>
      <w:marLeft w:val="0"/>
      <w:marRight w:val="0"/>
      <w:marTop w:val="0"/>
      <w:marBottom w:val="0"/>
      <w:divBdr>
        <w:top w:val="none" w:sz="0" w:space="0" w:color="auto"/>
        <w:left w:val="none" w:sz="0" w:space="0" w:color="auto"/>
        <w:bottom w:val="none" w:sz="0" w:space="0" w:color="auto"/>
        <w:right w:val="none" w:sz="0" w:space="0" w:color="auto"/>
      </w:divBdr>
      <w:divsChild>
        <w:div w:id="1653824192">
          <w:marLeft w:val="0"/>
          <w:marRight w:val="0"/>
          <w:marTop w:val="0"/>
          <w:marBottom w:val="0"/>
          <w:divBdr>
            <w:top w:val="none" w:sz="0" w:space="0" w:color="auto"/>
            <w:left w:val="none" w:sz="0" w:space="0" w:color="auto"/>
            <w:bottom w:val="none" w:sz="0" w:space="0" w:color="auto"/>
            <w:right w:val="none" w:sz="0" w:space="0" w:color="auto"/>
          </w:divBdr>
          <w:divsChild>
            <w:div w:id="252052519">
              <w:marLeft w:val="0"/>
              <w:marRight w:val="0"/>
              <w:marTop w:val="0"/>
              <w:marBottom w:val="0"/>
              <w:divBdr>
                <w:top w:val="none" w:sz="0" w:space="0" w:color="auto"/>
                <w:left w:val="none" w:sz="0" w:space="0" w:color="auto"/>
                <w:bottom w:val="none" w:sz="0" w:space="0" w:color="auto"/>
                <w:right w:val="none" w:sz="0" w:space="0" w:color="auto"/>
              </w:divBdr>
              <w:divsChild>
                <w:div w:id="17943278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90439445">
      <w:bodyDiv w:val="1"/>
      <w:marLeft w:val="0"/>
      <w:marRight w:val="0"/>
      <w:marTop w:val="0"/>
      <w:marBottom w:val="0"/>
      <w:divBdr>
        <w:top w:val="none" w:sz="0" w:space="0" w:color="auto"/>
        <w:left w:val="none" w:sz="0" w:space="0" w:color="auto"/>
        <w:bottom w:val="none" w:sz="0" w:space="0" w:color="auto"/>
        <w:right w:val="none" w:sz="0" w:space="0" w:color="auto"/>
      </w:divBdr>
    </w:div>
    <w:div w:id="816412868">
      <w:bodyDiv w:val="1"/>
      <w:marLeft w:val="0"/>
      <w:marRight w:val="0"/>
      <w:marTop w:val="0"/>
      <w:marBottom w:val="0"/>
      <w:divBdr>
        <w:top w:val="none" w:sz="0" w:space="0" w:color="auto"/>
        <w:left w:val="none" w:sz="0" w:space="0" w:color="auto"/>
        <w:bottom w:val="none" w:sz="0" w:space="0" w:color="auto"/>
        <w:right w:val="none" w:sz="0" w:space="0" w:color="auto"/>
      </w:divBdr>
    </w:div>
    <w:div w:id="825510943">
      <w:bodyDiv w:val="1"/>
      <w:marLeft w:val="0"/>
      <w:marRight w:val="0"/>
      <w:marTop w:val="0"/>
      <w:marBottom w:val="0"/>
      <w:divBdr>
        <w:top w:val="none" w:sz="0" w:space="0" w:color="auto"/>
        <w:left w:val="none" w:sz="0" w:space="0" w:color="auto"/>
        <w:bottom w:val="none" w:sz="0" w:space="0" w:color="auto"/>
        <w:right w:val="none" w:sz="0" w:space="0" w:color="auto"/>
      </w:divBdr>
    </w:div>
    <w:div w:id="1002781278">
      <w:bodyDiv w:val="1"/>
      <w:marLeft w:val="0"/>
      <w:marRight w:val="0"/>
      <w:marTop w:val="0"/>
      <w:marBottom w:val="0"/>
      <w:divBdr>
        <w:top w:val="none" w:sz="0" w:space="0" w:color="auto"/>
        <w:left w:val="none" w:sz="0" w:space="0" w:color="auto"/>
        <w:bottom w:val="none" w:sz="0" w:space="0" w:color="auto"/>
        <w:right w:val="none" w:sz="0" w:space="0" w:color="auto"/>
      </w:divBdr>
    </w:div>
    <w:div w:id="1007027173">
      <w:bodyDiv w:val="1"/>
      <w:marLeft w:val="0"/>
      <w:marRight w:val="0"/>
      <w:marTop w:val="0"/>
      <w:marBottom w:val="0"/>
      <w:divBdr>
        <w:top w:val="none" w:sz="0" w:space="0" w:color="auto"/>
        <w:left w:val="none" w:sz="0" w:space="0" w:color="auto"/>
        <w:bottom w:val="none" w:sz="0" w:space="0" w:color="auto"/>
        <w:right w:val="none" w:sz="0" w:space="0" w:color="auto"/>
      </w:divBdr>
    </w:div>
    <w:div w:id="1007296216">
      <w:bodyDiv w:val="1"/>
      <w:marLeft w:val="0"/>
      <w:marRight w:val="0"/>
      <w:marTop w:val="0"/>
      <w:marBottom w:val="0"/>
      <w:divBdr>
        <w:top w:val="none" w:sz="0" w:space="0" w:color="auto"/>
        <w:left w:val="none" w:sz="0" w:space="0" w:color="auto"/>
        <w:bottom w:val="none" w:sz="0" w:space="0" w:color="auto"/>
        <w:right w:val="none" w:sz="0" w:space="0" w:color="auto"/>
      </w:divBdr>
      <w:divsChild>
        <w:div w:id="1089429906">
          <w:marLeft w:val="0"/>
          <w:marRight w:val="0"/>
          <w:marTop w:val="0"/>
          <w:marBottom w:val="0"/>
          <w:divBdr>
            <w:top w:val="none" w:sz="0" w:space="0" w:color="auto"/>
            <w:left w:val="none" w:sz="0" w:space="0" w:color="auto"/>
            <w:bottom w:val="none" w:sz="0" w:space="0" w:color="auto"/>
            <w:right w:val="none" w:sz="0" w:space="0" w:color="auto"/>
          </w:divBdr>
          <w:divsChild>
            <w:div w:id="32312152">
              <w:marLeft w:val="0"/>
              <w:marRight w:val="0"/>
              <w:marTop w:val="0"/>
              <w:marBottom w:val="0"/>
              <w:divBdr>
                <w:top w:val="none" w:sz="0" w:space="0" w:color="auto"/>
                <w:left w:val="none" w:sz="0" w:space="0" w:color="auto"/>
                <w:bottom w:val="none" w:sz="0" w:space="0" w:color="auto"/>
                <w:right w:val="none" w:sz="0" w:space="0" w:color="auto"/>
              </w:divBdr>
              <w:divsChild>
                <w:div w:id="491483317">
                  <w:marLeft w:val="0"/>
                  <w:marRight w:val="0"/>
                  <w:marTop w:val="0"/>
                  <w:marBottom w:val="0"/>
                  <w:divBdr>
                    <w:top w:val="none" w:sz="0" w:space="0" w:color="auto"/>
                    <w:left w:val="none" w:sz="0" w:space="0" w:color="auto"/>
                    <w:bottom w:val="none" w:sz="0" w:space="0" w:color="auto"/>
                    <w:right w:val="none" w:sz="0" w:space="0" w:color="auto"/>
                  </w:divBdr>
                  <w:divsChild>
                    <w:div w:id="1401051643">
                      <w:marLeft w:val="0"/>
                      <w:marRight w:val="0"/>
                      <w:marTop w:val="0"/>
                      <w:marBottom w:val="0"/>
                      <w:divBdr>
                        <w:top w:val="none" w:sz="0" w:space="0" w:color="auto"/>
                        <w:left w:val="none" w:sz="0" w:space="0" w:color="auto"/>
                        <w:bottom w:val="none" w:sz="0" w:space="0" w:color="auto"/>
                        <w:right w:val="none" w:sz="0" w:space="0" w:color="auto"/>
                      </w:divBdr>
                      <w:divsChild>
                        <w:div w:id="1004211956">
                          <w:marLeft w:val="0"/>
                          <w:marRight w:val="0"/>
                          <w:marTop w:val="0"/>
                          <w:marBottom w:val="0"/>
                          <w:divBdr>
                            <w:top w:val="none" w:sz="0" w:space="0" w:color="auto"/>
                            <w:left w:val="none" w:sz="0" w:space="0" w:color="auto"/>
                            <w:bottom w:val="none" w:sz="0" w:space="0" w:color="auto"/>
                            <w:right w:val="none" w:sz="0" w:space="0" w:color="auto"/>
                          </w:divBdr>
                          <w:divsChild>
                            <w:div w:id="61906914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468732">
      <w:bodyDiv w:val="1"/>
      <w:marLeft w:val="0"/>
      <w:marRight w:val="0"/>
      <w:marTop w:val="0"/>
      <w:marBottom w:val="0"/>
      <w:divBdr>
        <w:top w:val="none" w:sz="0" w:space="0" w:color="auto"/>
        <w:left w:val="none" w:sz="0" w:space="0" w:color="auto"/>
        <w:bottom w:val="none" w:sz="0" w:space="0" w:color="auto"/>
        <w:right w:val="none" w:sz="0" w:space="0" w:color="auto"/>
      </w:divBdr>
    </w:div>
    <w:div w:id="1055667373">
      <w:bodyDiv w:val="1"/>
      <w:marLeft w:val="0"/>
      <w:marRight w:val="0"/>
      <w:marTop w:val="0"/>
      <w:marBottom w:val="0"/>
      <w:divBdr>
        <w:top w:val="none" w:sz="0" w:space="0" w:color="auto"/>
        <w:left w:val="none" w:sz="0" w:space="0" w:color="auto"/>
        <w:bottom w:val="none" w:sz="0" w:space="0" w:color="auto"/>
        <w:right w:val="none" w:sz="0" w:space="0" w:color="auto"/>
      </w:divBdr>
    </w:div>
    <w:div w:id="1172794881">
      <w:bodyDiv w:val="1"/>
      <w:marLeft w:val="0"/>
      <w:marRight w:val="0"/>
      <w:marTop w:val="0"/>
      <w:marBottom w:val="0"/>
      <w:divBdr>
        <w:top w:val="none" w:sz="0" w:space="0" w:color="auto"/>
        <w:left w:val="none" w:sz="0" w:space="0" w:color="auto"/>
        <w:bottom w:val="none" w:sz="0" w:space="0" w:color="auto"/>
        <w:right w:val="none" w:sz="0" w:space="0" w:color="auto"/>
      </w:divBdr>
      <w:divsChild>
        <w:div w:id="1611014222">
          <w:marLeft w:val="0"/>
          <w:marRight w:val="0"/>
          <w:marTop w:val="0"/>
          <w:marBottom w:val="0"/>
          <w:divBdr>
            <w:top w:val="none" w:sz="0" w:space="0" w:color="auto"/>
            <w:left w:val="none" w:sz="0" w:space="0" w:color="auto"/>
            <w:bottom w:val="none" w:sz="0" w:space="0" w:color="auto"/>
            <w:right w:val="none" w:sz="0" w:space="0" w:color="auto"/>
          </w:divBdr>
        </w:div>
        <w:div w:id="1793983833">
          <w:marLeft w:val="0"/>
          <w:marRight w:val="0"/>
          <w:marTop w:val="0"/>
          <w:marBottom w:val="0"/>
          <w:divBdr>
            <w:top w:val="none" w:sz="0" w:space="0" w:color="auto"/>
            <w:left w:val="none" w:sz="0" w:space="0" w:color="auto"/>
            <w:bottom w:val="none" w:sz="0" w:space="0" w:color="auto"/>
            <w:right w:val="none" w:sz="0" w:space="0" w:color="auto"/>
          </w:divBdr>
        </w:div>
        <w:div w:id="806245953">
          <w:marLeft w:val="0"/>
          <w:marRight w:val="0"/>
          <w:marTop w:val="0"/>
          <w:marBottom w:val="0"/>
          <w:divBdr>
            <w:top w:val="none" w:sz="0" w:space="0" w:color="auto"/>
            <w:left w:val="none" w:sz="0" w:space="0" w:color="auto"/>
            <w:bottom w:val="none" w:sz="0" w:space="0" w:color="auto"/>
            <w:right w:val="none" w:sz="0" w:space="0" w:color="auto"/>
          </w:divBdr>
        </w:div>
        <w:div w:id="526989778">
          <w:marLeft w:val="0"/>
          <w:marRight w:val="0"/>
          <w:marTop w:val="0"/>
          <w:marBottom w:val="0"/>
          <w:divBdr>
            <w:top w:val="none" w:sz="0" w:space="0" w:color="auto"/>
            <w:left w:val="none" w:sz="0" w:space="0" w:color="auto"/>
            <w:bottom w:val="none" w:sz="0" w:space="0" w:color="auto"/>
            <w:right w:val="none" w:sz="0" w:space="0" w:color="auto"/>
          </w:divBdr>
        </w:div>
      </w:divsChild>
    </w:div>
    <w:div w:id="1240137861">
      <w:bodyDiv w:val="1"/>
      <w:marLeft w:val="0"/>
      <w:marRight w:val="0"/>
      <w:marTop w:val="0"/>
      <w:marBottom w:val="0"/>
      <w:divBdr>
        <w:top w:val="none" w:sz="0" w:space="0" w:color="auto"/>
        <w:left w:val="none" w:sz="0" w:space="0" w:color="auto"/>
        <w:bottom w:val="none" w:sz="0" w:space="0" w:color="auto"/>
        <w:right w:val="none" w:sz="0" w:space="0" w:color="auto"/>
      </w:divBdr>
      <w:divsChild>
        <w:div w:id="1585185547">
          <w:marLeft w:val="0"/>
          <w:marRight w:val="0"/>
          <w:marTop w:val="0"/>
          <w:marBottom w:val="0"/>
          <w:divBdr>
            <w:top w:val="none" w:sz="0" w:space="0" w:color="auto"/>
            <w:left w:val="none" w:sz="0" w:space="0" w:color="auto"/>
            <w:bottom w:val="none" w:sz="0" w:space="0" w:color="auto"/>
            <w:right w:val="none" w:sz="0" w:space="0" w:color="auto"/>
          </w:divBdr>
          <w:divsChild>
            <w:div w:id="2088572715">
              <w:marLeft w:val="0"/>
              <w:marRight w:val="0"/>
              <w:marTop w:val="0"/>
              <w:marBottom w:val="0"/>
              <w:divBdr>
                <w:top w:val="single" w:sz="6" w:space="0" w:color="CCCCCC"/>
                <w:left w:val="single" w:sz="6" w:space="0" w:color="CCCCCC"/>
                <w:bottom w:val="single" w:sz="6" w:space="0" w:color="CCCCCC"/>
                <w:right w:val="single" w:sz="6" w:space="0" w:color="CCCCCC"/>
              </w:divBdr>
              <w:divsChild>
                <w:div w:id="1099329160">
                  <w:marLeft w:val="0"/>
                  <w:marRight w:val="0"/>
                  <w:marTop w:val="0"/>
                  <w:marBottom w:val="0"/>
                  <w:divBdr>
                    <w:top w:val="none" w:sz="0" w:space="0" w:color="auto"/>
                    <w:left w:val="none" w:sz="0" w:space="0" w:color="auto"/>
                    <w:bottom w:val="none" w:sz="0" w:space="0" w:color="auto"/>
                    <w:right w:val="none" w:sz="0" w:space="0" w:color="auto"/>
                  </w:divBdr>
                  <w:divsChild>
                    <w:div w:id="1194071810">
                      <w:marLeft w:val="0"/>
                      <w:marRight w:val="0"/>
                      <w:marTop w:val="0"/>
                      <w:marBottom w:val="0"/>
                      <w:divBdr>
                        <w:top w:val="none" w:sz="0" w:space="0" w:color="auto"/>
                        <w:left w:val="none" w:sz="0" w:space="0" w:color="auto"/>
                        <w:bottom w:val="none" w:sz="0" w:space="0" w:color="auto"/>
                        <w:right w:val="none" w:sz="0" w:space="0" w:color="auto"/>
                      </w:divBdr>
                      <w:divsChild>
                        <w:div w:id="1103498750">
                          <w:marLeft w:val="120"/>
                          <w:marRight w:val="120"/>
                          <w:marTop w:val="60"/>
                          <w:marBottom w:val="60"/>
                          <w:divBdr>
                            <w:top w:val="none" w:sz="0" w:space="0" w:color="auto"/>
                            <w:left w:val="none" w:sz="0" w:space="0" w:color="auto"/>
                            <w:bottom w:val="none" w:sz="0" w:space="0" w:color="auto"/>
                            <w:right w:val="none" w:sz="0" w:space="0" w:color="auto"/>
                          </w:divBdr>
                          <w:divsChild>
                            <w:div w:id="367722524">
                              <w:marLeft w:val="0"/>
                              <w:marRight w:val="0"/>
                              <w:marTop w:val="0"/>
                              <w:marBottom w:val="0"/>
                              <w:divBdr>
                                <w:top w:val="none" w:sz="0" w:space="0" w:color="auto"/>
                                <w:left w:val="none" w:sz="0" w:space="0" w:color="auto"/>
                                <w:bottom w:val="none" w:sz="0" w:space="0" w:color="auto"/>
                                <w:right w:val="none" w:sz="0" w:space="0" w:color="auto"/>
                              </w:divBdr>
                              <w:divsChild>
                                <w:div w:id="622005663">
                                  <w:marLeft w:val="0"/>
                                  <w:marRight w:val="0"/>
                                  <w:marTop w:val="0"/>
                                  <w:marBottom w:val="0"/>
                                  <w:divBdr>
                                    <w:top w:val="none" w:sz="0" w:space="0" w:color="auto"/>
                                    <w:left w:val="none" w:sz="0" w:space="0" w:color="auto"/>
                                    <w:bottom w:val="none" w:sz="0" w:space="0" w:color="auto"/>
                                    <w:right w:val="none" w:sz="0" w:space="0" w:color="auto"/>
                                  </w:divBdr>
                                  <w:divsChild>
                                    <w:div w:id="859204787">
                                      <w:marLeft w:val="0"/>
                                      <w:marRight w:val="0"/>
                                      <w:marTop w:val="0"/>
                                      <w:marBottom w:val="0"/>
                                      <w:divBdr>
                                        <w:top w:val="none" w:sz="0" w:space="0" w:color="auto"/>
                                        <w:left w:val="none" w:sz="0" w:space="0" w:color="auto"/>
                                        <w:bottom w:val="none" w:sz="0" w:space="0" w:color="auto"/>
                                        <w:right w:val="none" w:sz="0" w:space="0" w:color="auto"/>
                                      </w:divBdr>
                                      <w:divsChild>
                                        <w:div w:id="110762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1574359">
      <w:bodyDiv w:val="1"/>
      <w:marLeft w:val="0"/>
      <w:marRight w:val="0"/>
      <w:marTop w:val="0"/>
      <w:marBottom w:val="0"/>
      <w:divBdr>
        <w:top w:val="none" w:sz="0" w:space="0" w:color="auto"/>
        <w:left w:val="none" w:sz="0" w:space="0" w:color="auto"/>
        <w:bottom w:val="none" w:sz="0" w:space="0" w:color="auto"/>
        <w:right w:val="none" w:sz="0" w:space="0" w:color="auto"/>
      </w:divBdr>
    </w:div>
    <w:div w:id="1357653825">
      <w:bodyDiv w:val="1"/>
      <w:marLeft w:val="0"/>
      <w:marRight w:val="0"/>
      <w:marTop w:val="0"/>
      <w:marBottom w:val="0"/>
      <w:divBdr>
        <w:top w:val="none" w:sz="0" w:space="0" w:color="auto"/>
        <w:left w:val="none" w:sz="0" w:space="0" w:color="auto"/>
        <w:bottom w:val="none" w:sz="0" w:space="0" w:color="auto"/>
        <w:right w:val="none" w:sz="0" w:space="0" w:color="auto"/>
      </w:divBdr>
    </w:div>
    <w:div w:id="1450006191">
      <w:bodyDiv w:val="1"/>
      <w:marLeft w:val="0"/>
      <w:marRight w:val="0"/>
      <w:marTop w:val="0"/>
      <w:marBottom w:val="0"/>
      <w:divBdr>
        <w:top w:val="none" w:sz="0" w:space="0" w:color="auto"/>
        <w:left w:val="none" w:sz="0" w:space="0" w:color="auto"/>
        <w:bottom w:val="none" w:sz="0" w:space="0" w:color="auto"/>
        <w:right w:val="none" w:sz="0" w:space="0" w:color="auto"/>
      </w:divBdr>
      <w:divsChild>
        <w:div w:id="877820074">
          <w:marLeft w:val="0"/>
          <w:marRight w:val="0"/>
          <w:marTop w:val="0"/>
          <w:marBottom w:val="0"/>
          <w:divBdr>
            <w:top w:val="none" w:sz="0" w:space="0" w:color="auto"/>
            <w:left w:val="none" w:sz="0" w:space="0" w:color="auto"/>
            <w:bottom w:val="none" w:sz="0" w:space="0" w:color="auto"/>
            <w:right w:val="none" w:sz="0" w:space="0" w:color="auto"/>
          </w:divBdr>
        </w:div>
      </w:divsChild>
    </w:div>
    <w:div w:id="1646351925">
      <w:bodyDiv w:val="1"/>
      <w:marLeft w:val="0"/>
      <w:marRight w:val="0"/>
      <w:marTop w:val="0"/>
      <w:marBottom w:val="0"/>
      <w:divBdr>
        <w:top w:val="none" w:sz="0" w:space="0" w:color="auto"/>
        <w:left w:val="none" w:sz="0" w:space="0" w:color="auto"/>
        <w:bottom w:val="none" w:sz="0" w:space="0" w:color="auto"/>
        <w:right w:val="none" w:sz="0" w:space="0" w:color="auto"/>
      </w:divBdr>
    </w:div>
    <w:div w:id="1755975649">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0003743">
      <w:bodyDiv w:val="1"/>
      <w:marLeft w:val="0"/>
      <w:marRight w:val="0"/>
      <w:marTop w:val="0"/>
      <w:marBottom w:val="0"/>
      <w:divBdr>
        <w:top w:val="none" w:sz="0" w:space="0" w:color="auto"/>
        <w:left w:val="none" w:sz="0" w:space="0" w:color="auto"/>
        <w:bottom w:val="none" w:sz="0" w:space="0" w:color="auto"/>
        <w:right w:val="none" w:sz="0" w:space="0" w:color="auto"/>
      </w:divBdr>
      <w:divsChild>
        <w:div w:id="767655073">
          <w:marLeft w:val="0"/>
          <w:marRight w:val="0"/>
          <w:marTop w:val="0"/>
          <w:marBottom w:val="0"/>
          <w:divBdr>
            <w:top w:val="none" w:sz="0" w:space="0" w:color="auto"/>
            <w:left w:val="none" w:sz="0" w:space="0" w:color="auto"/>
            <w:bottom w:val="none" w:sz="0" w:space="0" w:color="auto"/>
            <w:right w:val="none" w:sz="0" w:space="0" w:color="auto"/>
          </w:divBdr>
        </w:div>
        <w:div w:id="1626814703">
          <w:marLeft w:val="0"/>
          <w:marRight w:val="0"/>
          <w:marTop w:val="0"/>
          <w:marBottom w:val="0"/>
          <w:divBdr>
            <w:top w:val="none" w:sz="0" w:space="0" w:color="auto"/>
            <w:left w:val="none" w:sz="0" w:space="0" w:color="auto"/>
            <w:bottom w:val="none" w:sz="0" w:space="0" w:color="auto"/>
            <w:right w:val="none" w:sz="0" w:space="0" w:color="auto"/>
          </w:divBdr>
        </w:div>
        <w:div w:id="1134443401">
          <w:marLeft w:val="0"/>
          <w:marRight w:val="0"/>
          <w:marTop w:val="0"/>
          <w:marBottom w:val="0"/>
          <w:divBdr>
            <w:top w:val="none" w:sz="0" w:space="0" w:color="auto"/>
            <w:left w:val="none" w:sz="0" w:space="0" w:color="auto"/>
            <w:bottom w:val="none" w:sz="0" w:space="0" w:color="auto"/>
            <w:right w:val="none" w:sz="0" w:space="0" w:color="auto"/>
          </w:divBdr>
        </w:div>
        <w:div w:id="228153966">
          <w:marLeft w:val="0"/>
          <w:marRight w:val="0"/>
          <w:marTop w:val="0"/>
          <w:marBottom w:val="0"/>
          <w:divBdr>
            <w:top w:val="none" w:sz="0" w:space="0" w:color="auto"/>
            <w:left w:val="none" w:sz="0" w:space="0" w:color="auto"/>
            <w:bottom w:val="none" w:sz="0" w:space="0" w:color="auto"/>
            <w:right w:val="none" w:sz="0" w:space="0" w:color="auto"/>
          </w:divBdr>
        </w:div>
        <w:div w:id="1658072371">
          <w:marLeft w:val="0"/>
          <w:marRight w:val="0"/>
          <w:marTop w:val="0"/>
          <w:marBottom w:val="0"/>
          <w:divBdr>
            <w:top w:val="none" w:sz="0" w:space="0" w:color="auto"/>
            <w:left w:val="none" w:sz="0" w:space="0" w:color="auto"/>
            <w:bottom w:val="none" w:sz="0" w:space="0" w:color="auto"/>
            <w:right w:val="none" w:sz="0" w:space="0" w:color="auto"/>
          </w:divBdr>
        </w:div>
        <w:div w:id="627473343">
          <w:marLeft w:val="0"/>
          <w:marRight w:val="0"/>
          <w:marTop w:val="0"/>
          <w:marBottom w:val="0"/>
          <w:divBdr>
            <w:top w:val="none" w:sz="0" w:space="0" w:color="auto"/>
            <w:left w:val="none" w:sz="0" w:space="0" w:color="auto"/>
            <w:bottom w:val="none" w:sz="0" w:space="0" w:color="auto"/>
            <w:right w:val="none" w:sz="0" w:space="0" w:color="auto"/>
          </w:divBdr>
        </w:div>
      </w:divsChild>
    </w:div>
    <w:div w:id="1863204573">
      <w:bodyDiv w:val="1"/>
      <w:marLeft w:val="0"/>
      <w:marRight w:val="0"/>
      <w:marTop w:val="0"/>
      <w:marBottom w:val="0"/>
      <w:divBdr>
        <w:top w:val="none" w:sz="0" w:space="0" w:color="auto"/>
        <w:left w:val="none" w:sz="0" w:space="0" w:color="auto"/>
        <w:bottom w:val="none" w:sz="0" w:space="0" w:color="auto"/>
        <w:right w:val="none" w:sz="0" w:space="0" w:color="auto"/>
      </w:divBdr>
    </w:div>
    <w:div w:id="1879509757">
      <w:bodyDiv w:val="1"/>
      <w:marLeft w:val="0"/>
      <w:marRight w:val="0"/>
      <w:marTop w:val="0"/>
      <w:marBottom w:val="0"/>
      <w:divBdr>
        <w:top w:val="none" w:sz="0" w:space="0" w:color="auto"/>
        <w:left w:val="none" w:sz="0" w:space="0" w:color="auto"/>
        <w:bottom w:val="none" w:sz="0" w:space="0" w:color="auto"/>
        <w:right w:val="none" w:sz="0" w:space="0" w:color="auto"/>
      </w:divBdr>
    </w:div>
    <w:div w:id="1951158354">
      <w:bodyDiv w:val="1"/>
      <w:marLeft w:val="0"/>
      <w:marRight w:val="0"/>
      <w:marTop w:val="0"/>
      <w:marBottom w:val="0"/>
      <w:divBdr>
        <w:top w:val="none" w:sz="0" w:space="0" w:color="auto"/>
        <w:left w:val="none" w:sz="0" w:space="0" w:color="auto"/>
        <w:bottom w:val="none" w:sz="0" w:space="0" w:color="auto"/>
        <w:right w:val="none" w:sz="0" w:space="0" w:color="auto"/>
      </w:divBdr>
      <w:divsChild>
        <w:div w:id="1000886464">
          <w:marLeft w:val="0"/>
          <w:marRight w:val="0"/>
          <w:marTop w:val="0"/>
          <w:marBottom w:val="0"/>
          <w:divBdr>
            <w:top w:val="none" w:sz="0" w:space="0" w:color="auto"/>
            <w:left w:val="none" w:sz="0" w:space="0" w:color="auto"/>
            <w:bottom w:val="none" w:sz="0" w:space="0" w:color="auto"/>
            <w:right w:val="none" w:sz="0" w:space="0" w:color="auto"/>
          </w:divBdr>
          <w:divsChild>
            <w:div w:id="637539221">
              <w:marLeft w:val="0"/>
              <w:marRight w:val="0"/>
              <w:marTop w:val="0"/>
              <w:marBottom w:val="0"/>
              <w:divBdr>
                <w:top w:val="none" w:sz="0" w:space="0" w:color="auto"/>
                <w:left w:val="none" w:sz="0" w:space="0" w:color="auto"/>
                <w:bottom w:val="none" w:sz="0" w:space="0" w:color="auto"/>
                <w:right w:val="none" w:sz="0" w:space="0" w:color="auto"/>
              </w:divBdr>
              <w:divsChild>
                <w:div w:id="408615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65847747">
      <w:bodyDiv w:val="1"/>
      <w:marLeft w:val="0"/>
      <w:marRight w:val="0"/>
      <w:marTop w:val="0"/>
      <w:marBottom w:val="0"/>
      <w:divBdr>
        <w:top w:val="none" w:sz="0" w:space="0" w:color="auto"/>
        <w:left w:val="none" w:sz="0" w:space="0" w:color="auto"/>
        <w:bottom w:val="none" w:sz="0" w:space="0" w:color="auto"/>
        <w:right w:val="none" w:sz="0" w:space="0" w:color="auto"/>
      </w:divBdr>
      <w:divsChild>
        <w:div w:id="1438209429">
          <w:marLeft w:val="0"/>
          <w:marRight w:val="0"/>
          <w:marTop w:val="0"/>
          <w:marBottom w:val="0"/>
          <w:divBdr>
            <w:top w:val="none" w:sz="0" w:space="0" w:color="auto"/>
            <w:left w:val="none" w:sz="0" w:space="0" w:color="auto"/>
            <w:bottom w:val="none" w:sz="0" w:space="0" w:color="auto"/>
            <w:right w:val="none" w:sz="0" w:space="0" w:color="auto"/>
          </w:divBdr>
          <w:divsChild>
            <w:div w:id="1718896183">
              <w:marLeft w:val="0"/>
              <w:marRight w:val="0"/>
              <w:marTop w:val="0"/>
              <w:marBottom w:val="0"/>
              <w:divBdr>
                <w:top w:val="none" w:sz="0" w:space="0" w:color="auto"/>
                <w:left w:val="none" w:sz="0" w:space="0" w:color="auto"/>
                <w:bottom w:val="none" w:sz="0" w:space="0" w:color="auto"/>
                <w:right w:val="none" w:sz="0" w:space="0" w:color="auto"/>
              </w:divBdr>
            </w:div>
            <w:div w:id="131571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60237">
      <w:bodyDiv w:val="1"/>
      <w:marLeft w:val="0"/>
      <w:marRight w:val="0"/>
      <w:marTop w:val="0"/>
      <w:marBottom w:val="0"/>
      <w:divBdr>
        <w:top w:val="none" w:sz="0" w:space="0" w:color="auto"/>
        <w:left w:val="none" w:sz="0" w:space="0" w:color="auto"/>
        <w:bottom w:val="none" w:sz="0" w:space="0" w:color="auto"/>
        <w:right w:val="none" w:sz="0" w:space="0" w:color="auto"/>
      </w:divBdr>
    </w:div>
    <w:div w:id="2075160282">
      <w:bodyDiv w:val="1"/>
      <w:marLeft w:val="0"/>
      <w:marRight w:val="0"/>
      <w:marTop w:val="0"/>
      <w:marBottom w:val="0"/>
      <w:divBdr>
        <w:top w:val="none" w:sz="0" w:space="0" w:color="auto"/>
        <w:left w:val="none" w:sz="0" w:space="0" w:color="auto"/>
        <w:bottom w:val="none" w:sz="0" w:space="0" w:color="auto"/>
        <w:right w:val="none" w:sz="0" w:space="0" w:color="auto"/>
      </w:divBdr>
    </w:div>
    <w:div w:id="2106148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revisor.mo.gov/main/OneSection.aspx?section=579" TargetMode="External"/><Relationship Id="rId3" Type="http://schemas.openxmlformats.org/officeDocument/2006/relationships/styles" Target="styles.xml"/><Relationship Id="rId21" Type="http://schemas.openxmlformats.org/officeDocument/2006/relationships/hyperlink" Target="http://revisor.mo.gov/main/OneSection.aspx?section=578.421"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revisor.mo.gov/main/OneChapter.aspx?chapter=195" TargetMode="External"/><Relationship Id="rId2" Type="http://schemas.openxmlformats.org/officeDocument/2006/relationships/numbering" Target="numbering.xml"/><Relationship Id="rId16" Type="http://schemas.openxmlformats.org/officeDocument/2006/relationships/hyperlink" Target="http://revisor.mo.gov/main/OneSection.aspx?section=579" TargetMode="External"/><Relationship Id="rId20" Type="http://schemas.openxmlformats.org/officeDocument/2006/relationships/hyperlink" Target="http://revisor.mo.gov/main/OneSection.aspx?section=57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revisor.mo.gov/main/OneChapter.aspx?chapter=195"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revisor.mo.gov/main/OneChapter.aspx?chapter=195"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seattletimes.com/nation-world/ex-missouri-death-row-inmate-re-sentenced-to-life-in-prison/" TargetMode="External"/><Relationship Id="rId2" Type="http://schemas.openxmlformats.org/officeDocument/2006/relationships/hyperlink" Target="https://www.bnd.com/news/local/crime/article190391684.html" TargetMode="External"/><Relationship Id="rId1" Type="http://schemas.openxmlformats.org/officeDocument/2006/relationships/hyperlink" Target="https://caselaw.findlaw.com/mo-court-of-appeals/1862318.html" TargetMode="External"/><Relationship Id="rId4" Type="http://schemas.openxmlformats.org/officeDocument/2006/relationships/hyperlink" Target="http://www.nydailynews.com/news/crime/ny-news-clemons-sisters-parole-20180925-story.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BFBFF-3784-7446-A797-385571C19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9744</Words>
  <Characters>50480</Characters>
  <Application>Microsoft Office Word</Application>
  <DocSecurity>0</DocSecurity>
  <Lines>827</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462/21</dc:title>
  <dc:creator/>
  <cp:lastModifiedBy/>
  <cp:revision>1</cp:revision>
  <dcterms:created xsi:type="dcterms:W3CDTF">2022-04-04T15:59:00Z</dcterms:created>
  <dcterms:modified xsi:type="dcterms:W3CDTF">2022-04-04T15:59:00Z</dcterms:modified>
</cp:coreProperties>
</file>