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6BCF" w14:textId="77777777" w:rsidR="00F3633B" w:rsidRDefault="00F3633B" w:rsidP="001E4D7D">
      <w:pPr>
        <w:jc w:val="both"/>
        <w:rPr>
          <w:rFonts w:asciiTheme="majorHAnsi" w:hAnsiTheme="majorHAnsi" w:cs="Univers"/>
          <w:b/>
          <w:bCs/>
          <w:sz w:val="20"/>
          <w:szCs w:val="20"/>
          <w:lang w:val="es-ES_tradnl"/>
        </w:rPr>
      </w:pPr>
    </w:p>
    <w:p w14:paraId="665C9D5E" w14:textId="77777777" w:rsidR="00040C3A" w:rsidRPr="00224AA7" w:rsidRDefault="007B1494" w:rsidP="001E4D7D">
      <w:pPr>
        <w:jc w:val="both"/>
        <w:rPr>
          <w:rFonts w:asciiTheme="majorHAnsi" w:hAnsiTheme="majorHAnsi" w:cs="Univers"/>
          <w:b/>
          <w:bCs/>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360FBA3" wp14:editId="5AA256E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75B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" fillcolor="#67ae3c" stroked="f" strokeweight="2pt"/>
            </w:pict>
          </mc:Fallback>
        </mc:AlternateContent>
      </w: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0EBFE8F" wp14:editId="1891815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7495F" w14:textId="77777777" w:rsidR="00445CCB" w:rsidRDefault="00445CCB">
                            <w:r>
                              <w:rPr>
                                <w:noProof/>
                              </w:rPr>
                              <w:drawing>
                                <wp:inline distT="0" distB="0" distL="0" distR="0" wp14:anchorId="3E8B633F" wp14:editId="046B500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BFE8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" filled="f" stroked="f" strokeweight=".5pt">
                <v:textbox>
                  <w:txbxContent>
                    <w:p w14:paraId="4C57495F" w14:textId="77777777" w:rsidR="00445CCB" w:rsidRDefault="00445CCB">
                      <w:r>
                        <w:rPr>
                          <w:noProof/>
                        </w:rPr>
                        <w:drawing>
                          <wp:inline distT="0" distB="0" distL="0" distR="0" wp14:anchorId="3E8B633F" wp14:editId="046B500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A0E1B32" w14:textId="77777777" w:rsidR="00040C3A" w:rsidRPr="00224AA7" w:rsidRDefault="00040C3A" w:rsidP="00040C3A">
      <w:pPr>
        <w:tabs>
          <w:tab w:val="center" w:pos="5400"/>
        </w:tabs>
        <w:suppressAutoHyphens/>
        <w:jc w:val="both"/>
        <w:rPr>
          <w:rFonts w:asciiTheme="majorHAnsi" w:hAnsiTheme="majorHAnsi"/>
          <w:sz w:val="20"/>
          <w:szCs w:val="20"/>
          <w:lang w:val="es-ES"/>
        </w:rPr>
      </w:pPr>
    </w:p>
    <w:p w14:paraId="5A360882" w14:textId="77777777" w:rsidR="00040C3A" w:rsidRPr="00224AA7" w:rsidRDefault="00040C3A" w:rsidP="00040C3A">
      <w:pPr>
        <w:tabs>
          <w:tab w:val="center" w:pos="5400"/>
        </w:tabs>
        <w:suppressAutoHyphens/>
        <w:jc w:val="both"/>
        <w:rPr>
          <w:rFonts w:asciiTheme="majorHAnsi" w:hAnsiTheme="majorHAnsi"/>
          <w:sz w:val="20"/>
          <w:szCs w:val="20"/>
          <w:lang w:val="es-ES"/>
        </w:rPr>
      </w:pPr>
    </w:p>
    <w:p w14:paraId="65F137AB" w14:textId="77777777" w:rsidR="005128E4" w:rsidRPr="00224AA7" w:rsidRDefault="005128E4" w:rsidP="00040C3A">
      <w:pPr>
        <w:tabs>
          <w:tab w:val="center" w:pos="5400"/>
        </w:tabs>
        <w:suppressAutoHyphens/>
        <w:rPr>
          <w:rFonts w:asciiTheme="majorHAnsi" w:hAnsiTheme="majorHAnsi"/>
          <w:sz w:val="20"/>
          <w:szCs w:val="20"/>
          <w:lang w:val="es-ES_tradnl"/>
        </w:rPr>
      </w:pPr>
    </w:p>
    <w:p w14:paraId="71F19028" w14:textId="77777777" w:rsidR="005128E4" w:rsidRPr="00224AA7" w:rsidRDefault="005128E4" w:rsidP="00040C3A">
      <w:pPr>
        <w:tabs>
          <w:tab w:val="center" w:pos="5400"/>
        </w:tabs>
        <w:suppressAutoHyphens/>
        <w:rPr>
          <w:rFonts w:asciiTheme="majorHAnsi" w:hAnsiTheme="majorHAnsi"/>
          <w:sz w:val="20"/>
          <w:szCs w:val="20"/>
          <w:lang w:val="es-ES_tradnl"/>
        </w:rPr>
      </w:pPr>
    </w:p>
    <w:p w14:paraId="5B344418" w14:textId="77777777" w:rsidR="005128E4" w:rsidRPr="00224AA7" w:rsidRDefault="005128E4" w:rsidP="00040C3A">
      <w:pPr>
        <w:tabs>
          <w:tab w:val="center" w:pos="5400"/>
        </w:tabs>
        <w:suppressAutoHyphens/>
        <w:rPr>
          <w:rFonts w:asciiTheme="majorHAnsi" w:hAnsiTheme="majorHAnsi"/>
          <w:sz w:val="20"/>
          <w:szCs w:val="20"/>
          <w:lang w:val="es-ES_tradnl"/>
        </w:rPr>
      </w:pPr>
    </w:p>
    <w:p w14:paraId="7F252668" w14:textId="77777777" w:rsidR="00040C3A" w:rsidRPr="00224AA7" w:rsidRDefault="00040C3A" w:rsidP="005128E4">
      <w:pPr>
        <w:tabs>
          <w:tab w:val="center" w:pos="5400"/>
        </w:tabs>
        <w:suppressAutoHyphens/>
        <w:jc w:val="center"/>
        <w:rPr>
          <w:rFonts w:asciiTheme="majorHAnsi" w:hAnsiTheme="majorHAnsi"/>
          <w:sz w:val="20"/>
          <w:szCs w:val="20"/>
          <w:lang w:val="es-ES_tradnl"/>
        </w:rPr>
      </w:pPr>
    </w:p>
    <w:p w14:paraId="4F3F4DE1" w14:textId="77777777" w:rsidR="00040C3A" w:rsidRPr="00224AA7" w:rsidRDefault="007B1494" w:rsidP="005128E4">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211C2586" wp14:editId="4FD858A0">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C613F" w14:textId="77777777" w:rsidR="00445CCB" w:rsidRDefault="00445CCB" w:rsidP="004B7EB6">
                            <w:pPr>
                              <w:spacing w:line="276" w:lineRule="auto"/>
                              <w:rPr>
                                <w:rFonts w:asciiTheme="majorHAnsi" w:hAnsiTheme="majorHAnsi" w:cs="Arial"/>
                                <w:b/>
                                <w:bCs/>
                                <w:color w:val="0D0D0D" w:themeColor="text1" w:themeTint="F2"/>
                                <w:sz w:val="36"/>
                                <w:szCs w:val="40"/>
                              </w:rPr>
                            </w:pPr>
                          </w:p>
                          <w:p w14:paraId="7A3B8FD1" w14:textId="77777777" w:rsidR="00445CCB" w:rsidRDefault="00445CCB" w:rsidP="004B7EB6">
                            <w:pPr>
                              <w:spacing w:line="276" w:lineRule="auto"/>
                              <w:rPr>
                                <w:rFonts w:asciiTheme="majorHAnsi" w:hAnsiTheme="majorHAnsi" w:cs="Arial"/>
                                <w:b/>
                                <w:bCs/>
                                <w:color w:val="0D0D0D" w:themeColor="text1" w:themeTint="F2"/>
                                <w:sz w:val="36"/>
                                <w:szCs w:val="40"/>
                              </w:rPr>
                            </w:pPr>
                          </w:p>
                          <w:p w14:paraId="5A092E46" w14:textId="77777777" w:rsidR="00445CCB" w:rsidRDefault="00445CCB" w:rsidP="004B7EB6">
                            <w:pPr>
                              <w:spacing w:line="276" w:lineRule="auto"/>
                              <w:rPr>
                                <w:rFonts w:asciiTheme="majorHAnsi" w:hAnsiTheme="majorHAnsi" w:cs="Arial"/>
                                <w:b/>
                                <w:bCs/>
                                <w:color w:val="0D0D0D" w:themeColor="text1" w:themeTint="F2"/>
                                <w:sz w:val="36"/>
                                <w:szCs w:val="40"/>
                              </w:rPr>
                            </w:pPr>
                          </w:p>
                          <w:p w14:paraId="2D411C41" w14:textId="77777777" w:rsidR="00445CCB" w:rsidRDefault="00445CCB" w:rsidP="004B7EB6">
                            <w:pPr>
                              <w:spacing w:line="276" w:lineRule="auto"/>
                              <w:rPr>
                                <w:rFonts w:asciiTheme="majorHAnsi" w:hAnsiTheme="majorHAnsi" w:cs="Arial"/>
                                <w:b/>
                                <w:bCs/>
                                <w:color w:val="0D0D0D" w:themeColor="text1" w:themeTint="F2"/>
                                <w:sz w:val="36"/>
                                <w:szCs w:val="40"/>
                              </w:rPr>
                            </w:pPr>
                          </w:p>
                          <w:p w14:paraId="35E5C7E0" w14:textId="2843548F" w:rsidR="00445CCB" w:rsidRPr="004B7EB6" w:rsidRDefault="00445CC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B475B">
                              <w:rPr>
                                <w:rFonts w:asciiTheme="majorHAnsi" w:hAnsiTheme="majorHAnsi" w:cs="Arial"/>
                                <w:b/>
                                <w:bCs/>
                                <w:color w:val="0D0D0D" w:themeColor="text1" w:themeTint="F2"/>
                                <w:sz w:val="36"/>
                                <w:szCs w:val="40"/>
                              </w:rPr>
                              <w:t>461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4B31A32F" w14:textId="77777777" w:rsidR="00445CCB" w:rsidRPr="004B7EB6" w:rsidRDefault="00445CC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13.394</w:t>
                            </w:r>
                          </w:p>
                          <w:p w14:paraId="4A4E0E80" w14:textId="0B0EEC41" w:rsidR="00445CCB" w:rsidRPr="004B7EB6" w:rsidRDefault="00445CCB" w:rsidP="00F45EBF">
                            <w:pPr>
                              <w:spacing w:line="276" w:lineRule="auto"/>
                              <w:rPr>
                                <w:rFonts w:asciiTheme="majorHAnsi" w:hAnsiTheme="majorHAnsi" w:cs="Arial"/>
                                <w:color w:val="0D0D0D" w:themeColor="text1" w:themeTint="F2"/>
                                <w:szCs w:val="22"/>
                              </w:rPr>
                            </w:pPr>
                            <w:r w:rsidRPr="003676F1">
                              <w:rPr>
                                <w:rFonts w:asciiTheme="majorHAnsi" w:hAnsiTheme="majorHAnsi" w:cs="Arial"/>
                                <w:color w:val="0D0D0D" w:themeColor="text1" w:themeTint="F2"/>
                                <w:szCs w:val="22"/>
                              </w:rPr>
                              <w:t>REPORT ON ADMISSIBILITY AND MERITS</w:t>
                            </w:r>
                            <w:r w:rsidRPr="004B7EB6">
                              <w:rPr>
                                <w:rFonts w:asciiTheme="majorHAnsi" w:hAnsiTheme="majorHAnsi" w:cs="Arial"/>
                                <w:color w:val="0D0D0D" w:themeColor="text1" w:themeTint="F2"/>
                                <w:szCs w:val="22"/>
                              </w:rPr>
                              <w:t xml:space="preserve"> </w:t>
                            </w:r>
                            <w:r>
                              <w:rPr>
                                <w:rFonts w:asciiTheme="majorHAnsi" w:hAnsiTheme="majorHAnsi" w:cs="Arial"/>
                                <w:color w:val="0D0D0D" w:themeColor="text1" w:themeTint="F2"/>
                                <w:szCs w:val="22"/>
                              </w:rPr>
                              <w:t>(</w:t>
                            </w:r>
                            <w:r w:rsidRPr="00DB475B">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2F8F28D5" w14:textId="77777777" w:rsidR="00445CCB" w:rsidRPr="004B7EB6" w:rsidRDefault="00445CCB" w:rsidP="004B7EB6">
                            <w:pPr>
                              <w:spacing w:line="276" w:lineRule="auto"/>
                              <w:rPr>
                                <w:rFonts w:asciiTheme="majorHAnsi" w:hAnsiTheme="majorHAnsi" w:cs="Arial"/>
                                <w:color w:val="0D0D0D" w:themeColor="text1" w:themeTint="F2"/>
                                <w:szCs w:val="22"/>
                              </w:rPr>
                            </w:pPr>
                          </w:p>
                          <w:p w14:paraId="221E2F2D" w14:textId="77777777" w:rsidR="00445CCB" w:rsidRPr="00444596" w:rsidRDefault="00445CC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PETE CARL ROGOVICH</w:t>
                            </w:r>
                          </w:p>
                          <w:p w14:paraId="7B0482DF" w14:textId="77777777" w:rsidR="00445CCB" w:rsidRDefault="00445CC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771DA7AF" w14:textId="77777777" w:rsidR="00445CCB" w:rsidRPr="00E57833" w:rsidRDefault="00445CCB"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C2586"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514C613F" w14:textId="77777777" w:rsidR="00445CCB" w:rsidRDefault="00445CCB" w:rsidP="004B7EB6">
                      <w:pPr>
                        <w:spacing w:line="276" w:lineRule="auto"/>
                        <w:rPr>
                          <w:rFonts w:asciiTheme="majorHAnsi" w:hAnsiTheme="majorHAnsi" w:cs="Arial"/>
                          <w:b/>
                          <w:bCs/>
                          <w:color w:val="0D0D0D" w:themeColor="text1" w:themeTint="F2"/>
                          <w:sz w:val="36"/>
                          <w:szCs w:val="40"/>
                        </w:rPr>
                      </w:pPr>
                    </w:p>
                    <w:p w14:paraId="7A3B8FD1" w14:textId="77777777" w:rsidR="00445CCB" w:rsidRDefault="00445CCB" w:rsidP="004B7EB6">
                      <w:pPr>
                        <w:spacing w:line="276" w:lineRule="auto"/>
                        <w:rPr>
                          <w:rFonts w:asciiTheme="majorHAnsi" w:hAnsiTheme="majorHAnsi" w:cs="Arial"/>
                          <w:b/>
                          <w:bCs/>
                          <w:color w:val="0D0D0D" w:themeColor="text1" w:themeTint="F2"/>
                          <w:sz w:val="36"/>
                          <w:szCs w:val="40"/>
                        </w:rPr>
                      </w:pPr>
                    </w:p>
                    <w:p w14:paraId="5A092E46" w14:textId="77777777" w:rsidR="00445CCB" w:rsidRDefault="00445CCB" w:rsidP="004B7EB6">
                      <w:pPr>
                        <w:spacing w:line="276" w:lineRule="auto"/>
                        <w:rPr>
                          <w:rFonts w:asciiTheme="majorHAnsi" w:hAnsiTheme="majorHAnsi" w:cs="Arial"/>
                          <w:b/>
                          <w:bCs/>
                          <w:color w:val="0D0D0D" w:themeColor="text1" w:themeTint="F2"/>
                          <w:sz w:val="36"/>
                          <w:szCs w:val="40"/>
                        </w:rPr>
                      </w:pPr>
                    </w:p>
                    <w:p w14:paraId="2D411C41" w14:textId="77777777" w:rsidR="00445CCB" w:rsidRDefault="00445CCB" w:rsidP="004B7EB6">
                      <w:pPr>
                        <w:spacing w:line="276" w:lineRule="auto"/>
                        <w:rPr>
                          <w:rFonts w:asciiTheme="majorHAnsi" w:hAnsiTheme="majorHAnsi" w:cs="Arial"/>
                          <w:b/>
                          <w:bCs/>
                          <w:color w:val="0D0D0D" w:themeColor="text1" w:themeTint="F2"/>
                          <w:sz w:val="36"/>
                          <w:szCs w:val="40"/>
                        </w:rPr>
                      </w:pPr>
                    </w:p>
                    <w:p w14:paraId="35E5C7E0" w14:textId="2843548F" w:rsidR="00445CCB" w:rsidRPr="004B7EB6" w:rsidRDefault="00445CC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B475B">
                        <w:rPr>
                          <w:rFonts w:asciiTheme="majorHAnsi" w:hAnsiTheme="majorHAnsi" w:cs="Arial"/>
                          <w:b/>
                          <w:bCs/>
                          <w:color w:val="0D0D0D" w:themeColor="text1" w:themeTint="F2"/>
                          <w:sz w:val="36"/>
                          <w:szCs w:val="40"/>
                        </w:rPr>
                        <w:t>461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4B31A32F" w14:textId="77777777" w:rsidR="00445CCB" w:rsidRPr="004B7EB6" w:rsidRDefault="00445CC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13.394</w:t>
                      </w:r>
                    </w:p>
                    <w:p w14:paraId="4A4E0E80" w14:textId="0B0EEC41" w:rsidR="00445CCB" w:rsidRPr="004B7EB6" w:rsidRDefault="00445CCB" w:rsidP="00F45EBF">
                      <w:pPr>
                        <w:spacing w:line="276" w:lineRule="auto"/>
                        <w:rPr>
                          <w:rFonts w:asciiTheme="majorHAnsi" w:hAnsiTheme="majorHAnsi" w:cs="Arial"/>
                          <w:color w:val="0D0D0D" w:themeColor="text1" w:themeTint="F2"/>
                          <w:szCs w:val="22"/>
                        </w:rPr>
                      </w:pPr>
                      <w:r w:rsidRPr="003676F1">
                        <w:rPr>
                          <w:rFonts w:asciiTheme="majorHAnsi" w:hAnsiTheme="majorHAnsi" w:cs="Arial"/>
                          <w:color w:val="0D0D0D" w:themeColor="text1" w:themeTint="F2"/>
                          <w:szCs w:val="22"/>
                        </w:rPr>
                        <w:t>REPORT ON ADMISSIBILITY AND MERITS</w:t>
                      </w:r>
                      <w:r w:rsidRPr="004B7EB6">
                        <w:rPr>
                          <w:rFonts w:asciiTheme="majorHAnsi" w:hAnsiTheme="majorHAnsi" w:cs="Arial"/>
                          <w:color w:val="0D0D0D" w:themeColor="text1" w:themeTint="F2"/>
                          <w:szCs w:val="22"/>
                        </w:rPr>
                        <w:t xml:space="preserve"> </w:t>
                      </w:r>
                      <w:r>
                        <w:rPr>
                          <w:rFonts w:asciiTheme="majorHAnsi" w:hAnsiTheme="majorHAnsi" w:cs="Arial"/>
                          <w:color w:val="0D0D0D" w:themeColor="text1" w:themeTint="F2"/>
                          <w:szCs w:val="22"/>
                        </w:rPr>
                        <w:t>(</w:t>
                      </w:r>
                      <w:r w:rsidRPr="00DB475B">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2F8F28D5" w14:textId="77777777" w:rsidR="00445CCB" w:rsidRPr="004B7EB6" w:rsidRDefault="00445CCB" w:rsidP="004B7EB6">
                      <w:pPr>
                        <w:spacing w:line="276" w:lineRule="auto"/>
                        <w:rPr>
                          <w:rFonts w:asciiTheme="majorHAnsi" w:hAnsiTheme="majorHAnsi" w:cs="Arial"/>
                          <w:color w:val="0D0D0D" w:themeColor="text1" w:themeTint="F2"/>
                          <w:szCs w:val="22"/>
                        </w:rPr>
                      </w:pPr>
                    </w:p>
                    <w:p w14:paraId="221E2F2D" w14:textId="77777777" w:rsidR="00445CCB" w:rsidRPr="00444596" w:rsidRDefault="00445CC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PETE CARL ROGOVICH</w:t>
                      </w:r>
                    </w:p>
                    <w:p w14:paraId="7B0482DF" w14:textId="77777777" w:rsidR="00445CCB" w:rsidRDefault="00445CC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771DA7AF" w14:textId="77777777" w:rsidR="00445CCB" w:rsidRPr="00E57833" w:rsidRDefault="00445CCB" w:rsidP="008D2EA5">
                      <w:pPr>
                        <w:spacing w:line="276" w:lineRule="auto"/>
                        <w:jc w:val="both"/>
                        <w:rPr>
                          <w:rFonts w:asciiTheme="majorHAnsi" w:hAnsiTheme="majorHAnsi"/>
                          <w:color w:val="0D0D0D" w:themeColor="text1" w:themeTint="F2"/>
                        </w:rPr>
                      </w:pPr>
                    </w:p>
                  </w:txbxContent>
                </v:textbox>
              </v:shape>
            </w:pict>
          </mc:Fallback>
        </mc:AlternateContent>
      </w:r>
    </w:p>
    <w:p w14:paraId="4A9B925F" w14:textId="77777777" w:rsidR="005B52B0" w:rsidRPr="00224AA7" w:rsidRDefault="005B52B0" w:rsidP="005128E4">
      <w:pPr>
        <w:tabs>
          <w:tab w:val="center" w:pos="5400"/>
        </w:tabs>
        <w:suppressAutoHyphens/>
        <w:jc w:val="center"/>
        <w:rPr>
          <w:rFonts w:asciiTheme="majorHAnsi" w:hAnsiTheme="majorHAnsi"/>
          <w:sz w:val="20"/>
          <w:szCs w:val="20"/>
          <w:lang w:val="es-ES_tradnl"/>
        </w:rPr>
      </w:pPr>
    </w:p>
    <w:p w14:paraId="4D4B13FD" w14:textId="77777777" w:rsidR="005B52B0" w:rsidRPr="00224AA7" w:rsidRDefault="005B52B0" w:rsidP="005128E4">
      <w:pPr>
        <w:tabs>
          <w:tab w:val="center" w:pos="5400"/>
        </w:tabs>
        <w:suppressAutoHyphens/>
        <w:jc w:val="center"/>
        <w:rPr>
          <w:rFonts w:asciiTheme="majorHAnsi" w:hAnsiTheme="majorHAnsi"/>
          <w:sz w:val="20"/>
          <w:szCs w:val="20"/>
          <w:lang w:val="es-ES_tradnl"/>
        </w:rPr>
      </w:pPr>
    </w:p>
    <w:p w14:paraId="544AA3B4" w14:textId="77777777" w:rsidR="005B52B0" w:rsidRPr="00224AA7" w:rsidRDefault="005B52B0" w:rsidP="005128E4">
      <w:pPr>
        <w:tabs>
          <w:tab w:val="center" w:pos="5400"/>
        </w:tabs>
        <w:suppressAutoHyphens/>
        <w:jc w:val="center"/>
        <w:rPr>
          <w:rFonts w:asciiTheme="majorHAnsi" w:hAnsiTheme="majorHAnsi"/>
          <w:sz w:val="20"/>
          <w:szCs w:val="20"/>
          <w:lang w:val="es-ES_tradnl"/>
        </w:rPr>
      </w:pPr>
    </w:p>
    <w:p w14:paraId="4E772594"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4BE97BE7"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57431E4A"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44EDE0C3"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74D4778C" w14:textId="77777777" w:rsidR="00040C3A" w:rsidRPr="00224AA7" w:rsidRDefault="007B1494"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9CCCEE3" wp14:editId="0129AF5D">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18686" w14:textId="573B65CE" w:rsidR="00445CCB" w:rsidRPr="00EE1DBA" w:rsidRDefault="00445CCB" w:rsidP="002C1641">
                            <w:pPr>
                              <w:jc w:val="right"/>
                              <w:rPr>
                                <w:rFonts w:asciiTheme="minorHAnsi" w:hAnsiTheme="minorHAnsi"/>
                                <w:color w:val="FFFFFF" w:themeColor="background1"/>
                                <w:sz w:val="22"/>
                                <w:lang w:val="es-US"/>
                              </w:rPr>
                            </w:pPr>
                            <w:r w:rsidRPr="00EE1DBA">
                              <w:rPr>
                                <w:rFonts w:asciiTheme="minorHAnsi" w:hAnsiTheme="minorHAnsi"/>
                                <w:color w:val="FFFFFF" w:themeColor="background1"/>
                                <w:sz w:val="22"/>
                                <w:lang w:val="es-US"/>
                              </w:rPr>
                              <w:t>OEA/Ser.L/V/II</w:t>
                            </w:r>
                          </w:p>
                          <w:p w14:paraId="0002A43E" w14:textId="5F84E055" w:rsidR="00445CCB" w:rsidRPr="007A6C01" w:rsidRDefault="00445CCB" w:rsidP="002C1641">
                            <w:pPr>
                              <w:jc w:val="right"/>
                              <w:rPr>
                                <w:rFonts w:asciiTheme="minorHAnsi" w:hAnsiTheme="minorHAnsi"/>
                                <w:color w:val="FFFFFF" w:themeColor="background1"/>
                                <w:sz w:val="22"/>
                                <w:lang w:val="es-US"/>
                              </w:rPr>
                            </w:pPr>
                            <w:r w:rsidRPr="007A6C01">
                              <w:rPr>
                                <w:rFonts w:asciiTheme="minorHAnsi" w:hAnsiTheme="minorHAnsi"/>
                                <w:color w:val="FFFFFF" w:themeColor="background1"/>
                                <w:sz w:val="22"/>
                                <w:lang w:val="es-US"/>
                              </w:rPr>
                              <w:t xml:space="preserve">Doc. </w:t>
                            </w:r>
                            <w:r w:rsidR="00DB475B" w:rsidRPr="007A6C01">
                              <w:rPr>
                                <w:rFonts w:asciiTheme="minorHAnsi" w:hAnsiTheme="minorHAnsi"/>
                                <w:color w:val="FFFFFF" w:themeColor="background1"/>
                                <w:sz w:val="22"/>
                                <w:lang w:val="es-US"/>
                              </w:rPr>
                              <w:t>475</w:t>
                            </w:r>
                          </w:p>
                          <w:p w14:paraId="00637EAC" w14:textId="65034FB8" w:rsidR="00445CCB" w:rsidRPr="004B7EB6" w:rsidRDefault="00DB475B"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445CCB">
                              <w:rPr>
                                <w:rFonts w:asciiTheme="minorHAnsi" w:hAnsiTheme="minorHAnsi"/>
                                <w:color w:val="FFFFFF" w:themeColor="background1"/>
                                <w:sz w:val="22"/>
                              </w:rPr>
                              <w:t xml:space="preserve"> December 2021</w:t>
                            </w:r>
                          </w:p>
                          <w:p w14:paraId="03FF3D0B" w14:textId="77777777" w:rsidR="00445CCB" w:rsidRPr="004B7EB6" w:rsidRDefault="00445CC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CCEE3" id="_x0000_t202" coordsize="21600,21600" o:spt="202" path="m,l,21600r21600,l21600,xe">
                <v:stroke joinstyle="miter"/>
                <v:path gradientshapeok="t" o:connecttype="rect"/>
              </v:shapetype>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" filled="f" stroked="f" strokeweight=".5pt">
                <v:textbox>
                  <w:txbxContent>
                    <w:p w14:paraId="4D318686" w14:textId="573B65CE" w:rsidR="00445CCB" w:rsidRPr="00EE1DBA" w:rsidRDefault="00445CCB" w:rsidP="002C1641">
                      <w:pPr>
                        <w:jc w:val="right"/>
                        <w:rPr>
                          <w:rFonts w:asciiTheme="minorHAnsi" w:hAnsiTheme="minorHAnsi"/>
                          <w:color w:val="FFFFFF" w:themeColor="background1"/>
                          <w:sz w:val="22"/>
                          <w:lang w:val="es-US"/>
                        </w:rPr>
                      </w:pPr>
                      <w:r w:rsidRPr="00EE1DBA">
                        <w:rPr>
                          <w:rFonts w:asciiTheme="minorHAnsi" w:hAnsiTheme="minorHAnsi"/>
                          <w:color w:val="FFFFFF" w:themeColor="background1"/>
                          <w:sz w:val="22"/>
                          <w:lang w:val="es-US"/>
                        </w:rPr>
                        <w:t>OEA/Ser.L/V/II</w:t>
                      </w:r>
                    </w:p>
                    <w:p w14:paraId="0002A43E" w14:textId="5F84E055" w:rsidR="00445CCB" w:rsidRPr="007A6C01" w:rsidRDefault="00445CCB" w:rsidP="002C1641">
                      <w:pPr>
                        <w:jc w:val="right"/>
                        <w:rPr>
                          <w:rFonts w:asciiTheme="minorHAnsi" w:hAnsiTheme="minorHAnsi"/>
                          <w:color w:val="FFFFFF" w:themeColor="background1"/>
                          <w:sz w:val="22"/>
                          <w:lang w:val="es-US"/>
                        </w:rPr>
                      </w:pPr>
                      <w:r w:rsidRPr="007A6C01">
                        <w:rPr>
                          <w:rFonts w:asciiTheme="minorHAnsi" w:hAnsiTheme="minorHAnsi"/>
                          <w:color w:val="FFFFFF" w:themeColor="background1"/>
                          <w:sz w:val="22"/>
                          <w:lang w:val="es-US"/>
                        </w:rPr>
                        <w:t xml:space="preserve">Doc. </w:t>
                      </w:r>
                      <w:r w:rsidR="00DB475B" w:rsidRPr="007A6C01">
                        <w:rPr>
                          <w:rFonts w:asciiTheme="minorHAnsi" w:hAnsiTheme="minorHAnsi"/>
                          <w:color w:val="FFFFFF" w:themeColor="background1"/>
                          <w:sz w:val="22"/>
                          <w:lang w:val="es-US"/>
                        </w:rPr>
                        <w:t>475</w:t>
                      </w:r>
                    </w:p>
                    <w:p w14:paraId="00637EAC" w14:textId="65034FB8" w:rsidR="00445CCB" w:rsidRPr="004B7EB6" w:rsidRDefault="00DB475B"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445CCB">
                        <w:rPr>
                          <w:rFonts w:asciiTheme="minorHAnsi" w:hAnsiTheme="minorHAnsi"/>
                          <w:color w:val="FFFFFF" w:themeColor="background1"/>
                          <w:sz w:val="22"/>
                        </w:rPr>
                        <w:t xml:space="preserve"> December 2021</w:t>
                      </w:r>
                    </w:p>
                    <w:p w14:paraId="03FF3D0B" w14:textId="77777777" w:rsidR="00445CCB" w:rsidRPr="004B7EB6" w:rsidRDefault="00445CC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15FB267B" w14:textId="77777777" w:rsidR="00040C3A" w:rsidRPr="00224AA7" w:rsidRDefault="00040C3A" w:rsidP="00040C3A">
      <w:pPr>
        <w:tabs>
          <w:tab w:val="center" w:pos="5400"/>
        </w:tabs>
        <w:suppressAutoHyphens/>
        <w:jc w:val="center"/>
        <w:rPr>
          <w:rFonts w:asciiTheme="majorHAnsi" w:hAnsiTheme="majorHAnsi" w:cs="Arial"/>
          <w:sz w:val="20"/>
          <w:szCs w:val="20"/>
          <w:lang w:val="es-ES_tradnl"/>
        </w:rPr>
      </w:pPr>
    </w:p>
    <w:p w14:paraId="5EFFF075"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1BB8A60D"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15C709A1"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0FC93537"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350B3CA6" w14:textId="77777777" w:rsidR="005128E4" w:rsidRPr="00224AA7" w:rsidRDefault="005128E4" w:rsidP="00040C3A">
      <w:pPr>
        <w:tabs>
          <w:tab w:val="center" w:pos="5400"/>
        </w:tabs>
        <w:suppressAutoHyphens/>
        <w:jc w:val="center"/>
        <w:rPr>
          <w:rFonts w:asciiTheme="majorHAnsi" w:hAnsiTheme="majorHAnsi"/>
          <w:sz w:val="20"/>
          <w:szCs w:val="20"/>
          <w:lang w:val="es-ES_tradnl"/>
        </w:rPr>
      </w:pPr>
    </w:p>
    <w:p w14:paraId="0B227297"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4392CCDE" w14:textId="77777777" w:rsidR="005128E4" w:rsidRPr="00224AA7" w:rsidRDefault="005128E4" w:rsidP="00040C3A">
      <w:pPr>
        <w:tabs>
          <w:tab w:val="center" w:pos="5400"/>
        </w:tabs>
        <w:suppressAutoHyphens/>
        <w:jc w:val="center"/>
        <w:rPr>
          <w:rFonts w:asciiTheme="majorHAnsi" w:hAnsiTheme="majorHAnsi"/>
          <w:sz w:val="20"/>
          <w:szCs w:val="20"/>
          <w:lang w:val="es-ES_tradnl"/>
        </w:rPr>
      </w:pPr>
    </w:p>
    <w:p w14:paraId="71CA3B75" w14:textId="77777777" w:rsidR="005128E4" w:rsidRPr="00224AA7" w:rsidRDefault="005128E4" w:rsidP="00040C3A">
      <w:pPr>
        <w:tabs>
          <w:tab w:val="center" w:pos="5400"/>
        </w:tabs>
        <w:suppressAutoHyphens/>
        <w:jc w:val="center"/>
        <w:rPr>
          <w:rFonts w:asciiTheme="majorHAnsi" w:hAnsiTheme="majorHAnsi"/>
          <w:sz w:val="20"/>
          <w:szCs w:val="20"/>
          <w:lang w:val="es-ES_tradnl"/>
        </w:rPr>
      </w:pPr>
    </w:p>
    <w:p w14:paraId="7657FD66" w14:textId="77777777" w:rsidR="005128E4" w:rsidRPr="00224AA7" w:rsidRDefault="005128E4" w:rsidP="00040C3A">
      <w:pPr>
        <w:tabs>
          <w:tab w:val="center" w:pos="5400"/>
        </w:tabs>
        <w:suppressAutoHyphens/>
        <w:jc w:val="center"/>
        <w:rPr>
          <w:rFonts w:asciiTheme="majorHAnsi" w:hAnsiTheme="majorHAnsi"/>
          <w:sz w:val="20"/>
          <w:szCs w:val="20"/>
          <w:lang w:val="es-ES_tradnl"/>
        </w:rPr>
      </w:pPr>
    </w:p>
    <w:p w14:paraId="28A122AC"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48BBFA9F" w14:textId="77777777" w:rsidR="00040C3A" w:rsidRPr="00224AA7" w:rsidRDefault="00040C3A" w:rsidP="00040C3A">
      <w:pPr>
        <w:tabs>
          <w:tab w:val="center" w:pos="5400"/>
        </w:tabs>
        <w:suppressAutoHyphens/>
        <w:jc w:val="center"/>
        <w:rPr>
          <w:rFonts w:asciiTheme="majorHAnsi" w:hAnsiTheme="majorHAnsi"/>
          <w:sz w:val="20"/>
          <w:szCs w:val="20"/>
          <w:lang w:val="es-ES_tradnl"/>
        </w:rPr>
      </w:pPr>
    </w:p>
    <w:p w14:paraId="6E8A934E"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5542069A"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6104381B"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79E94ECE"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06811D5D"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22503B40"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7AFDBE25"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73747E9C"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572A1989"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05228825"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18CDB216"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2635A3C6"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72D8BC17" w14:textId="77777777" w:rsidR="002C1641" w:rsidRPr="00224AA7" w:rsidRDefault="007B1494"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392E8B" wp14:editId="27BB675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903C9" w14:textId="7D41FAC5" w:rsidR="00445CCB" w:rsidRPr="003C32BC" w:rsidRDefault="00445CCB" w:rsidP="002D52F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the Commissi</w:t>
                            </w:r>
                            <w:r>
                              <w:rPr>
                                <w:rFonts w:asciiTheme="majorHAnsi" w:hAnsiTheme="majorHAnsi"/>
                                <w:color w:val="0D0D0D" w:themeColor="text1" w:themeTint="F2"/>
                                <w:sz w:val="18"/>
                                <w:szCs w:val="20"/>
                              </w:rPr>
                              <w:t xml:space="preserve">on </w:t>
                            </w:r>
                            <w:r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 xml:space="preserve">December </w:t>
                            </w:r>
                            <w:r w:rsidR="00DB475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7A6C01">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92E8B"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275903C9" w14:textId="7D41FAC5" w:rsidR="00445CCB" w:rsidRPr="003C32BC" w:rsidRDefault="00445CCB" w:rsidP="002D52F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the Commissi</w:t>
                      </w:r>
                      <w:r>
                        <w:rPr>
                          <w:rFonts w:asciiTheme="majorHAnsi" w:hAnsiTheme="majorHAnsi"/>
                          <w:color w:val="0D0D0D" w:themeColor="text1" w:themeTint="F2"/>
                          <w:sz w:val="18"/>
                          <w:szCs w:val="20"/>
                        </w:rPr>
                        <w:t xml:space="preserve">on </w:t>
                      </w:r>
                      <w:r w:rsidRPr="003C32BC">
                        <w:rPr>
                          <w:rFonts w:asciiTheme="majorHAnsi" w:hAnsiTheme="majorHAnsi"/>
                          <w:color w:val="0D0D0D" w:themeColor="text1" w:themeTint="F2"/>
                          <w:sz w:val="18"/>
                          <w:szCs w:val="20"/>
                        </w:rPr>
                        <w:t xml:space="preserve">on </w:t>
                      </w:r>
                      <w:r>
                        <w:rPr>
                          <w:rFonts w:asciiTheme="majorHAnsi" w:hAnsiTheme="majorHAnsi"/>
                          <w:color w:val="0D0D0D" w:themeColor="text1" w:themeTint="F2"/>
                          <w:sz w:val="18"/>
                          <w:szCs w:val="20"/>
                        </w:rPr>
                        <w:t xml:space="preserve">December </w:t>
                      </w:r>
                      <w:r w:rsidR="00DB475B">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2021</w:t>
                      </w:r>
                      <w:r w:rsidR="007A6C01">
                        <w:rPr>
                          <w:rFonts w:asciiTheme="majorHAnsi" w:hAnsiTheme="majorHAnsi"/>
                          <w:color w:val="0D0D0D" w:themeColor="text1" w:themeTint="F2"/>
                          <w:sz w:val="18"/>
                          <w:szCs w:val="20"/>
                        </w:rPr>
                        <w:t>.</w:t>
                      </w:r>
                    </w:p>
                  </w:txbxContent>
                </v:textbox>
              </v:shape>
            </w:pict>
          </mc:Fallback>
        </mc:AlternateContent>
      </w:r>
    </w:p>
    <w:p w14:paraId="7FB4C466"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54DF7B9C"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1C95E192"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3CFB65F9"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1383C352" w14:textId="77777777" w:rsidR="002C1641" w:rsidRPr="00224AA7" w:rsidRDefault="007B1494"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5B780F34" wp14:editId="27EC2A3D">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37580" w14:textId="444D1394" w:rsidR="00445CCB" w:rsidRPr="003C32BC" w:rsidRDefault="00445CCB"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B475B">
                              <w:rPr>
                                <w:rFonts w:asciiTheme="majorHAnsi" w:hAnsiTheme="majorHAnsi"/>
                                <w:color w:val="595959" w:themeColor="text1" w:themeTint="A6"/>
                                <w:sz w:val="18"/>
                              </w:rPr>
                              <w:t>461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13.394</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w:t>
                            </w:r>
                            <w:r w:rsidRPr="004357A1">
                              <w:rPr>
                                <w:rFonts w:asciiTheme="majorHAnsi" w:hAnsiTheme="majorHAnsi"/>
                                <w:color w:val="595959" w:themeColor="text1" w:themeTint="A6"/>
                                <w:sz w:val="18"/>
                              </w:rPr>
                              <w:t>(</w:t>
                            </w:r>
                            <w:r w:rsidRPr="00DB475B">
                              <w:rPr>
                                <w:rFonts w:asciiTheme="majorHAnsi" w:hAnsiTheme="majorHAnsi"/>
                                <w:color w:val="595959" w:themeColor="text1" w:themeTint="A6"/>
                                <w:sz w:val="18"/>
                              </w:rPr>
                              <w:t>Publication</w:t>
                            </w:r>
                            <w:r w:rsidRPr="004357A1">
                              <w:rPr>
                                <w:rFonts w:asciiTheme="majorHAnsi" w:hAnsiTheme="majorHAnsi"/>
                                <w:color w:val="595959" w:themeColor="text1" w:themeTint="A6"/>
                                <w:sz w:val="18"/>
                              </w:rPr>
                              <w:t>)</w:t>
                            </w:r>
                            <w:r w:rsidRPr="00682CC9">
                              <w:rPr>
                                <w:rFonts w:asciiTheme="majorHAnsi" w:hAnsiTheme="majorHAnsi"/>
                                <w:color w:val="595959" w:themeColor="text1" w:themeTint="A6"/>
                                <w:sz w:val="18"/>
                              </w:rPr>
                              <w:t xml:space="preserve">. Pete Carl Rogovich. United States of America. </w:t>
                            </w:r>
                            <w:r>
                              <w:rPr>
                                <w:rFonts w:asciiTheme="majorHAnsi" w:hAnsiTheme="majorHAnsi"/>
                                <w:color w:val="595959" w:themeColor="text1" w:themeTint="A6"/>
                                <w:sz w:val="18"/>
                              </w:rPr>
                              <w:t xml:space="preserve">December </w:t>
                            </w:r>
                            <w:r w:rsidR="00DB475B">
                              <w:rPr>
                                <w:rFonts w:asciiTheme="majorHAnsi" w:hAnsiTheme="majorHAnsi"/>
                                <w:color w:val="595959" w:themeColor="text1" w:themeTint="A6"/>
                                <w:sz w:val="18"/>
                              </w:rPr>
                              <w:t>31</w:t>
                            </w:r>
                            <w:r w:rsidRPr="00682CC9">
                              <w:rPr>
                                <w:rFonts w:asciiTheme="majorHAnsi" w:hAnsiTheme="majorHAnsi"/>
                                <w:color w:val="595959" w:themeColor="text1" w:themeTint="A6"/>
                                <w:sz w:val="18"/>
                              </w:rPr>
                              <w:t>, 20</w:t>
                            </w:r>
                            <w:r>
                              <w:rPr>
                                <w:rFonts w:asciiTheme="majorHAnsi" w:hAnsiTheme="majorHAnsi"/>
                                <w:color w:val="595959" w:themeColor="text1" w:themeTint="A6"/>
                                <w:sz w:val="18"/>
                              </w:rPr>
                              <w:t>21</w:t>
                            </w:r>
                            <w:r w:rsidRPr="00682CC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0F34"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2EC37580" w14:textId="444D1394" w:rsidR="00445CCB" w:rsidRPr="003C32BC" w:rsidRDefault="00445CCB"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B475B">
                        <w:rPr>
                          <w:rFonts w:asciiTheme="majorHAnsi" w:hAnsiTheme="majorHAnsi"/>
                          <w:color w:val="595959" w:themeColor="text1" w:themeTint="A6"/>
                          <w:sz w:val="18"/>
                        </w:rPr>
                        <w:t>461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13.394</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w:t>
                      </w:r>
                      <w:r w:rsidRPr="004357A1">
                        <w:rPr>
                          <w:rFonts w:asciiTheme="majorHAnsi" w:hAnsiTheme="majorHAnsi"/>
                          <w:color w:val="595959" w:themeColor="text1" w:themeTint="A6"/>
                          <w:sz w:val="18"/>
                        </w:rPr>
                        <w:t>(</w:t>
                      </w:r>
                      <w:r w:rsidRPr="00DB475B">
                        <w:rPr>
                          <w:rFonts w:asciiTheme="majorHAnsi" w:hAnsiTheme="majorHAnsi"/>
                          <w:color w:val="595959" w:themeColor="text1" w:themeTint="A6"/>
                          <w:sz w:val="18"/>
                        </w:rPr>
                        <w:t>Publication</w:t>
                      </w:r>
                      <w:r w:rsidRPr="004357A1">
                        <w:rPr>
                          <w:rFonts w:asciiTheme="majorHAnsi" w:hAnsiTheme="majorHAnsi"/>
                          <w:color w:val="595959" w:themeColor="text1" w:themeTint="A6"/>
                          <w:sz w:val="18"/>
                        </w:rPr>
                        <w:t>)</w:t>
                      </w:r>
                      <w:r w:rsidRPr="00682CC9">
                        <w:rPr>
                          <w:rFonts w:asciiTheme="majorHAnsi" w:hAnsiTheme="majorHAnsi"/>
                          <w:color w:val="595959" w:themeColor="text1" w:themeTint="A6"/>
                          <w:sz w:val="18"/>
                        </w:rPr>
                        <w:t xml:space="preserve">. Pete Carl </w:t>
                      </w:r>
                      <w:proofErr w:type="spellStart"/>
                      <w:r w:rsidRPr="00682CC9">
                        <w:rPr>
                          <w:rFonts w:asciiTheme="majorHAnsi" w:hAnsiTheme="majorHAnsi"/>
                          <w:color w:val="595959" w:themeColor="text1" w:themeTint="A6"/>
                          <w:sz w:val="18"/>
                        </w:rPr>
                        <w:t>Rogovich</w:t>
                      </w:r>
                      <w:proofErr w:type="spellEnd"/>
                      <w:r w:rsidRPr="00682CC9">
                        <w:rPr>
                          <w:rFonts w:asciiTheme="majorHAnsi" w:hAnsiTheme="majorHAnsi"/>
                          <w:color w:val="595959" w:themeColor="text1" w:themeTint="A6"/>
                          <w:sz w:val="18"/>
                        </w:rPr>
                        <w:t xml:space="preserve">. United States of America. </w:t>
                      </w:r>
                      <w:r>
                        <w:rPr>
                          <w:rFonts w:asciiTheme="majorHAnsi" w:hAnsiTheme="majorHAnsi"/>
                          <w:color w:val="595959" w:themeColor="text1" w:themeTint="A6"/>
                          <w:sz w:val="18"/>
                        </w:rPr>
                        <w:t xml:space="preserve">December </w:t>
                      </w:r>
                      <w:r w:rsidR="00DB475B">
                        <w:rPr>
                          <w:rFonts w:asciiTheme="majorHAnsi" w:hAnsiTheme="majorHAnsi"/>
                          <w:color w:val="595959" w:themeColor="text1" w:themeTint="A6"/>
                          <w:sz w:val="18"/>
                        </w:rPr>
                        <w:t>31</w:t>
                      </w:r>
                      <w:r w:rsidRPr="00682CC9">
                        <w:rPr>
                          <w:rFonts w:asciiTheme="majorHAnsi" w:hAnsiTheme="majorHAnsi"/>
                          <w:color w:val="595959" w:themeColor="text1" w:themeTint="A6"/>
                          <w:sz w:val="18"/>
                        </w:rPr>
                        <w:t>, 20</w:t>
                      </w:r>
                      <w:r>
                        <w:rPr>
                          <w:rFonts w:asciiTheme="majorHAnsi" w:hAnsiTheme="majorHAnsi"/>
                          <w:color w:val="595959" w:themeColor="text1" w:themeTint="A6"/>
                          <w:sz w:val="18"/>
                        </w:rPr>
                        <w:t>21</w:t>
                      </w:r>
                      <w:r w:rsidRPr="00682CC9">
                        <w:rPr>
                          <w:rFonts w:asciiTheme="majorHAnsi" w:hAnsiTheme="majorHAnsi"/>
                          <w:color w:val="595959" w:themeColor="text1" w:themeTint="A6"/>
                          <w:sz w:val="18"/>
                        </w:rPr>
                        <w:t>.</w:t>
                      </w:r>
                    </w:p>
                  </w:txbxContent>
                </v:textbox>
              </v:shape>
            </w:pict>
          </mc:Fallback>
        </mc:AlternateContent>
      </w:r>
    </w:p>
    <w:p w14:paraId="40E8EDAA"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42F27A89" w14:textId="77777777" w:rsidR="002C1641" w:rsidRPr="00224AA7" w:rsidRDefault="002C1641" w:rsidP="00040C3A">
      <w:pPr>
        <w:tabs>
          <w:tab w:val="center" w:pos="5400"/>
        </w:tabs>
        <w:suppressAutoHyphens/>
        <w:jc w:val="center"/>
        <w:rPr>
          <w:rFonts w:asciiTheme="majorHAnsi" w:hAnsiTheme="majorHAnsi"/>
          <w:sz w:val="20"/>
          <w:szCs w:val="20"/>
          <w:lang w:val="es-ES_tradnl"/>
        </w:rPr>
      </w:pPr>
    </w:p>
    <w:p w14:paraId="6B53A332" w14:textId="77777777" w:rsidR="003C32BC" w:rsidRPr="00224AA7" w:rsidRDefault="003C32BC" w:rsidP="003C32BC">
      <w:pPr>
        <w:tabs>
          <w:tab w:val="center" w:pos="5400"/>
        </w:tabs>
        <w:suppressAutoHyphens/>
        <w:jc w:val="center"/>
        <w:rPr>
          <w:rFonts w:asciiTheme="majorHAnsi" w:hAnsiTheme="majorHAnsi"/>
          <w:sz w:val="20"/>
          <w:szCs w:val="20"/>
        </w:rPr>
      </w:pPr>
    </w:p>
    <w:p w14:paraId="02A8B5AC" w14:textId="77777777" w:rsidR="003C32BC" w:rsidRPr="00224AA7" w:rsidRDefault="007B1494" w:rsidP="003C32BC">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A1D32AA" wp14:editId="3D2D68B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A91AF" w14:textId="77777777" w:rsidR="00445CCB" w:rsidRPr="004B7EB6" w:rsidRDefault="00445CC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32A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" filled="f" stroked="f" strokeweight=".5pt">
                <v:textbox>
                  <w:txbxContent>
                    <w:p w14:paraId="027A91AF" w14:textId="77777777" w:rsidR="00445CCB" w:rsidRPr="004B7EB6" w:rsidRDefault="00445CC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12162C57" wp14:editId="094396E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C34D8" w14:textId="1644D0BC" w:rsidR="00445CCB" w:rsidRDefault="007A6C01">
                            <w:r>
                              <w:rPr>
                                <w:noProof/>
                              </w:rPr>
                              <w:drawing>
                                <wp:inline distT="0" distB="0" distL="0" distR="0" wp14:anchorId="690881E7" wp14:editId="21AB9633">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2C5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DCC34D8" w14:textId="1644D0BC" w:rsidR="00445CCB" w:rsidRDefault="007A6C01">
                      <w:r>
                        <w:rPr>
                          <w:noProof/>
                        </w:rPr>
                        <w:drawing>
                          <wp:inline distT="0" distB="0" distL="0" distR="0" wp14:anchorId="690881E7" wp14:editId="21AB9633">
                            <wp:extent cx="1519555" cy="387985"/>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D4E2861" w14:textId="77777777" w:rsidR="007607C4" w:rsidRPr="00224AA7" w:rsidRDefault="007607C4" w:rsidP="003C32BC">
      <w:pPr>
        <w:tabs>
          <w:tab w:val="center" w:pos="5400"/>
        </w:tabs>
        <w:suppressAutoHyphens/>
        <w:jc w:val="center"/>
        <w:rPr>
          <w:rFonts w:asciiTheme="majorHAnsi" w:hAnsiTheme="majorHAnsi"/>
          <w:sz w:val="20"/>
          <w:szCs w:val="20"/>
        </w:rPr>
        <w:sectPr w:rsidR="007607C4" w:rsidRPr="00224AA7">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5A6FE11D" w14:textId="77777777" w:rsidR="00FC3EB4" w:rsidRPr="00224AA7" w:rsidRDefault="00FC3EB4" w:rsidP="00FC3EB4">
      <w:pPr>
        <w:tabs>
          <w:tab w:val="center" w:pos="5400"/>
        </w:tabs>
        <w:suppressAutoHyphens/>
        <w:spacing w:line="276" w:lineRule="auto"/>
        <w:jc w:val="center"/>
        <w:rPr>
          <w:rFonts w:asciiTheme="majorHAnsi" w:hAnsiTheme="majorHAnsi"/>
          <w:b/>
          <w:sz w:val="20"/>
          <w:szCs w:val="20"/>
        </w:rPr>
      </w:pPr>
      <w:r w:rsidRPr="00224AA7">
        <w:rPr>
          <w:rFonts w:asciiTheme="majorHAnsi" w:hAnsiTheme="majorHAnsi"/>
          <w:b/>
          <w:sz w:val="20"/>
          <w:szCs w:val="20"/>
        </w:rPr>
        <w:lastRenderedPageBreak/>
        <w:t>INDEX</w:t>
      </w:r>
    </w:p>
    <w:p w14:paraId="111BF825" w14:textId="77777777" w:rsidR="007607C4" w:rsidRPr="00BD05BA" w:rsidRDefault="007607C4" w:rsidP="00145EDC">
      <w:pPr>
        <w:tabs>
          <w:tab w:val="center" w:pos="5400"/>
        </w:tabs>
        <w:suppressAutoHyphens/>
        <w:spacing w:line="276" w:lineRule="auto"/>
        <w:rPr>
          <w:rFonts w:asciiTheme="majorHAnsi" w:hAnsiTheme="majorHAnsi"/>
          <w:sz w:val="20"/>
          <w:szCs w:val="20"/>
        </w:rPr>
      </w:pPr>
    </w:p>
    <w:p w14:paraId="17C817CE" w14:textId="30D22662" w:rsidR="00BD05BA" w:rsidRPr="00DB475B" w:rsidRDefault="00DA36AE">
      <w:pPr>
        <w:pStyle w:val="TOC1"/>
        <w:rPr>
          <w:rFonts w:eastAsiaTheme="minorEastAsia" w:cstheme="minorBidi"/>
          <w:b w:val="0"/>
          <w:bdr w:val="none" w:sz="0" w:space="0" w:color="auto"/>
          <w:lang w:val="es-US" w:eastAsia="zh-CN"/>
        </w:rPr>
      </w:pPr>
      <w:r w:rsidRPr="00DB475B">
        <w:rPr>
          <w:b w:val="0"/>
        </w:rPr>
        <w:fldChar w:fldCharType="begin"/>
      </w:r>
      <w:r w:rsidR="00864785" w:rsidRPr="00DB475B">
        <w:rPr>
          <w:b w:val="0"/>
        </w:rPr>
        <w:instrText xml:space="preserve"> TOC \o "1-3" \h \z \u </w:instrText>
      </w:r>
      <w:r w:rsidRPr="00DB475B">
        <w:rPr>
          <w:b w:val="0"/>
        </w:rPr>
        <w:fldChar w:fldCharType="separate"/>
      </w:r>
      <w:hyperlink w:anchor="_Toc90283286" w:history="1">
        <w:r w:rsidR="00BD05BA" w:rsidRPr="00DB475B">
          <w:rPr>
            <w:rStyle w:val="Hyperlink"/>
          </w:rPr>
          <w:t>I.</w:t>
        </w:r>
        <w:r w:rsidR="00BD05BA" w:rsidRPr="00DB475B">
          <w:rPr>
            <w:rFonts w:eastAsiaTheme="minorEastAsia" w:cstheme="minorBidi"/>
            <w:b w:val="0"/>
            <w:bdr w:val="none" w:sz="0" w:space="0" w:color="auto"/>
            <w:lang w:val="es-US" w:eastAsia="zh-CN"/>
          </w:rPr>
          <w:tab/>
        </w:r>
        <w:r w:rsidR="00BD05BA" w:rsidRPr="00DB475B">
          <w:rPr>
            <w:rStyle w:val="Hyperlink"/>
          </w:rPr>
          <w:t>INTRODUCTION</w:t>
        </w:r>
        <w:r w:rsidR="00BD05BA" w:rsidRPr="00DB475B">
          <w:rPr>
            <w:webHidden/>
          </w:rPr>
          <w:tab/>
        </w:r>
        <w:r w:rsidR="00BD05BA" w:rsidRPr="00DB475B">
          <w:rPr>
            <w:webHidden/>
          </w:rPr>
          <w:fldChar w:fldCharType="begin"/>
        </w:r>
        <w:r w:rsidR="00BD05BA" w:rsidRPr="00DB475B">
          <w:rPr>
            <w:webHidden/>
          </w:rPr>
          <w:instrText xml:space="preserve"> PAGEREF _Toc90283286 \h </w:instrText>
        </w:r>
        <w:r w:rsidR="00BD05BA" w:rsidRPr="00DB475B">
          <w:rPr>
            <w:webHidden/>
          </w:rPr>
        </w:r>
        <w:r w:rsidR="00BD05BA" w:rsidRPr="00DB475B">
          <w:rPr>
            <w:webHidden/>
          </w:rPr>
          <w:fldChar w:fldCharType="separate"/>
        </w:r>
        <w:r w:rsidR="00BD05BA" w:rsidRPr="00DB475B">
          <w:rPr>
            <w:webHidden/>
          </w:rPr>
          <w:t>2</w:t>
        </w:r>
        <w:r w:rsidR="00BD05BA" w:rsidRPr="00DB475B">
          <w:rPr>
            <w:webHidden/>
          </w:rPr>
          <w:fldChar w:fldCharType="end"/>
        </w:r>
      </w:hyperlink>
    </w:p>
    <w:p w14:paraId="7245F7E0" w14:textId="2C1B9924" w:rsidR="00BD05BA" w:rsidRPr="00DB475B" w:rsidRDefault="006447A2">
      <w:pPr>
        <w:pStyle w:val="TOC1"/>
        <w:rPr>
          <w:rFonts w:eastAsiaTheme="minorEastAsia" w:cstheme="minorBidi"/>
          <w:b w:val="0"/>
          <w:bdr w:val="none" w:sz="0" w:space="0" w:color="auto"/>
          <w:lang w:val="es-US" w:eastAsia="zh-CN"/>
        </w:rPr>
      </w:pPr>
      <w:hyperlink w:anchor="_Toc90283287" w:history="1">
        <w:r w:rsidR="00BD05BA" w:rsidRPr="00DB475B">
          <w:rPr>
            <w:rStyle w:val="Hyperlink"/>
          </w:rPr>
          <w:t>II.</w:t>
        </w:r>
        <w:r w:rsidR="00BD05BA" w:rsidRPr="00DB475B">
          <w:rPr>
            <w:rFonts w:eastAsiaTheme="minorEastAsia" w:cstheme="minorBidi"/>
            <w:b w:val="0"/>
            <w:bdr w:val="none" w:sz="0" w:space="0" w:color="auto"/>
            <w:lang w:val="es-US" w:eastAsia="zh-CN"/>
          </w:rPr>
          <w:tab/>
        </w:r>
        <w:r w:rsidR="00BD05BA" w:rsidRPr="00DB475B">
          <w:rPr>
            <w:rStyle w:val="Hyperlink"/>
          </w:rPr>
          <w:t>POSITIONS OF THE PARTIES</w:t>
        </w:r>
        <w:r w:rsidR="00BD05BA" w:rsidRPr="00DB475B">
          <w:rPr>
            <w:webHidden/>
          </w:rPr>
          <w:tab/>
        </w:r>
        <w:r w:rsidR="00BD05BA" w:rsidRPr="00DB475B">
          <w:rPr>
            <w:webHidden/>
          </w:rPr>
          <w:fldChar w:fldCharType="begin"/>
        </w:r>
        <w:r w:rsidR="00BD05BA" w:rsidRPr="00DB475B">
          <w:rPr>
            <w:webHidden/>
          </w:rPr>
          <w:instrText xml:space="preserve"> PAGEREF _Toc90283287 \h </w:instrText>
        </w:r>
        <w:r w:rsidR="00BD05BA" w:rsidRPr="00DB475B">
          <w:rPr>
            <w:webHidden/>
          </w:rPr>
        </w:r>
        <w:r w:rsidR="00BD05BA" w:rsidRPr="00DB475B">
          <w:rPr>
            <w:webHidden/>
          </w:rPr>
          <w:fldChar w:fldCharType="separate"/>
        </w:r>
        <w:r w:rsidR="00BD05BA" w:rsidRPr="00DB475B">
          <w:rPr>
            <w:webHidden/>
          </w:rPr>
          <w:t>2</w:t>
        </w:r>
        <w:r w:rsidR="00BD05BA" w:rsidRPr="00DB475B">
          <w:rPr>
            <w:webHidden/>
          </w:rPr>
          <w:fldChar w:fldCharType="end"/>
        </w:r>
      </w:hyperlink>
    </w:p>
    <w:p w14:paraId="01433581" w14:textId="1B73D5D6"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88" w:history="1">
        <w:r w:rsidR="00BD05BA" w:rsidRPr="00DB475B">
          <w:rPr>
            <w:rStyle w:val="Hyperlink"/>
            <w:rFonts w:asciiTheme="majorHAnsi" w:hAnsiTheme="majorHAnsi"/>
            <w:sz w:val="20"/>
            <w:szCs w:val="20"/>
          </w:rPr>
          <w:t>A.</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Petitioner</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_Toc90283288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2</w:t>
        </w:r>
        <w:r w:rsidR="00BD05BA" w:rsidRPr="00DB475B">
          <w:rPr>
            <w:rFonts w:asciiTheme="majorHAnsi" w:hAnsiTheme="majorHAnsi"/>
            <w:webHidden/>
            <w:sz w:val="20"/>
            <w:szCs w:val="20"/>
          </w:rPr>
          <w:fldChar w:fldCharType="end"/>
        </w:r>
      </w:hyperlink>
    </w:p>
    <w:p w14:paraId="0A684359" w14:textId="6DA2BAA2"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89" w:history="1">
        <w:r w:rsidR="00BD05BA" w:rsidRPr="00DB475B">
          <w:rPr>
            <w:rStyle w:val="Hyperlink"/>
            <w:rFonts w:asciiTheme="majorHAnsi" w:hAnsiTheme="majorHAnsi"/>
            <w:sz w:val="20"/>
            <w:szCs w:val="20"/>
          </w:rPr>
          <w:t>B.</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State</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_Toc90283289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3</w:t>
        </w:r>
        <w:r w:rsidR="00BD05BA" w:rsidRPr="00DB475B">
          <w:rPr>
            <w:rFonts w:asciiTheme="majorHAnsi" w:hAnsiTheme="majorHAnsi"/>
            <w:webHidden/>
            <w:sz w:val="20"/>
            <w:szCs w:val="20"/>
          </w:rPr>
          <w:fldChar w:fldCharType="end"/>
        </w:r>
      </w:hyperlink>
    </w:p>
    <w:p w14:paraId="5CEC6AA0" w14:textId="520F22E6" w:rsidR="00BD05BA" w:rsidRPr="00DB475B" w:rsidRDefault="006447A2">
      <w:pPr>
        <w:pStyle w:val="TOC1"/>
        <w:rPr>
          <w:rFonts w:eastAsiaTheme="minorEastAsia" w:cstheme="minorBidi"/>
          <w:b w:val="0"/>
          <w:bdr w:val="none" w:sz="0" w:space="0" w:color="auto"/>
          <w:lang w:val="es-US" w:eastAsia="zh-CN"/>
        </w:rPr>
      </w:pPr>
      <w:hyperlink w:anchor="_Toc90283290" w:history="1">
        <w:r w:rsidR="00BD05BA" w:rsidRPr="00DB475B">
          <w:rPr>
            <w:rStyle w:val="Hyperlink"/>
          </w:rPr>
          <w:t>III.</w:t>
        </w:r>
        <w:r w:rsidR="00BD05BA" w:rsidRPr="00DB475B">
          <w:rPr>
            <w:rFonts w:eastAsiaTheme="minorEastAsia" w:cstheme="minorBidi"/>
            <w:b w:val="0"/>
            <w:bdr w:val="none" w:sz="0" w:space="0" w:color="auto"/>
            <w:lang w:val="es-US" w:eastAsia="zh-CN"/>
          </w:rPr>
          <w:tab/>
        </w:r>
        <w:r w:rsidR="00BD05BA" w:rsidRPr="00DB475B">
          <w:rPr>
            <w:rStyle w:val="Hyperlink"/>
          </w:rPr>
          <w:t>ADMISSIBILITY</w:t>
        </w:r>
        <w:r w:rsidR="00BD05BA" w:rsidRPr="00DB475B">
          <w:rPr>
            <w:webHidden/>
          </w:rPr>
          <w:tab/>
        </w:r>
        <w:r w:rsidR="00BD05BA" w:rsidRPr="00DB475B">
          <w:rPr>
            <w:webHidden/>
          </w:rPr>
          <w:fldChar w:fldCharType="begin"/>
        </w:r>
        <w:r w:rsidR="00BD05BA" w:rsidRPr="00DB475B">
          <w:rPr>
            <w:webHidden/>
          </w:rPr>
          <w:instrText xml:space="preserve"> PAGEREF _Toc90283290 \h </w:instrText>
        </w:r>
        <w:r w:rsidR="00BD05BA" w:rsidRPr="00DB475B">
          <w:rPr>
            <w:webHidden/>
          </w:rPr>
        </w:r>
        <w:r w:rsidR="00BD05BA" w:rsidRPr="00DB475B">
          <w:rPr>
            <w:webHidden/>
          </w:rPr>
          <w:fldChar w:fldCharType="separate"/>
        </w:r>
        <w:r w:rsidR="00BD05BA" w:rsidRPr="00DB475B">
          <w:rPr>
            <w:webHidden/>
          </w:rPr>
          <w:t>4</w:t>
        </w:r>
        <w:r w:rsidR="00BD05BA" w:rsidRPr="00DB475B">
          <w:rPr>
            <w:webHidden/>
          </w:rPr>
          <w:fldChar w:fldCharType="end"/>
        </w:r>
      </w:hyperlink>
    </w:p>
    <w:p w14:paraId="74C3516E" w14:textId="22B5E2A7"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1" w:history="1">
        <w:r w:rsidR="00BD05BA" w:rsidRPr="00DB475B">
          <w:rPr>
            <w:rStyle w:val="Hyperlink"/>
            <w:rFonts w:asciiTheme="majorHAnsi" w:hAnsiTheme="majorHAnsi"/>
            <w:sz w:val="20"/>
            <w:szCs w:val="20"/>
          </w:rPr>
          <w:t>A.</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 xml:space="preserve">Competence, duplication of procedures and international </w:t>
        </w:r>
        <w:r w:rsidR="00BD05BA" w:rsidRPr="00DB475B">
          <w:rPr>
            <w:rStyle w:val="Hyperlink"/>
            <w:rFonts w:asciiTheme="majorHAnsi" w:hAnsiTheme="majorHAnsi"/>
            <w:i/>
            <w:sz w:val="20"/>
            <w:szCs w:val="20"/>
          </w:rPr>
          <w:t>res judicata</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_Toc90283291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4</w:t>
        </w:r>
        <w:r w:rsidR="00BD05BA" w:rsidRPr="00DB475B">
          <w:rPr>
            <w:rFonts w:asciiTheme="majorHAnsi" w:hAnsiTheme="majorHAnsi"/>
            <w:webHidden/>
            <w:sz w:val="20"/>
            <w:szCs w:val="20"/>
          </w:rPr>
          <w:fldChar w:fldCharType="end"/>
        </w:r>
      </w:hyperlink>
    </w:p>
    <w:p w14:paraId="0417CE45" w14:textId="7AA02C0E"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2" w:history="1">
        <w:r w:rsidR="00BD05BA" w:rsidRPr="00DB475B">
          <w:rPr>
            <w:rStyle w:val="Hyperlink"/>
            <w:rFonts w:asciiTheme="majorHAnsi" w:hAnsiTheme="majorHAnsi" w:cs="Tahoma"/>
            <w:sz w:val="20"/>
            <w:szCs w:val="20"/>
          </w:rPr>
          <w:t>B.</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cs="Tahoma"/>
            <w:sz w:val="20"/>
            <w:szCs w:val="20"/>
            <w:shd w:val="clear" w:color="auto" w:fill="FFFFFF"/>
          </w:rPr>
          <w:t>Exhaustion of domestic remedies and timeliness of the petition</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_Toc90283292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5</w:t>
        </w:r>
        <w:r w:rsidR="00BD05BA" w:rsidRPr="00DB475B">
          <w:rPr>
            <w:rFonts w:asciiTheme="majorHAnsi" w:hAnsiTheme="majorHAnsi"/>
            <w:webHidden/>
            <w:sz w:val="20"/>
            <w:szCs w:val="20"/>
          </w:rPr>
          <w:fldChar w:fldCharType="end"/>
        </w:r>
      </w:hyperlink>
    </w:p>
    <w:p w14:paraId="2050D05C" w14:textId="712FC317"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3" w:history="1">
        <w:r w:rsidR="00BD05BA" w:rsidRPr="00DB475B">
          <w:rPr>
            <w:rStyle w:val="Hyperlink"/>
            <w:rFonts w:asciiTheme="majorHAnsi" w:hAnsiTheme="majorHAnsi"/>
            <w:sz w:val="20"/>
            <w:szCs w:val="20"/>
          </w:rPr>
          <w:t>C.</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Colorable claim</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_Toc90283293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6</w:t>
        </w:r>
        <w:r w:rsidR="00BD05BA" w:rsidRPr="00DB475B">
          <w:rPr>
            <w:rFonts w:asciiTheme="majorHAnsi" w:hAnsiTheme="majorHAnsi"/>
            <w:webHidden/>
            <w:sz w:val="20"/>
            <w:szCs w:val="20"/>
          </w:rPr>
          <w:fldChar w:fldCharType="end"/>
        </w:r>
      </w:hyperlink>
    </w:p>
    <w:p w14:paraId="5756221A" w14:textId="027671BC" w:rsidR="00BD05BA" w:rsidRPr="00DB475B" w:rsidRDefault="006447A2">
      <w:pPr>
        <w:pStyle w:val="TOC1"/>
        <w:rPr>
          <w:rFonts w:eastAsiaTheme="minorEastAsia" w:cstheme="minorBidi"/>
          <w:b w:val="0"/>
          <w:bdr w:val="none" w:sz="0" w:space="0" w:color="auto"/>
          <w:lang w:val="es-US" w:eastAsia="zh-CN"/>
        </w:rPr>
      </w:pPr>
      <w:hyperlink w:anchor="_Toc90283294" w:history="1">
        <w:r w:rsidR="00BD05BA" w:rsidRPr="00DB475B">
          <w:rPr>
            <w:rStyle w:val="Hyperlink"/>
          </w:rPr>
          <w:t>IV.</w:t>
        </w:r>
        <w:r w:rsidR="00BD05BA" w:rsidRPr="00DB475B">
          <w:rPr>
            <w:rFonts w:eastAsiaTheme="minorEastAsia" w:cstheme="minorBidi"/>
            <w:b w:val="0"/>
            <w:bdr w:val="none" w:sz="0" w:space="0" w:color="auto"/>
            <w:lang w:val="es-US" w:eastAsia="zh-CN"/>
          </w:rPr>
          <w:tab/>
        </w:r>
        <w:r w:rsidR="00BD05BA" w:rsidRPr="00DB475B">
          <w:rPr>
            <w:rStyle w:val="Hyperlink"/>
          </w:rPr>
          <w:t>FINDINGS OF FACT</w:t>
        </w:r>
        <w:r w:rsidR="00BD05BA" w:rsidRPr="00DB475B">
          <w:rPr>
            <w:webHidden/>
          </w:rPr>
          <w:tab/>
        </w:r>
        <w:r w:rsidR="00BD05BA" w:rsidRPr="00DB475B">
          <w:rPr>
            <w:webHidden/>
          </w:rPr>
          <w:fldChar w:fldCharType="begin"/>
        </w:r>
        <w:r w:rsidR="00BD05BA" w:rsidRPr="00DB475B">
          <w:rPr>
            <w:webHidden/>
          </w:rPr>
          <w:instrText xml:space="preserve"> PAGEREF _Toc90283294 \h </w:instrText>
        </w:r>
        <w:r w:rsidR="00BD05BA" w:rsidRPr="00DB475B">
          <w:rPr>
            <w:webHidden/>
          </w:rPr>
        </w:r>
        <w:r w:rsidR="00BD05BA" w:rsidRPr="00DB475B">
          <w:rPr>
            <w:webHidden/>
          </w:rPr>
          <w:fldChar w:fldCharType="separate"/>
        </w:r>
        <w:r w:rsidR="00BD05BA" w:rsidRPr="00DB475B">
          <w:rPr>
            <w:webHidden/>
          </w:rPr>
          <w:t>6</w:t>
        </w:r>
        <w:r w:rsidR="00BD05BA" w:rsidRPr="00DB475B">
          <w:rPr>
            <w:webHidden/>
          </w:rPr>
          <w:fldChar w:fldCharType="end"/>
        </w:r>
      </w:hyperlink>
    </w:p>
    <w:p w14:paraId="1E6720A1" w14:textId="2072B844"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5" w:history="1">
        <w:r w:rsidR="00BD05BA" w:rsidRPr="00DB475B">
          <w:rPr>
            <w:rStyle w:val="Hyperlink"/>
            <w:rFonts w:asciiTheme="majorHAnsi" w:hAnsiTheme="majorHAnsi"/>
            <w:sz w:val="20"/>
            <w:szCs w:val="20"/>
          </w:rPr>
          <w:t>A.</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Relevant legal framework</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_Toc90283295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6</w:t>
        </w:r>
        <w:r w:rsidR="00BD05BA" w:rsidRPr="00DB475B">
          <w:rPr>
            <w:rFonts w:asciiTheme="majorHAnsi" w:hAnsiTheme="majorHAnsi"/>
            <w:webHidden/>
            <w:sz w:val="20"/>
            <w:szCs w:val="20"/>
          </w:rPr>
          <w:fldChar w:fldCharType="end"/>
        </w:r>
      </w:hyperlink>
    </w:p>
    <w:p w14:paraId="755B8A84" w14:textId="17D1B141"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6" w:history="1">
        <w:r w:rsidR="00BD05BA" w:rsidRPr="00DB475B">
          <w:rPr>
            <w:rStyle w:val="Hyperlink"/>
            <w:rFonts w:asciiTheme="majorHAnsi" w:hAnsiTheme="majorHAnsi"/>
            <w:sz w:val="20"/>
            <w:szCs w:val="20"/>
          </w:rPr>
          <w:t>B.</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Facts of the case</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_Toc90283296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7</w:t>
        </w:r>
        <w:r w:rsidR="00BD05BA" w:rsidRPr="00DB475B">
          <w:rPr>
            <w:rFonts w:asciiTheme="majorHAnsi" w:hAnsiTheme="majorHAnsi"/>
            <w:webHidden/>
            <w:sz w:val="20"/>
            <w:szCs w:val="20"/>
          </w:rPr>
          <w:fldChar w:fldCharType="end"/>
        </w:r>
      </w:hyperlink>
    </w:p>
    <w:p w14:paraId="53DDD579" w14:textId="7FD56B38"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7" w:history="1">
        <w:r w:rsidR="00BD05BA" w:rsidRPr="00DB475B">
          <w:rPr>
            <w:rStyle w:val="Hyperlink"/>
            <w:rFonts w:asciiTheme="majorHAnsi" w:hAnsiTheme="majorHAnsi"/>
            <w:sz w:val="20"/>
            <w:szCs w:val="20"/>
          </w:rPr>
          <w:t>C.</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Mr. Rogovich’s detention, trial and death sentence</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_Toc90283297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7</w:t>
        </w:r>
        <w:r w:rsidR="00BD05BA" w:rsidRPr="00DB475B">
          <w:rPr>
            <w:rFonts w:asciiTheme="majorHAnsi" w:hAnsiTheme="majorHAnsi"/>
            <w:webHidden/>
            <w:sz w:val="20"/>
            <w:szCs w:val="20"/>
          </w:rPr>
          <w:fldChar w:fldCharType="end"/>
        </w:r>
      </w:hyperlink>
    </w:p>
    <w:p w14:paraId="005375FA" w14:textId="63CEE417"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8" w:history="1">
        <w:r w:rsidR="00BD05BA" w:rsidRPr="00DB475B">
          <w:rPr>
            <w:rStyle w:val="Hyperlink"/>
            <w:rFonts w:asciiTheme="majorHAnsi" w:hAnsiTheme="majorHAnsi"/>
            <w:sz w:val="20"/>
            <w:szCs w:val="20"/>
          </w:rPr>
          <w:t>D.</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Post-conviction proceedings</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_Toc90283298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9</w:t>
        </w:r>
        <w:r w:rsidR="00BD05BA" w:rsidRPr="00DB475B">
          <w:rPr>
            <w:rFonts w:asciiTheme="majorHAnsi" w:hAnsiTheme="majorHAnsi"/>
            <w:webHidden/>
            <w:sz w:val="20"/>
            <w:szCs w:val="20"/>
          </w:rPr>
          <w:fldChar w:fldCharType="end"/>
        </w:r>
      </w:hyperlink>
    </w:p>
    <w:p w14:paraId="1CE1A455" w14:textId="6BB94D4E"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299" w:history="1">
        <w:r w:rsidR="00BD05BA" w:rsidRPr="00DB475B">
          <w:rPr>
            <w:rStyle w:val="Hyperlink"/>
            <w:rFonts w:asciiTheme="majorHAnsi" w:hAnsiTheme="majorHAnsi"/>
            <w:sz w:val="20"/>
            <w:szCs w:val="20"/>
          </w:rPr>
          <w:t>E.</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Detention Conditions</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_Toc90283299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10</w:t>
        </w:r>
        <w:r w:rsidR="00BD05BA" w:rsidRPr="00DB475B">
          <w:rPr>
            <w:rFonts w:asciiTheme="majorHAnsi" w:hAnsiTheme="majorHAnsi"/>
            <w:webHidden/>
            <w:sz w:val="20"/>
            <w:szCs w:val="20"/>
          </w:rPr>
          <w:fldChar w:fldCharType="end"/>
        </w:r>
      </w:hyperlink>
    </w:p>
    <w:p w14:paraId="176A0050" w14:textId="64D30C30"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300" w:history="1">
        <w:r w:rsidR="00BD05BA" w:rsidRPr="00DB475B">
          <w:rPr>
            <w:rStyle w:val="Hyperlink"/>
            <w:rFonts w:asciiTheme="majorHAnsi" w:hAnsiTheme="majorHAnsi"/>
            <w:sz w:val="20"/>
            <w:szCs w:val="20"/>
          </w:rPr>
          <w:t>F.</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Method of execution</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_Toc90283300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10</w:t>
        </w:r>
        <w:r w:rsidR="00BD05BA" w:rsidRPr="00DB475B">
          <w:rPr>
            <w:rFonts w:asciiTheme="majorHAnsi" w:hAnsiTheme="majorHAnsi"/>
            <w:webHidden/>
            <w:sz w:val="20"/>
            <w:szCs w:val="20"/>
          </w:rPr>
          <w:fldChar w:fldCharType="end"/>
        </w:r>
      </w:hyperlink>
    </w:p>
    <w:p w14:paraId="589ABE19" w14:textId="714917B4" w:rsidR="00BD05BA" w:rsidRPr="00DB475B" w:rsidRDefault="006447A2">
      <w:pPr>
        <w:pStyle w:val="TOC1"/>
        <w:rPr>
          <w:rFonts w:eastAsiaTheme="minorEastAsia" w:cstheme="minorBidi"/>
          <w:b w:val="0"/>
          <w:bdr w:val="none" w:sz="0" w:space="0" w:color="auto"/>
          <w:lang w:val="es-US" w:eastAsia="zh-CN"/>
        </w:rPr>
      </w:pPr>
      <w:hyperlink w:anchor="_Toc90283301" w:history="1">
        <w:r w:rsidR="00BD05BA" w:rsidRPr="00DB475B">
          <w:rPr>
            <w:rStyle w:val="Hyperlink"/>
          </w:rPr>
          <w:t>V.</w:t>
        </w:r>
        <w:r w:rsidR="00BD05BA" w:rsidRPr="00DB475B">
          <w:rPr>
            <w:rFonts w:eastAsiaTheme="minorEastAsia" w:cstheme="minorBidi"/>
            <w:b w:val="0"/>
            <w:bdr w:val="none" w:sz="0" w:space="0" w:color="auto"/>
            <w:lang w:val="es-US" w:eastAsia="zh-CN"/>
          </w:rPr>
          <w:tab/>
        </w:r>
        <w:r w:rsidR="00BD05BA" w:rsidRPr="00DB475B">
          <w:rPr>
            <w:rStyle w:val="Hyperlink"/>
          </w:rPr>
          <w:t>ANALYSIS OF LAW</w:t>
        </w:r>
        <w:r w:rsidR="00BD05BA" w:rsidRPr="00DB475B">
          <w:rPr>
            <w:webHidden/>
          </w:rPr>
          <w:tab/>
        </w:r>
        <w:r w:rsidR="00BD05BA" w:rsidRPr="00DB475B">
          <w:rPr>
            <w:webHidden/>
          </w:rPr>
          <w:fldChar w:fldCharType="begin"/>
        </w:r>
        <w:r w:rsidR="00BD05BA" w:rsidRPr="00DB475B">
          <w:rPr>
            <w:webHidden/>
          </w:rPr>
          <w:instrText xml:space="preserve"> PAGEREF _Toc90283301 \h </w:instrText>
        </w:r>
        <w:r w:rsidR="00BD05BA" w:rsidRPr="00DB475B">
          <w:rPr>
            <w:webHidden/>
          </w:rPr>
        </w:r>
        <w:r w:rsidR="00BD05BA" w:rsidRPr="00DB475B">
          <w:rPr>
            <w:webHidden/>
          </w:rPr>
          <w:fldChar w:fldCharType="separate"/>
        </w:r>
        <w:r w:rsidR="00BD05BA" w:rsidRPr="00DB475B">
          <w:rPr>
            <w:webHidden/>
          </w:rPr>
          <w:t>11</w:t>
        </w:r>
        <w:r w:rsidR="00BD05BA" w:rsidRPr="00DB475B">
          <w:rPr>
            <w:webHidden/>
          </w:rPr>
          <w:fldChar w:fldCharType="end"/>
        </w:r>
      </w:hyperlink>
    </w:p>
    <w:p w14:paraId="437BB866" w14:textId="424CEBAE"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302" w:history="1">
        <w:r w:rsidR="00BD05BA" w:rsidRPr="00DB475B">
          <w:rPr>
            <w:rStyle w:val="Hyperlink"/>
            <w:rFonts w:asciiTheme="majorHAnsi" w:hAnsiTheme="majorHAnsi"/>
            <w:sz w:val="20"/>
            <w:szCs w:val="20"/>
          </w:rPr>
          <w:t>A.</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Preliminary considerations</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_Toc90283302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11</w:t>
        </w:r>
        <w:r w:rsidR="00BD05BA" w:rsidRPr="00DB475B">
          <w:rPr>
            <w:rFonts w:asciiTheme="majorHAnsi" w:hAnsiTheme="majorHAnsi"/>
            <w:webHidden/>
            <w:sz w:val="20"/>
            <w:szCs w:val="20"/>
          </w:rPr>
          <w:fldChar w:fldCharType="end"/>
        </w:r>
      </w:hyperlink>
    </w:p>
    <w:p w14:paraId="7C5DE96F" w14:textId="3341BD41"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303" w:history="1">
        <w:r w:rsidR="00BD05BA" w:rsidRPr="00DB475B">
          <w:rPr>
            <w:rStyle w:val="Hyperlink"/>
            <w:rFonts w:asciiTheme="majorHAnsi" w:hAnsiTheme="majorHAnsi"/>
            <w:sz w:val="20"/>
            <w:szCs w:val="20"/>
          </w:rPr>
          <w:t>B.</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Right to a fair trial, right of petition, and right to due process of law</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_Toc90283303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12</w:t>
        </w:r>
        <w:r w:rsidR="00BD05BA" w:rsidRPr="00DB475B">
          <w:rPr>
            <w:rFonts w:asciiTheme="majorHAnsi" w:hAnsiTheme="majorHAnsi"/>
            <w:webHidden/>
            <w:sz w:val="20"/>
            <w:szCs w:val="20"/>
          </w:rPr>
          <w:fldChar w:fldCharType="end"/>
        </w:r>
      </w:hyperlink>
    </w:p>
    <w:p w14:paraId="39D132FF" w14:textId="37CB959D" w:rsidR="00BD05BA" w:rsidRPr="00DB475B" w:rsidRDefault="006447A2" w:rsidP="00436482">
      <w:pPr>
        <w:pStyle w:val="TOC3"/>
        <w:rPr>
          <w:rFonts w:eastAsiaTheme="minorEastAsia" w:cstheme="minorBidi"/>
          <w:bdr w:val="none" w:sz="0" w:space="0" w:color="auto"/>
          <w:lang w:val="es-US" w:eastAsia="zh-CN"/>
        </w:rPr>
      </w:pPr>
      <w:hyperlink w:anchor="_Toc90283304" w:history="1">
        <w:r w:rsidR="00BD05BA" w:rsidRPr="00DB475B">
          <w:rPr>
            <w:rStyle w:val="Hyperlink"/>
          </w:rPr>
          <w:t>1.</w:t>
        </w:r>
        <w:r w:rsidR="00BD05BA" w:rsidRPr="00DB475B">
          <w:rPr>
            <w:rFonts w:eastAsiaTheme="minorEastAsia" w:cstheme="minorBidi"/>
            <w:bdr w:val="none" w:sz="0" w:space="0" w:color="auto"/>
            <w:lang w:val="es-US" w:eastAsia="zh-CN"/>
          </w:rPr>
          <w:tab/>
        </w:r>
        <w:r w:rsidR="00BD05BA" w:rsidRPr="00DB475B">
          <w:rPr>
            <w:rStyle w:val="Hyperlink"/>
          </w:rPr>
          <w:t>Ineffective assistance of court-appointed counsel</w:t>
        </w:r>
        <w:r w:rsidR="00BD05BA" w:rsidRPr="00DB475B">
          <w:rPr>
            <w:webHidden/>
          </w:rPr>
          <w:tab/>
        </w:r>
        <w:r w:rsidR="00BD05BA" w:rsidRPr="00DB475B">
          <w:rPr>
            <w:webHidden/>
          </w:rPr>
          <w:fldChar w:fldCharType="begin"/>
        </w:r>
        <w:r w:rsidR="00BD05BA" w:rsidRPr="00DB475B">
          <w:rPr>
            <w:webHidden/>
          </w:rPr>
          <w:instrText xml:space="preserve"> PAGEREF _Toc90283304 \h </w:instrText>
        </w:r>
        <w:r w:rsidR="00BD05BA" w:rsidRPr="00DB475B">
          <w:rPr>
            <w:webHidden/>
          </w:rPr>
        </w:r>
        <w:r w:rsidR="00BD05BA" w:rsidRPr="00DB475B">
          <w:rPr>
            <w:webHidden/>
          </w:rPr>
          <w:fldChar w:fldCharType="separate"/>
        </w:r>
        <w:r w:rsidR="00BD05BA" w:rsidRPr="00DB475B">
          <w:rPr>
            <w:webHidden/>
          </w:rPr>
          <w:t>12</w:t>
        </w:r>
        <w:r w:rsidR="00BD05BA" w:rsidRPr="00DB475B">
          <w:rPr>
            <w:webHidden/>
          </w:rPr>
          <w:fldChar w:fldCharType="end"/>
        </w:r>
      </w:hyperlink>
    </w:p>
    <w:p w14:paraId="299E3B3A" w14:textId="71368A84" w:rsidR="00BD05BA" w:rsidRPr="00DB475B" w:rsidRDefault="006447A2" w:rsidP="00436482">
      <w:pPr>
        <w:pStyle w:val="TOC3"/>
        <w:rPr>
          <w:rFonts w:eastAsiaTheme="minorEastAsia" w:cstheme="minorBidi"/>
          <w:bdr w:val="none" w:sz="0" w:space="0" w:color="auto"/>
          <w:lang w:val="es-US" w:eastAsia="zh-CN"/>
        </w:rPr>
      </w:pPr>
      <w:hyperlink w:anchor="_Toc90283305" w:history="1">
        <w:r w:rsidR="00BD05BA" w:rsidRPr="00DB475B">
          <w:rPr>
            <w:rStyle w:val="Hyperlink"/>
          </w:rPr>
          <w:t>2.</w:t>
        </w:r>
        <w:r w:rsidR="00BD05BA" w:rsidRPr="00DB475B">
          <w:rPr>
            <w:rFonts w:eastAsiaTheme="minorEastAsia" w:cstheme="minorBidi"/>
            <w:bdr w:val="none" w:sz="0" w:space="0" w:color="auto"/>
            <w:lang w:val="es-US" w:eastAsia="zh-CN"/>
          </w:rPr>
          <w:tab/>
        </w:r>
        <w:r w:rsidR="00BD05BA" w:rsidRPr="00DB475B">
          <w:rPr>
            <w:rStyle w:val="Hyperlink"/>
          </w:rPr>
          <w:t>Right to appeal and procedural bars</w:t>
        </w:r>
        <w:r w:rsidR="00BD05BA" w:rsidRPr="00DB475B">
          <w:rPr>
            <w:webHidden/>
          </w:rPr>
          <w:tab/>
        </w:r>
        <w:r w:rsidR="00BD05BA" w:rsidRPr="00DB475B">
          <w:rPr>
            <w:webHidden/>
          </w:rPr>
          <w:fldChar w:fldCharType="begin"/>
        </w:r>
        <w:r w:rsidR="00BD05BA" w:rsidRPr="00DB475B">
          <w:rPr>
            <w:webHidden/>
          </w:rPr>
          <w:instrText xml:space="preserve"> PAGEREF _Toc90283305 \h </w:instrText>
        </w:r>
        <w:r w:rsidR="00BD05BA" w:rsidRPr="00DB475B">
          <w:rPr>
            <w:webHidden/>
          </w:rPr>
        </w:r>
        <w:r w:rsidR="00BD05BA" w:rsidRPr="00DB475B">
          <w:rPr>
            <w:webHidden/>
          </w:rPr>
          <w:fldChar w:fldCharType="separate"/>
        </w:r>
        <w:r w:rsidR="00BD05BA" w:rsidRPr="00DB475B">
          <w:rPr>
            <w:webHidden/>
          </w:rPr>
          <w:t>13</w:t>
        </w:r>
        <w:r w:rsidR="00BD05BA" w:rsidRPr="00DB475B">
          <w:rPr>
            <w:webHidden/>
          </w:rPr>
          <w:fldChar w:fldCharType="end"/>
        </w:r>
      </w:hyperlink>
    </w:p>
    <w:p w14:paraId="3652EAB3" w14:textId="07B6EDE9" w:rsidR="00BD05BA" w:rsidRPr="00DB475B" w:rsidRDefault="006447A2" w:rsidP="00436482">
      <w:pPr>
        <w:pStyle w:val="TOC3"/>
        <w:rPr>
          <w:rFonts w:eastAsiaTheme="minorEastAsia" w:cstheme="minorBidi"/>
          <w:bdr w:val="none" w:sz="0" w:space="0" w:color="auto"/>
          <w:lang w:val="es-US" w:eastAsia="zh-CN"/>
        </w:rPr>
      </w:pPr>
      <w:hyperlink w:anchor="_Toc90283306" w:history="1">
        <w:r w:rsidR="00BD05BA" w:rsidRPr="00DB475B">
          <w:rPr>
            <w:rStyle w:val="Hyperlink"/>
          </w:rPr>
          <w:t>3.</w:t>
        </w:r>
        <w:r w:rsidR="00BD05BA" w:rsidRPr="00DB475B">
          <w:rPr>
            <w:rFonts w:eastAsiaTheme="minorEastAsia" w:cstheme="minorBidi"/>
            <w:bdr w:val="none" w:sz="0" w:space="0" w:color="auto"/>
            <w:lang w:val="es-US" w:eastAsia="zh-CN"/>
          </w:rPr>
          <w:tab/>
        </w:r>
        <w:r w:rsidR="00BD05BA" w:rsidRPr="00DB475B">
          <w:rPr>
            <w:rStyle w:val="Hyperlink"/>
          </w:rPr>
          <w:t>Right to be tried without undue delay</w:t>
        </w:r>
        <w:r w:rsidR="00BD05BA" w:rsidRPr="00DB475B">
          <w:rPr>
            <w:webHidden/>
          </w:rPr>
          <w:tab/>
        </w:r>
        <w:r w:rsidR="00BD05BA" w:rsidRPr="00DB475B">
          <w:rPr>
            <w:webHidden/>
          </w:rPr>
          <w:fldChar w:fldCharType="begin"/>
        </w:r>
        <w:r w:rsidR="00BD05BA" w:rsidRPr="00DB475B">
          <w:rPr>
            <w:webHidden/>
          </w:rPr>
          <w:instrText xml:space="preserve"> PAGEREF _Toc90283306 \h </w:instrText>
        </w:r>
        <w:r w:rsidR="00BD05BA" w:rsidRPr="00DB475B">
          <w:rPr>
            <w:webHidden/>
          </w:rPr>
        </w:r>
        <w:r w:rsidR="00BD05BA" w:rsidRPr="00DB475B">
          <w:rPr>
            <w:webHidden/>
          </w:rPr>
          <w:fldChar w:fldCharType="separate"/>
        </w:r>
        <w:r w:rsidR="00BD05BA" w:rsidRPr="00DB475B">
          <w:rPr>
            <w:webHidden/>
          </w:rPr>
          <w:t>15</w:t>
        </w:r>
        <w:r w:rsidR="00BD05BA" w:rsidRPr="00DB475B">
          <w:rPr>
            <w:webHidden/>
          </w:rPr>
          <w:fldChar w:fldCharType="end"/>
        </w:r>
      </w:hyperlink>
    </w:p>
    <w:p w14:paraId="2602AB92" w14:textId="674BB186" w:rsidR="00BD05BA" w:rsidRPr="00DB475B" w:rsidRDefault="006447A2" w:rsidP="00436482">
      <w:pPr>
        <w:pStyle w:val="TOC3"/>
        <w:rPr>
          <w:rFonts w:eastAsiaTheme="minorEastAsia" w:cstheme="minorBidi"/>
          <w:bdr w:val="none" w:sz="0" w:space="0" w:color="auto"/>
          <w:lang w:val="es-US" w:eastAsia="zh-CN"/>
        </w:rPr>
      </w:pPr>
      <w:hyperlink w:anchor="_Toc90283307" w:history="1">
        <w:r w:rsidR="00BD05BA" w:rsidRPr="00DB475B">
          <w:rPr>
            <w:rStyle w:val="Hyperlink"/>
          </w:rPr>
          <w:t>4.</w:t>
        </w:r>
        <w:r w:rsidR="00BD05BA" w:rsidRPr="00DB475B">
          <w:rPr>
            <w:rFonts w:eastAsiaTheme="minorEastAsia" w:cstheme="minorBidi"/>
            <w:bdr w:val="none" w:sz="0" w:space="0" w:color="auto"/>
            <w:lang w:val="es-US" w:eastAsia="zh-CN"/>
          </w:rPr>
          <w:tab/>
        </w:r>
        <w:r w:rsidR="00BD05BA" w:rsidRPr="00DB475B">
          <w:rPr>
            <w:rStyle w:val="Hyperlink"/>
          </w:rPr>
          <w:t>Clemency proceedings</w:t>
        </w:r>
        <w:r w:rsidR="00BD05BA" w:rsidRPr="00DB475B">
          <w:rPr>
            <w:webHidden/>
          </w:rPr>
          <w:tab/>
        </w:r>
        <w:r w:rsidR="00BD05BA" w:rsidRPr="00DB475B">
          <w:rPr>
            <w:webHidden/>
          </w:rPr>
          <w:fldChar w:fldCharType="begin"/>
        </w:r>
        <w:r w:rsidR="00BD05BA" w:rsidRPr="00DB475B">
          <w:rPr>
            <w:webHidden/>
          </w:rPr>
          <w:instrText xml:space="preserve"> PAGEREF _Toc90283307 \h </w:instrText>
        </w:r>
        <w:r w:rsidR="00BD05BA" w:rsidRPr="00DB475B">
          <w:rPr>
            <w:webHidden/>
          </w:rPr>
        </w:r>
        <w:r w:rsidR="00BD05BA" w:rsidRPr="00DB475B">
          <w:rPr>
            <w:webHidden/>
          </w:rPr>
          <w:fldChar w:fldCharType="separate"/>
        </w:r>
        <w:r w:rsidR="00BD05BA" w:rsidRPr="00DB475B">
          <w:rPr>
            <w:webHidden/>
          </w:rPr>
          <w:t>15</w:t>
        </w:r>
        <w:r w:rsidR="00BD05BA" w:rsidRPr="00DB475B">
          <w:rPr>
            <w:webHidden/>
          </w:rPr>
          <w:fldChar w:fldCharType="end"/>
        </w:r>
      </w:hyperlink>
    </w:p>
    <w:p w14:paraId="4F7CD203" w14:textId="64B91485"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308" w:history="1">
        <w:r w:rsidR="00BD05BA" w:rsidRPr="00DB475B">
          <w:rPr>
            <w:rStyle w:val="Hyperlink"/>
            <w:rFonts w:asciiTheme="majorHAnsi" w:hAnsiTheme="majorHAnsi"/>
            <w:sz w:val="20"/>
            <w:szCs w:val="20"/>
          </w:rPr>
          <w:t>C.</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Right to humane treatment during custody, right to health, and not to receive cruel, infamous or unusual punishment</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_Toc90283308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16</w:t>
        </w:r>
        <w:r w:rsidR="00BD05BA" w:rsidRPr="00DB475B">
          <w:rPr>
            <w:rFonts w:asciiTheme="majorHAnsi" w:hAnsiTheme="majorHAnsi"/>
            <w:webHidden/>
            <w:sz w:val="20"/>
            <w:szCs w:val="20"/>
          </w:rPr>
          <w:fldChar w:fldCharType="end"/>
        </w:r>
      </w:hyperlink>
    </w:p>
    <w:p w14:paraId="02918BFE" w14:textId="2190A660" w:rsidR="00BD05BA" w:rsidRPr="00DB475B" w:rsidRDefault="006447A2" w:rsidP="00436482">
      <w:pPr>
        <w:pStyle w:val="TOC3"/>
        <w:rPr>
          <w:rFonts w:eastAsiaTheme="minorEastAsia" w:cstheme="minorBidi"/>
          <w:bdr w:val="none" w:sz="0" w:space="0" w:color="auto"/>
          <w:lang w:val="es-US" w:eastAsia="zh-CN"/>
        </w:rPr>
      </w:pPr>
      <w:hyperlink w:anchor="_Toc90283309" w:history="1">
        <w:r w:rsidR="00BD05BA" w:rsidRPr="00DB475B">
          <w:rPr>
            <w:rStyle w:val="Hyperlink"/>
          </w:rPr>
          <w:t>1.</w:t>
        </w:r>
        <w:r w:rsidR="00BD05BA" w:rsidRPr="00DB475B">
          <w:rPr>
            <w:rFonts w:eastAsiaTheme="minorEastAsia" w:cstheme="minorBidi"/>
            <w:bdr w:val="none" w:sz="0" w:space="0" w:color="auto"/>
            <w:lang w:val="es-US" w:eastAsia="zh-CN"/>
          </w:rPr>
          <w:tab/>
        </w:r>
        <w:r w:rsidR="00BD05BA" w:rsidRPr="00DB475B">
          <w:rPr>
            <w:rStyle w:val="Hyperlink"/>
          </w:rPr>
          <w:t>Right of every person with mental disabilities not to be subject to death penalty</w:t>
        </w:r>
        <w:r w:rsidR="00BD05BA" w:rsidRPr="00DB475B">
          <w:rPr>
            <w:webHidden/>
          </w:rPr>
          <w:tab/>
        </w:r>
        <w:r w:rsidR="00BD05BA" w:rsidRPr="00DB475B">
          <w:rPr>
            <w:webHidden/>
          </w:rPr>
          <w:fldChar w:fldCharType="begin"/>
        </w:r>
        <w:r w:rsidR="00BD05BA" w:rsidRPr="00DB475B">
          <w:rPr>
            <w:webHidden/>
          </w:rPr>
          <w:instrText xml:space="preserve"> PAGEREF _Toc90283309 \h </w:instrText>
        </w:r>
        <w:r w:rsidR="00BD05BA" w:rsidRPr="00DB475B">
          <w:rPr>
            <w:webHidden/>
          </w:rPr>
        </w:r>
        <w:r w:rsidR="00BD05BA" w:rsidRPr="00DB475B">
          <w:rPr>
            <w:webHidden/>
          </w:rPr>
          <w:fldChar w:fldCharType="separate"/>
        </w:r>
        <w:r w:rsidR="00BD05BA" w:rsidRPr="00DB475B">
          <w:rPr>
            <w:webHidden/>
          </w:rPr>
          <w:t>16</w:t>
        </w:r>
        <w:r w:rsidR="00BD05BA" w:rsidRPr="00DB475B">
          <w:rPr>
            <w:webHidden/>
          </w:rPr>
          <w:fldChar w:fldCharType="end"/>
        </w:r>
      </w:hyperlink>
    </w:p>
    <w:p w14:paraId="24B44D04" w14:textId="632E32A0" w:rsidR="00BD05BA" w:rsidRPr="00DB475B" w:rsidRDefault="006447A2" w:rsidP="00436482">
      <w:pPr>
        <w:pStyle w:val="TOC3"/>
        <w:rPr>
          <w:rFonts w:eastAsiaTheme="minorEastAsia" w:cstheme="minorBidi"/>
          <w:bdr w:val="none" w:sz="0" w:space="0" w:color="auto"/>
          <w:lang w:val="es-US" w:eastAsia="zh-CN"/>
        </w:rPr>
      </w:pPr>
      <w:hyperlink w:anchor="_Toc90283310" w:history="1">
        <w:r w:rsidR="00BD05BA" w:rsidRPr="00DB475B">
          <w:rPr>
            <w:rStyle w:val="Hyperlink"/>
          </w:rPr>
          <w:t>2.</w:t>
        </w:r>
        <w:r w:rsidR="00BD05BA" w:rsidRPr="00DB475B">
          <w:rPr>
            <w:rFonts w:eastAsiaTheme="minorEastAsia" w:cstheme="minorBidi"/>
            <w:bdr w:val="none" w:sz="0" w:space="0" w:color="auto"/>
            <w:lang w:val="es-US" w:eastAsia="zh-CN"/>
          </w:rPr>
          <w:tab/>
        </w:r>
        <w:r w:rsidR="00BD05BA" w:rsidRPr="00DB475B">
          <w:rPr>
            <w:rStyle w:val="Hyperlink"/>
          </w:rPr>
          <w:t>Death row confinement conditions</w:t>
        </w:r>
        <w:r w:rsidR="00BD05BA" w:rsidRPr="00DB475B">
          <w:rPr>
            <w:webHidden/>
          </w:rPr>
          <w:tab/>
        </w:r>
        <w:r w:rsidR="00BD05BA" w:rsidRPr="00DB475B">
          <w:rPr>
            <w:webHidden/>
          </w:rPr>
          <w:fldChar w:fldCharType="begin"/>
        </w:r>
        <w:r w:rsidR="00BD05BA" w:rsidRPr="00DB475B">
          <w:rPr>
            <w:webHidden/>
          </w:rPr>
          <w:instrText xml:space="preserve"> PAGEREF _Toc90283310 \h </w:instrText>
        </w:r>
        <w:r w:rsidR="00BD05BA" w:rsidRPr="00DB475B">
          <w:rPr>
            <w:webHidden/>
          </w:rPr>
        </w:r>
        <w:r w:rsidR="00BD05BA" w:rsidRPr="00DB475B">
          <w:rPr>
            <w:webHidden/>
          </w:rPr>
          <w:fldChar w:fldCharType="separate"/>
        </w:r>
        <w:r w:rsidR="00BD05BA" w:rsidRPr="00DB475B">
          <w:rPr>
            <w:webHidden/>
          </w:rPr>
          <w:t>17</w:t>
        </w:r>
        <w:r w:rsidR="00BD05BA" w:rsidRPr="00DB475B">
          <w:rPr>
            <w:webHidden/>
          </w:rPr>
          <w:fldChar w:fldCharType="end"/>
        </w:r>
      </w:hyperlink>
    </w:p>
    <w:p w14:paraId="33FB5FB5" w14:textId="50A69117" w:rsidR="00BD05BA" w:rsidRPr="00DB475B" w:rsidRDefault="006447A2" w:rsidP="00436482">
      <w:pPr>
        <w:pStyle w:val="TOC3"/>
        <w:rPr>
          <w:rFonts w:eastAsiaTheme="minorEastAsia" w:cstheme="minorBidi"/>
          <w:bdr w:val="none" w:sz="0" w:space="0" w:color="auto"/>
          <w:lang w:val="es-US" w:eastAsia="zh-CN"/>
        </w:rPr>
      </w:pPr>
      <w:hyperlink w:anchor="_Toc90283311" w:history="1">
        <w:r w:rsidR="00BD05BA" w:rsidRPr="00DB475B">
          <w:rPr>
            <w:rStyle w:val="Hyperlink"/>
          </w:rPr>
          <w:t>3.</w:t>
        </w:r>
        <w:r w:rsidR="00BD05BA" w:rsidRPr="00DB475B">
          <w:rPr>
            <w:rFonts w:eastAsiaTheme="minorEastAsia" w:cstheme="minorBidi"/>
            <w:bdr w:val="none" w:sz="0" w:space="0" w:color="auto"/>
            <w:lang w:val="es-US" w:eastAsia="zh-CN"/>
          </w:rPr>
          <w:tab/>
        </w:r>
        <w:r w:rsidR="00BD05BA" w:rsidRPr="00DB475B">
          <w:rPr>
            <w:rStyle w:val="Hyperlink"/>
          </w:rPr>
          <w:t>Method of execution</w:t>
        </w:r>
        <w:r w:rsidR="00BD05BA" w:rsidRPr="00DB475B">
          <w:rPr>
            <w:webHidden/>
          </w:rPr>
          <w:tab/>
        </w:r>
        <w:r w:rsidR="00BD05BA" w:rsidRPr="00DB475B">
          <w:rPr>
            <w:webHidden/>
          </w:rPr>
          <w:fldChar w:fldCharType="begin"/>
        </w:r>
        <w:r w:rsidR="00BD05BA" w:rsidRPr="00DB475B">
          <w:rPr>
            <w:webHidden/>
          </w:rPr>
          <w:instrText xml:space="preserve"> PAGEREF _Toc90283311 \h </w:instrText>
        </w:r>
        <w:r w:rsidR="00BD05BA" w:rsidRPr="00DB475B">
          <w:rPr>
            <w:webHidden/>
          </w:rPr>
        </w:r>
        <w:r w:rsidR="00BD05BA" w:rsidRPr="00DB475B">
          <w:rPr>
            <w:webHidden/>
          </w:rPr>
          <w:fldChar w:fldCharType="separate"/>
        </w:r>
        <w:r w:rsidR="00BD05BA" w:rsidRPr="00DB475B">
          <w:rPr>
            <w:webHidden/>
          </w:rPr>
          <w:t>19</w:t>
        </w:r>
        <w:r w:rsidR="00BD05BA" w:rsidRPr="00DB475B">
          <w:rPr>
            <w:webHidden/>
          </w:rPr>
          <w:fldChar w:fldCharType="end"/>
        </w:r>
      </w:hyperlink>
    </w:p>
    <w:p w14:paraId="4D9377A6" w14:textId="11786078" w:rsidR="00BD05BA" w:rsidRPr="00DB475B" w:rsidRDefault="006447A2" w:rsidP="00436482">
      <w:pPr>
        <w:pStyle w:val="TOC3"/>
        <w:rPr>
          <w:rFonts w:eastAsiaTheme="minorEastAsia" w:cstheme="minorBidi"/>
          <w:bdr w:val="none" w:sz="0" w:space="0" w:color="auto"/>
          <w:lang w:val="es-US" w:eastAsia="zh-CN"/>
        </w:rPr>
      </w:pPr>
      <w:hyperlink w:anchor="_Toc90283312" w:history="1">
        <w:r w:rsidR="00BD05BA" w:rsidRPr="00DB475B">
          <w:rPr>
            <w:rStyle w:val="Hyperlink"/>
          </w:rPr>
          <w:t>4.</w:t>
        </w:r>
        <w:r w:rsidR="00BD05BA" w:rsidRPr="00DB475B">
          <w:rPr>
            <w:rFonts w:eastAsiaTheme="minorEastAsia" w:cstheme="minorBidi"/>
            <w:bdr w:val="none" w:sz="0" w:space="0" w:color="auto"/>
            <w:lang w:val="es-US" w:eastAsia="zh-CN"/>
          </w:rPr>
          <w:tab/>
        </w:r>
        <w:r w:rsidR="00BD05BA" w:rsidRPr="00DB475B">
          <w:rPr>
            <w:rStyle w:val="Hyperlink"/>
          </w:rPr>
          <w:t>The deprivation of liberty on death row and the right of protection against cruel, infamous or unusual punishment</w:t>
        </w:r>
        <w:r w:rsidR="00BD05BA" w:rsidRPr="00DB475B">
          <w:rPr>
            <w:webHidden/>
          </w:rPr>
          <w:tab/>
        </w:r>
        <w:r w:rsidR="00BD05BA" w:rsidRPr="00DB475B">
          <w:rPr>
            <w:webHidden/>
          </w:rPr>
          <w:fldChar w:fldCharType="begin"/>
        </w:r>
        <w:r w:rsidR="00BD05BA" w:rsidRPr="00DB475B">
          <w:rPr>
            <w:webHidden/>
          </w:rPr>
          <w:instrText xml:space="preserve"> PAGEREF _Toc90283312 \h </w:instrText>
        </w:r>
        <w:r w:rsidR="00BD05BA" w:rsidRPr="00DB475B">
          <w:rPr>
            <w:webHidden/>
          </w:rPr>
        </w:r>
        <w:r w:rsidR="00BD05BA" w:rsidRPr="00DB475B">
          <w:rPr>
            <w:webHidden/>
          </w:rPr>
          <w:fldChar w:fldCharType="separate"/>
        </w:r>
        <w:r w:rsidR="00BD05BA" w:rsidRPr="00DB475B">
          <w:rPr>
            <w:webHidden/>
          </w:rPr>
          <w:t>20</w:t>
        </w:r>
        <w:r w:rsidR="00BD05BA" w:rsidRPr="00DB475B">
          <w:rPr>
            <w:webHidden/>
          </w:rPr>
          <w:fldChar w:fldCharType="end"/>
        </w:r>
      </w:hyperlink>
    </w:p>
    <w:p w14:paraId="2D61ED6D" w14:textId="721E3580" w:rsidR="00BD05BA" w:rsidRPr="00DB475B" w:rsidRDefault="006447A2">
      <w:pPr>
        <w:pStyle w:val="TOC2"/>
        <w:rPr>
          <w:rFonts w:asciiTheme="majorHAnsi" w:eastAsiaTheme="minorEastAsia" w:hAnsiTheme="majorHAnsi" w:cstheme="minorBidi"/>
          <w:sz w:val="20"/>
          <w:szCs w:val="20"/>
          <w:bdr w:val="none" w:sz="0" w:space="0" w:color="auto"/>
          <w:lang w:val="es-US" w:eastAsia="zh-CN"/>
        </w:rPr>
      </w:pPr>
      <w:hyperlink w:anchor="_Toc90283313" w:history="1">
        <w:r w:rsidR="00BD05BA" w:rsidRPr="00DB475B">
          <w:rPr>
            <w:rStyle w:val="Hyperlink"/>
            <w:rFonts w:asciiTheme="majorHAnsi" w:hAnsiTheme="majorHAnsi"/>
            <w:sz w:val="20"/>
            <w:szCs w:val="20"/>
          </w:rPr>
          <w:t>D.</w:t>
        </w:r>
        <w:r w:rsidR="00BD05BA" w:rsidRPr="00DB475B">
          <w:rPr>
            <w:rFonts w:asciiTheme="majorHAnsi" w:eastAsiaTheme="minorEastAsia" w:hAnsiTheme="majorHAnsi" w:cstheme="minorBidi"/>
            <w:sz w:val="20"/>
            <w:szCs w:val="20"/>
            <w:bdr w:val="none" w:sz="0" w:space="0" w:color="auto"/>
            <w:lang w:val="es-US" w:eastAsia="zh-CN"/>
          </w:rPr>
          <w:tab/>
        </w:r>
        <w:r w:rsidR="00BD05BA" w:rsidRPr="00DB475B">
          <w:rPr>
            <w:rStyle w:val="Hyperlink"/>
            <w:rFonts w:asciiTheme="majorHAnsi" w:hAnsiTheme="majorHAnsi"/>
            <w:sz w:val="20"/>
            <w:szCs w:val="20"/>
          </w:rPr>
          <w:t>Right to life and to protection against cruel, infamous or unusual punishment with respect to the eventual execution of Pete Carl Rogovich</w:t>
        </w:r>
        <w:r w:rsidR="00BD05BA" w:rsidRPr="00DB475B">
          <w:rPr>
            <w:rFonts w:asciiTheme="majorHAnsi" w:hAnsiTheme="majorHAnsi"/>
            <w:webHidden/>
            <w:sz w:val="20"/>
            <w:szCs w:val="20"/>
          </w:rPr>
          <w:tab/>
        </w:r>
        <w:r w:rsidR="00BD05BA" w:rsidRPr="00DB475B">
          <w:rPr>
            <w:rFonts w:asciiTheme="majorHAnsi" w:hAnsiTheme="majorHAnsi"/>
            <w:webHidden/>
            <w:sz w:val="20"/>
            <w:szCs w:val="20"/>
          </w:rPr>
          <w:fldChar w:fldCharType="begin"/>
        </w:r>
        <w:r w:rsidR="00BD05BA" w:rsidRPr="00DB475B">
          <w:rPr>
            <w:rFonts w:asciiTheme="majorHAnsi" w:hAnsiTheme="majorHAnsi"/>
            <w:webHidden/>
            <w:sz w:val="20"/>
            <w:szCs w:val="20"/>
          </w:rPr>
          <w:instrText xml:space="preserve"> PAGEREF _Toc90283313 \h </w:instrText>
        </w:r>
        <w:r w:rsidR="00BD05BA" w:rsidRPr="00DB475B">
          <w:rPr>
            <w:rFonts w:asciiTheme="majorHAnsi" w:hAnsiTheme="majorHAnsi"/>
            <w:webHidden/>
            <w:sz w:val="20"/>
            <w:szCs w:val="20"/>
          </w:rPr>
        </w:r>
        <w:r w:rsidR="00BD05BA" w:rsidRPr="00DB475B">
          <w:rPr>
            <w:rFonts w:asciiTheme="majorHAnsi" w:hAnsiTheme="majorHAnsi"/>
            <w:webHidden/>
            <w:sz w:val="20"/>
            <w:szCs w:val="20"/>
          </w:rPr>
          <w:fldChar w:fldCharType="separate"/>
        </w:r>
        <w:r w:rsidR="00BD05BA" w:rsidRPr="00DB475B">
          <w:rPr>
            <w:rFonts w:asciiTheme="majorHAnsi" w:hAnsiTheme="majorHAnsi"/>
            <w:webHidden/>
            <w:sz w:val="20"/>
            <w:szCs w:val="20"/>
          </w:rPr>
          <w:t>21</w:t>
        </w:r>
        <w:r w:rsidR="00BD05BA" w:rsidRPr="00DB475B">
          <w:rPr>
            <w:rFonts w:asciiTheme="majorHAnsi" w:hAnsiTheme="majorHAnsi"/>
            <w:webHidden/>
            <w:sz w:val="20"/>
            <w:szCs w:val="20"/>
          </w:rPr>
          <w:fldChar w:fldCharType="end"/>
        </w:r>
      </w:hyperlink>
    </w:p>
    <w:p w14:paraId="20DE4B70" w14:textId="11927E2A" w:rsidR="00BD05BA" w:rsidRPr="00DB475B" w:rsidRDefault="006447A2">
      <w:pPr>
        <w:pStyle w:val="TOC1"/>
        <w:rPr>
          <w:rFonts w:eastAsiaTheme="minorEastAsia" w:cstheme="minorBidi"/>
          <w:b w:val="0"/>
          <w:bdr w:val="none" w:sz="0" w:space="0" w:color="auto"/>
          <w:lang w:val="es-US" w:eastAsia="zh-CN"/>
        </w:rPr>
      </w:pPr>
      <w:hyperlink w:anchor="_Toc90283314" w:history="1">
        <w:r w:rsidR="00BD05BA" w:rsidRPr="00DB475B">
          <w:rPr>
            <w:rStyle w:val="Hyperlink"/>
          </w:rPr>
          <w:t>VI.</w:t>
        </w:r>
        <w:r w:rsidR="00BD05BA" w:rsidRPr="00DB475B">
          <w:rPr>
            <w:rFonts w:eastAsiaTheme="minorEastAsia" w:cstheme="minorBidi"/>
            <w:b w:val="0"/>
            <w:bdr w:val="none" w:sz="0" w:space="0" w:color="auto"/>
            <w:lang w:val="es-US" w:eastAsia="zh-CN"/>
          </w:rPr>
          <w:tab/>
        </w:r>
        <w:r w:rsidR="00BD05BA" w:rsidRPr="00DB475B">
          <w:rPr>
            <w:rStyle w:val="Hyperlink"/>
          </w:rPr>
          <w:t>REPORT No. 154/19 AND INFORMATION ABOUT COMPLIANCE</w:t>
        </w:r>
        <w:r w:rsidR="00BD05BA" w:rsidRPr="00DB475B">
          <w:rPr>
            <w:webHidden/>
          </w:rPr>
          <w:tab/>
        </w:r>
        <w:r w:rsidR="00BD05BA" w:rsidRPr="00DB475B">
          <w:rPr>
            <w:webHidden/>
          </w:rPr>
          <w:fldChar w:fldCharType="begin"/>
        </w:r>
        <w:r w:rsidR="00BD05BA" w:rsidRPr="00DB475B">
          <w:rPr>
            <w:webHidden/>
          </w:rPr>
          <w:instrText xml:space="preserve"> PAGEREF _Toc90283314 \h </w:instrText>
        </w:r>
        <w:r w:rsidR="00BD05BA" w:rsidRPr="00DB475B">
          <w:rPr>
            <w:webHidden/>
          </w:rPr>
        </w:r>
        <w:r w:rsidR="00BD05BA" w:rsidRPr="00DB475B">
          <w:rPr>
            <w:webHidden/>
          </w:rPr>
          <w:fldChar w:fldCharType="separate"/>
        </w:r>
        <w:r w:rsidR="00BD05BA" w:rsidRPr="00DB475B">
          <w:rPr>
            <w:webHidden/>
          </w:rPr>
          <w:t>21</w:t>
        </w:r>
        <w:r w:rsidR="00BD05BA" w:rsidRPr="00DB475B">
          <w:rPr>
            <w:webHidden/>
          </w:rPr>
          <w:fldChar w:fldCharType="end"/>
        </w:r>
      </w:hyperlink>
    </w:p>
    <w:p w14:paraId="0B00BD31" w14:textId="0DE4C08C" w:rsidR="00BD05BA" w:rsidRPr="00DB475B" w:rsidRDefault="006447A2">
      <w:pPr>
        <w:pStyle w:val="TOC1"/>
        <w:rPr>
          <w:rFonts w:eastAsiaTheme="minorEastAsia" w:cstheme="minorBidi"/>
          <w:b w:val="0"/>
          <w:bdr w:val="none" w:sz="0" w:space="0" w:color="auto"/>
          <w:lang w:val="es-US" w:eastAsia="zh-CN"/>
        </w:rPr>
      </w:pPr>
      <w:hyperlink w:anchor="_Toc90283315" w:history="1">
        <w:r w:rsidR="00BD05BA" w:rsidRPr="00DB475B">
          <w:rPr>
            <w:rStyle w:val="Hyperlink"/>
          </w:rPr>
          <w:t>VII.</w:t>
        </w:r>
        <w:r w:rsidR="00BD05BA" w:rsidRPr="00DB475B">
          <w:rPr>
            <w:rFonts w:eastAsiaTheme="minorEastAsia" w:cstheme="minorBidi"/>
            <w:b w:val="0"/>
            <w:bdr w:val="none" w:sz="0" w:space="0" w:color="auto"/>
            <w:lang w:val="es-US" w:eastAsia="zh-CN"/>
          </w:rPr>
          <w:tab/>
        </w:r>
        <w:r w:rsidR="00BD05BA" w:rsidRPr="00DB475B">
          <w:rPr>
            <w:rStyle w:val="Hyperlink"/>
          </w:rPr>
          <w:t>ACTIONS SUBSEQUENT TO REPORT No. 329/21</w:t>
        </w:r>
        <w:r w:rsidR="00BD05BA" w:rsidRPr="00DB475B">
          <w:rPr>
            <w:webHidden/>
          </w:rPr>
          <w:tab/>
        </w:r>
        <w:r w:rsidR="00BD05BA" w:rsidRPr="00DB475B">
          <w:rPr>
            <w:webHidden/>
          </w:rPr>
          <w:fldChar w:fldCharType="begin"/>
        </w:r>
        <w:r w:rsidR="00BD05BA" w:rsidRPr="00DB475B">
          <w:rPr>
            <w:webHidden/>
          </w:rPr>
          <w:instrText xml:space="preserve"> PAGEREF _Toc90283315 \h </w:instrText>
        </w:r>
        <w:r w:rsidR="00BD05BA" w:rsidRPr="00DB475B">
          <w:rPr>
            <w:webHidden/>
          </w:rPr>
        </w:r>
        <w:r w:rsidR="00BD05BA" w:rsidRPr="00DB475B">
          <w:rPr>
            <w:webHidden/>
          </w:rPr>
          <w:fldChar w:fldCharType="separate"/>
        </w:r>
        <w:r w:rsidR="00BD05BA" w:rsidRPr="00DB475B">
          <w:rPr>
            <w:webHidden/>
          </w:rPr>
          <w:t>22</w:t>
        </w:r>
        <w:r w:rsidR="00BD05BA" w:rsidRPr="00DB475B">
          <w:rPr>
            <w:webHidden/>
          </w:rPr>
          <w:fldChar w:fldCharType="end"/>
        </w:r>
      </w:hyperlink>
    </w:p>
    <w:p w14:paraId="3666A870" w14:textId="51D4A2FC" w:rsidR="00BD05BA" w:rsidRPr="00DB475B" w:rsidRDefault="006447A2">
      <w:pPr>
        <w:pStyle w:val="TOC1"/>
        <w:rPr>
          <w:rFonts w:eastAsiaTheme="minorEastAsia" w:cstheme="minorBidi"/>
          <w:b w:val="0"/>
          <w:bdr w:val="none" w:sz="0" w:space="0" w:color="auto"/>
          <w:lang w:val="es-US" w:eastAsia="zh-CN"/>
        </w:rPr>
      </w:pPr>
      <w:hyperlink w:anchor="_Toc90283316" w:history="1">
        <w:r w:rsidR="00BD05BA" w:rsidRPr="00DB475B">
          <w:rPr>
            <w:rStyle w:val="Hyperlink"/>
          </w:rPr>
          <w:t>VIII.</w:t>
        </w:r>
        <w:r w:rsidR="00BD05BA" w:rsidRPr="00DB475B">
          <w:rPr>
            <w:rFonts w:eastAsiaTheme="minorEastAsia" w:cstheme="minorBidi"/>
            <w:b w:val="0"/>
            <w:bdr w:val="none" w:sz="0" w:space="0" w:color="auto"/>
            <w:lang w:val="es-US" w:eastAsia="zh-CN"/>
          </w:rPr>
          <w:tab/>
        </w:r>
        <w:r w:rsidR="00BD05BA" w:rsidRPr="00DB475B">
          <w:rPr>
            <w:rStyle w:val="Hyperlink"/>
          </w:rPr>
          <w:t>FINAL CONCLUSIONS AND RECOMMENDATIONS</w:t>
        </w:r>
        <w:r w:rsidR="00BD05BA" w:rsidRPr="00DB475B">
          <w:rPr>
            <w:webHidden/>
          </w:rPr>
          <w:tab/>
        </w:r>
        <w:r w:rsidR="00BD05BA" w:rsidRPr="00DB475B">
          <w:rPr>
            <w:webHidden/>
          </w:rPr>
          <w:fldChar w:fldCharType="begin"/>
        </w:r>
        <w:r w:rsidR="00BD05BA" w:rsidRPr="00DB475B">
          <w:rPr>
            <w:webHidden/>
          </w:rPr>
          <w:instrText xml:space="preserve"> PAGEREF _Toc90283316 \h </w:instrText>
        </w:r>
        <w:r w:rsidR="00BD05BA" w:rsidRPr="00DB475B">
          <w:rPr>
            <w:webHidden/>
          </w:rPr>
        </w:r>
        <w:r w:rsidR="00BD05BA" w:rsidRPr="00DB475B">
          <w:rPr>
            <w:webHidden/>
          </w:rPr>
          <w:fldChar w:fldCharType="separate"/>
        </w:r>
        <w:r w:rsidR="00BD05BA" w:rsidRPr="00DB475B">
          <w:rPr>
            <w:webHidden/>
          </w:rPr>
          <w:t>22</w:t>
        </w:r>
        <w:r w:rsidR="00BD05BA" w:rsidRPr="00DB475B">
          <w:rPr>
            <w:webHidden/>
          </w:rPr>
          <w:fldChar w:fldCharType="end"/>
        </w:r>
      </w:hyperlink>
    </w:p>
    <w:p w14:paraId="1B58ADE7" w14:textId="5E4AD42F" w:rsidR="00BD05BA" w:rsidRPr="00DB475B" w:rsidRDefault="006447A2">
      <w:pPr>
        <w:pStyle w:val="TOC1"/>
        <w:rPr>
          <w:rFonts w:eastAsiaTheme="minorEastAsia" w:cstheme="minorBidi"/>
          <w:b w:val="0"/>
          <w:bdr w:val="none" w:sz="0" w:space="0" w:color="auto"/>
          <w:lang w:val="es-US" w:eastAsia="zh-CN"/>
        </w:rPr>
      </w:pPr>
      <w:hyperlink w:anchor="_Toc90283317" w:history="1">
        <w:r w:rsidR="00BD05BA" w:rsidRPr="00DB475B">
          <w:rPr>
            <w:rStyle w:val="Hyperlink"/>
          </w:rPr>
          <w:t>IX.</w:t>
        </w:r>
        <w:r w:rsidR="00BD05BA" w:rsidRPr="00DB475B">
          <w:rPr>
            <w:rFonts w:eastAsiaTheme="minorEastAsia" w:cstheme="minorBidi"/>
            <w:b w:val="0"/>
            <w:bdr w:val="none" w:sz="0" w:space="0" w:color="auto"/>
            <w:lang w:val="es-US" w:eastAsia="zh-CN"/>
          </w:rPr>
          <w:tab/>
        </w:r>
        <w:r w:rsidR="00BD05BA" w:rsidRPr="00DB475B">
          <w:rPr>
            <w:rStyle w:val="Hyperlink"/>
          </w:rPr>
          <w:t>PUBLICATION</w:t>
        </w:r>
        <w:r w:rsidR="00BD05BA" w:rsidRPr="00DB475B">
          <w:rPr>
            <w:webHidden/>
          </w:rPr>
          <w:tab/>
        </w:r>
        <w:r w:rsidR="00BD05BA" w:rsidRPr="00DB475B">
          <w:rPr>
            <w:webHidden/>
          </w:rPr>
          <w:fldChar w:fldCharType="begin"/>
        </w:r>
        <w:r w:rsidR="00BD05BA" w:rsidRPr="00DB475B">
          <w:rPr>
            <w:webHidden/>
          </w:rPr>
          <w:instrText xml:space="preserve"> PAGEREF _Toc90283317 \h </w:instrText>
        </w:r>
        <w:r w:rsidR="00BD05BA" w:rsidRPr="00DB475B">
          <w:rPr>
            <w:webHidden/>
          </w:rPr>
        </w:r>
        <w:r w:rsidR="00BD05BA" w:rsidRPr="00DB475B">
          <w:rPr>
            <w:webHidden/>
          </w:rPr>
          <w:fldChar w:fldCharType="separate"/>
        </w:r>
        <w:r w:rsidR="00BD05BA" w:rsidRPr="00DB475B">
          <w:rPr>
            <w:webHidden/>
          </w:rPr>
          <w:t>23</w:t>
        </w:r>
        <w:r w:rsidR="00BD05BA" w:rsidRPr="00DB475B">
          <w:rPr>
            <w:webHidden/>
          </w:rPr>
          <w:fldChar w:fldCharType="end"/>
        </w:r>
      </w:hyperlink>
    </w:p>
    <w:p w14:paraId="7534D9CB" w14:textId="341428E5" w:rsidR="007607C4" w:rsidRPr="00224AA7" w:rsidRDefault="00DA36AE" w:rsidP="00145EDC">
      <w:pPr>
        <w:tabs>
          <w:tab w:val="center" w:pos="5400"/>
        </w:tabs>
        <w:suppressAutoHyphens/>
        <w:spacing w:line="276" w:lineRule="auto"/>
        <w:rPr>
          <w:rFonts w:asciiTheme="majorHAnsi" w:hAnsiTheme="majorHAnsi"/>
          <w:sz w:val="20"/>
          <w:szCs w:val="20"/>
        </w:rPr>
      </w:pPr>
      <w:r w:rsidRPr="00DB475B">
        <w:rPr>
          <w:rFonts w:asciiTheme="majorHAnsi" w:hAnsiTheme="majorHAnsi"/>
          <w:sz w:val="20"/>
          <w:szCs w:val="20"/>
        </w:rPr>
        <w:fldChar w:fldCharType="end"/>
      </w:r>
    </w:p>
    <w:p w14:paraId="0794405A" w14:textId="77777777" w:rsidR="007607C4" w:rsidRDefault="007607C4" w:rsidP="00145EDC">
      <w:pPr>
        <w:tabs>
          <w:tab w:val="center" w:pos="5400"/>
        </w:tabs>
        <w:suppressAutoHyphens/>
        <w:spacing w:line="276" w:lineRule="auto"/>
        <w:rPr>
          <w:rFonts w:asciiTheme="majorHAnsi" w:hAnsiTheme="majorHAnsi"/>
          <w:sz w:val="20"/>
          <w:szCs w:val="20"/>
        </w:rPr>
      </w:pPr>
    </w:p>
    <w:p w14:paraId="5D757D0F" w14:textId="77777777" w:rsidR="00DE01CB" w:rsidRDefault="00DE01CB" w:rsidP="00145EDC">
      <w:pPr>
        <w:tabs>
          <w:tab w:val="center" w:pos="5400"/>
        </w:tabs>
        <w:suppressAutoHyphens/>
        <w:spacing w:line="276" w:lineRule="auto"/>
        <w:rPr>
          <w:rFonts w:asciiTheme="majorHAnsi" w:hAnsiTheme="majorHAnsi"/>
          <w:sz w:val="20"/>
          <w:szCs w:val="20"/>
        </w:rPr>
      </w:pPr>
    </w:p>
    <w:p w14:paraId="5CEA29F5" w14:textId="77777777" w:rsidR="001C4006" w:rsidRPr="00224AA7" w:rsidRDefault="00830E88" w:rsidP="003676F1">
      <w:pPr>
        <w:pStyle w:val="Heading1"/>
        <w:tabs>
          <w:tab w:val="left" w:pos="360"/>
        </w:tabs>
        <w:spacing w:before="0"/>
        <w:ind w:hanging="720"/>
        <w:rPr>
          <w:color w:val="auto"/>
          <w:sz w:val="20"/>
          <w:szCs w:val="20"/>
        </w:rPr>
      </w:pPr>
      <w:bookmarkStart w:id="0" w:name="_Toc90283286"/>
      <w:r w:rsidRPr="00224AA7">
        <w:rPr>
          <w:color w:val="auto"/>
          <w:sz w:val="20"/>
          <w:szCs w:val="20"/>
        </w:rPr>
        <w:lastRenderedPageBreak/>
        <w:t>INTRODUCTION</w:t>
      </w:r>
      <w:bookmarkEnd w:id="0"/>
      <w:r w:rsidR="001C4006" w:rsidRPr="00224AA7">
        <w:rPr>
          <w:color w:val="auto"/>
          <w:sz w:val="20"/>
          <w:szCs w:val="20"/>
        </w:rPr>
        <w:t xml:space="preserve"> </w:t>
      </w:r>
    </w:p>
    <w:p w14:paraId="1E587B8A" w14:textId="77777777" w:rsidR="001C4006" w:rsidRPr="00224AA7" w:rsidRDefault="001C4006" w:rsidP="00BB5A59">
      <w:pPr>
        <w:suppressAutoHyphens/>
        <w:ind w:left="1440" w:hanging="720"/>
        <w:rPr>
          <w:rFonts w:asciiTheme="majorHAnsi" w:hAnsiTheme="majorHAnsi"/>
          <w:b/>
          <w:sz w:val="20"/>
          <w:szCs w:val="20"/>
        </w:rPr>
      </w:pPr>
    </w:p>
    <w:p w14:paraId="43882750" w14:textId="77777777" w:rsidR="001C4006" w:rsidRPr="00224AA7" w:rsidRDefault="001C4006"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24AA7">
        <w:rPr>
          <w:rFonts w:asciiTheme="majorHAnsi" w:hAnsiTheme="majorHAnsi"/>
          <w:sz w:val="20"/>
          <w:szCs w:val="20"/>
        </w:rPr>
        <w:t xml:space="preserve">On </w:t>
      </w:r>
      <w:r w:rsidR="0007716F" w:rsidRPr="00224AA7">
        <w:rPr>
          <w:rFonts w:asciiTheme="majorHAnsi" w:hAnsiTheme="majorHAnsi"/>
          <w:sz w:val="20"/>
          <w:szCs w:val="20"/>
        </w:rPr>
        <w:t xml:space="preserve">February 19, 2014, </w:t>
      </w:r>
      <w:r w:rsidRPr="00224AA7">
        <w:rPr>
          <w:rFonts w:asciiTheme="majorHAnsi" w:hAnsiTheme="majorHAnsi"/>
          <w:sz w:val="20"/>
          <w:szCs w:val="20"/>
        </w:rPr>
        <w:t>the Inter-American Commission on Human Rights (the “Inter-American Commission”</w:t>
      </w:r>
      <w:r w:rsidR="004D4E01" w:rsidRPr="00224AA7">
        <w:rPr>
          <w:rFonts w:asciiTheme="majorHAnsi" w:hAnsiTheme="majorHAnsi"/>
          <w:sz w:val="20"/>
          <w:szCs w:val="20"/>
        </w:rPr>
        <w:t>, “Commission”</w:t>
      </w:r>
      <w:r w:rsidRPr="00224AA7">
        <w:rPr>
          <w:rFonts w:asciiTheme="majorHAnsi" w:hAnsiTheme="majorHAnsi"/>
          <w:sz w:val="20"/>
          <w:szCs w:val="20"/>
        </w:rPr>
        <w:t xml:space="preserve"> or “IACHR”) received a petition</w:t>
      </w:r>
      <w:r w:rsidR="00444596" w:rsidRPr="00224AA7">
        <w:rPr>
          <w:rFonts w:asciiTheme="majorHAnsi" w:hAnsiTheme="majorHAnsi"/>
          <w:sz w:val="20"/>
          <w:szCs w:val="20"/>
        </w:rPr>
        <w:t xml:space="preserve"> </w:t>
      </w:r>
      <w:r w:rsidR="00B24A00" w:rsidRPr="00224AA7">
        <w:rPr>
          <w:rFonts w:asciiTheme="majorHAnsi" w:hAnsiTheme="majorHAnsi"/>
          <w:sz w:val="20"/>
          <w:szCs w:val="20"/>
        </w:rPr>
        <w:t>and request for precautionary measures</w:t>
      </w:r>
      <w:r w:rsidR="00B24A00" w:rsidRPr="00224AA7">
        <w:rPr>
          <w:rStyle w:val="FootnoteReference"/>
          <w:rFonts w:asciiTheme="majorHAnsi" w:hAnsiTheme="majorHAnsi"/>
          <w:sz w:val="20"/>
          <w:szCs w:val="20"/>
        </w:rPr>
        <w:footnoteReference w:id="2"/>
      </w:r>
      <w:r w:rsidR="00B24A00" w:rsidRPr="00224AA7">
        <w:rPr>
          <w:rFonts w:asciiTheme="majorHAnsi" w:hAnsiTheme="majorHAnsi"/>
          <w:sz w:val="20"/>
          <w:szCs w:val="20"/>
        </w:rPr>
        <w:t xml:space="preserve"> </w:t>
      </w:r>
      <w:r w:rsidR="00444596" w:rsidRPr="00224AA7">
        <w:rPr>
          <w:rFonts w:asciiTheme="majorHAnsi" w:hAnsiTheme="majorHAnsi"/>
          <w:sz w:val="20"/>
          <w:szCs w:val="20"/>
        </w:rPr>
        <w:t xml:space="preserve">submitted by </w:t>
      </w:r>
      <w:r w:rsidR="0007716F" w:rsidRPr="00224AA7">
        <w:rPr>
          <w:rFonts w:asciiTheme="majorHAnsi" w:hAnsiTheme="majorHAnsi"/>
          <w:sz w:val="20"/>
          <w:szCs w:val="20"/>
        </w:rPr>
        <w:t>Sarah Stone</w:t>
      </w:r>
      <w:r w:rsidR="0076495F" w:rsidRPr="00224AA7">
        <w:rPr>
          <w:rFonts w:asciiTheme="majorHAnsi" w:hAnsiTheme="majorHAnsi"/>
          <w:sz w:val="20"/>
          <w:szCs w:val="20"/>
        </w:rPr>
        <w:t xml:space="preserve"> from the Arizona’s </w:t>
      </w:r>
      <w:r w:rsidR="009F7E41" w:rsidRPr="00224AA7">
        <w:rPr>
          <w:rFonts w:asciiTheme="majorHAnsi" w:hAnsiTheme="majorHAnsi"/>
          <w:sz w:val="20"/>
          <w:szCs w:val="20"/>
        </w:rPr>
        <w:t>Federal Public Defender</w:t>
      </w:r>
      <w:r w:rsidR="0076495F" w:rsidRPr="00224AA7">
        <w:rPr>
          <w:rFonts w:asciiTheme="majorHAnsi" w:hAnsiTheme="majorHAnsi"/>
          <w:sz w:val="20"/>
          <w:szCs w:val="20"/>
        </w:rPr>
        <w:t>’s Office</w:t>
      </w:r>
      <w:r w:rsidR="00A649AE" w:rsidRPr="00224AA7">
        <w:rPr>
          <w:rFonts w:asciiTheme="majorHAnsi" w:hAnsiTheme="majorHAnsi"/>
          <w:sz w:val="20"/>
          <w:szCs w:val="20"/>
        </w:rPr>
        <w:t xml:space="preserve"> (the “petitioner</w:t>
      </w:r>
      <w:r w:rsidR="00244E7D" w:rsidRPr="00224AA7">
        <w:rPr>
          <w:rFonts w:asciiTheme="majorHAnsi" w:hAnsiTheme="majorHAnsi"/>
          <w:sz w:val="20"/>
          <w:szCs w:val="20"/>
        </w:rPr>
        <w:t>”)</w:t>
      </w:r>
      <w:r w:rsidR="009F7E41" w:rsidRPr="00224AA7">
        <w:rPr>
          <w:rFonts w:asciiTheme="majorHAnsi" w:hAnsiTheme="majorHAnsi"/>
          <w:sz w:val="20"/>
          <w:szCs w:val="20"/>
        </w:rPr>
        <w:t>,</w:t>
      </w:r>
      <w:r w:rsidR="0076495F" w:rsidRPr="00224AA7">
        <w:rPr>
          <w:rStyle w:val="FootnoteReference"/>
          <w:rFonts w:asciiTheme="majorHAnsi" w:hAnsiTheme="majorHAnsi"/>
          <w:sz w:val="20"/>
          <w:szCs w:val="20"/>
        </w:rPr>
        <w:footnoteReference w:id="3"/>
      </w:r>
      <w:r w:rsidR="0076495F" w:rsidRPr="00224AA7">
        <w:rPr>
          <w:rFonts w:asciiTheme="majorHAnsi" w:hAnsiTheme="majorHAnsi"/>
          <w:sz w:val="20"/>
          <w:szCs w:val="20"/>
        </w:rPr>
        <w:t xml:space="preserve"> </w:t>
      </w:r>
      <w:r w:rsidRPr="00224AA7">
        <w:rPr>
          <w:rFonts w:asciiTheme="majorHAnsi" w:hAnsiTheme="majorHAnsi"/>
          <w:sz w:val="20"/>
          <w:szCs w:val="20"/>
        </w:rPr>
        <w:t>alleg</w:t>
      </w:r>
      <w:r w:rsidR="00E86EAF" w:rsidRPr="00224AA7">
        <w:rPr>
          <w:rFonts w:asciiTheme="majorHAnsi" w:hAnsiTheme="majorHAnsi"/>
          <w:sz w:val="20"/>
          <w:szCs w:val="20"/>
        </w:rPr>
        <w:t xml:space="preserve">ing </w:t>
      </w:r>
      <w:r w:rsidRPr="00224AA7">
        <w:rPr>
          <w:rFonts w:asciiTheme="majorHAnsi" w:hAnsiTheme="majorHAnsi"/>
          <w:sz w:val="20"/>
          <w:szCs w:val="20"/>
        </w:rPr>
        <w:t xml:space="preserve">the international responsibility of </w:t>
      </w:r>
      <w:r w:rsidR="0046072C" w:rsidRPr="00224AA7">
        <w:rPr>
          <w:rFonts w:asciiTheme="majorHAnsi" w:hAnsiTheme="majorHAnsi"/>
          <w:sz w:val="20"/>
          <w:szCs w:val="20"/>
        </w:rPr>
        <w:t>the United States of America</w:t>
      </w:r>
      <w:r w:rsidRPr="00224AA7">
        <w:rPr>
          <w:rFonts w:asciiTheme="majorHAnsi" w:hAnsiTheme="majorHAnsi"/>
          <w:sz w:val="20"/>
          <w:szCs w:val="20"/>
        </w:rPr>
        <w:t xml:space="preserve"> (the “State” or “</w:t>
      </w:r>
      <w:r w:rsidR="0046072C" w:rsidRPr="00224AA7">
        <w:rPr>
          <w:rFonts w:asciiTheme="majorHAnsi" w:hAnsiTheme="majorHAnsi"/>
          <w:sz w:val="20"/>
          <w:szCs w:val="20"/>
        </w:rPr>
        <w:t>the United States</w:t>
      </w:r>
      <w:r w:rsidRPr="00224AA7">
        <w:rPr>
          <w:rFonts w:asciiTheme="majorHAnsi" w:hAnsiTheme="majorHAnsi"/>
          <w:sz w:val="20"/>
          <w:szCs w:val="20"/>
        </w:rPr>
        <w:t xml:space="preserve">”) for </w:t>
      </w:r>
      <w:r w:rsidR="00F769C7" w:rsidRPr="00224AA7">
        <w:rPr>
          <w:rFonts w:asciiTheme="majorHAnsi" w:hAnsiTheme="majorHAnsi"/>
          <w:sz w:val="20"/>
          <w:szCs w:val="20"/>
        </w:rPr>
        <w:t xml:space="preserve">the </w:t>
      </w:r>
      <w:r w:rsidRPr="00224AA7">
        <w:rPr>
          <w:rFonts w:asciiTheme="majorHAnsi" w:hAnsiTheme="majorHAnsi"/>
          <w:sz w:val="20"/>
          <w:szCs w:val="20"/>
        </w:rPr>
        <w:t>violation of the right</w:t>
      </w:r>
      <w:r w:rsidR="00706D7E" w:rsidRPr="00224AA7">
        <w:rPr>
          <w:rFonts w:asciiTheme="majorHAnsi" w:hAnsiTheme="majorHAnsi"/>
          <w:sz w:val="20"/>
          <w:szCs w:val="20"/>
        </w:rPr>
        <w:t>s</w:t>
      </w:r>
      <w:r w:rsidRPr="00224AA7">
        <w:rPr>
          <w:rFonts w:asciiTheme="majorHAnsi" w:hAnsiTheme="majorHAnsi"/>
          <w:sz w:val="20"/>
          <w:szCs w:val="20"/>
        </w:rPr>
        <w:t xml:space="preserve"> of </w:t>
      </w:r>
      <w:r w:rsidR="0053134C" w:rsidRPr="00224AA7">
        <w:rPr>
          <w:rFonts w:asciiTheme="majorHAnsi" w:hAnsiTheme="majorHAnsi"/>
          <w:sz w:val="20"/>
          <w:szCs w:val="20"/>
        </w:rPr>
        <w:t>Pete Carl Rogovich</w:t>
      </w:r>
      <w:r w:rsidR="00F769C7" w:rsidRPr="00224AA7">
        <w:rPr>
          <w:rFonts w:asciiTheme="majorHAnsi" w:hAnsiTheme="majorHAnsi"/>
          <w:sz w:val="20"/>
          <w:szCs w:val="20"/>
        </w:rPr>
        <w:t xml:space="preserve"> (“Mr. </w:t>
      </w:r>
      <w:r w:rsidR="0053134C" w:rsidRPr="00224AA7">
        <w:rPr>
          <w:rFonts w:asciiTheme="majorHAnsi" w:hAnsiTheme="majorHAnsi"/>
          <w:sz w:val="20"/>
          <w:szCs w:val="20"/>
        </w:rPr>
        <w:t>Rogovich</w:t>
      </w:r>
      <w:r w:rsidR="00F769C7" w:rsidRPr="00224AA7">
        <w:rPr>
          <w:rFonts w:asciiTheme="majorHAnsi" w:hAnsiTheme="majorHAnsi"/>
          <w:sz w:val="20"/>
          <w:szCs w:val="20"/>
        </w:rPr>
        <w:t>”)</w:t>
      </w:r>
      <w:r w:rsidR="00D20D54" w:rsidRPr="00224AA7">
        <w:rPr>
          <w:rFonts w:asciiTheme="majorHAnsi" w:hAnsiTheme="majorHAnsi"/>
          <w:sz w:val="20"/>
          <w:szCs w:val="20"/>
        </w:rPr>
        <w:t xml:space="preserve">, </w:t>
      </w:r>
      <w:r w:rsidR="00706D7E" w:rsidRPr="00224AA7">
        <w:rPr>
          <w:rFonts w:asciiTheme="majorHAnsi" w:hAnsiTheme="majorHAnsi"/>
          <w:sz w:val="20"/>
          <w:szCs w:val="20"/>
        </w:rPr>
        <w:t>a</w:t>
      </w:r>
      <w:r w:rsidR="0053134C" w:rsidRPr="00224AA7">
        <w:rPr>
          <w:rFonts w:asciiTheme="majorHAnsi" w:hAnsiTheme="majorHAnsi"/>
          <w:sz w:val="20"/>
          <w:szCs w:val="20"/>
        </w:rPr>
        <w:t xml:space="preserve"> United States citizen </w:t>
      </w:r>
      <w:r w:rsidR="00244E7D" w:rsidRPr="00224AA7">
        <w:rPr>
          <w:rFonts w:asciiTheme="majorHAnsi" w:hAnsiTheme="majorHAnsi"/>
          <w:sz w:val="20"/>
          <w:szCs w:val="20"/>
        </w:rPr>
        <w:t>who is on death row</w:t>
      </w:r>
      <w:r w:rsidR="0053134C" w:rsidRPr="00224AA7">
        <w:rPr>
          <w:rFonts w:asciiTheme="majorHAnsi" w:hAnsiTheme="majorHAnsi"/>
          <w:sz w:val="20"/>
          <w:szCs w:val="20"/>
        </w:rPr>
        <w:t xml:space="preserve"> in the state of Arizona</w:t>
      </w:r>
      <w:r w:rsidRPr="00224AA7">
        <w:rPr>
          <w:rFonts w:asciiTheme="majorHAnsi" w:hAnsiTheme="majorHAnsi"/>
          <w:sz w:val="20"/>
          <w:szCs w:val="20"/>
        </w:rPr>
        <w:t xml:space="preserve">. </w:t>
      </w:r>
    </w:p>
    <w:p w14:paraId="5958FB28" w14:textId="77777777" w:rsidR="001C4006" w:rsidRPr="00224AA7"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45A8183B" w14:textId="77777777" w:rsidR="001C4006" w:rsidRPr="00224AA7" w:rsidRDefault="00BE1B7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24AA7">
        <w:rPr>
          <w:rFonts w:asciiTheme="majorHAnsi" w:hAnsiTheme="majorHAnsi"/>
          <w:sz w:val="20"/>
          <w:szCs w:val="20"/>
        </w:rPr>
        <w:t xml:space="preserve">On January </w:t>
      </w:r>
      <w:r w:rsidR="00896EC2" w:rsidRPr="00224AA7">
        <w:rPr>
          <w:rFonts w:asciiTheme="majorHAnsi" w:hAnsiTheme="majorHAnsi"/>
          <w:sz w:val="20"/>
          <w:szCs w:val="20"/>
        </w:rPr>
        <w:t>10</w:t>
      </w:r>
      <w:r w:rsidR="004810B3" w:rsidRPr="00224AA7">
        <w:rPr>
          <w:rFonts w:asciiTheme="majorHAnsi" w:hAnsiTheme="majorHAnsi"/>
          <w:sz w:val="20"/>
          <w:szCs w:val="20"/>
        </w:rPr>
        <w:t>,</w:t>
      </w:r>
      <w:r w:rsidR="00896EC2" w:rsidRPr="00224AA7">
        <w:rPr>
          <w:rFonts w:asciiTheme="majorHAnsi" w:hAnsiTheme="majorHAnsi"/>
          <w:sz w:val="20"/>
          <w:szCs w:val="20"/>
        </w:rPr>
        <w:t xml:space="preserve"> 2018</w:t>
      </w:r>
      <w:r w:rsidR="00A05601" w:rsidRPr="00224AA7">
        <w:rPr>
          <w:rFonts w:asciiTheme="majorHAnsi" w:hAnsiTheme="majorHAnsi"/>
          <w:sz w:val="20"/>
          <w:szCs w:val="20"/>
        </w:rPr>
        <w:t>, the Com</w:t>
      </w:r>
      <w:r w:rsidR="0027671E" w:rsidRPr="00224AA7">
        <w:rPr>
          <w:rFonts w:asciiTheme="majorHAnsi" w:hAnsiTheme="majorHAnsi"/>
          <w:sz w:val="20"/>
          <w:szCs w:val="20"/>
        </w:rPr>
        <w:t>m</w:t>
      </w:r>
      <w:r w:rsidR="00A05601" w:rsidRPr="00224AA7">
        <w:rPr>
          <w:rFonts w:asciiTheme="majorHAnsi" w:hAnsiTheme="majorHAnsi"/>
          <w:sz w:val="20"/>
          <w:szCs w:val="20"/>
        </w:rPr>
        <w:t>ission notified the parties of the application of Article 36 (3) of its Rules of Procedure, since the petition falls within the criteria established in its Resolution 1/16, and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224AA7">
        <w:rPr>
          <w:rFonts w:asciiTheme="majorHAnsi" w:hAnsiTheme="majorHAnsi"/>
          <w:sz w:val="20"/>
          <w:szCs w:val="20"/>
        </w:rPr>
        <w:t>.</w:t>
      </w:r>
    </w:p>
    <w:p w14:paraId="5CB65C15" w14:textId="77777777" w:rsidR="001C4006" w:rsidRPr="00224AA7"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5AF78ADD" w14:textId="77777777" w:rsidR="001C4006" w:rsidRPr="00224AA7" w:rsidRDefault="001C4006" w:rsidP="003676F1">
      <w:pPr>
        <w:pStyle w:val="Heading1"/>
        <w:tabs>
          <w:tab w:val="left" w:pos="360"/>
        </w:tabs>
        <w:spacing w:before="0"/>
        <w:ind w:hanging="720"/>
        <w:rPr>
          <w:color w:val="auto"/>
          <w:sz w:val="20"/>
          <w:szCs w:val="20"/>
        </w:rPr>
      </w:pPr>
      <w:bookmarkStart w:id="1" w:name="_Toc90283287"/>
      <w:r w:rsidRPr="00224AA7">
        <w:rPr>
          <w:color w:val="auto"/>
          <w:sz w:val="20"/>
          <w:szCs w:val="20"/>
        </w:rPr>
        <w:t>POSITIONS OF THE PARTIES</w:t>
      </w:r>
      <w:bookmarkEnd w:id="1"/>
    </w:p>
    <w:p w14:paraId="65971613" w14:textId="77777777" w:rsidR="001C4006" w:rsidRPr="00224AA7" w:rsidRDefault="001C4006" w:rsidP="00BB5A59">
      <w:pPr>
        <w:suppressAutoHyphens/>
        <w:ind w:left="1440" w:hanging="720"/>
        <w:rPr>
          <w:rFonts w:asciiTheme="majorHAnsi" w:hAnsiTheme="majorHAnsi"/>
          <w:sz w:val="20"/>
          <w:szCs w:val="20"/>
        </w:rPr>
      </w:pPr>
    </w:p>
    <w:p w14:paraId="7036D647" w14:textId="77777777" w:rsidR="005C164F" w:rsidRPr="00224AA7" w:rsidRDefault="005C164F" w:rsidP="003676F1">
      <w:pPr>
        <w:pStyle w:val="Heading2"/>
        <w:numPr>
          <w:ilvl w:val="0"/>
          <w:numId w:val="57"/>
        </w:numPr>
        <w:tabs>
          <w:tab w:val="left" w:pos="360"/>
        </w:tabs>
        <w:spacing w:before="0"/>
        <w:ind w:hanging="720"/>
        <w:rPr>
          <w:color w:val="auto"/>
          <w:sz w:val="20"/>
          <w:szCs w:val="20"/>
        </w:rPr>
      </w:pPr>
      <w:bookmarkStart w:id="2" w:name="_Toc90283288"/>
      <w:r w:rsidRPr="00224AA7">
        <w:rPr>
          <w:color w:val="auto"/>
          <w:sz w:val="20"/>
          <w:szCs w:val="20"/>
        </w:rPr>
        <w:t>P</w:t>
      </w:r>
      <w:r w:rsidR="00262ECA" w:rsidRPr="00224AA7">
        <w:rPr>
          <w:color w:val="auto"/>
          <w:sz w:val="20"/>
          <w:szCs w:val="20"/>
        </w:rPr>
        <w:t>etitioner</w:t>
      </w:r>
      <w:bookmarkEnd w:id="2"/>
    </w:p>
    <w:p w14:paraId="02C759E8" w14:textId="77777777" w:rsidR="005C164F" w:rsidRPr="00224AA7" w:rsidRDefault="005C164F" w:rsidP="00BB5A59">
      <w:pPr>
        <w:suppressAutoHyphens/>
        <w:ind w:left="1440" w:hanging="720"/>
        <w:rPr>
          <w:rFonts w:asciiTheme="majorHAnsi" w:hAnsiTheme="majorHAnsi"/>
          <w:sz w:val="20"/>
          <w:szCs w:val="20"/>
        </w:rPr>
      </w:pPr>
    </w:p>
    <w:p w14:paraId="34D0D35A" w14:textId="77777777" w:rsidR="007F1641" w:rsidRPr="00224AA7" w:rsidRDefault="007E715E"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24AA7">
        <w:rPr>
          <w:rFonts w:asciiTheme="majorHAnsi" w:hAnsiTheme="majorHAnsi"/>
          <w:sz w:val="20"/>
          <w:szCs w:val="20"/>
        </w:rPr>
        <w:t>According to the petitioner</w:t>
      </w:r>
      <w:r w:rsidR="007F1641" w:rsidRPr="00224AA7">
        <w:rPr>
          <w:rFonts w:asciiTheme="majorHAnsi" w:hAnsiTheme="majorHAnsi"/>
          <w:sz w:val="20"/>
          <w:szCs w:val="20"/>
        </w:rPr>
        <w:t>, on March 15, 1992, Mr. Rogovich</w:t>
      </w:r>
      <w:r w:rsidR="00D86402" w:rsidRPr="00224AA7">
        <w:rPr>
          <w:rFonts w:asciiTheme="majorHAnsi" w:hAnsiTheme="majorHAnsi"/>
          <w:sz w:val="20"/>
          <w:szCs w:val="20"/>
        </w:rPr>
        <w:t xml:space="preserve"> </w:t>
      </w:r>
      <w:r w:rsidR="007F1641" w:rsidRPr="00224AA7">
        <w:rPr>
          <w:rFonts w:asciiTheme="majorHAnsi" w:hAnsiTheme="majorHAnsi"/>
          <w:sz w:val="20"/>
          <w:szCs w:val="20"/>
        </w:rPr>
        <w:t>shot and killed four people</w:t>
      </w:r>
      <w:r w:rsidR="00D86402" w:rsidRPr="00224AA7">
        <w:rPr>
          <w:rFonts w:asciiTheme="majorHAnsi" w:hAnsiTheme="majorHAnsi"/>
          <w:sz w:val="20"/>
          <w:szCs w:val="20"/>
        </w:rPr>
        <w:t xml:space="preserve"> </w:t>
      </w:r>
      <w:r w:rsidR="00686D22" w:rsidRPr="00224AA7">
        <w:rPr>
          <w:rFonts w:asciiTheme="majorHAnsi" w:hAnsiTheme="majorHAnsi"/>
          <w:sz w:val="20"/>
          <w:szCs w:val="20"/>
        </w:rPr>
        <w:t xml:space="preserve">in the state of Arizona. </w:t>
      </w:r>
      <w:r w:rsidR="00DE181C" w:rsidRPr="00224AA7">
        <w:rPr>
          <w:rFonts w:asciiTheme="majorHAnsi" w:hAnsiTheme="majorHAnsi"/>
          <w:sz w:val="20"/>
          <w:szCs w:val="20"/>
        </w:rPr>
        <w:t xml:space="preserve">As a result, </w:t>
      </w:r>
      <w:r w:rsidR="002F2FCB" w:rsidRPr="00224AA7">
        <w:rPr>
          <w:rFonts w:asciiTheme="majorHAnsi" w:hAnsiTheme="majorHAnsi"/>
          <w:sz w:val="20"/>
          <w:szCs w:val="20"/>
        </w:rPr>
        <w:t xml:space="preserve">he </w:t>
      </w:r>
      <w:r w:rsidR="00A07134" w:rsidRPr="00224AA7">
        <w:rPr>
          <w:rFonts w:asciiTheme="majorHAnsi" w:hAnsiTheme="majorHAnsi"/>
          <w:sz w:val="20"/>
          <w:szCs w:val="20"/>
        </w:rPr>
        <w:t>was convicted of four counts of homicide on June 1</w:t>
      </w:r>
      <w:r w:rsidR="00B00CBD" w:rsidRPr="00224AA7">
        <w:rPr>
          <w:rFonts w:asciiTheme="majorHAnsi" w:hAnsiTheme="majorHAnsi"/>
          <w:sz w:val="20"/>
          <w:szCs w:val="20"/>
        </w:rPr>
        <w:t>st</w:t>
      </w:r>
      <w:r w:rsidR="00A07134" w:rsidRPr="00224AA7">
        <w:rPr>
          <w:rFonts w:asciiTheme="majorHAnsi" w:hAnsiTheme="majorHAnsi"/>
          <w:sz w:val="20"/>
          <w:szCs w:val="20"/>
        </w:rPr>
        <w:t>, 1994</w:t>
      </w:r>
      <w:r w:rsidR="00686D22" w:rsidRPr="00224AA7">
        <w:rPr>
          <w:rFonts w:asciiTheme="majorHAnsi" w:hAnsiTheme="majorHAnsi"/>
          <w:sz w:val="20"/>
          <w:szCs w:val="20"/>
        </w:rPr>
        <w:t>,</w:t>
      </w:r>
      <w:r w:rsidR="00A07134" w:rsidRPr="00224AA7">
        <w:rPr>
          <w:rFonts w:asciiTheme="majorHAnsi" w:hAnsiTheme="majorHAnsi"/>
          <w:sz w:val="20"/>
          <w:szCs w:val="20"/>
        </w:rPr>
        <w:t xml:space="preserve"> and was sentenced to death for three of these counts on June 9</w:t>
      </w:r>
      <w:r w:rsidR="00B00CBD" w:rsidRPr="00224AA7">
        <w:rPr>
          <w:rFonts w:asciiTheme="majorHAnsi" w:hAnsiTheme="majorHAnsi"/>
          <w:sz w:val="20"/>
          <w:szCs w:val="20"/>
        </w:rPr>
        <w:t>th</w:t>
      </w:r>
      <w:r w:rsidR="00A07134" w:rsidRPr="00224AA7">
        <w:rPr>
          <w:rFonts w:asciiTheme="majorHAnsi" w:hAnsiTheme="majorHAnsi"/>
          <w:sz w:val="20"/>
          <w:szCs w:val="20"/>
        </w:rPr>
        <w:t xml:space="preserve">, 1995. </w:t>
      </w:r>
      <w:r w:rsidR="00565B4B" w:rsidRPr="00224AA7">
        <w:rPr>
          <w:rFonts w:asciiTheme="majorHAnsi" w:hAnsiTheme="majorHAnsi"/>
          <w:sz w:val="20"/>
          <w:szCs w:val="20"/>
        </w:rPr>
        <w:t xml:space="preserve">The petitioner </w:t>
      </w:r>
      <w:r w:rsidR="00902D58" w:rsidRPr="00224AA7">
        <w:rPr>
          <w:rFonts w:asciiTheme="majorHAnsi" w:hAnsiTheme="majorHAnsi"/>
          <w:sz w:val="20"/>
          <w:szCs w:val="20"/>
        </w:rPr>
        <w:t>claim</w:t>
      </w:r>
      <w:r w:rsidRPr="00224AA7">
        <w:rPr>
          <w:rFonts w:asciiTheme="majorHAnsi" w:hAnsiTheme="majorHAnsi"/>
          <w:sz w:val="20"/>
          <w:szCs w:val="20"/>
        </w:rPr>
        <w:t>s</w:t>
      </w:r>
      <w:r w:rsidR="00E052B0" w:rsidRPr="00224AA7">
        <w:rPr>
          <w:rFonts w:asciiTheme="majorHAnsi" w:hAnsiTheme="majorHAnsi"/>
          <w:sz w:val="20"/>
          <w:szCs w:val="20"/>
        </w:rPr>
        <w:t xml:space="preserve"> that Mr. </w:t>
      </w:r>
      <w:r w:rsidR="00902D58" w:rsidRPr="00224AA7">
        <w:rPr>
          <w:rFonts w:asciiTheme="majorHAnsi" w:hAnsiTheme="majorHAnsi"/>
          <w:sz w:val="20"/>
          <w:szCs w:val="20"/>
        </w:rPr>
        <w:t>Rogovich suffers</w:t>
      </w:r>
      <w:r w:rsidR="00E052B0" w:rsidRPr="00224AA7">
        <w:rPr>
          <w:rFonts w:asciiTheme="majorHAnsi" w:hAnsiTheme="majorHAnsi"/>
          <w:sz w:val="20"/>
          <w:szCs w:val="20"/>
        </w:rPr>
        <w:t xml:space="preserve"> from </w:t>
      </w:r>
      <w:r w:rsidR="0010625B" w:rsidRPr="00224AA7">
        <w:rPr>
          <w:rFonts w:asciiTheme="majorHAnsi" w:hAnsiTheme="majorHAnsi"/>
          <w:sz w:val="20"/>
          <w:szCs w:val="20"/>
        </w:rPr>
        <w:t>severe</w:t>
      </w:r>
      <w:r w:rsidR="00902D58" w:rsidRPr="00224AA7">
        <w:rPr>
          <w:rFonts w:asciiTheme="majorHAnsi" w:hAnsiTheme="majorHAnsi"/>
          <w:sz w:val="20"/>
          <w:szCs w:val="20"/>
        </w:rPr>
        <w:t xml:space="preserve"> mental illness</w:t>
      </w:r>
      <w:r w:rsidR="002772E3" w:rsidRPr="00224AA7">
        <w:rPr>
          <w:rFonts w:asciiTheme="majorHAnsi" w:hAnsiTheme="majorHAnsi"/>
          <w:sz w:val="20"/>
          <w:szCs w:val="20"/>
        </w:rPr>
        <w:t xml:space="preserve">, hence his death sentence and execution are in violation of international law; that he was provided incompetent legal representation at trial and on direct appeal; </w:t>
      </w:r>
      <w:r w:rsidR="008B7B3C" w:rsidRPr="00224AA7">
        <w:rPr>
          <w:rFonts w:asciiTheme="majorHAnsi" w:hAnsiTheme="majorHAnsi"/>
          <w:sz w:val="20"/>
          <w:szCs w:val="20"/>
        </w:rPr>
        <w:t xml:space="preserve">that the Antiterrorism and Effective Death Penalty Act </w:t>
      </w:r>
      <w:r w:rsidR="00307577" w:rsidRPr="00224AA7">
        <w:rPr>
          <w:rFonts w:asciiTheme="majorHAnsi" w:hAnsiTheme="majorHAnsi"/>
          <w:sz w:val="20"/>
          <w:szCs w:val="20"/>
        </w:rPr>
        <w:t>(</w:t>
      </w:r>
      <w:r w:rsidR="0010625B" w:rsidRPr="00224AA7">
        <w:rPr>
          <w:rFonts w:asciiTheme="majorHAnsi" w:hAnsiTheme="majorHAnsi"/>
          <w:sz w:val="20"/>
          <w:szCs w:val="20"/>
        </w:rPr>
        <w:t>“</w:t>
      </w:r>
      <w:r w:rsidR="00307577" w:rsidRPr="00224AA7">
        <w:rPr>
          <w:rFonts w:asciiTheme="majorHAnsi" w:hAnsiTheme="majorHAnsi"/>
          <w:sz w:val="20"/>
          <w:szCs w:val="20"/>
        </w:rPr>
        <w:t>AEDPA</w:t>
      </w:r>
      <w:r w:rsidR="0010625B" w:rsidRPr="00224AA7">
        <w:rPr>
          <w:rFonts w:asciiTheme="majorHAnsi" w:hAnsiTheme="majorHAnsi"/>
          <w:sz w:val="20"/>
          <w:szCs w:val="20"/>
        </w:rPr>
        <w:t>”</w:t>
      </w:r>
      <w:r w:rsidR="00307577" w:rsidRPr="00224AA7">
        <w:rPr>
          <w:rFonts w:asciiTheme="majorHAnsi" w:hAnsiTheme="majorHAnsi"/>
          <w:sz w:val="20"/>
          <w:szCs w:val="20"/>
        </w:rPr>
        <w:t>)</w:t>
      </w:r>
      <w:r w:rsidR="006C448A" w:rsidRPr="00224AA7">
        <w:rPr>
          <w:rFonts w:asciiTheme="majorHAnsi" w:hAnsiTheme="majorHAnsi"/>
          <w:sz w:val="20"/>
          <w:szCs w:val="20"/>
        </w:rPr>
        <w:t xml:space="preserve"> in practice</w:t>
      </w:r>
      <w:r w:rsidR="00307577" w:rsidRPr="00224AA7">
        <w:rPr>
          <w:rFonts w:asciiTheme="majorHAnsi" w:hAnsiTheme="majorHAnsi"/>
          <w:sz w:val="20"/>
          <w:szCs w:val="20"/>
        </w:rPr>
        <w:t xml:space="preserve"> </w:t>
      </w:r>
      <w:r w:rsidR="008B7B3C" w:rsidRPr="00224AA7">
        <w:rPr>
          <w:rFonts w:asciiTheme="majorHAnsi" w:hAnsiTheme="majorHAnsi"/>
          <w:sz w:val="20"/>
          <w:szCs w:val="20"/>
        </w:rPr>
        <w:t>prevent</w:t>
      </w:r>
      <w:r w:rsidR="009978F5" w:rsidRPr="00224AA7">
        <w:rPr>
          <w:rFonts w:asciiTheme="majorHAnsi" w:hAnsiTheme="majorHAnsi"/>
          <w:sz w:val="20"/>
          <w:szCs w:val="20"/>
        </w:rPr>
        <w:t>s a</w:t>
      </w:r>
      <w:r w:rsidR="008B7B3C" w:rsidRPr="00224AA7">
        <w:rPr>
          <w:rFonts w:asciiTheme="majorHAnsi" w:hAnsiTheme="majorHAnsi"/>
          <w:sz w:val="20"/>
          <w:szCs w:val="20"/>
        </w:rPr>
        <w:t xml:space="preserve"> review of state courts’ decisions; </w:t>
      </w:r>
      <w:r w:rsidR="002772E3" w:rsidRPr="00224AA7">
        <w:rPr>
          <w:rFonts w:asciiTheme="majorHAnsi" w:hAnsiTheme="majorHAnsi"/>
          <w:sz w:val="20"/>
          <w:szCs w:val="20"/>
        </w:rPr>
        <w:t>that the method of execution applied in Arizona violates his right to be free from cruel, infamous or unusual punishment; that prison conditions to which he has been subjected are cruel and inhumane; and that Arizona clemenc</w:t>
      </w:r>
      <w:r w:rsidR="006C030E" w:rsidRPr="00224AA7">
        <w:rPr>
          <w:rFonts w:asciiTheme="majorHAnsi" w:hAnsiTheme="majorHAnsi"/>
          <w:sz w:val="20"/>
          <w:szCs w:val="20"/>
        </w:rPr>
        <w:t xml:space="preserve">y procedures do not comport with minimum standards of due process. </w:t>
      </w:r>
      <w:r w:rsidR="00E052B0" w:rsidRPr="00224AA7">
        <w:rPr>
          <w:rFonts w:asciiTheme="majorHAnsi" w:hAnsiTheme="majorHAnsi"/>
          <w:sz w:val="20"/>
          <w:szCs w:val="20"/>
        </w:rPr>
        <w:t xml:space="preserve"> </w:t>
      </w:r>
    </w:p>
    <w:p w14:paraId="4A48F4C5" w14:textId="77777777" w:rsidR="00DF5077" w:rsidRPr="00224AA7" w:rsidRDefault="006F1716" w:rsidP="006F1716">
      <w:pPr>
        <w:pBdr>
          <w:top w:val="none" w:sz="0" w:space="0" w:color="auto"/>
          <w:left w:val="none" w:sz="0" w:space="0" w:color="auto"/>
          <w:bottom w:val="none" w:sz="0" w:space="0" w:color="auto"/>
          <w:right w:val="none" w:sz="0" w:space="0" w:color="auto"/>
          <w:between w:val="none" w:sz="0" w:space="0" w:color="auto"/>
          <w:bar w:val="none" w:sz="0" w:color="auto"/>
        </w:pBdr>
        <w:tabs>
          <w:tab w:val="left" w:pos="6789"/>
        </w:tabs>
        <w:jc w:val="both"/>
        <w:rPr>
          <w:rFonts w:asciiTheme="majorHAnsi" w:hAnsiTheme="majorHAnsi"/>
          <w:sz w:val="20"/>
          <w:szCs w:val="20"/>
        </w:rPr>
      </w:pPr>
      <w:r w:rsidRPr="00224AA7">
        <w:rPr>
          <w:rFonts w:asciiTheme="majorHAnsi" w:hAnsiTheme="majorHAnsi"/>
          <w:sz w:val="20"/>
          <w:szCs w:val="20"/>
        </w:rPr>
        <w:tab/>
      </w:r>
    </w:p>
    <w:p w14:paraId="6BE30893" w14:textId="77777777" w:rsidR="00DF5077" w:rsidRPr="00224AA7" w:rsidRDefault="007E715E"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24AA7">
        <w:rPr>
          <w:rFonts w:asciiTheme="majorHAnsi" w:hAnsiTheme="majorHAnsi"/>
          <w:sz w:val="20"/>
          <w:szCs w:val="20"/>
        </w:rPr>
        <w:t>The petitioner</w:t>
      </w:r>
      <w:r w:rsidR="0094253B" w:rsidRPr="00224AA7">
        <w:rPr>
          <w:rFonts w:asciiTheme="majorHAnsi" w:hAnsiTheme="majorHAnsi"/>
          <w:sz w:val="20"/>
          <w:szCs w:val="20"/>
        </w:rPr>
        <w:t xml:space="preserve"> state</w:t>
      </w:r>
      <w:r w:rsidRPr="00224AA7">
        <w:rPr>
          <w:rFonts w:asciiTheme="majorHAnsi" w:hAnsiTheme="majorHAnsi"/>
          <w:sz w:val="20"/>
          <w:szCs w:val="20"/>
        </w:rPr>
        <w:t>s</w:t>
      </w:r>
      <w:r w:rsidR="0094253B" w:rsidRPr="00224AA7">
        <w:rPr>
          <w:rFonts w:asciiTheme="majorHAnsi" w:hAnsiTheme="majorHAnsi"/>
          <w:sz w:val="20"/>
          <w:szCs w:val="20"/>
        </w:rPr>
        <w:t xml:space="preserve"> that the alleged victim suffers from serious mental illness since a young age, but treatment only started after his arrest. </w:t>
      </w:r>
      <w:r w:rsidR="0010625B" w:rsidRPr="00224AA7">
        <w:rPr>
          <w:rFonts w:asciiTheme="majorHAnsi" w:hAnsiTheme="majorHAnsi"/>
          <w:sz w:val="20"/>
          <w:szCs w:val="20"/>
        </w:rPr>
        <w:t>She alleges that</w:t>
      </w:r>
      <w:r w:rsidR="009300A7" w:rsidRPr="00224AA7">
        <w:rPr>
          <w:rFonts w:asciiTheme="majorHAnsi" w:hAnsiTheme="majorHAnsi"/>
          <w:sz w:val="20"/>
          <w:szCs w:val="20"/>
        </w:rPr>
        <w:t xml:space="preserve"> the alleged victim was heavily medicated and therefore was</w:t>
      </w:r>
      <w:r w:rsidR="00427737" w:rsidRPr="00224AA7">
        <w:rPr>
          <w:rFonts w:asciiTheme="majorHAnsi" w:hAnsiTheme="majorHAnsi"/>
          <w:sz w:val="20"/>
          <w:szCs w:val="20"/>
        </w:rPr>
        <w:t xml:space="preserve"> unable to follow his</w:t>
      </w:r>
      <w:r w:rsidR="00682D35" w:rsidRPr="00224AA7">
        <w:rPr>
          <w:rFonts w:asciiTheme="majorHAnsi" w:hAnsiTheme="majorHAnsi"/>
          <w:sz w:val="20"/>
          <w:szCs w:val="20"/>
        </w:rPr>
        <w:t xml:space="preserve"> own</w:t>
      </w:r>
      <w:r w:rsidR="00427737" w:rsidRPr="00224AA7">
        <w:rPr>
          <w:rFonts w:asciiTheme="majorHAnsi" w:hAnsiTheme="majorHAnsi"/>
          <w:sz w:val="20"/>
          <w:szCs w:val="20"/>
        </w:rPr>
        <w:t xml:space="preserve"> trial.</w:t>
      </w:r>
      <w:r w:rsidR="009300A7" w:rsidRPr="00224AA7">
        <w:rPr>
          <w:rFonts w:asciiTheme="majorHAnsi" w:hAnsiTheme="majorHAnsi"/>
          <w:sz w:val="20"/>
          <w:szCs w:val="20"/>
        </w:rPr>
        <w:t xml:space="preserve"> </w:t>
      </w:r>
      <w:r w:rsidR="004817BD" w:rsidRPr="00224AA7">
        <w:rPr>
          <w:rFonts w:asciiTheme="majorHAnsi" w:hAnsiTheme="majorHAnsi"/>
          <w:sz w:val="20"/>
          <w:szCs w:val="20"/>
        </w:rPr>
        <w:t>Mr. Rogovich was</w:t>
      </w:r>
      <w:r w:rsidR="0010625B" w:rsidRPr="00224AA7">
        <w:rPr>
          <w:rFonts w:asciiTheme="majorHAnsi" w:hAnsiTheme="majorHAnsi"/>
          <w:sz w:val="20"/>
          <w:szCs w:val="20"/>
        </w:rPr>
        <w:t xml:space="preserve"> allegedly</w:t>
      </w:r>
      <w:r w:rsidR="004817BD" w:rsidRPr="00224AA7">
        <w:rPr>
          <w:rFonts w:asciiTheme="majorHAnsi" w:hAnsiTheme="majorHAnsi"/>
          <w:sz w:val="20"/>
          <w:szCs w:val="20"/>
        </w:rPr>
        <w:t xml:space="preserve"> diagnosed with schizophrenia, paranoid schizophrenia, organic delusion</w:t>
      </w:r>
      <w:r w:rsidR="00D70EFB" w:rsidRPr="00224AA7">
        <w:rPr>
          <w:rFonts w:asciiTheme="majorHAnsi" w:hAnsiTheme="majorHAnsi"/>
          <w:sz w:val="20"/>
          <w:szCs w:val="20"/>
        </w:rPr>
        <w:t>al disorder,</w:t>
      </w:r>
      <w:r w:rsidR="006C73ED" w:rsidRPr="00224AA7">
        <w:rPr>
          <w:rFonts w:asciiTheme="majorHAnsi" w:hAnsiTheme="majorHAnsi"/>
          <w:sz w:val="20"/>
          <w:szCs w:val="20"/>
        </w:rPr>
        <w:t xml:space="preserve"> schizoaffective disorder,</w:t>
      </w:r>
      <w:r w:rsidR="00D70EFB" w:rsidRPr="00224AA7">
        <w:rPr>
          <w:rFonts w:asciiTheme="majorHAnsi" w:hAnsiTheme="majorHAnsi"/>
          <w:sz w:val="20"/>
          <w:szCs w:val="20"/>
        </w:rPr>
        <w:t xml:space="preserve"> psychotic disorder and</w:t>
      </w:r>
      <w:r w:rsidR="004817BD" w:rsidRPr="00224AA7">
        <w:rPr>
          <w:rFonts w:asciiTheme="majorHAnsi" w:hAnsiTheme="majorHAnsi"/>
          <w:sz w:val="20"/>
          <w:szCs w:val="20"/>
        </w:rPr>
        <w:t xml:space="preserve"> severe </w:t>
      </w:r>
      <w:r w:rsidR="002E6663" w:rsidRPr="00224AA7">
        <w:rPr>
          <w:rFonts w:asciiTheme="majorHAnsi" w:hAnsiTheme="majorHAnsi"/>
          <w:sz w:val="20"/>
          <w:szCs w:val="20"/>
        </w:rPr>
        <w:t>bipolar disorder with psychosis and, therefore, was classified as “Seriously Mentally Ill” by the Arizona Department of Corrections</w:t>
      </w:r>
      <w:r w:rsidR="00421966" w:rsidRPr="00224AA7">
        <w:rPr>
          <w:rFonts w:asciiTheme="majorHAnsi" w:hAnsiTheme="majorHAnsi"/>
          <w:sz w:val="20"/>
          <w:szCs w:val="20"/>
        </w:rPr>
        <w:t xml:space="preserve"> (</w:t>
      </w:r>
      <w:r w:rsidR="0010625B" w:rsidRPr="00224AA7">
        <w:rPr>
          <w:rFonts w:asciiTheme="majorHAnsi" w:hAnsiTheme="majorHAnsi"/>
          <w:sz w:val="20"/>
          <w:szCs w:val="20"/>
        </w:rPr>
        <w:t>“</w:t>
      </w:r>
      <w:r w:rsidR="00421966" w:rsidRPr="00224AA7">
        <w:rPr>
          <w:rFonts w:asciiTheme="majorHAnsi" w:hAnsiTheme="majorHAnsi"/>
          <w:sz w:val="20"/>
          <w:szCs w:val="20"/>
        </w:rPr>
        <w:t>ADOC</w:t>
      </w:r>
      <w:r w:rsidR="0010625B" w:rsidRPr="00224AA7">
        <w:rPr>
          <w:rFonts w:asciiTheme="majorHAnsi" w:hAnsiTheme="majorHAnsi"/>
          <w:sz w:val="20"/>
          <w:szCs w:val="20"/>
        </w:rPr>
        <w:t>”</w:t>
      </w:r>
      <w:r w:rsidR="007855C3" w:rsidRPr="00224AA7">
        <w:rPr>
          <w:rFonts w:asciiTheme="majorHAnsi" w:hAnsiTheme="majorHAnsi"/>
          <w:sz w:val="20"/>
          <w:szCs w:val="20"/>
        </w:rPr>
        <w:t>)</w:t>
      </w:r>
      <w:r w:rsidR="00423E69" w:rsidRPr="00224AA7">
        <w:rPr>
          <w:rFonts w:asciiTheme="majorHAnsi" w:hAnsiTheme="majorHAnsi"/>
          <w:sz w:val="20"/>
          <w:szCs w:val="20"/>
        </w:rPr>
        <w:t xml:space="preserve">. </w:t>
      </w:r>
      <w:r w:rsidR="002E6663" w:rsidRPr="00224AA7">
        <w:rPr>
          <w:rFonts w:asciiTheme="majorHAnsi" w:hAnsiTheme="majorHAnsi"/>
          <w:sz w:val="20"/>
          <w:szCs w:val="20"/>
        </w:rPr>
        <w:t>In 2008, his status was reviewed and this classification was remov</w:t>
      </w:r>
      <w:r w:rsidR="006C73ED" w:rsidRPr="00224AA7">
        <w:rPr>
          <w:rFonts w:asciiTheme="majorHAnsi" w:hAnsiTheme="majorHAnsi"/>
          <w:sz w:val="20"/>
          <w:szCs w:val="20"/>
        </w:rPr>
        <w:t>ed. According to the petitioner</w:t>
      </w:r>
      <w:r w:rsidR="002E6663" w:rsidRPr="00224AA7">
        <w:rPr>
          <w:rFonts w:asciiTheme="majorHAnsi" w:hAnsiTheme="majorHAnsi"/>
          <w:sz w:val="20"/>
          <w:szCs w:val="20"/>
        </w:rPr>
        <w:t>, due to this change, a death warrant may be issued at any time</w:t>
      </w:r>
      <w:r w:rsidR="00214962" w:rsidRPr="00224AA7">
        <w:rPr>
          <w:rFonts w:asciiTheme="majorHAnsi" w:hAnsiTheme="majorHAnsi"/>
          <w:sz w:val="20"/>
          <w:szCs w:val="20"/>
        </w:rPr>
        <w:t>.</w:t>
      </w:r>
      <w:r w:rsidR="00531517" w:rsidRPr="00224AA7">
        <w:rPr>
          <w:rFonts w:asciiTheme="majorHAnsi" w:hAnsiTheme="majorHAnsi"/>
          <w:sz w:val="20"/>
          <w:szCs w:val="20"/>
        </w:rPr>
        <w:t xml:space="preserve"> </w:t>
      </w:r>
      <w:r w:rsidR="00501D6B" w:rsidRPr="00224AA7">
        <w:rPr>
          <w:rFonts w:asciiTheme="majorHAnsi" w:hAnsiTheme="majorHAnsi"/>
          <w:sz w:val="20"/>
          <w:szCs w:val="20"/>
        </w:rPr>
        <w:t>She</w:t>
      </w:r>
      <w:r w:rsidR="00531517" w:rsidRPr="00224AA7">
        <w:rPr>
          <w:rFonts w:asciiTheme="majorHAnsi" w:hAnsiTheme="majorHAnsi"/>
          <w:sz w:val="20"/>
          <w:szCs w:val="20"/>
        </w:rPr>
        <w:t xml:space="preserve"> </w:t>
      </w:r>
      <w:r w:rsidR="0010625B" w:rsidRPr="00224AA7">
        <w:rPr>
          <w:rFonts w:asciiTheme="majorHAnsi" w:hAnsiTheme="majorHAnsi"/>
          <w:sz w:val="20"/>
          <w:szCs w:val="20"/>
        </w:rPr>
        <w:t>concludes</w:t>
      </w:r>
      <w:r w:rsidR="00531517" w:rsidRPr="00224AA7">
        <w:rPr>
          <w:rFonts w:asciiTheme="majorHAnsi" w:hAnsiTheme="majorHAnsi"/>
          <w:sz w:val="20"/>
          <w:szCs w:val="20"/>
        </w:rPr>
        <w:t xml:space="preserve"> that, because of Mr. Rogovich mental disability, his death sentence constitutes a form of cruel, inhuman or degrading punishment.</w:t>
      </w:r>
      <w:r w:rsidR="00214962" w:rsidRPr="00224AA7">
        <w:rPr>
          <w:rFonts w:asciiTheme="majorHAnsi" w:hAnsiTheme="majorHAnsi"/>
          <w:sz w:val="20"/>
          <w:szCs w:val="20"/>
        </w:rPr>
        <w:t xml:space="preserve"> </w:t>
      </w:r>
    </w:p>
    <w:p w14:paraId="7FCCD587" w14:textId="77777777" w:rsidR="005C2B10" w:rsidRPr="00224AA7" w:rsidRDefault="005C2B10" w:rsidP="005C2B10">
      <w:pPr>
        <w:pStyle w:val="ListParagraph"/>
        <w:rPr>
          <w:rFonts w:asciiTheme="majorHAnsi" w:hAnsiTheme="majorHAnsi"/>
          <w:color w:val="auto"/>
          <w:sz w:val="20"/>
          <w:szCs w:val="20"/>
        </w:rPr>
      </w:pPr>
    </w:p>
    <w:p w14:paraId="70288C0F" w14:textId="77777777" w:rsidR="005C2B10" w:rsidRPr="00224AA7" w:rsidRDefault="0010625B"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24AA7">
        <w:rPr>
          <w:rFonts w:asciiTheme="majorHAnsi" w:hAnsiTheme="majorHAnsi"/>
          <w:sz w:val="20"/>
          <w:szCs w:val="20"/>
        </w:rPr>
        <w:t>T</w:t>
      </w:r>
      <w:r w:rsidR="00501D6B" w:rsidRPr="00224AA7">
        <w:rPr>
          <w:rFonts w:asciiTheme="majorHAnsi" w:hAnsiTheme="majorHAnsi"/>
          <w:sz w:val="20"/>
          <w:szCs w:val="20"/>
        </w:rPr>
        <w:t>he petitioner</w:t>
      </w:r>
      <w:r w:rsidR="005C2B10" w:rsidRPr="00224AA7">
        <w:rPr>
          <w:rFonts w:asciiTheme="majorHAnsi" w:hAnsiTheme="majorHAnsi"/>
          <w:sz w:val="20"/>
          <w:szCs w:val="20"/>
        </w:rPr>
        <w:t xml:space="preserve"> argue</w:t>
      </w:r>
      <w:r w:rsidR="00501D6B" w:rsidRPr="00224AA7">
        <w:rPr>
          <w:rFonts w:asciiTheme="majorHAnsi" w:hAnsiTheme="majorHAnsi"/>
          <w:sz w:val="20"/>
          <w:szCs w:val="20"/>
        </w:rPr>
        <w:t>s</w:t>
      </w:r>
      <w:r w:rsidR="005C2B10" w:rsidRPr="00224AA7">
        <w:rPr>
          <w:rFonts w:asciiTheme="majorHAnsi" w:hAnsiTheme="majorHAnsi"/>
          <w:sz w:val="20"/>
          <w:szCs w:val="20"/>
        </w:rPr>
        <w:t xml:space="preserve"> that </w:t>
      </w:r>
      <w:r w:rsidR="004A38DF" w:rsidRPr="00224AA7">
        <w:rPr>
          <w:rFonts w:asciiTheme="majorHAnsi" w:hAnsiTheme="majorHAnsi"/>
          <w:sz w:val="20"/>
          <w:szCs w:val="20"/>
        </w:rPr>
        <w:t>the State provided incompetent defense counsel, giv</w:t>
      </w:r>
      <w:r w:rsidR="00F41A44" w:rsidRPr="00224AA7">
        <w:rPr>
          <w:rFonts w:asciiTheme="majorHAnsi" w:hAnsiTheme="majorHAnsi"/>
          <w:sz w:val="20"/>
          <w:szCs w:val="20"/>
        </w:rPr>
        <w:t xml:space="preserve">en that </w:t>
      </w:r>
      <w:r w:rsidR="009552DA">
        <w:rPr>
          <w:rFonts w:asciiTheme="majorHAnsi" w:hAnsiTheme="majorHAnsi"/>
          <w:sz w:val="20"/>
          <w:szCs w:val="20"/>
        </w:rPr>
        <w:t xml:space="preserve">the </w:t>
      </w:r>
      <w:r w:rsidR="004A38DF" w:rsidRPr="00224AA7">
        <w:rPr>
          <w:rFonts w:asciiTheme="majorHAnsi" w:hAnsiTheme="majorHAnsi"/>
          <w:sz w:val="20"/>
          <w:szCs w:val="20"/>
        </w:rPr>
        <w:t>trial counsel waived Mr. Rogovich</w:t>
      </w:r>
      <w:r w:rsidR="003447DA">
        <w:rPr>
          <w:rFonts w:asciiTheme="majorHAnsi" w:hAnsiTheme="majorHAnsi"/>
          <w:sz w:val="20"/>
          <w:szCs w:val="20"/>
        </w:rPr>
        <w:t>’s</w:t>
      </w:r>
      <w:r w:rsidR="004A38DF" w:rsidRPr="00224AA7">
        <w:rPr>
          <w:rFonts w:asciiTheme="majorHAnsi" w:hAnsiTheme="majorHAnsi"/>
          <w:sz w:val="20"/>
          <w:szCs w:val="20"/>
        </w:rPr>
        <w:t xml:space="preserve"> presence during the jury selection stage of his trial and presented a defense of insanity without consulting the alleged victim. The appellate counsel, accord</w:t>
      </w:r>
      <w:r w:rsidR="00501D6B" w:rsidRPr="00224AA7">
        <w:rPr>
          <w:rFonts w:asciiTheme="majorHAnsi" w:hAnsiTheme="majorHAnsi"/>
          <w:sz w:val="20"/>
          <w:szCs w:val="20"/>
        </w:rPr>
        <w:t>ing to the petitioner</w:t>
      </w:r>
      <w:r w:rsidRPr="00224AA7">
        <w:rPr>
          <w:rFonts w:asciiTheme="majorHAnsi" w:hAnsiTheme="majorHAnsi"/>
          <w:sz w:val="20"/>
          <w:szCs w:val="20"/>
        </w:rPr>
        <w:t>, “filed an anemic brief […]</w:t>
      </w:r>
      <w:r w:rsidR="004A38DF" w:rsidRPr="00224AA7">
        <w:rPr>
          <w:rFonts w:asciiTheme="majorHAnsi" w:hAnsiTheme="majorHAnsi"/>
          <w:sz w:val="20"/>
          <w:szCs w:val="20"/>
        </w:rPr>
        <w:t xml:space="preserve"> and made no arguments on Mr. Rogovich’s behalf</w:t>
      </w:r>
      <w:r w:rsidR="00F02586" w:rsidRPr="00224AA7">
        <w:rPr>
          <w:rFonts w:asciiTheme="majorHAnsi" w:hAnsiTheme="majorHAnsi"/>
          <w:sz w:val="20"/>
          <w:szCs w:val="20"/>
        </w:rPr>
        <w:t>.</w:t>
      </w:r>
      <w:r w:rsidR="002F2FCB" w:rsidRPr="00224AA7">
        <w:rPr>
          <w:rFonts w:asciiTheme="majorHAnsi" w:hAnsiTheme="majorHAnsi"/>
          <w:sz w:val="20"/>
          <w:szCs w:val="20"/>
        </w:rPr>
        <w:t>”</w:t>
      </w:r>
      <w:r w:rsidR="00F02586" w:rsidRPr="00224AA7">
        <w:rPr>
          <w:rFonts w:asciiTheme="majorHAnsi" w:hAnsiTheme="majorHAnsi"/>
          <w:sz w:val="20"/>
          <w:szCs w:val="20"/>
        </w:rPr>
        <w:t xml:space="preserve"> </w:t>
      </w:r>
      <w:r w:rsidR="00501D6B" w:rsidRPr="00224AA7">
        <w:rPr>
          <w:rFonts w:asciiTheme="majorHAnsi" w:hAnsiTheme="majorHAnsi"/>
          <w:sz w:val="20"/>
          <w:szCs w:val="20"/>
        </w:rPr>
        <w:t>She</w:t>
      </w:r>
      <w:r w:rsidR="000B25B8" w:rsidRPr="00224AA7">
        <w:rPr>
          <w:rFonts w:asciiTheme="majorHAnsi" w:hAnsiTheme="majorHAnsi"/>
          <w:sz w:val="20"/>
          <w:szCs w:val="20"/>
        </w:rPr>
        <w:t xml:space="preserve"> also allege</w:t>
      </w:r>
      <w:r w:rsidR="00501D6B" w:rsidRPr="00224AA7">
        <w:rPr>
          <w:rFonts w:asciiTheme="majorHAnsi" w:hAnsiTheme="majorHAnsi"/>
          <w:sz w:val="20"/>
          <w:szCs w:val="20"/>
        </w:rPr>
        <w:t>s</w:t>
      </w:r>
      <w:r w:rsidR="000B25B8" w:rsidRPr="00224AA7">
        <w:rPr>
          <w:rFonts w:asciiTheme="majorHAnsi" w:hAnsiTheme="majorHAnsi"/>
          <w:sz w:val="20"/>
          <w:szCs w:val="20"/>
        </w:rPr>
        <w:t xml:space="preserve"> that appellate counsel</w:t>
      </w:r>
      <w:r w:rsidR="0016499F" w:rsidRPr="00224AA7">
        <w:rPr>
          <w:rFonts w:asciiTheme="majorHAnsi" w:hAnsiTheme="majorHAnsi"/>
          <w:sz w:val="20"/>
          <w:szCs w:val="20"/>
        </w:rPr>
        <w:t xml:space="preserve"> did</w:t>
      </w:r>
      <w:r w:rsidR="000B25B8" w:rsidRPr="00224AA7">
        <w:rPr>
          <w:rFonts w:asciiTheme="majorHAnsi" w:hAnsiTheme="majorHAnsi"/>
          <w:sz w:val="20"/>
          <w:szCs w:val="20"/>
        </w:rPr>
        <w:t xml:space="preserve"> not</w:t>
      </w:r>
      <w:r w:rsidR="0016499F" w:rsidRPr="00224AA7">
        <w:rPr>
          <w:rFonts w:asciiTheme="majorHAnsi" w:hAnsiTheme="majorHAnsi"/>
          <w:sz w:val="20"/>
          <w:szCs w:val="20"/>
        </w:rPr>
        <w:t xml:space="preserve"> challenge the constitutionality of the death penalty </w:t>
      </w:r>
      <w:r w:rsidR="000B25B8" w:rsidRPr="00224AA7">
        <w:rPr>
          <w:rFonts w:asciiTheme="majorHAnsi" w:hAnsiTheme="majorHAnsi"/>
          <w:sz w:val="20"/>
          <w:szCs w:val="20"/>
        </w:rPr>
        <w:t xml:space="preserve">or </w:t>
      </w:r>
      <w:r w:rsidR="00785522" w:rsidRPr="00224AA7">
        <w:rPr>
          <w:rFonts w:asciiTheme="majorHAnsi" w:hAnsiTheme="majorHAnsi"/>
          <w:sz w:val="20"/>
          <w:szCs w:val="20"/>
        </w:rPr>
        <w:t>the prosecutor’s allegations, but</w:t>
      </w:r>
      <w:r w:rsidR="0016499F" w:rsidRPr="00224AA7">
        <w:rPr>
          <w:rFonts w:asciiTheme="majorHAnsi" w:hAnsiTheme="majorHAnsi"/>
          <w:sz w:val="20"/>
          <w:szCs w:val="20"/>
        </w:rPr>
        <w:t xml:space="preserve"> </w:t>
      </w:r>
      <w:r w:rsidR="00BB7163" w:rsidRPr="00224AA7">
        <w:rPr>
          <w:rFonts w:asciiTheme="majorHAnsi" w:hAnsiTheme="majorHAnsi"/>
          <w:sz w:val="20"/>
          <w:szCs w:val="20"/>
        </w:rPr>
        <w:t>confirmed</w:t>
      </w:r>
      <w:r w:rsidR="0016499F" w:rsidRPr="00224AA7">
        <w:rPr>
          <w:rFonts w:asciiTheme="majorHAnsi" w:hAnsiTheme="majorHAnsi"/>
          <w:sz w:val="20"/>
          <w:szCs w:val="20"/>
        </w:rPr>
        <w:t xml:space="preserve"> the alleged victim’s competency</w:t>
      </w:r>
      <w:r w:rsidR="00682D35" w:rsidRPr="00224AA7">
        <w:rPr>
          <w:rFonts w:asciiTheme="majorHAnsi" w:hAnsiTheme="majorHAnsi"/>
          <w:sz w:val="20"/>
          <w:szCs w:val="20"/>
        </w:rPr>
        <w:t>, even though Mr. Rogovich’s competency was one of the most controversial questions during trial stage</w:t>
      </w:r>
      <w:r w:rsidR="0016499F" w:rsidRPr="00224AA7">
        <w:rPr>
          <w:rFonts w:asciiTheme="majorHAnsi" w:hAnsiTheme="majorHAnsi"/>
          <w:sz w:val="20"/>
          <w:szCs w:val="20"/>
        </w:rPr>
        <w:t>.</w:t>
      </w:r>
      <w:r w:rsidR="00682D35" w:rsidRPr="00224AA7">
        <w:rPr>
          <w:rFonts w:asciiTheme="majorHAnsi" w:hAnsiTheme="majorHAnsi"/>
          <w:sz w:val="20"/>
          <w:szCs w:val="20"/>
        </w:rPr>
        <w:t xml:space="preserve"> </w:t>
      </w:r>
      <w:r w:rsidR="00501D6B" w:rsidRPr="00224AA7">
        <w:rPr>
          <w:rFonts w:asciiTheme="majorHAnsi" w:hAnsiTheme="majorHAnsi"/>
          <w:sz w:val="20"/>
          <w:szCs w:val="20"/>
        </w:rPr>
        <w:t>She</w:t>
      </w:r>
      <w:r w:rsidR="00307577" w:rsidRPr="00224AA7">
        <w:rPr>
          <w:rFonts w:asciiTheme="majorHAnsi" w:hAnsiTheme="majorHAnsi"/>
          <w:sz w:val="20"/>
          <w:szCs w:val="20"/>
        </w:rPr>
        <w:t xml:space="preserve"> state</w:t>
      </w:r>
      <w:r w:rsidR="00501D6B" w:rsidRPr="00224AA7">
        <w:rPr>
          <w:rFonts w:asciiTheme="majorHAnsi" w:hAnsiTheme="majorHAnsi"/>
          <w:sz w:val="20"/>
          <w:szCs w:val="20"/>
        </w:rPr>
        <w:t>s</w:t>
      </w:r>
      <w:r w:rsidR="00307577" w:rsidRPr="00224AA7">
        <w:rPr>
          <w:rFonts w:asciiTheme="majorHAnsi" w:hAnsiTheme="majorHAnsi"/>
          <w:sz w:val="20"/>
          <w:szCs w:val="20"/>
        </w:rPr>
        <w:t xml:space="preserve"> that this situation was aggravated by the failure of the domestic legal system to adequately review </w:t>
      </w:r>
      <w:r w:rsidR="00682D35" w:rsidRPr="00224AA7">
        <w:rPr>
          <w:rFonts w:asciiTheme="majorHAnsi" w:hAnsiTheme="majorHAnsi"/>
          <w:sz w:val="20"/>
          <w:szCs w:val="20"/>
        </w:rPr>
        <w:t xml:space="preserve">Mr. Rogovich’s </w:t>
      </w:r>
      <w:r w:rsidR="00307577" w:rsidRPr="00224AA7">
        <w:rPr>
          <w:rFonts w:asciiTheme="majorHAnsi" w:hAnsiTheme="majorHAnsi"/>
          <w:sz w:val="20"/>
          <w:szCs w:val="20"/>
        </w:rPr>
        <w:t xml:space="preserve">claims due to </w:t>
      </w:r>
      <w:r w:rsidR="00F566C6" w:rsidRPr="00224AA7">
        <w:rPr>
          <w:rFonts w:asciiTheme="majorHAnsi" w:hAnsiTheme="majorHAnsi"/>
          <w:sz w:val="20"/>
          <w:szCs w:val="20"/>
        </w:rPr>
        <w:t xml:space="preserve">the </w:t>
      </w:r>
      <w:r w:rsidR="00307577" w:rsidRPr="00224AA7">
        <w:rPr>
          <w:rFonts w:asciiTheme="majorHAnsi" w:hAnsiTheme="majorHAnsi"/>
          <w:sz w:val="20"/>
          <w:szCs w:val="20"/>
        </w:rPr>
        <w:t>AEDPA.</w:t>
      </w:r>
    </w:p>
    <w:p w14:paraId="5E920A91" w14:textId="77777777" w:rsidR="00590E8E" w:rsidRPr="00224AA7" w:rsidRDefault="00590E8E" w:rsidP="00590E8E">
      <w:pPr>
        <w:pStyle w:val="ListParagraph"/>
        <w:rPr>
          <w:rFonts w:asciiTheme="majorHAnsi" w:hAnsiTheme="majorHAnsi"/>
          <w:color w:val="auto"/>
          <w:sz w:val="20"/>
          <w:szCs w:val="20"/>
        </w:rPr>
      </w:pPr>
    </w:p>
    <w:p w14:paraId="23AC44E7" w14:textId="77777777" w:rsidR="00590E8E" w:rsidRPr="00224AA7" w:rsidRDefault="00795B5E"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224AA7">
        <w:rPr>
          <w:rFonts w:asciiTheme="majorHAnsi" w:hAnsiTheme="majorHAnsi"/>
          <w:sz w:val="20"/>
          <w:szCs w:val="20"/>
        </w:rPr>
        <w:t xml:space="preserve">According to the </w:t>
      </w:r>
      <w:r w:rsidR="00EB18F6" w:rsidRPr="00224AA7">
        <w:rPr>
          <w:rFonts w:asciiTheme="majorHAnsi" w:hAnsiTheme="majorHAnsi"/>
          <w:sz w:val="20"/>
          <w:szCs w:val="20"/>
        </w:rPr>
        <w:t>petitioner</w:t>
      </w:r>
      <w:r w:rsidRPr="00224AA7">
        <w:rPr>
          <w:rFonts w:asciiTheme="majorHAnsi" w:hAnsiTheme="majorHAnsi"/>
          <w:sz w:val="20"/>
          <w:szCs w:val="20"/>
        </w:rPr>
        <w:t xml:space="preserve">, </w:t>
      </w:r>
      <w:r w:rsidR="00245452" w:rsidRPr="00224AA7">
        <w:rPr>
          <w:rFonts w:asciiTheme="majorHAnsi" w:hAnsiTheme="majorHAnsi"/>
          <w:sz w:val="20"/>
          <w:szCs w:val="20"/>
        </w:rPr>
        <w:t>the lethal injection</w:t>
      </w:r>
      <w:r w:rsidR="002B1D55" w:rsidRPr="00224AA7">
        <w:rPr>
          <w:rFonts w:asciiTheme="majorHAnsi" w:hAnsiTheme="majorHAnsi"/>
          <w:sz w:val="20"/>
          <w:szCs w:val="20"/>
        </w:rPr>
        <w:t xml:space="preserve"> pr</w:t>
      </w:r>
      <w:r w:rsidR="00C14A51" w:rsidRPr="00224AA7">
        <w:rPr>
          <w:rFonts w:asciiTheme="majorHAnsi" w:hAnsiTheme="majorHAnsi"/>
          <w:sz w:val="20"/>
          <w:szCs w:val="20"/>
        </w:rPr>
        <w:t>otocol provides two alternative drugs</w:t>
      </w:r>
      <w:r w:rsidR="002B1D55" w:rsidRPr="00224AA7">
        <w:rPr>
          <w:rFonts w:asciiTheme="majorHAnsi" w:hAnsiTheme="majorHAnsi"/>
          <w:sz w:val="20"/>
          <w:szCs w:val="20"/>
        </w:rPr>
        <w:t xml:space="preserve"> for executions, bu</w:t>
      </w:r>
      <w:r w:rsidR="00C14A51" w:rsidRPr="00224AA7">
        <w:rPr>
          <w:rFonts w:asciiTheme="majorHAnsi" w:hAnsiTheme="majorHAnsi"/>
          <w:sz w:val="20"/>
          <w:szCs w:val="20"/>
        </w:rPr>
        <w:t xml:space="preserve">t none of them are available </w:t>
      </w:r>
      <w:r w:rsidR="00EB18F6" w:rsidRPr="00224AA7">
        <w:rPr>
          <w:rFonts w:asciiTheme="majorHAnsi" w:hAnsiTheme="majorHAnsi"/>
          <w:sz w:val="20"/>
          <w:szCs w:val="20"/>
        </w:rPr>
        <w:t>in</w:t>
      </w:r>
      <w:r w:rsidR="00C14A51" w:rsidRPr="00224AA7">
        <w:rPr>
          <w:rFonts w:asciiTheme="majorHAnsi" w:hAnsiTheme="majorHAnsi"/>
          <w:sz w:val="20"/>
          <w:szCs w:val="20"/>
        </w:rPr>
        <w:t xml:space="preserve"> Arizona. </w:t>
      </w:r>
      <w:r w:rsidR="00E30994" w:rsidRPr="00224AA7">
        <w:rPr>
          <w:rFonts w:asciiTheme="majorHAnsi" w:hAnsiTheme="majorHAnsi"/>
          <w:sz w:val="20"/>
          <w:szCs w:val="20"/>
        </w:rPr>
        <w:t>She</w:t>
      </w:r>
      <w:r w:rsidR="00EB18F6" w:rsidRPr="00224AA7">
        <w:rPr>
          <w:rFonts w:asciiTheme="majorHAnsi" w:hAnsiTheme="majorHAnsi"/>
          <w:sz w:val="20"/>
          <w:szCs w:val="20"/>
        </w:rPr>
        <w:t xml:space="preserve"> also claim</w:t>
      </w:r>
      <w:r w:rsidR="00E30994" w:rsidRPr="00224AA7">
        <w:rPr>
          <w:rFonts w:asciiTheme="majorHAnsi" w:hAnsiTheme="majorHAnsi"/>
          <w:sz w:val="20"/>
          <w:szCs w:val="20"/>
        </w:rPr>
        <w:t>s</w:t>
      </w:r>
      <w:r w:rsidR="00EB18F6" w:rsidRPr="00224AA7">
        <w:rPr>
          <w:rFonts w:asciiTheme="majorHAnsi" w:hAnsiTheme="majorHAnsi"/>
          <w:sz w:val="20"/>
          <w:szCs w:val="20"/>
        </w:rPr>
        <w:t xml:space="preserve"> that there is no</w:t>
      </w:r>
      <w:r w:rsidR="00F27CFD" w:rsidRPr="00224AA7">
        <w:rPr>
          <w:rFonts w:asciiTheme="majorHAnsi" w:hAnsiTheme="majorHAnsi"/>
          <w:sz w:val="20"/>
          <w:szCs w:val="20"/>
        </w:rPr>
        <w:t xml:space="preserve"> </w:t>
      </w:r>
      <w:r w:rsidR="00DE6249" w:rsidRPr="00224AA7">
        <w:rPr>
          <w:rFonts w:asciiTheme="majorHAnsi" w:hAnsiTheme="majorHAnsi"/>
          <w:sz w:val="20"/>
          <w:szCs w:val="20"/>
        </w:rPr>
        <w:t xml:space="preserve">meaningful federal oversight, because </w:t>
      </w:r>
      <w:r w:rsidR="00F566C6" w:rsidRPr="00224AA7">
        <w:rPr>
          <w:rFonts w:asciiTheme="majorHAnsi" w:hAnsiTheme="majorHAnsi"/>
          <w:sz w:val="20"/>
          <w:szCs w:val="20"/>
        </w:rPr>
        <w:t xml:space="preserve">the </w:t>
      </w:r>
      <w:r w:rsidR="00DE6249" w:rsidRPr="00224AA7">
        <w:rPr>
          <w:rFonts w:asciiTheme="majorHAnsi" w:hAnsiTheme="majorHAnsi"/>
          <w:sz w:val="20"/>
          <w:szCs w:val="20"/>
        </w:rPr>
        <w:t>U.S Food and Drug Administration does not regulate or approve products used in lethal injections.</w:t>
      </w:r>
      <w:r w:rsidR="00C14A51" w:rsidRPr="00224AA7">
        <w:rPr>
          <w:rFonts w:asciiTheme="majorHAnsi" w:hAnsiTheme="majorHAnsi"/>
          <w:sz w:val="20"/>
          <w:szCs w:val="20"/>
        </w:rPr>
        <w:t xml:space="preserve"> </w:t>
      </w:r>
      <w:r w:rsidR="00C14A51" w:rsidRPr="00224AA7">
        <w:rPr>
          <w:rFonts w:asciiTheme="majorHAnsi" w:hAnsiTheme="majorHAnsi"/>
          <w:sz w:val="20"/>
          <w:szCs w:val="20"/>
        </w:rPr>
        <w:lastRenderedPageBreak/>
        <w:t xml:space="preserve">Consequently, </w:t>
      </w:r>
      <w:r w:rsidR="00EB18F6" w:rsidRPr="00224AA7">
        <w:rPr>
          <w:rFonts w:asciiTheme="majorHAnsi" w:hAnsiTheme="majorHAnsi"/>
          <w:sz w:val="20"/>
          <w:szCs w:val="20"/>
        </w:rPr>
        <w:t xml:space="preserve">petitioner </w:t>
      </w:r>
      <w:r w:rsidR="00C14A51" w:rsidRPr="00224AA7">
        <w:rPr>
          <w:rFonts w:asciiTheme="majorHAnsi" w:hAnsiTheme="majorHAnsi"/>
          <w:sz w:val="20"/>
          <w:szCs w:val="20"/>
        </w:rPr>
        <w:t>argue</w:t>
      </w:r>
      <w:r w:rsidR="00F566C6" w:rsidRPr="00224AA7">
        <w:rPr>
          <w:rFonts w:asciiTheme="majorHAnsi" w:hAnsiTheme="majorHAnsi"/>
          <w:sz w:val="20"/>
          <w:szCs w:val="20"/>
        </w:rPr>
        <w:t>s</w:t>
      </w:r>
      <w:r w:rsidR="00C14A51" w:rsidRPr="00224AA7">
        <w:rPr>
          <w:rFonts w:asciiTheme="majorHAnsi" w:hAnsiTheme="majorHAnsi"/>
          <w:sz w:val="20"/>
          <w:szCs w:val="20"/>
        </w:rPr>
        <w:t xml:space="preserve"> that Mr. Rogovich execution </w:t>
      </w:r>
      <w:r w:rsidR="00245452" w:rsidRPr="00224AA7">
        <w:rPr>
          <w:rFonts w:asciiTheme="majorHAnsi" w:hAnsiTheme="majorHAnsi"/>
          <w:sz w:val="20"/>
          <w:szCs w:val="20"/>
        </w:rPr>
        <w:t xml:space="preserve">fails to comply with the “least possible physical and mental suffering” criteria and </w:t>
      </w:r>
      <w:r w:rsidR="00EB18F6" w:rsidRPr="00224AA7">
        <w:rPr>
          <w:rFonts w:asciiTheme="majorHAnsi" w:hAnsiTheme="majorHAnsi"/>
          <w:sz w:val="20"/>
          <w:szCs w:val="20"/>
        </w:rPr>
        <w:t>that it amounts to</w:t>
      </w:r>
      <w:r w:rsidR="00245452" w:rsidRPr="00224AA7">
        <w:rPr>
          <w:rFonts w:asciiTheme="majorHAnsi" w:hAnsiTheme="majorHAnsi"/>
          <w:sz w:val="20"/>
          <w:szCs w:val="20"/>
        </w:rPr>
        <w:t xml:space="preserve"> nonconsensual human experimentation. </w:t>
      </w:r>
    </w:p>
    <w:p w14:paraId="22DC1ECC" w14:textId="77777777" w:rsidR="0012610A" w:rsidRPr="00224AA7" w:rsidRDefault="0012610A" w:rsidP="0012610A">
      <w:pPr>
        <w:pStyle w:val="ListParagraph"/>
        <w:rPr>
          <w:rFonts w:asciiTheme="majorHAnsi" w:hAnsiTheme="majorHAnsi"/>
          <w:color w:val="auto"/>
          <w:sz w:val="20"/>
          <w:szCs w:val="20"/>
        </w:rPr>
      </w:pPr>
    </w:p>
    <w:p w14:paraId="71963985" w14:textId="77777777" w:rsidR="00607325" w:rsidRPr="00224AA7" w:rsidRDefault="00FE25F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24AA7">
        <w:rPr>
          <w:rFonts w:asciiTheme="majorHAnsi" w:hAnsiTheme="majorHAnsi"/>
          <w:sz w:val="20"/>
          <w:szCs w:val="20"/>
        </w:rPr>
        <w:t>The petitioner</w:t>
      </w:r>
      <w:r w:rsidR="0012610A" w:rsidRPr="00224AA7">
        <w:rPr>
          <w:rFonts w:asciiTheme="majorHAnsi" w:hAnsiTheme="majorHAnsi"/>
          <w:sz w:val="20"/>
          <w:szCs w:val="20"/>
        </w:rPr>
        <w:t xml:space="preserve"> cla</w:t>
      </w:r>
      <w:r w:rsidR="00E15130" w:rsidRPr="00224AA7">
        <w:rPr>
          <w:rFonts w:asciiTheme="majorHAnsi" w:hAnsiTheme="majorHAnsi"/>
          <w:sz w:val="20"/>
          <w:szCs w:val="20"/>
        </w:rPr>
        <w:t>im</w:t>
      </w:r>
      <w:r w:rsidRPr="00224AA7">
        <w:rPr>
          <w:rFonts w:asciiTheme="majorHAnsi" w:hAnsiTheme="majorHAnsi"/>
          <w:sz w:val="20"/>
          <w:szCs w:val="20"/>
        </w:rPr>
        <w:t>s</w:t>
      </w:r>
      <w:r w:rsidR="00E15130" w:rsidRPr="00224AA7">
        <w:rPr>
          <w:rFonts w:asciiTheme="majorHAnsi" w:hAnsiTheme="majorHAnsi"/>
          <w:sz w:val="20"/>
          <w:szCs w:val="20"/>
        </w:rPr>
        <w:t xml:space="preserve"> that for more than 20 years </w:t>
      </w:r>
      <w:r w:rsidR="0012610A" w:rsidRPr="00224AA7">
        <w:rPr>
          <w:rFonts w:asciiTheme="majorHAnsi" w:hAnsiTheme="majorHAnsi"/>
          <w:sz w:val="20"/>
          <w:szCs w:val="20"/>
        </w:rPr>
        <w:t xml:space="preserve">Mr. Rogovich was </w:t>
      </w:r>
      <w:r w:rsidR="007F210C" w:rsidRPr="00224AA7">
        <w:rPr>
          <w:rFonts w:asciiTheme="majorHAnsi" w:hAnsiTheme="majorHAnsi"/>
          <w:sz w:val="20"/>
          <w:szCs w:val="20"/>
        </w:rPr>
        <w:t>held in solitary confinement</w:t>
      </w:r>
      <w:r w:rsidR="005140FC" w:rsidRPr="00224AA7">
        <w:rPr>
          <w:rFonts w:asciiTheme="majorHAnsi" w:hAnsiTheme="majorHAnsi"/>
          <w:sz w:val="20"/>
          <w:szCs w:val="20"/>
        </w:rPr>
        <w:t xml:space="preserve"> in a cell without windows and no access to sunlight, where the lights remaine</w:t>
      </w:r>
      <w:r w:rsidRPr="00224AA7">
        <w:rPr>
          <w:rFonts w:asciiTheme="majorHAnsi" w:hAnsiTheme="majorHAnsi"/>
          <w:sz w:val="20"/>
          <w:szCs w:val="20"/>
        </w:rPr>
        <w:t>d on even during the night. She</w:t>
      </w:r>
      <w:r w:rsidR="005140FC" w:rsidRPr="00224AA7">
        <w:rPr>
          <w:rFonts w:asciiTheme="majorHAnsi" w:hAnsiTheme="majorHAnsi"/>
          <w:sz w:val="20"/>
          <w:szCs w:val="20"/>
        </w:rPr>
        <w:t xml:space="preserve"> affirm</w:t>
      </w:r>
      <w:r w:rsidRPr="00224AA7">
        <w:rPr>
          <w:rFonts w:asciiTheme="majorHAnsi" w:hAnsiTheme="majorHAnsi"/>
          <w:sz w:val="20"/>
          <w:szCs w:val="20"/>
        </w:rPr>
        <w:t>s</w:t>
      </w:r>
      <w:r w:rsidR="005140FC" w:rsidRPr="00224AA7">
        <w:rPr>
          <w:rFonts w:asciiTheme="majorHAnsi" w:hAnsiTheme="majorHAnsi"/>
          <w:sz w:val="20"/>
          <w:szCs w:val="20"/>
        </w:rPr>
        <w:t xml:space="preserve"> that prisoners could only leave their cells three times a week, for no longer than two hours. </w:t>
      </w:r>
      <w:r w:rsidR="00F566C6" w:rsidRPr="00224AA7">
        <w:rPr>
          <w:rFonts w:asciiTheme="majorHAnsi" w:hAnsiTheme="majorHAnsi"/>
          <w:sz w:val="20"/>
          <w:szCs w:val="20"/>
        </w:rPr>
        <w:t>O</w:t>
      </w:r>
      <w:r w:rsidR="001970F2" w:rsidRPr="00224AA7">
        <w:rPr>
          <w:rFonts w:asciiTheme="majorHAnsi" w:hAnsiTheme="majorHAnsi"/>
          <w:sz w:val="20"/>
          <w:szCs w:val="20"/>
        </w:rPr>
        <w:t xml:space="preserve">n July 18, 2017, Mr. Rogovich was </w:t>
      </w:r>
      <w:r w:rsidR="00F566C6" w:rsidRPr="00224AA7">
        <w:rPr>
          <w:rFonts w:asciiTheme="majorHAnsi" w:hAnsiTheme="majorHAnsi"/>
          <w:sz w:val="20"/>
          <w:szCs w:val="20"/>
        </w:rPr>
        <w:t xml:space="preserve">allegedly </w:t>
      </w:r>
      <w:r w:rsidR="001970F2" w:rsidRPr="00224AA7">
        <w:rPr>
          <w:rFonts w:asciiTheme="majorHAnsi" w:hAnsiTheme="majorHAnsi"/>
          <w:sz w:val="20"/>
          <w:szCs w:val="20"/>
        </w:rPr>
        <w:t>transferred out of solitary confinement</w:t>
      </w:r>
      <w:r w:rsidR="004E2FE2" w:rsidRPr="00224AA7">
        <w:rPr>
          <w:rFonts w:asciiTheme="majorHAnsi" w:hAnsiTheme="majorHAnsi"/>
          <w:sz w:val="20"/>
          <w:szCs w:val="20"/>
        </w:rPr>
        <w:t>, due to a change in detention policy</w:t>
      </w:r>
      <w:r w:rsidR="001970F2" w:rsidRPr="00224AA7">
        <w:rPr>
          <w:rFonts w:asciiTheme="majorHAnsi" w:hAnsiTheme="majorHAnsi"/>
          <w:sz w:val="20"/>
          <w:szCs w:val="20"/>
        </w:rPr>
        <w:t>.</w:t>
      </w:r>
      <w:r w:rsidR="00CA1D19" w:rsidRPr="00224AA7">
        <w:rPr>
          <w:rFonts w:asciiTheme="majorHAnsi" w:hAnsiTheme="majorHAnsi"/>
          <w:sz w:val="20"/>
          <w:szCs w:val="20"/>
        </w:rPr>
        <w:t xml:space="preserve"> </w:t>
      </w:r>
      <w:r w:rsidR="00031189" w:rsidRPr="00224AA7">
        <w:rPr>
          <w:rFonts w:asciiTheme="majorHAnsi" w:hAnsiTheme="majorHAnsi"/>
          <w:sz w:val="20"/>
          <w:szCs w:val="20"/>
        </w:rPr>
        <w:t>T</w:t>
      </w:r>
      <w:r w:rsidRPr="00224AA7">
        <w:rPr>
          <w:rFonts w:asciiTheme="majorHAnsi" w:hAnsiTheme="majorHAnsi"/>
          <w:sz w:val="20"/>
          <w:szCs w:val="20"/>
        </w:rPr>
        <w:t>he petitioner</w:t>
      </w:r>
      <w:r w:rsidR="00CA1D19" w:rsidRPr="00224AA7">
        <w:rPr>
          <w:rFonts w:asciiTheme="majorHAnsi" w:hAnsiTheme="majorHAnsi"/>
          <w:sz w:val="20"/>
          <w:szCs w:val="20"/>
        </w:rPr>
        <w:t xml:space="preserve"> </w:t>
      </w:r>
      <w:r w:rsidR="0084302E" w:rsidRPr="00224AA7">
        <w:rPr>
          <w:rFonts w:asciiTheme="majorHAnsi" w:hAnsiTheme="majorHAnsi"/>
          <w:sz w:val="20"/>
          <w:szCs w:val="20"/>
        </w:rPr>
        <w:t xml:space="preserve">also </w:t>
      </w:r>
      <w:r w:rsidR="00CA1D19" w:rsidRPr="00224AA7">
        <w:rPr>
          <w:rFonts w:asciiTheme="majorHAnsi" w:hAnsiTheme="majorHAnsi"/>
          <w:sz w:val="20"/>
          <w:szCs w:val="20"/>
        </w:rPr>
        <w:t>point</w:t>
      </w:r>
      <w:r w:rsidRPr="00224AA7">
        <w:rPr>
          <w:rFonts w:asciiTheme="majorHAnsi" w:hAnsiTheme="majorHAnsi"/>
          <w:sz w:val="20"/>
          <w:szCs w:val="20"/>
        </w:rPr>
        <w:t>s</w:t>
      </w:r>
      <w:r w:rsidR="00CA1D19" w:rsidRPr="00224AA7">
        <w:rPr>
          <w:rFonts w:asciiTheme="majorHAnsi" w:hAnsiTheme="majorHAnsi"/>
          <w:sz w:val="20"/>
          <w:szCs w:val="20"/>
        </w:rPr>
        <w:t xml:space="preserve"> out</w:t>
      </w:r>
      <w:r w:rsidR="003A18F4" w:rsidRPr="00224AA7">
        <w:rPr>
          <w:rFonts w:asciiTheme="majorHAnsi" w:hAnsiTheme="majorHAnsi"/>
          <w:sz w:val="20"/>
          <w:szCs w:val="20"/>
        </w:rPr>
        <w:t xml:space="preserve"> </w:t>
      </w:r>
      <w:r w:rsidR="00CA1D19" w:rsidRPr="00224AA7">
        <w:rPr>
          <w:rFonts w:asciiTheme="majorHAnsi" w:hAnsiTheme="majorHAnsi"/>
          <w:sz w:val="20"/>
          <w:szCs w:val="20"/>
        </w:rPr>
        <w:t>that there is no psychiatri</w:t>
      </w:r>
      <w:r w:rsidR="0084302E" w:rsidRPr="00224AA7">
        <w:rPr>
          <w:rFonts w:asciiTheme="majorHAnsi" w:hAnsiTheme="majorHAnsi"/>
          <w:sz w:val="20"/>
          <w:szCs w:val="20"/>
        </w:rPr>
        <w:t>st</w:t>
      </w:r>
      <w:r w:rsidR="00CA1D19" w:rsidRPr="00224AA7">
        <w:rPr>
          <w:rFonts w:asciiTheme="majorHAnsi" w:hAnsiTheme="majorHAnsi"/>
          <w:sz w:val="20"/>
          <w:szCs w:val="20"/>
        </w:rPr>
        <w:t xml:space="preserve"> in the prison and </w:t>
      </w:r>
      <w:r w:rsidR="0084302E" w:rsidRPr="00224AA7">
        <w:rPr>
          <w:rFonts w:asciiTheme="majorHAnsi" w:hAnsiTheme="majorHAnsi"/>
          <w:sz w:val="20"/>
          <w:szCs w:val="20"/>
        </w:rPr>
        <w:t xml:space="preserve">that there are delays in the provision of </w:t>
      </w:r>
      <w:r w:rsidR="006F1601" w:rsidRPr="00224AA7">
        <w:rPr>
          <w:rFonts w:asciiTheme="majorHAnsi" w:hAnsiTheme="majorHAnsi"/>
          <w:sz w:val="20"/>
          <w:szCs w:val="20"/>
        </w:rPr>
        <w:t xml:space="preserve">Mr. Rogovich’s </w:t>
      </w:r>
      <w:r w:rsidR="0084302E" w:rsidRPr="00224AA7">
        <w:rPr>
          <w:rFonts w:asciiTheme="majorHAnsi" w:hAnsiTheme="majorHAnsi"/>
          <w:sz w:val="20"/>
          <w:szCs w:val="20"/>
        </w:rPr>
        <w:t xml:space="preserve">psychiatric medication. </w:t>
      </w:r>
      <w:r w:rsidR="009978F5" w:rsidRPr="00224AA7">
        <w:rPr>
          <w:rFonts w:asciiTheme="majorHAnsi" w:hAnsiTheme="majorHAnsi"/>
          <w:sz w:val="20"/>
          <w:szCs w:val="20"/>
        </w:rPr>
        <w:t>According to the petitioner</w:t>
      </w:r>
      <w:r w:rsidR="001C4ADD" w:rsidRPr="00224AA7">
        <w:rPr>
          <w:rFonts w:asciiTheme="majorHAnsi" w:hAnsiTheme="majorHAnsi"/>
          <w:sz w:val="20"/>
          <w:szCs w:val="20"/>
        </w:rPr>
        <w:t xml:space="preserve">, </w:t>
      </w:r>
      <w:r w:rsidR="009978F5" w:rsidRPr="00224AA7">
        <w:rPr>
          <w:rFonts w:asciiTheme="majorHAnsi" w:hAnsiTheme="majorHAnsi"/>
          <w:sz w:val="20"/>
          <w:szCs w:val="20"/>
        </w:rPr>
        <w:t>Mr. Rogovich’s</w:t>
      </w:r>
      <w:r w:rsidR="001C4ADD" w:rsidRPr="00224AA7">
        <w:rPr>
          <w:rFonts w:asciiTheme="majorHAnsi" w:hAnsiTheme="majorHAnsi"/>
          <w:sz w:val="20"/>
          <w:szCs w:val="20"/>
        </w:rPr>
        <w:t xml:space="preserve"> prolonged stay on death row violates his human rights. </w:t>
      </w:r>
    </w:p>
    <w:p w14:paraId="2B29931C" w14:textId="77777777" w:rsidR="00607325" w:rsidRPr="00224AA7" w:rsidRDefault="00607325" w:rsidP="00607325">
      <w:pPr>
        <w:pStyle w:val="ListParagraph"/>
        <w:rPr>
          <w:rFonts w:asciiTheme="majorHAnsi" w:hAnsiTheme="majorHAnsi"/>
          <w:sz w:val="20"/>
          <w:szCs w:val="20"/>
        </w:rPr>
      </w:pPr>
    </w:p>
    <w:p w14:paraId="74FD734F" w14:textId="77777777" w:rsidR="005A37BB" w:rsidRPr="00224AA7" w:rsidRDefault="0025100E"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24AA7">
        <w:rPr>
          <w:rFonts w:asciiTheme="majorHAnsi" w:hAnsiTheme="majorHAnsi"/>
          <w:sz w:val="20"/>
          <w:szCs w:val="20"/>
        </w:rPr>
        <w:t xml:space="preserve">Finally, </w:t>
      </w:r>
      <w:r w:rsidR="00FE25F4" w:rsidRPr="00224AA7">
        <w:rPr>
          <w:rFonts w:asciiTheme="majorHAnsi" w:hAnsiTheme="majorHAnsi"/>
          <w:sz w:val="20"/>
          <w:szCs w:val="20"/>
        </w:rPr>
        <w:t>the petitioner</w:t>
      </w:r>
      <w:r w:rsidRPr="00224AA7">
        <w:rPr>
          <w:rFonts w:asciiTheme="majorHAnsi" w:hAnsiTheme="majorHAnsi"/>
          <w:sz w:val="20"/>
          <w:szCs w:val="20"/>
        </w:rPr>
        <w:t xml:space="preserve"> state</w:t>
      </w:r>
      <w:r w:rsidR="00FE25F4" w:rsidRPr="00224AA7">
        <w:rPr>
          <w:rFonts w:asciiTheme="majorHAnsi" w:hAnsiTheme="majorHAnsi"/>
          <w:sz w:val="20"/>
          <w:szCs w:val="20"/>
        </w:rPr>
        <w:t>s</w:t>
      </w:r>
      <w:r w:rsidRPr="00224AA7">
        <w:rPr>
          <w:rFonts w:asciiTheme="majorHAnsi" w:hAnsiTheme="majorHAnsi"/>
          <w:sz w:val="20"/>
          <w:szCs w:val="20"/>
        </w:rPr>
        <w:t xml:space="preserve"> that </w:t>
      </w:r>
      <w:r w:rsidR="005A37BB" w:rsidRPr="00224AA7">
        <w:rPr>
          <w:rFonts w:asciiTheme="majorHAnsi" w:hAnsiTheme="majorHAnsi"/>
          <w:sz w:val="20"/>
          <w:szCs w:val="20"/>
        </w:rPr>
        <w:t>the clemency procedure</w:t>
      </w:r>
      <w:r w:rsidRPr="00224AA7">
        <w:rPr>
          <w:rFonts w:asciiTheme="majorHAnsi" w:hAnsiTheme="majorHAnsi"/>
          <w:sz w:val="20"/>
          <w:szCs w:val="20"/>
        </w:rPr>
        <w:t xml:space="preserve"> </w:t>
      </w:r>
      <w:r w:rsidR="00B00CBD" w:rsidRPr="00224AA7">
        <w:rPr>
          <w:rFonts w:asciiTheme="majorHAnsi" w:hAnsiTheme="majorHAnsi"/>
          <w:sz w:val="20"/>
          <w:szCs w:val="20"/>
        </w:rPr>
        <w:t>is highly political</w:t>
      </w:r>
      <w:r w:rsidRPr="00224AA7">
        <w:rPr>
          <w:rFonts w:asciiTheme="majorHAnsi" w:hAnsiTheme="majorHAnsi"/>
          <w:sz w:val="20"/>
          <w:szCs w:val="20"/>
        </w:rPr>
        <w:t xml:space="preserve"> and therefore</w:t>
      </w:r>
      <w:r w:rsidR="00B00CBD" w:rsidRPr="00224AA7">
        <w:rPr>
          <w:rFonts w:asciiTheme="majorHAnsi" w:hAnsiTheme="majorHAnsi"/>
          <w:sz w:val="20"/>
          <w:szCs w:val="20"/>
        </w:rPr>
        <w:t xml:space="preserve"> ineffective. </w:t>
      </w:r>
      <w:r w:rsidR="00607325" w:rsidRPr="00224AA7">
        <w:rPr>
          <w:rFonts w:asciiTheme="majorHAnsi" w:hAnsiTheme="majorHAnsi"/>
          <w:sz w:val="20"/>
          <w:szCs w:val="20"/>
        </w:rPr>
        <w:t>The petitioner alleges that the clemency board members are trained by the Attorney General whose office assists prosecutors in securing death sentences at the trial level. Further, she states that the board is restricted to the evidence and arguments presented at trial and whether the sentence was excessive. According to the petitioner, the little evidence which can be considered is reviewed by individuals whose job training was conducted solely by the prosecutor’s office which has advocated for Mr. Rogovich’s execution since 1997.</w:t>
      </w:r>
    </w:p>
    <w:p w14:paraId="3A3D8B3F" w14:textId="77777777" w:rsidR="003A18F4" w:rsidRPr="00224AA7" w:rsidRDefault="003A18F4" w:rsidP="003A18F4">
      <w:pPr>
        <w:pStyle w:val="ListParagraph"/>
        <w:rPr>
          <w:rFonts w:asciiTheme="majorHAnsi" w:hAnsiTheme="majorHAnsi"/>
          <w:color w:val="auto"/>
          <w:sz w:val="20"/>
          <w:szCs w:val="20"/>
        </w:rPr>
      </w:pPr>
    </w:p>
    <w:p w14:paraId="6613B8F1" w14:textId="77777777" w:rsidR="00F516D3" w:rsidRPr="00224AA7" w:rsidRDefault="003A18F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224AA7">
        <w:rPr>
          <w:rFonts w:asciiTheme="majorHAnsi" w:hAnsiTheme="majorHAnsi"/>
          <w:sz w:val="20"/>
          <w:szCs w:val="20"/>
        </w:rPr>
        <w:t>With regard to the requirement of exhaustion of do</w:t>
      </w:r>
      <w:r w:rsidR="00FE25F4" w:rsidRPr="00224AA7">
        <w:rPr>
          <w:rFonts w:asciiTheme="majorHAnsi" w:hAnsiTheme="majorHAnsi"/>
          <w:sz w:val="20"/>
          <w:szCs w:val="20"/>
        </w:rPr>
        <w:t>mestic remedies, the petitioner</w:t>
      </w:r>
      <w:r w:rsidRPr="00224AA7">
        <w:rPr>
          <w:rFonts w:asciiTheme="majorHAnsi" w:hAnsiTheme="majorHAnsi"/>
          <w:sz w:val="20"/>
          <w:szCs w:val="20"/>
        </w:rPr>
        <w:t xml:space="preserve"> indicate</w:t>
      </w:r>
      <w:r w:rsidR="00FE25F4" w:rsidRPr="00224AA7">
        <w:rPr>
          <w:rFonts w:asciiTheme="majorHAnsi" w:hAnsiTheme="majorHAnsi"/>
          <w:sz w:val="20"/>
          <w:szCs w:val="20"/>
        </w:rPr>
        <w:t>s</w:t>
      </w:r>
      <w:r w:rsidRPr="00224AA7">
        <w:rPr>
          <w:rFonts w:asciiTheme="majorHAnsi" w:hAnsiTheme="majorHAnsi"/>
          <w:sz w:val="20"/>
          <w:szCs w:val="20"/>
        </w:rPr>
        <w:t xml:space="preserve"> that Mr. </w:t>
      </w:r>
      <w:r w:rsidR="00414D3F" w:rsidRPr="00224AA7">
        <w:rPr>
          <w:rFonts w:asciiTheme="majorHAnsi" w:hAnsiTheme="majorHAnsi"/>
          <w:sz w:val="20"/>
          <w:szCs w:val="20"/>
        </w:rPr>
        <w:t>Rogovich’</w:t>
      </w:r>
      <w:r w:rsidRPr="00224AA7">
        <w:rPr>
          <w:rFonts w:asciiTheme="majorHAnsi" w:hAnsiTheme="majorHAnsi"/>
          <w:sz w:val="20"/>
          <w:szCs w:val="20"/>
        </w:rPr>
        <w:t xml:space="preserve">s conviction and sentence </w:t>
      </w:r>
      <w:r w:rsidR="00B5746F" w:rsidRPr="00224AA7">
        <w:rPr>
          <w:rFonts w:asciiTheme="majorHAnsi" w:hAnsiTheme="majorHAnsi"/>
          <w:sz w:val="20"/>
          <w:szCs w:val="20"/>
        </w:rPr>
        <w:t xml:space="preserve">were affirmed on direct appeal. </w:t>
      </w:r>
      <w:r w:rsidR="00B52BB8" w:rsidRPr="00224AA7">
        <w:rPr>
          <w:rFonts w:asciiTheme="majorHAnsi" w:hAnsiTheme="majorHAnsi"/>
          <w:sz w:val="20"/>
          <w:szCs w:val="20"/>
        </w:rPr>
        <w:t>A</w:t>
      </w:r>
      <w:r w:rsidR="00B5746F" w:rsidRPr="00224AA7">
        <w:rPr>
          <w:rFonts w:asciiTheme="majorHAnsi" w:hAnsiTheme="majorHAnsi"/>
          <w:sz w:val="20"/>
          <w:szCs w:val="20"/>
        </w:rPr>
        <w:t xml:space="preserve">n application for </w:t>
      </w:r>
      <w:r w:rsidR="00B5746F" w:rsidRPr="00224AA7">
        <w:rPr>
          <w:rFonts w:asciiTheme="majorHAnsi" w:hAnsiTheme="majorHAnsi"/>
          <w:i/>
          <w:sz w:val="20"/>
          <w:szCs w:val="20"/>
        </w:rPr>
        <w:t>writ of certiorari</w:t>
      </w:r>
      <w:r w:rsidR="00B5746F" w:rsidRPr="00224AA7">
        <w:rPr>
          <w:rFonts w:asciiTheme="majorHAnsi" w:hAnsiTheme="majorHAnsi"/>
          <w:sz w:val="20"/>
          <w:szCs w:val="20"/>
        </w:rPr>
        <w:t xml:space="preserve"> to the United State</w:t>
      </w:r>
      <w:r w:rsidR="007F210C" w:rsidRPr="00224AA7">
        <w:rPr>
          <w:rFonts w:asciiTheme="majorHAnsi" w:hAnsiTheme="majorHAnsi"/>
          <w:sz w:val="20"/>
          <w:szCs w:val="20"/>
        </w:rPr>
        <w:t>s</w:t>
      </w:r>
      <w:r w:rsidR="00B5746F" w:rsidRPr="00224AA7">
        <w:rPr>
          <w:rFonts w:asciiTheme="majorHAnsi" w:hAnsiTheme="majorHAnsi"/>
          <w:sz w:val="20"/>
          <w:szCs w:val="20"/>
        </w:rPr>
        <w:t xml:space="preserve"> Supreme Court</w:t>
      </w:r>
      <w:r w:rsidR="00414D3F" w:rsidRPr="00224AA7">
        <w:rPr>
          <w:rFonts w:asciiTheme="majorHAnsi" w:hAnsiTheme="majorHAnsi"/>
          <w:sz w:val="20"/>
          <w:szCs w:val="20"/>
        </w:rPr>
        <w:t xml:space="preserve"> </w:t>
      </w:r>
      <w:r w:rsidR="004A423C" w:rsidRPr="00224AA7">
        <w:rPr>
          <w:rFonts w:asciiTheme="majorHAnsi" w:hAnsiTheme="majorHAnsi"/>
          <w:sz w:val="20"/>
          <w:szCs w:val="20"/>
        </w:rPr>
        <w:t>was denied on October 8</w:t>
      </w:r>
      <w:r w:rsidR="004A423C" w:rsidRPr="00224AA7">
        <w:rPr>
          <w:rFonts w:asciiTheme="majorHAnsi" w:hAnsiTheme="majorHAnsi"/>
          <w:sz w:val="20"/>
          <w:szCs w:val="20"/>
          <w:vertAlign w:val="superscript"/>
        </w:rPr>
        <w:t>th</w:t>
      </w:r>
      <w:r w:rsidR="004A423C" w:rsidRPr="00224AA7">
        <w:rPr>
          <w:rFonts w:asciiTheme="majorHAnsi" w:hAnsiTheme="majorHAnsi"/>
          <w:sz w:val="20"/>
          <w:szCs w:val="20"/>
        </w:rPr>
        <w:t>, 200</w:t>
      </w:r>
      <w:r w:rsidR="007F210C" w:rsidRPr="00224AA7">
        <w:rPr>
          <w:rFonts w:asciiTheme="majorHAnsi" w:hAnsiTheme="majorHAnsi"/>
          <w:sz w:val="20"/>
          <w:szCs w:val="20"/>
        </w:rPr>
        <w:t>9</w:t>
      </w:r>
      <w:r w:rsidR="004A423C" w:rsidRPr="00224AA7">
        <w:rPr>
          <w:rFonts w:asciiTheme="majorHAnsi" w:hAnsiTheme="majorHAnsi"/>
          <w:sz w:val="20"/>
          <w:szCs w:val="20"/>
        </w:rPr>
        <w:t xml:space="preserve">. </w:t>
      </w:r>
      <w:r w:rsidR="00B52BB8" w:rsidRPr="00224AA7">
        <w:rPr>
          <w:rFonts w:asciiTheme="majorHAnsi" w:hAnsiTheme="majorHAnsi"/>
          <w:sz w:val="20"/>
          <w:szCs w:val="20"/>
        </w:rPr>
        <w:t>They</w:t>
      </w:r>
      <w:r w:rsidR="004A423C" w:rsidRPr="00224AA7">
        <w:rPr>
          <w:rFonts w:asciiTheme="majorHAnsi" w:hAnsiTheme="majorHAnsi"/>
          <w:sz w:val="20"/>
          <w:szCs w:val="20"/>
        </w:rPr>
        <w:t xml:space="preserve"> </w:t>
      </w:r>
      <w:r w:rsidR="00560563" w:rsidRPr="00224AA7">
        <w:rPr>
          <w:rFonts w:asciiTheme="majorHAnsi" w:hAnsiTheme="majorHAnsi"/>
          <w:sz w:val="20"/>
          <w:szCs w:val="20"/>
        </w:rPr>
        <w:t xml:space="preserve">state </w:t>
      </w:r>
      <w:r w:rsidR="00B52BB8" w:rsidRPr="00224AA7">
        <w:rPr>
          <w:rFonts w:asciiTheme="majorHAnsi" w:hAnsiTheme="majorHAnsi"/>
          <w:sz w:val="20"/>
          <w:szCs w:val="20"/>
        </w:rPr>
        <w:t>that</w:t>
      </w:r>
      <w:r w:rsidR="00D0228D" w:rsidRPr="00224AA7">
        <w:rPr>
          <w:rFonts w:asciiTheme="majorHAnsi" w:hAnsiTheme="majorHAnsi"/>
          <w:sz w:val="20"/>
          <w:szCs w:val="20"/>
        </w:rPr>
        <w:t xml:space="preserve"> </w:t>
      </w:r>
      <w:r w:rsidR="007F210C" w:rsidRPr="00224AA7">
        <w:rPr>
          <w:rFonts w:asciiTheme="majorHAnsi" w:hAnsiTheme="majorHAnsi"/>
          <w:sz w:val="20"/>
          <w:szCs w:val="20"/>
        </w:rPr>
        <w:t xml:space="preserve">post-conviction </w:t>
      </w:r>
      <w:r w:rsidR="00D0228D" w:rsidRPr="00224AA7">
        <w:rPr>
          <w:rFonts w:asciiTheme="majorHAnsi" w:hAnsiTheme="majorHAnsi"/>
          <w:sz w:val="20"/>
          <w:szCs w:val="20"/>
        </w:rPr>
        <w:t>remedies were also rejected</w:t>
      </w:r>
      <w:r w:rsidR="004A423C" w:rsidRPr="00224AA7">
        <w:rPr>
          <w:rFonts w:asciiTheme="majorHAnsi" w:hAnsiTheme="majorHAnsi"/>
          <w:sz w:val="20"/>
          <w:szCs w:val="20"/>
        </w:rPr>
        <w:t xml:space="preserve">. </w:t>
      </w:r>
      <w:r w:rsidR="00F566C6" w:rsidRPr="00224AA7">
        <w:rPr>
          <w:rFonts w:asciiTheme="majorHAnsi" w:hAnsiTheme="majorHAnsi"/>
          <w:sz w:val="20"/>
          <w:szCs w:val="20"/>
        </w:rPr>
        <w:t>O</w:t>
      </w:r>
      <w:r w:rsidR="004A423C" w:rsidRPr="00224AA7">
        <w:rPr>
          <w:rFonts w:asciiTheme="majorHAnsi" w:hAnsiTheme="majorHAnsi"/>
          <w:sz w:val="20"/>
          <w:szCs w:val="20"/>
        </w:rPr>
        <w:t>n October, 22</w:t>
      </w:r>
      <w:r w:rsidR="004A423C" w:rsidRPr="00224AA7">
        <w:rPr>
          <w:rFonts w:asciiTheme="majorHAnsi" w:hAnsiTheme="majorHAnsi"/>
          <w:sz w:val="20"/>
          <w:szCs w:val="20"/>
          <w:vertAlign w:val="superscript"/>
        </w:rPr>
        <w:t>nd</w:t>
      </w:r>
      <w:r w:rsidR="004A423C" w:rsidRPr="00224AA7">
        <w:rPr>
          <w:rFonts w:asciiTheme="majorHAnsi" w:hAnsiTheme="majorHAnsi"/>
          <w:sz w:val="20"/>
          <w:szCs w:val="20"/>
        </w:rPr>
        <w:t xml:space="preserve">, </w:t>
      </w:r>
      <w:r w:rsidR="0057276F" w:rsidRPr="00224AA7">
        <w:rPr>
          <w:rFonts w:asciiTheme="majorHAnsi" w:hAnsiTheme="majorHAnsi"/>
          <w:sz w:val="20"/>
          <w:szCs w:val="20"/>
        </w:rPr>
        <w:t xml:space="preserve">2009, Mr. Rogovich filed a motion for rehearing on </w:t>
      </w:r>
      <w:r w:rsidR="00E92E80" w:rsidRPr="00224AA7">
        <w:rPr>
          <w:rFonts w:asciiTheme="majorHAnsi" w:hAnsiTheme="majorHAnsi"/>
          <w:sz w:val="20"/>
          <w:szCs w:val="20"/>
        </w:rPr>
        <w:t>post-conviction</w:t>
      </w:r>
      <w:r w:rsidR="0057276F" w:rsidRPr="00224AA7">
        <w:rPr>
          <w:rFonts w:asciiTheme="majorHAnsi" w:hAnsiTheme="majorHAnsi"/>
          <w:sz w:val="20"/>
          <w:szCs w:val="20"/>
        </w:rPr>
        <w:t xml:space="preserve"> relief before the Maricopa County Superior Court, w</w:t>
      </w:r>
      <w:r w:rsidR="00A96D18" w:rsidRPr="00224AA7">
        <w:rPr>
          <w:rFonts w:asciiTheme="majorHAnsi" w:hAnsiTheme="majorHAnsi"/>
          <w:sz w:val="20"/>
          <w:szCs w:val="20"/>
        </w:rPr>
        <w:t xml:space="preserve">hich denied </w:t>
      </w:r>
      <w:r w:rsidR="009552DA">
        <w:rPr>
          <w:rFonts w:asciiTheme="majorHAnsi" w:hAnsiTheme="majorHAnsi"/>
          <w:sz w:val="20"/>
          <w:szCs w:val="20"/>
        </w:rPr>
        <w:t xml:space="preserve">the motion </w:t>
      </w:r>
      <w:r w:rsidR="00A96D18" w:rsidRPr="00224AA7">
        <w:rPr>
          <w:rFonts w:asciiTheme="majorHAnsi" w:hAnsiTheme="majorHAnsi"/>
          <w:sz w:val="20"/>
          <w:szCs w:val="20"/>
        </w:rPr>
        <w:t>on January 6, 2016</w:t>
      </w:r>
      <w:r w:rsidR="0057276F" w:rsidRPr="00224AA7">
        <w:rPr>
          <w:rFonts w:asciiTheme="majorHAnsi" w:hAnsiTheme="majorHAnsi"/>
          <w:sz w:val="20"/>
          <w:szCs w:val="20"/>
        </w:rPr>
        <w:t xml:space="preserve">. </w:t>
      </w:r>
      <w:r w:rsidR="00E92E80" w:rsidRPr="00224AA7">
        <w:rPr>
          <w:rFonts w:asciiTheme="majorHAnsi" w:hAnsiTheme="majorHAnsi"/>
          <w:sz w:val="20"/>
          <w:szCs w:val="20"/>
        </w:rPr>
        <w:t>The petitioner conclude</w:t>
      </w:r>
      <w:r w:rsidR="009552DA">
        <w:rPr>
          <w:rFonts w:asciiTheme="majorHAnsi" w:hAnsiTheme="majorHAnsi"/>
          <w:sz w:val="20"/>
          <w:szCs w:val="20"/>
        </w:rPr>
        <w:t>s</w:t>
      </w:r>
      <w:r w:rsidR="00E92E80" w:rsidRPr="00224AA7">
        <w:rPr>
          <w:rFonts w:asciiTheme="majorHAnsi" w:hAnsiTheme="majorHAnsi"/>
          <w:sz w:val="20"/>
          <w:szCs w:val="20"/>
        </w:rPr>
        <w:t xml:space="preserve"> that the United States has violated Articles I, II, XI, XXV, XVII, XVIII, XXIV and XXVI of the American Declaration </w:t>
      </w:r>
      <w:r w:rsidR="001C50DC" w:rsidRPr="00224AA7">
        <w:rPr>
          <w:rFonts w:asciiTheme="majorHAnsi" w:hAnsiTheme="majorHAnsi"/>
          <w:sz w:val="20"/>
          <w:szCs w:val="20"/>
        </w:rPr>
        <w:t>as well as</w:t>
      </w:r>
      <w:r w:rsidR="00E92E80" w:rsidRPr="00224AA7">
        <w:rPr>
          <w:rFonts w:asciiTheme="majorHAnsi" w:hAnsiTheme="majorHAnsi"/>
          <w:sz w:val="20"/>
          <w:szCs w:val="20"/>
        </w:rPr>
        <w:t xml:space="preserve"> Articles 6 and 7 of the International Convenant of Civil and Political Rights, Articles 1 and 16 of the Convention Against Torture and Other Cruel, Inhuman or Degrading Treatment or Punishment, and customary international law norms.</w:t>
      </w:r>
    </w:p>
    <w:p w14:paraId="1DAAD337" w14:textId="77777777" w:rsidR="00F516D3" w:rsidRPr="00224AA7"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3D759A68" w14:textId="77777777" w:rsidR="00F516D3" w:rsidRPr="00224AA7" w:rsidRDefault="00F516D3" w:rsidP="003676F1">
      <w:pPr>
        <w:pStyle w:val="Heading2"/>
        <w:numPr>
          <w:ilvl w:val="0"/>
          <w:numId w:val="57"/>
        </w:numPr>
        <w:tabs>
          <w:tab w:val="left" w:pos="360"/>
        </w:tabs>
        <w:spacing w:before="0"/>
        <w:ind w:hanging="720"/>
        <w:rPr>
          <w:color w:val="auto"/>
          <w:sz w:val="20"/>
          <w:szCs w:val="20"/>
        </w:rPr>
      </w:pPr>
      <w:bookmarkStart w:id="3" w:name="_Toc90283289"/>
      <w:r w:rsidRPr="00224AA7">
        <w:rPr>
          <w:color w:val="auto"/>
          <w:sz w:val="20"/>
          <w:szCs w:val="20"/>
        </w:rPr>
        <w:t>State</w:t>
      </w:r>
      <w:bookmarkEnd w:id="3"/>
    </w:p>
    <w:p w14:paraId="63B14ED0" w14:textId="77777777" w:rsidR="00F516D3" w:rsidRPr="00224AA7"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42962E5" w14:textId="77777777" w:rsidR="00BB6D82" w:rsidRPr="00224AA7" w:rsidRDefault="00FF7650"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w:t>
      </w:r>
      <w:r w:rsidR="001F4A4B" w:rsidRPr="00224AA7">
        <w:rPr>
          <w:rFonts w:asciiTheme="majorHAnsi" w:hAnsiTheme="majorHAnsi"/>
          <w:sz w:val="20"/>
          <w:szCs w:val="20"/>
        </w:rPr>
        <w:t>he United Stated alleges</w:t>
      </w:r>
      <w:r w:rsidR="00F516D3" w:rsidRPr="00224AA7">
        <w:rPr>
          <w:rFonts w:asciiTheme="majorHAnsi" w:hAnsiTheme="majorHAnsi"/>
          <w:sz w:val="20"/>
          <w:szCs w:val="20"/>
        </w:rPr>
        <w:t xml:space="preserve"> that the petitioner ha</w:t>
      </w:r>
      <w:r w:rsidRPr="00224AA7">
        <w:rPr>
          <w:rFonts w:asciiTheme="majorHAnsi" w:hAnsiTheme="majorHAnsi"/>
          <w:sz w:val="20"/>
          <w:szCs w:val="20"/>
        </w:rPr>
        <w:t>s</w:t>
      </w:r>
      <w:r w:rsidR="00F516D3" w:rsidRPr="00224AA7">
        <w:rPr>
          <w:rFonts w:asciiTheme="majorHAnsi" w:hAnsiTheme="majorHAnsi"/>
          <w:sz w:val="20"/>
          <w:szCs w:val="20"/>
        </w:rPr>
        <w:t xml:space="preserve"> not exhausted domestic remedies and that </w:t>
      </w:r>
      <w:r w:rsidRPr="00224AA7">
        <w:rPr>
          <w:rFonts w:asciiTheme="majorHAnsi" w:hAnsiTheme="majorHAnsi"/>
          <w:sz w:val="20"/>
          <w:szCs w:val="20"/>
        </w:rPr>
        <w:t>Mr. Rogovich</w:t>
      </w:r>
      <w:r w:rsidR="0010625B" w:rsidRPr="00224AA7">
        <w:rPr>
          <w:rFonts w:asciiTheme="majorHAnsi" w:hAnsiTheme="majorHAnsi"/>
          <w:sz w:val="20"/>
          <w:szCs w:val="20"/>
        </w:rPr>
        <w:t xml:space="preserve"> “[…]</w:t>
      </w:r>
      <w:r w:rsidR="00F516D3" w:rsidRPr="00224AA7">
        <w:rPr>
          <w:rFonts w:asciiTheme="majorHAnsi" w:hAnsiTheme="majorHAnsi"/>
          <w:sz w:val="20"/>
          <w:szCs w:val="20"/>
        </w:rPr>
        <w:t xml:space="preserve"> is engaged in active domestic litigation, is being afforded due process, has been given access to remedies, and has not experienced substantially unwarranted delays in rendering a final judgement.</w:t>
      </w:r>
      <w:r w:rsidR="0010625B" w:rsidRPr="00224AA7">
        <w:rPr>
          <w:rFonts w:asciiTheme="majorHAnsi" w:hAnsiTheme="majorHAnsi"/>
          <w:sz w:val="20"/>
          <w:szCs w:val="20"/>
        </w:rPr>
        <w:t>”</w:t>
      </w:r>
      <w:r w:rsidR="00F516D3" w:rsidRPr="00224AA7">
        <w:rPr>
          <w:rFonts w:asciiTheme="majorHAnsi" w:hAnsiTheme="majorHAnsi"/>
          <w:sz w:val="20"/>
          <w:szCs w:val="20"/>
        </w:rPr>
        <w:t xml:space="preserve"> </w:t>
      </w:r>
      <w:r w:rsidR="004B23FB" w:rsidRPr="00224AA7">
        <w:rPr>
          <w:rFonts w:asciiTheme="majorHAnsi" w:hAnsiTheme="majorHAnsi"/>
          <w:sz w:val="20"/>
          <w:szCs w:val="20"/>
        </w:rPr>
        <w:t>It also asserts that capital punishment in the United States is compatible with the right to life and does not constitute cruel, infamous, or unusual punishment. Therefore, t</w:t>
      </w:r>
      <w:r w:rsidR="00F516D3" w:rsidRPr="00224AA7">
        <w:rPr>
          <w:rFonts w:asciiTheme="majorHAnsi" w:hAnsiTheme="majorHAnsi"/>
          <w:sz w:val="20"/>
          <w:szCs w:val="20"/>
        </w:rPr>
        <w:t xml:space="preserve">he State </w:t>
      </w:r>
      <w:r w:rsidR="00F4139C" w:rsidRPr="00224AA7">
        <w:rPr>
          <w:rFonts w:asciiTheme="majorHAnsi" w:hAnsiTheme="majorHAnsi"/>
          <w:sz w:val="20"/>
          <w:szCs w:val="20"/>
        </w:rPr>
        <w:t xml:space="preserve">requests that the IACHR rule the petition inadmissible for failure to exhaust domestic remedies and </w:t>
      </w:r>
      <w:r w:rsidR="00B324F0">
        <w:rPr>
          <w:rFonts w:asciiTheme="majorHAnsi" w:hAnsiTheme="majorHAnsi"/>
          <w:sz w:val="20"/>
          <w:szCs w:val="20"/>
        </w:rPr>
        <w:t>for</w:t>
      </w:r>
      <w:r w:rsidR="00F4139C" w:rsidRPr="00224AA7">
        <w:rPr>
          <w:rFonts w:asciiTheme="majorHAnsi" w:hAnsiTheme="majorHAnsi"/>
          <w:sz w:val="20"/>
          <w:szCs w:val="20"/>
        </w:rPr>
        <w:t xml:space="preserve"> not stat</w:t>
      </w:r>
      <w:r w:rsidR="00B324F0">
        <w:rPr>
          <w:rFonts w:asciiTheme="majorHAnsi" w:hAnsiTheme="majorHAnsi"/>
          <w:sz w:val="20"/>
          <w:szCs w:val="20"/>
        </w:rPr>
        <w:t>ing</w:t>
      </w:r>
      <w:r w:rsidR="00F4139C" w:rsidRPr="00224AA7">
        <w:rPr>
          <w:rFonts w:asciiTheme="majorHAnsi" w:hAnsiTheme="majorHAnsi"/>
          <w:sz w:val="20"/>
          <w:szCs w:val="20"/>
        </w:rPr>
        <w:t xml:space="preserve"> facts that tend to establish a violation of the American Declaration. </w:t>
      </w:r>
    </w:p>
    <w:p w14:paraId="62C3C328" w14:textId="77777777" w:rsidR="00BB6D82" w:rsidRPr="00224AA7" w:rsidRDefault="00BB6D82" w:rsidP="00BB6D8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B22B8D1" w14:textId="77777777" w:rsidR="0099538C" w:rsidRPr="00224AA7" w:rsidRDefault="00F4139C" w:rsidP="00A269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The </w:t>
      </w:r>
      <w:r w:rsidR="00D66F60" w:rsidRPr="00224AA7">
        <w:rPr>
          <w:rFonts w:asciiTheme="majorHAnsi" w:hAnsiTheme="majorHAnsi"/>
          <w:sz w:val="20"/>
          <w:szCs w:val="20"/>
        </w:rPr>
        <w:t xml:space="preserve">State </w:t>
      </w:r>
      <w:r w:rsidRPr="00224AA7">
        <w:rPr>
          <w:rFonts w:asciiTheme="majorHAnsi" w:hAnsiTheme="majorHAnsi"/>
          <w:sz w:val="20"/>
          <w:szCs w:val="20"/>
        </w:rPr>
        <w:t>asserts that the petitioner introduced new claims in the additional observations on the merits not included in the original petition</w:t>
      </w:r>
      <w:r w:rsidR="00BB2AFE" w:rsidRPr="00224AA7">
        <w:rPr>
          <w:rFonts w:asciiTheme="majorHAnsi" w:hAnsiTheme="majorHAnsi"/>
          <w:sz w:val="20"/>
          <w:szCs w:val="20"/>
        </w:rPr>
        <w:t xml:space="preserve">, </w:t>
      </w:r>
      <w:r w:rsidR="009978F5" w:rsidRPr="00224AA7">
        <w:rPr>
          <w:rFonts w:asciiTheme="majorHAnsi" w:hAnsiTheme="majorHAnsi"/>
          <w:sz w:val="20"/>
          <w:szCs w:val="20"/>
        </w:rPr>
        <w:t>namely the</w:t>
      </w:r>
      <w:r w:rsidR="00B66B51" w:rsidRPr="00224AA7">
        <w:rPr>
          <w:rFonts w:asciiTheme="majorHAnsi" w:hAnsiTheme="majorHAnsi"/>
          <w:sz w:val="20"/>
          <w:szCs w:val="20"/>
        </w:rPr>
        <w:t xml:space="preserve"> claims regarding the</w:t>
      </w:r>
      <w:r w:rsidR="009978F5" w:rsidRPr="00224AA7">
        <w:rPr>
          <w:rFonts w:asciiTheme="majorHAnsi" w:hAnsiTheme="majorHAnsi"/>
          <w:sz w:val="20"/>
          <w:szCs w:val="20"/>
        </w:rPr>
        <w:t xml:space="preserve"> lethal injection, the alleged </w:t>
      </w:r>
      <w:r w:rsidR="00CC0E8C" w:rsidRPr="00224AA7">
        <w:rPr>
          <w:rFonts w:asciiTheme="majorHAnsi" w:hAnsiTheme="majorHAnsi"/>
          <w:sz w:val="20"/>
          <w:szCs w:val="20"/>
        </w:rPr>
        <w:t>lack of appropriate care for the alleged victim’s mental illness and health needs</w:t>
      </w:r>
      <w:r w:rsidR="009978F5" w:rsidRPr="00224AA7">
        <w:rPr>
          <w:rFonts w:asciiTheme="majorHAnsi" w:hAnsiTheme="majorHAnsi"/>
          <w:sz w:val="20"/>
          <w:szCs w:val="20"/>
        </w:rPr>
        <w:t>, and the</w:t>
      </w:r>
      <w:r w:rsidR="001C4ADD" w:rsidRPr="00224AA7">
        <w:rPr>
          <w:rFonts w:asciiTheme="majorHAnsi" w:hAnsiTheme="majorHAnsi"/>
          <w:sz w:val="20"/>
          <w:szCs w:val="20"/>
        </w:rPr>
        <w:t xml:space="preserve"> prolonged stay on death row</w:t>
      </w:r>
      <w:r w:rsidRPr="00224AA7">
        <w:rPr>
          <w:rFonts w:asciiTheme="majorHAnsi" w:hAnsiTheme="majorHAnsi"/>
          <w:sz w:val="20"/>
          <w:szCs w:val="20"/>
        </w:rPr>
        <w:t xml:space="preserve">. It alleges in this regard that “[a]llowing Petitioner to expand the scope of the Petition by introducing new claims at this stage challenges the integrity of the Commission’s practice of joining the admissibility and merits consideration of a petition.” </w:t>
      </w:r>
      <w:r w:rsidR="00BB6D82" w:rsidRPr="00224AA7">
        <w:rPr>
          <w:rFonts w:asciiTheme="majorHAnsi" w:hAnsiTheme="majorHAnsi"/>
          <w:sz w:val="20"/>
          <w:szCs w:val="20"/>
        </w:rPr>
        <w:t xml:space="preserve">It also claims that </w:t>
      </w:r>
      <w:r w:rsidRPr="00224AA7">
        <w:rPr>
          <w:rFonts w:asciiTheme="majorHAnsi" w:hAnsiTheme="majorHAnsi"/>
          <w:sz w:val="20"/>
          <w:szCs w:val="20"/>
        </w:rPr>
        <w:t xml:space="preserve">allowing </w:t>
      </w:r>
      <w:r w:rsidR="00BB6D82" w:rsidRPr="00224AA7">
        <w:rPr>
          <w:rFonts w:asciiTheme="majorHAnsi" w:hAnsiTheme="majorHAnsi"/>
          <w:sz w:val="20"/>
          <w:szCs w:val="20"/>
        </w:rPr>
        <w:t>it</w:t>
      </w:r>
      <w:r w:rsidRPr="00224AA7">
        <w:rPr>
          <w:rFonts w:asciiTheme="majorHAnsi" w:hAnsiTheme="majorHAnsi"/>
          <w:sz w:val="20"/>
          <w:szCs w:val="20"/>
        </w:rPr>
        <w:t xml:space="preserve"> would undermine the stated purpose of such joinder because it would require additional submissions on the admissibility of such new claims. </w:t>
      </w:r>
      <w:r w:rsidR="00F516D3" w:rsidRPr="00224AA7">
        <w:rPr>
          <w:rFonts w:asciiTheme="majorHAnsi" w:hAnsiTheme="majorHAnsi"/>
          <w:sz w:val="20"/>
          <w:szCs w:val="20"/>
        </w:rPr>
        <w:t xml:space="preserve"> </w:t>
      </w:r>
      <w:r w:rsidR="008F166D" w:rsidRPr="00224AA7">
        <w:rPr>
          <w:rFonts w:asciiTheme="majorHAnsi" w:hAnsiTheme="majorHAnsi"/>
          <w:sz w:val="20"/>
          <w:szCs w:val="20"/>
        </w:rPr>
        <w:t>Further, the State asserts that those</w:t>
      </w:r>
      <w:r w:rsidR="0099538C" w:rsidRPr="00224AA7">
        <w:rPr>
          <w:rFonts w:asciiTheme="majorHAnsi" w:hAnsiTheme="majorHAnsi"/>
          <w:sz w:val="20"/>
          <w:szCs w:val="20"/>
        </w:rPr>
        <w:t xml:space="preserve"> claims </w:t>
      </w:r>
      <w:r w:rsidR="008F166D" w:rsidRPr="00224AA7">
        <w:rPr>
          <w:rFonts w:asciiTheme="majorHAnsi" w:hAnsiTheme="majorHAnsi"/>
          <w:sz w:val="20"/>
          <w:szCs w:val="20"/>
        </w:rPr>
        <w:t>that</w:t>
      </w:r>
      <w:r w:rsidR="0099538C" w:rsidRPr="00224AA7">
        <w:rPr>
          <w:rFonts w:asciiTheme="majorHAnsi" w:hAnsiTheme="majorHAnsi"/>
          <w:sz w:val="20"/>
          <w:szCs w:val="20"/>
        </w:rPr>
        <w:t xml:space="preserve"> are based in au</w:t>
      </w:r>
      <w:r w:rsidR="008F166D" w:rsidRPr="00224AA7">
        <w:rPr>
          <w:rFonts w:asciiTheme="majorHAnsi" w:hAnsiTheme="majorHAnsi"/>
          <w:sz w:val="20"/>
          <w:szCs w:val="20"/>
        </w:rPr>
        <w:t>thorities beyond the American Declaration are inadmissible under Article 34(a) as outside the Commission’s competence.</w:t>
      </w:r>
    </w:p>
    <w:p w14:paraId="4E18D0E3" w14:textId="77777777" w:rsidR="008F166D" w:rsidRPr="00224AA7" w:rsidRDefault="008F166D" w:rsidP="008F16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9127FB0" w14:textId="77777777" w:rsidR="005A10C2" w:rsidRDefault="0008675E"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w:t>
      </w:r>
      <w:r w:rsidR="00A269C8" w:rsidRPr="00224AA7">
        <w:rPr>
          <w:rFonts w:asciiTheme="majorHAnsi" w:hAnsiTheme="majorHAnsi"/>
          <w:sz w:val="20"/>
          <w:szCs w:val="20"/>
        </w:rPr>
        <w:t>he State argue</w:t>
      </w:r>
      <w:r w:rsidR="005D2E13" w:rsidRPr="00224AA7">
        <w:rPr>
          <w:rFonts w:asciiTheme="majorHAnsi" w:hAnsiTheme="majorHAnsi"/>
          <w:sz w:val="20"/>
          <w:szCs w:val="20"/>
        </w:rPr>
        <w:t>s that its domestic legislation</w:t>
      </w:r>
      <w:r w:rsidR="00A269C8" w:rsidRPr="00224AA7">
        <w:rPr>
          <w:rFonts w:asciiTheme="majorHAnsi" w:hAnsiTheme="majorHAnsi"/>
          <w:sz w:val="20"/>
          <w:szCs w:val="20"/>
        </w:rPr>
        <w:t xml:space="preserve"> affords procedural protections that satisfy due process requirements. </w:t>
      </w:r>
      <w:r w:rsidR="00FF7650" w:rsidRPr="00224AA7">
        <w:rPr>
          <w:rFonts w:asciiTheme="majorHAnsi" w:hAnsiTheme="majorHAnsi"/>
          <w:sz w:val="20"/>
          <w:szCs w:val="20"/>
        </w:rPr>
        <w:t>It asserts that t</w:t>
      </w:r>
      <w:r w:rsidR="00AC7AC6" w:rsidRPr="00224AA7">
        <w:rPr>
          <w:rFonts w:asciiTheme="majorHAnsi" w:hAnsiTheme="majorHAnsi"/>
          <w:sz w:val="20"/>
          <w:szCs w:val="20"/>
        </w:rPr>
        <w:t>he delays experienced during proceedings before the Mar</w:t>
      </w:r>
      <w:r w:rsidR="00750E1A" w:rsidRPr="00224AA7">
        <w:rPr>
          <w:rFonts w:asciiTheme="majorHAnsi" w:hAnsiTheme="majorHAnsi"/>
          <w:sz w:val="20"/>
          <w:szCs w:val="20"/>
        </w:rPr>
        <w:t>icopa County Superior Court occurred due to changes of counsel as well as several motions by</w:t>
      </w:r>
      <w:r w:rsidR="00B324F0">
        <w:rPr>
          <w:rFonts w:asciiTheme="majorHAnsi" w:hAnsiTheme="majorHAnsi"/>
          <w:sz w:val="20"/>
          <w:szCs w:val="20"/>
        </w:rPr>
        <w:t xml:space="preserve"> the</w:t>
      </w:r>
      <w:r w:rsidR="00750E1A" w:rsidRPr="00224AA7">
        <w:rPr>
          <w:rFonts w:asciiTheme="majorHAnsi" w:hAnsiTheme="majorHAnsi"/>
          <w:sz w:val="20"/>
          <w:szCs w:val="20"/>
        </w:rPr>
        <w:t xml:space="preserve"> Petitioner to extend time for filings. </w:t>
      </w:r>
      <w:r w:rsidR="002C1F13" w:rsidRPr="00224AA7">
        <w:rPr>
          <w:rFonts w:asciiTheme="majorHAnsi" w:hAnsiTheme="majorHAnsi"/>
          <w:sz w:val="20"/>
          <w:szCs w:val="20"/>
        </w:rPr>
        <w:t>It also claims that capital punishment does not constitute cruel, infamous, or unusual punishment, and that there is no international consensus forbidding the execution of seriously mentally ill individuals who are determined not to be insane or suffering from severe mental impairment.</w:t>
      </w:r>
    </w:p>
    <w:p w14:paraId="45B95A01" w14:textId="77777777" w:rsidR="00F3633B" w:rsidRDefault="00F3633B" w:rsidP="00F3633B">
      <w:pPr>
        <w:pStyle w:val="ListParagraph"/>
        <w:rPr>
          <w:rFonts w:asciiTheme="majorHAnsi" w:hAnsiTheme="majorHAnsi"/>
          <w:sz w:val="20"/>
          <w:szCs w:val="20"/>
        </w:rPr>
      </w:pPr>
    </w:p>
    <w:p w14:paraId="72BEB4BF" w14:textId="77777777" w:rsidR="005A10C2" w:rsidRPr="00F3633B" w:rsidRDefault="005A10C2" w:rsidP="00F3633B">
      <w:pPr>
        <w:rPr>
          <w:rFonts w:asciiTheme="majorHAnsi" w:hAnsiTheme="majorHAnsi"/>
          <w:sz w:val="20"/>
          <w:szCs w:val="20"/>
        </w:rPr>
      </w:pPr>
    </w:p>
    <w:p w14:paraId="1929022B" w14:textId="77777777" w:rsidR="00A269C8" w:rsidRPr="00224AA7" w:rsidRDefault="002C1F13"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 </w:t>
      </w:r>
      <w:r w:rsidR="004B23FB" w:rsidRPr="00224AA7">
        <w:rPr>
          <w:rFonts w:asciiTheme="majorHAnsi" w:hAnsiTheme="majorHAnsi"/>
          <w:sz w:val="20"/>
          <w:szCs w:val="20"/>
        </w:rPr>
        <w:t>T</w:t>
      </w:r>
      <w:r w:rsidR="00EC437D" w:rsidRPr="00224AA7">
        <w:rPr>
          <w:rFonts w:asciiTheme="majorHAnsi" w:hAnsiTheme="majorHAnsi"/>
          <w:sz w:val="20"/>
          <w:szCs w:val="20"/>
        </w:rPr>
        <w:t xml:space="preserve">he State </w:t>
      </w:r>
      <w:r w:rsidR="00CB4C01" w:rsidRPr="00224AA7">
        <w:rPr>
          <w:rFonts w:asciiTheme="majorHAnsi" w:hAnsiTheme="majorHAnsi"/>
          <w:sz w:val="20"/>
          <w:szCs w:val="20"/>
        </w:rPr>
        <w:t xml:space="preserve">affirms that </w:t>
      </w:r>
      <w:r w:rsidR="001F4A4B" w:rsidRPr="00224AA7">
        <w:rPr>
          <w:rFonts w:asciiTheme="majorHAnsi" w:hAnsiTheme="majorHAnsi"/>
          <w:sz w:val="20"/>
          <w:szCs w:val="20"/>
        </w:rPr>
        <w:t>the alleged victim’</w:t>
      </w:r>
      <w:r w:rsidR="00D66F60" w:rsidRPr="00224AA7">
        <w:rPr>
          <w:rFonts w:asciiTheme="majorHAnsi" w:hAnsiTheme="majorHAnsi"/>
          <w:sz w:val="20"/>
          <w:szCs w:val="20"/>
        </w:rPr>
        <w:t xml:space="preserve">s legal representation during trial, appellate, and post-conviction relief proceedings </w:t>
      </w:r>
      <w:r w:rsidR="002955D3" w:rsidRPr="00224AA7">
        <w:rPr>
          <w:rFonts w:asciiTheme="majorHAnsi" w:hAnsiTheme="majorHAnsi"/>
          <w:sz w:val="20"/>
          <w:szCs w:val="20"/>
        </w:rPr>
        <w:t>me</w:t>
      </w:r>
      <w:r w:rsidR="00CB4C01" w:rsidRPr="00224AA7">
        <w:rPr>
          <w:rFonts w:asciiTheme="majorHAnsi" w:hAnsiTheme="majorHAnsi"/>
          <w:sz w:val="20"/>
          <w:szCs w:val="20"/>
        </w:rPr>
        <w:t>t</w:t>
      </w:r>
      <w:r w:rsidR="00D66F60" w:rsidRPr="00224AA7">
        <w:rPr>
          <w:rFonts w:asciiTheme="majorHAnsi" w:hAnsiTheme="majorHAnsi"/>
          <w:sz w:val="20"/>
          <w:szCs w:val="20"/>
        </w:rPr>
        <w:t xml:space="preserve"> constitutional</w:t>
      </w:r>
      <w:r w:rsidR="00CB4C01" w:rsidRPr="00224AA7">
        <w:rPr>
          <w:rFonts w:asciiTheme="majorHAnsi" w:hAnsiTheme="majorHAnsi"/>
          <w:sz w:val="20"/>
          <w:szCs w:val="20"/>
        </w:rPr>
        <w:t xml:space="preserve"> standards of competence. </w:t>
      </w:r>
      <w:r w:rsidR="002955D3" w:rsidRPr="00224AA7">
        <w:rPr>
          <w:rFonts w:asciiTheme="majorHAnsi" w:hAnsiTheme="majorHAnsi"/>
          <w:sz w:val="20"/>
          <w:szCs w:val="20"/>
        </w:rPr>
        <w:t xml:space="preserve">It points </w:t>
      </w:r>
      <w:r w:rsidR="004B23FB" w:rsidRPr="00224AA7">
        <w:rPr>
          <w:rFonts w:asciiTheme="majorHAnsi" w:hAnsiTheme="majorHAnsi"/>
          <w:sz w:val="20"/>
          <w:szCs w:val="20"/>
        </w:rPr>
        <w:t xml:space="preserve">out </w:t>
      </w:r>
      <w:r w:rsidR="002955D3" w:rsidRPr="00224AA7">
        <w:rPr>
          <w:rFonts w:asciiTheme="majorHAnsi" w:hAnsiTheme="majorHAnsi"/>
          <w:sz w:val="20"/>
          <w:szCs w:val="20"/>
        </w:rPr>
        <w:t xml:space="preserve">that defense counsel was not required to obtain affirmative consent from </w:t>
      </w:r>
      <w:r w:rsidR="004262BB">
        <w:rPr>
          <w:rFonts w:asciiTheme="majorHAnsi" w:hAnsiTheme="majorHAnsi"/>
          <w:sz w:val="20"/>
          <w:szCs w:val="20"/>
        </w:rPr>
        <w:t xml:space="preserve">the </w:t>
      </w:r>
      <w:r w:rsidR="002955D3" w:rsidRPr="00224AA7">
        <w:rPr>
          <w:rFonts w:asciiTheme="majorHAnsi" w:hAnsiTheme="majorHAnsi"/>
          <w:sz w:val="20"/>
          <w:szCs w:val="20"/>
        </w:rPr>
        <w:t xml:space="preserve">client related to strategic decisions, such as presenting an insanity defense at trial and </w:t>
      </w:r>
      <w:r w:rsidR="00EC7C31" w:rsidRPr="00224AA7">
        <w:rPr>
          <w:rFonts w:asciiTheme="majorHAnsi" w:hAnsiTheme="majorHAnsi"/>
          <w:sz w:val="20"/>
          <w:szCs w:val="20"/>
        </w:rPr>
        <w:t xml:space="preserve">excluding him from jury selection. </w:t>
      </w:r>
      <w:r w:rsidR="009A700D" w:rsidRPr="00224AA7">
        <w:rPr>
          <w:rFonts w:asciiTheme="majorHAnsi" w:hAnsiTheme="majorHAnsi"/>
          <w:sz w:val="20"/>
          <w:szCs w:val="20"/>
        </w:rPr>
        <w:t>Regarding the</w:t>
      </w:r>
      <w:r w:rsidR="00D66F60" w:rsidRPr="00224AA7">
        <w:rPr>
          <w:rFonts w:asciiTheme="majorHAnsi" w:hAnsiTheme="majorHAnsi"/>
          <w:sz w:val="20"/>
          <w:szCs w:val="20"/>
        </w:rPr>
        <w:t xml:space="preserve"> claim</w:t>
      </w:r>
      <w:r w:rsidR="009A700D" w:rsidRPr="00224AA7">
        <w:rPr>
          <w:rFonts w:asciiTheme="majorHAnsi" w:hAnsiTheme="majorHAnsi"/>
          <w:sz w:val="20"/>
          <w:szCs w:val="20"/>
        </w:rPr>
        <w:t>s</w:t>
      </w:r>
      <w:r w:rsidR="00D66F60" w:rsidRPr="00224AA7">
        <w:rPr>
          <w:rFonts w:asciiTheme="majorHAnsi" w:hAnsiTheme="majorHAnsi"/>
          <w:sz w:val="20"/>
          <w:szCs w:val="20"/>
        </w:rPr>
        <w:t xml:space="preserve"> that trial counsel violated Mr. Rogovich’s rights by presenting an insanity defense at trial without his affirmative consent and by excluding him from jury selection</w:t>
      </w:r>
      <w:r w:rsidR="009A700D" w:rsidRPr="00224AA7">
        <w:rPr>
          <w:rFonts w:asciiTheme="majorHAnsi" w:hAnsiTheme="majorHAnsi"/>
          <w:sz w:val="20"/>
          <w:szCs w:val="20"/>
        </w:rPr>
        <w:t>, the State alleges that the allegations</w:t>
      </w:r>
      <w:r w:rsidR="00D66F60" w:rsidRPr="00224AA7">
        <w:rPr>
          <w:rFonts w:asciiTheme="majorHAnsi" w:hAnsiTheme="majorHAnsi"/>
          <w:sz w:val="20"/>
          <w:szCs w:val="20"/>
        </w:rPr>
        <w:t xml:space="preserve"> are contradictory with the </w:t>
      </w:r>
      <w:r w:rsidR="009A700D" w:rsidRPr="00224AA7">
        <w:rPr>
          <w:rFonts w:asciiTheme="majorHAnsi" w:hAnsiTheme="majorHAnsi"/>
          <w:sz w:val="20"/>
          <w:szCs w:val="20"/>
        </w:rPr>
        <w:t>claim</w:t>
      </w:r>
      <w:r w:rsidR="00D66F60" w:rsidRPr="00224AA7">
        <w:rPr>
          <w:rFonts w:asciiTheme="majorHAnsi" w:hAnsiTheme="majorHAnsi"/>
          <w:sz w:val="20"/>
          <w:szCs w:val="20"/>
        </w:rPr>
        <w:t xml:space="preserve"> of severe mental illness. </w:t>
      </w:r>
      <w:r w:rsidR="009A700D" w:rsidRPr="00224AA7">
        <w:rPr>
          <w:rFonts w:asciiTheme="majorHAnsi" w:hAnsiTheme="majorHAnsi"/>
          <w:sz w:val="20"/>
          <w:szCs w:val="20"/>
        </w:rPr>
        <w:t>According to the State, if petitioner’s statement about Mr. Rogovich’s mental state were true, they are difficult to reconcile with the assertions about his ability to knowingly, willingly, or intelligently consent to such a defense.</w:t>
      </w:r>
    </w:p>
    <w:p w14:paraId="5544EBFC" w14:textId="77777777" w:rsidR="000A393C" w:rsidRPr="00224AA7" w:rsidRDefault="000A393C" w:rsidP="000A393C">
      <w:pPr>
        <w:pStyle w:val="ListParagraph"/>
        <w:rPr>
          <w:rFonts w:asciiTheme="majorHAnsi" w:hAnsiTheme="majorHAnsi"/>
          <w:sz w:val="20"/>
          <w:szCs w:val="20"/>
        </w:rPr>
      </w:pPr>
    </w:p>
    <w:p w14:paraId="501DFD82" w14:textId="77777777" w:rsidR="000A393C" w:rsidRPr="00224AA7" w:rsidRDefault="000A393C"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Regarding Mr. Rogovich’s mental competenc</w:t>
      </w:r>
      <w:r w:rsidR="004262BB">
        <w:rPr>
          <w:rFonts w:asciiTheme="majorHAnsi" w:hAnsiTheme="majorHAnsi"/>
          <w:sz w:val="20"/>
          <w:szCs w:val="20"/>
        </w:rPr>
        <w:t>e</w:t>
      </w:r>
      <w:r w:rsidRPr="00224AA7">
        <w:rPr>
          <w:rFonts w:asciiTheme="majorHAnsi" w:hAnsiTheme="majorHAnsi"/>
          <w:sz w:val="20"/>
          <w:szCs w:val="20"/>
        </w:rPr>
        <w:t xml:space="preserve">, the State claims that, during trial, four mental health experts </w:t>
      </w:r>
      <w:r w:rsidR="0010625B" w:rsidRPr="00224AA7">
        <w:rPr>
          <w:rFonts w:asciiTheme="majorHAnsi" w:hAnsiTheme="majorHAnsi"/>
          <w:sz w:val="20"/>
          <w:szCs w:val="20"/>
        </w:rPr>
        <w:t xml:space="preserve">considered his case; two found </w:t>
      </w:r>
      <w:r w:rsidRPr="00224AA7">
        <w:rPr>
          <w:rFonts w:asciiTheme="majorHAnsi" w:hAnsiTheme="majorHAnsi"/>
          <w:sz w:val="20"/>
          <w:szCs w:val="20"/>
        </w:rPr>
        <w:t xml:space="preserve">he might suffer from psychosis while two others found his behavior was the result of a personality disorder, not mental illness, or even just the result of drug intoxication. According to the State, given the ineffectiveness of these efforts, counsel’s decision not to raise more evidence of the alleged mental illness was far from unreasonable. Therefore, the State concludes that counsel should not be found to have rendered ineffective assistance for failing to raise issues that would not </w:t>
      </w:r>
      <w:r w:rsidR="004262BB">
        <w:rPr>
          <w:rFonts w:asciiTheme="majorHAnsi" w:hAnsiTheme="majorHAnsi"/>
          <w:sz w:val="20"/>
          <w:szCs w:val="20"/>
        </w:rPr>
        <w:t xml:space="preserve">have </w:t>
      </w:r>
      <w:r w:rsidRPr="00224AA7">
        <w:rPr>
          <w:rFonts w:asciiTheme="majorHAnsi" w:hAnsiTheme="majorHAnsi"/>
          <w:sz w:val="20"/>
          <w:szCs w:val="20"/>
        </w:rPr>
        <w:t xml:space="preserve">reasonably affect the outcome of the case. </w:t>
      </w:r>
    </w:p>
    <w:p w14:paraId="299351B3" w14:textId="77777777" w:rsidR="006E0FB2" w:rsidRPr="00224AA7" w:rsidRDefault="006E0FB2" w:rsidP="006E0FB2">
      <w:pPr>
        <w:pStyle w:val="ListParagraph"/>
        <w:rPr>
          <w:rFonts w:asciiTheme="majorHAnsi" w:hAnsiTheme="majorHAnsi"/>
          <w:sz w:val="20"/>
          <w:szCs w:val="20"/>
        </w:rPr>
      </w:pPr>
    </w:p>
    <w:p w14:paraId="13B201F8" w14:textId="77777777" w:rsidR="00D52C14" w:rsidRPr="00224AA7" w:rsidRDefault="006E0FB2" w:rsidP="001F4A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The State asserts that the use of lethal injection in this case does not constitute </w:t>
      </w:r>
      <w:r w:rsidR="00D81C90" w:rsidRPr="00224AA7">
        <w:rPr>
          <w:rFonts w:asciiTheme="majorHAnsi" w:hAnsiTheme="majorHAnsi"/>
          <w:sz w:val="20"/>
          <w:szCs w:val="20"/>
        </w:rPr>
        <w:t>cruel, infamous or unusual punishment, because the State of Arizona has sought to ensure</w:t>
      </w:r>
      <w:r w:rsidR="0014445A" w:rsidRPr="00224AA7">
        <w:rPr>
          <w:rFonts w:asciiTheme="majorHAnsi" w:hAnsiTheme="majorHAnsi"/>
          <w:sz w:val="20"/>
          <w:szCs w:val="20"/>
        </w:rPr>
        <w:t xml:space="preserve"> that</w:t>
      </w:r>
      <w:r w:rsidR="00D81C90" w:rsidRPr="00224AA7">
        <w:rPr>
          <w:rFonts w:asciiTheme="majorHAnsi" w:hAnsiTheme="majorHAnsi"/>
          <w:sz w:val="20"/>
          <w:szCs w:val="20"/>
        </w:rPr>
        <w:t xml:space="preserve"> lethal injections </w:t>
      </w:r>
      <w:r w:rsidR="0014445A" w:rsidRPr="00224AA7">
        <w:rPr>
          <w:rFonts w:asciiTheme="majorHAnsi" w:hAnsiTheme="majorHAnsi"/>
          <w:sz w:val="20"/>
          <w:szCs w:val="20"/>
        </w:rPr>
        <w:t>are</w:t>
      </w:r>
      <w:r w:rsidR="00D81C90" w:rsidRPr="00224AA7">
        <w:rPr>
          <w:rFonts w:asciiTheme="majorHAnsi" w:hAnsiTheme="majorHAnsi"/>
          <w:sz w:val="20"/>
          <w:szCs w:val="20"/>
        </w:rPr>
        <w:t xml:space="preserve"> administered as humanely as possible. </w:t>
      </w:r>
      <w:r w:rsidR="00A21BFD" w:rsidRPr="00224AA7">
        <w:rPr>
          <w:rFonts w:asciiTheme="majorHAnsi" w:hAnsiTheme="majorHAnsi"/>
          <w:sz w:val="20"/>
          <w:szCs w:val="20"/>
        </w:rPr>
        <w:t xml:space="preserve">It also alleges that, when lengthy delays between initial sentencing and execution are caused by a capital prisoner’s use of the many avenues open to him for appeal, he cannot then credibly claim that that delay itself amounted to cruel, infamous, or unusual punishment. </w:t>
      </w:r>
    </w:p>
    <w:p w14:paraId="2F023494" w14:textId="77777777" w:rsidR="00D52C14" w:rsidRPr="00224AA7" w:rsidRDefault="00D52C14" w:rsidP="00D52C14">
      <w:pPr>
        <w:pStyle w:val="ListParagraph"/>
        <w:rPr>
          <w:rFonts w:asciiTheme="majorHAnsi" w:hAnsiTheme="majorHAnsi"/>
          <w:sz w:val="20"/>
          <w:szCs w:val="20"/>
        </w:rPr>
      </w:pPr>
    </w:p>
    <w:p w14:paraId="02A7CF10" w14:textId="77777777" w:rsidR="00707A5C" w:rsidRPr="00224AA7" w:rsidRDefault="00A21BFD" w:rsidP="001F4A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Further, the United States affirms that solitary confinement does not necessarily violate prisoners’ due process rights and, citing the IACHR, indicates that prison conditions should be determined on a case-by-case basis in light of prisoner’s physical and mental condition and other personal circumstances. </w:t>
      </w:r>
      <w:r w:rsidR="00D52C14" w:rsidRPr="00224AA7">
        <w:rPr>
          <w:rFonts w:asciiTheme="majorHAnsi" w:hAnsiTheme="majorHAnsi"/>
          <w:sz w:val="20"/>
          <w:szCs w:val="20"/>
        </w:rPr>
        <w:t>According to the State, Mr. Rogovich “has no incentive to respect other inmates’ physical safety, as ther</w:t>
      </w:r>
      <w:r w:rsidR="00976295" w:rsidRPr="00224AA7">
        <w:rPr>
          <w:rFonts w:asciiTheme="majorHAnsi" w:hAnsiTheme="majorHAnsi"/>
          <w:sz w:val="20"/>
          <w:szCs w:val="20"/>
        </w:rPr>
        <w:t>e</w:t>
      </w:r>
      <w:r w:rsidR="00D52C14" w:rsidRPr="00224AA7">
        <w:rPr>
          <w:rFonts w:asciiTheme="majorHAnsi" w:hAnsiTheme="majorHAnsi"/>
          <w:sz w:val="20"/>
          <w:szCs w:val="20"/>
        </w:rPr>
        <w:t xml:space="preserve"> is no realistic possibility that he will receive a reduced sentence in exchange for good behavior.” </w:t>
      </w:r>
      <w:r w:rsidR="00707A5C" w:rsidRPr="00224AA7">
        <w:rPr>
          <w:rFonts w:asciiTheme="majorHAnsi" w:hAnsiTheme="majorHAnsi"/>
          <w:sz w:val="20"/>
          <w:szCs w:val="20"/>
        </w:rPr>
        <w:t xml:space="preserve">In addition, it alleges that </w:t>
      </w:r>
      <w:r w:rsidR="004262BB">
        <w:rPr>
          <w:rFonts w:asciiTheme="majorHAnsi" w:hAnsiTheme="majorHAnsi"/>
          <w:sz w:val="20"/>
          <w:szCs w:val="20"/>
        </w:rPr>
        <w:t xml:space="preserve">the </w:t>
      </w:r>
      <w:r w:rsidR="00707A5C" w:rsidRPr="00224AA7">
        <w:rPr>
          <w:rFonts w:asciiTheme="majorHAnsi" w:hAnsiTheme="majorHAnsi"/>
          <w:sz w:val="20"/>
          <w:szCs w:val="20"/>
        </w:rPr>
        <w:t>petitioner submits no evidence regarding the alleged negative psychological or physical effects the alleged victim has suffered due to his incarceration. The State</w:t>
      </w:r>
      <w:r w:rsidR="00D52C14" w:rsidRPr="00224AA7">
        <w:rPr>
          <w:rFonts w:asciiTheme="majorHAnsi" w:hAnsiTheme="majorHAnsi"/>
          <w:sz w:val="20"/>
          <w:szCs w:val="20"/>
        </w:rPr>
        <w:t xml:space="preserve"> concludes that </w:t>
      </w:r>
      <w:r w:rsidR="00570699" w:rsidRPr="00224AA7">
        <w:rPr>
          <w:rFonts w:asciiTheme="majorHAnsi" w:hAnsiTheme="majorHAnsi"/>
          <w:sz w:val="20"/>
          <w:szCs w:val="20"/>
        </w:rPr>
        <w:t xml:space="preserve">prison conditions </w:t>
      </w:r>
      <w:r w:rsidR="00CC72FB" w:rsidRPr="00224AA7">
        <w:rPr>
          <w:rFonts w:asciiTheme="majorHAnsi" w:hAnsiTheme="majorHAnsi"/>
          <w:sz w:val="20"/>
          <w:szCs w:val="20"/>
        </w:rPr>
        <w:t xml:space="preserve">were adequate to protect the alleged victim himself, guards and other inmates. </w:t>
      </w:r>
    </w:p>
    <w:p w14:paraId="7ABF3C40" w14:textId="77777777" w:rsidR="00707A5C" w:rsidRPr="00224AA7" w:rsidRDefault="00707A5C" w:rsidP="00707A5C">
      <w:pPr>
        <w:pStyle w:val="ListParagraph"/>
        <w:rPr>
          <w:rFonts w:asciiTheme="majorHAnsi" w:hAnsiTheme="majorHAnsi"/>
          <w:sz w:val="20"/>
          <w:szCs w:val="20"/>
        </w:rPr>
      </w:pPr>
    </w:p>
    <w:p w14:paraId="1577603C" w14:textId="77777777" w:rsidR="001F4A4B" w:rsidRPr="00224AA7" w:rsidRDefault="00707A5C" w:rsidP="001F4A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Finally, </w:t>
      </w:r>
      <w:r w:rsidR="005B0C41" w:rsidRPr="00224AA7">
        <w:rPr>
          <w:rFonts w:asciiTheme="majorHAnsi" w:hAnsiTheme="majorHAnsi"/>
          <w:sz w:val="20"/>
          <w:szCs w:val="20"/>
        </w:rPr>
        <w:t>the State claims that access to clemency proceedings is not a due process right included in the American Declaration and that international and U.S. law do not gran</w:t>
      </w:r>
      <w:r w:rsidR="0010625B" w:rsidRPr="00224AA7">
        <w:rPr>
          <w:rFonts w:asciiTheme="majorHAnsi" w:hAnsiTheme="majorHAnsi"/>
          <w:sz w:val="20"/>
          <w:szCs w:val="20"/>
        </w:rPr>
        <w:t>t</w:t>
      </w:r>
      <w:r w:rsidR="005B0C41" w:rsidRPr="00224AA7">
        <w:rPr>
          <w:rFonts w:asciiTheme="majorHAnsi" w:hAnsiTheme="majorHAnsi"/>
          <w:sz w:val="20"/>
          <w:szCs w:val="20"/>
        </w:rPr>
        <w:t xml:space="preserve"> prisoners a right to clemency proceedings.</w:t>
      </w:r>
      <w:r w:rsidR="00BF65BD" w:rsidRPr="00224AA7">
        <w:rPr>
          <w:rFonts w:asciiTheme="majorHAnsi" w:hAnsiTheme="majorHAnsi"/>
          <w:sz w:val="20"/>
          <w:szCs w:val="20"/>
        </w:rPr>
        <w:t xml:space="preserve"> These proceedings, according to the State, are not judicial proceedings to which due process protections can apply but instead involve an exercise of the discretionary power of the executive that is not subject to judicial review. The State asserts that, although it is not required to do so by international or U.S. law, Arizona affords prisoners a robust clemency process and that</w:t>
      </w:r>
      <w:r w:rsidR="00E07187" w:rsidRPr="00224AA7">
        <w:rPr>
          <w:rFonts w:asciiTheme="majorHAnsi" w:hAnsiTheme="majorHAnsi"/>
          <w:sz w:val="20"/>
          <w:szCs w:val="20"/>
        </w:rPr>
        <w:t xml:space="preserve"> </w:t>
      </w:r>
      <w:r w:rsidR="00C21EFD" w:rsidRPr="00224AA7">
        <w:rPr>
          <w:rFonts w:asciiTheme="majorHAnsi" w:hAnsiTheme="majorHAnsi"/>
          <w:sz w:val="20"/>
          <w:szCs w:val="20"/>
        </w:rPr>
        <w:t xml:space="preserve">its </w:t>
      </w:r>
      <w:r w:rsidR="00BF65BD" w:rsidRPr="00224AA7">
        <w:rPr>
          <w:rFonts w:asciiTheme="majorHAnsi" w:hAnsiTheme="majorHAnsi"/>
          <w:sz w:val="20"/>
          <w:szCs w:val="20"/>
        </w:rPr>
        <w:t xml:space="preserve">Board </w:t>
      </w:r>
      <w:r w:rsidR="00C21EFD" w:rsidRPr="00224AA7">
        <w:rPr>
          <w:rFonts w:asciiTheme="majorHAnsi" w:hAnsiTheme="majorHAnsi"/>
          <w:sz w:val="20"/>
          <w:szCs w:val="20"/>
        </w:rPr>
        <w:t xml:space="preserve">members have been trained to properly examine </w:t>
      </w:r>
      <w:r w:rsidR="001F4A4B" w:rsidRPr="00224AA7">
        <w:rPr>
          <w:rFonts w:asciiTheme="majorHAnsi" w:hAnsiTheme="majorHAnsi"/>
          <w:sz w:val="20"/>
          <w:szCs w:val="20"/>
        </w:rPr>
        <w:t>prisoners’</w:t>
      </w:r>
      <w:r w:rsidR="00C21EFD" w:rsidRPr="00224AA7">
        <w:rPr>
          <w:rFonts w:asciiTheme="majorHAnsi" w:hAnsiTheme="majorHAnsi"/>
          <w:sz w:val="20"/>
          <w:szCs w:val="20"/>
        </w:rPr>
        <w:t xml:space="preserve"> trial and sentencing proceedings. </w:t>
      </w:r>
    </w:p>
    <w:p w14:paraId="1FB3A774" w14:textId="77777777" w:rsidR="00E961D0" w:rsidRPr="00224AA7" w:rsidRDefault="00E961D0" w:rsidP="00E961D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4A2BD5D2" w14:textId="77777777" w:rsidR="00A473E3" w:rsidRPr="00224AA7" w:rsidRDefault="00F516D3" w:rsidP="0081365E">
      <w:pPr>
        <w:pStyle w:val="Heading1"/>
        <w:tabs>
          <w:tab w:val="left" w:pos="360"/>
        </w:tabs>
        <w:spacing w:before="0"/>
        <w:ind w:hanging="720"/>
        <w:rPr>
          <w:color w:val="auto"/>
          <w:sz w:val="20"/>
          <w:szCs w:val="20"/>
        </w:rPr>
      </w:pPr>
      <w:bookmarkStart w:id="4" w:name="_Toc90283290"/>
      <w:r w:rsidRPr="00224AA7">
        <w:rPr>
          <w:color w:val="auto"/>
          <w:sz w:val="20"/>
          <w:szCs w:val="20"/>
        </w:rPr>
        <w:t>ADMISSIBILITY</w:t>
      </w:r>
      <w:bookmarkEnd w:id="4"/>
      <w:r w:rsidR="0081365E" w:rsidRPr="00224AA7">
        <w:rPr>
          <w:sz w:val="20"/>
          <w:szCs w:val="20"/>
        </w:rPr>
        <w:tab/>
      </w:r>
    </w:p>
    <w:p w14:paraId="0EB6BA79" w14:textId="77777777" w:rsidR="00F516D3" w:rsidRPr="00224AA7" w:rsidRDefault="00F516D3" w:rsidP="00F516D3">
      <w:pPr>
        <w:rPr>
          <w:rFonts w:asciiTheme="majorHAnsi" w:hAnsiTheme="majorHAnsi"/>
          <w:sz w:val="20"/>
          <w:szCs w:val="20"/>
        </w:rPr>
      </w:pPr>
    </w:p>
    <w:p w14:paraId="131C7DFD" w14:textId="77777777" w:rsidR="00F516D3" w:rsidRPr="00224AA7" w:rsidRDefault="00F516D3" w:rsidP="001D75F2">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90283291"/>
      <w:bookmarkStart w:id="7" w:name="_Toc6349142"/>
      <w:r w:rsidRPr="00224AA7">
        <w:rPr>
          <w:rFonts w:cs="Times New Roman"/>
          <w:color w:val="auto"/>
          <w:sz w:val="20"/>
          <w:szCs w:val="20"/>
        </w:rPr>
        <w:t xml:space="preserve">Competence, duplication of procedures and international </w:t>
      </w:r>
      <w:r w:rsidRPr="00224AA7">
        <w:rPr>
          <w:rFonts w:cs="Times New Roman"/>
          <w:i/>
          <w:color w:val="auto"/>
          <w:sz w:val="20"/>
          <w:szCs w:val="20"/>
        </w:rPr>
        <w:t>res judicata</w:t>
      </w:r>
      <w:bookmarkEnd w:id="5"/>
      <w:bookmarkEnd w:id="6"/>
      <w:r w:rsidRPr="00224AA7">
        <w:rPr>
          <w:rFonts w:cs="Times New Roman"/>
          <w:color w:val="auto"/>
          <w:sz w:val="20"/>
          <w:szCs w:val="20"/>
        </w:rPr>
        <w:t xml:space="preserve"> </w:t>
      </w:r>
      <w:bookmarkEnd w:id="7"/>
    </w:p>
    <w:p w14:paraId="471A1812" w14:textId="77777777" w:rsidR="00947B86" w:rsidRPr="00224AA7" w:rsidRDefault="00947B86" w:rsidP="00947B86">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224AA7" w14:paraId="009FA364" w14:textId="77777777" w:rsidTr="00E32626">
        <w:trPr>
          <w:cantSplit/>
        </w:trPr>
        <w:tc>
          <w:tcPr>
            <w:tcW w:w="3600" w:type="dxa"/>
            <w:tcBorders>
              <w:top w:val="single" w:sz="4" w:space="0" w:color="auto"/>
              <w:bottom w:val="single" w:sz="6" w:space="0" w:color="auto"/>
            </w:tcBorders>
            <w:shd w:val="clear" w:color="auto" w:fill="67AE3C"/>
            <w:vAlign w:val="center"/>
          </w:tcPr>
          <w:p w14:paraId="4F1A371D" w14:textId="77777777" w:rsidR="00947B86" w:rsidRPr="00224AA7" w:rsidRDefault="00947B86" w:rsidP="00E15217">
            <w:pPr>
              <w:jc w:val="center"/>
              <w:rPr>
                <w:rFonts w:asciiTheme="majorHAnsi" w:hAnsiTheme="majorHAnsi"/>
                <w:b/>
                <w:bCs/>
                <w:i/>
                <w:color w:val="FFFFFF" w:themeColor="background1"/>
                <w:sz w:val="20"/>
                <w:szCs w:val="20"/>
              </w:rPr>
            </w:pPr>
            <w:r w:rsidRPr="00224AA7">
              <w:rPr>
                <w:rFonts w:asciiTheme="majorHAnsi" w:hAnsiTheme="majorHAnsi"/>
                <w:b/>
                <w:bCs/>
                <w:color w:val="FFFFFF" w:themeColor="background1"/>
                <w:sz w:val="20"/>
                <w:szCs w:val="20"/>
              </w:rPr>
              <w:t>Competence</w:t>
            </w:r>
            <w:r w:rsidRPr="00224AA7">
              <w:rPr>
                <w:rFonts w:asciiTheme="majorHAnsi" w:hAnsiTheme="majorHAnsi"/>
                <w:b/>
                <w:bCs/>
                <w:i/>
                <w:color w:val="FFFFFF" w:themeColor="background1"/>
                <w:sz w:val="20"/>
                <w:szCs w:val="20"/>
              </w:rPr>
              <w:t xml:space="preserve"> Ratione personae:</w:t>
            </w:r>
          </w:p>
        </w:tc>
        <w:tc>
          <w:tcPr>
            <w:tcW w:w="5760" w:type="dxa"/>
            <w:vAlign w:val="center"/>
          </w:tcPr>
          <w:p w14:paraId="3BC145CD" w14:textId="77777777" w:rsidR="00947B86" w:rsidRPr="00224AA7" w:rsidRDefault="00947B86" w:rsidP="00E15217">
            <w:pPr>
              <w:rPr>
                <w:rFonts w:asciiTheme="majorHAnsi" w:hAnsiTheme="majorHAnsi"/>
                <w:bCs/>
                <w:sz w:val="20"/>
                <w:szCs w:val="20"/>
              </w:rPr>
            </w:pPr>
            <w:r w:rsidRPr="00224AA7">
              <w:rPr>
                <w:rFonts w:asciiTheme="majorHAnsi" w:hAnsiTheme="majorHAnsi"/>
                <w:bCs/>
                <w:sz w:val="20"/>
                <w:szCs w:val="20"/>
              </w:rPr>
              <w:t>Yes</w:t>
            </w:r>
          </w:p>
        </w:tc>
      </w:tr>
      <w:tr w:rsidR="00947B86" w:rsidRPr="00224AA7" w14:paraId="6F1E47DD" w14:textId="77777777" w:rsidTr="00E32626">
        <w:trPr>
          <w:cantSplit/>
        </w:trPr>
        <w:tc>
          <w:tcPr>
            <w:tcW w:w="3600" w:type="dxa"/>
            <w:tcBorders>
              <w:top w:val="single" w:sz="6" w:space="0" w:color="auto"/>
              <w:bottom w:val="single" w:sz="6" w:space="0" w:color="auto"/>
            </w:tcBorders>
            <w:shd w:val="clear" w:color="auto" w:fill="67AE3C"/>
            <w:vAlign w:val="center"/>
          </w:tcPr>
          <w:p w14:paraId="074BE59C" w14:textId="77777777" w:rsidR="00947B86" w:rsidRPr="00224AA7" w:rsidRDefault="00947B86" w:rsidP="00E15217">
            <w:pPr>
              <w:jc w:val="center"/>
              <w:rPr>
                <w:rFonts w:asciiTheme="majorHAnsi" w:hAnsiTheme="majorHAnsi"/>
                <w:b/>
                <w:bCs/>
                <w:color w:val="FFFFFF" w:themeColor="background1"/>
                <w:sz w:val="20"/>
                <w:szCs w:val="20"/>
              </w:rPr>
            </w:pPr>
            <w:r w:rsidRPr="00224AA7">
              <w:rPr>
                <w:rFonts w:asciiTheme="majorHAnsi" w:hAnsiTheme="majorHAnsi"/>
                <w:b/>
                <w:bCs/>
                <w:color w:val="FFFFFF" w:themeColor="background1"/>
                <w:sz w:val="20"/>
                <w:szCs w:val="20"/>
              </w:rPr>
              <w:t>Competence</w:t>
            </w:r>
            <w:r w:rsidRPr="00224AA7">
              <w:rPr>
                <w:rFonts w:asciiTheme="majorHAnsi" w:hAnsiTheme="majorHAnsi"/>
                <w:b/>
                <w:bCs/>
                <w:i/>
                <w:color w:val="FFFFFF" w:themeColor="background1"/>
                <w:sz w:val="20"/>
                <w:szCs w:val="20"/>
              </w:rPr>
              <w:t xml:space="preserve"> Ratione loci</w:t>
            </w:r>
            <w:r w:rsidRPr="00224AA7">
              <w:rPr>
                <w:rFonts w:asciiTheme="majorHAnsi" w:hAnsiTheme="majorHAnsi"/>
                <w:b/>
                <w:bCs/>
                <w:color w:val="FFFFFF" w:themeColor="background1"/>
                <w:sz w:val="20"/>
                <w:szCs w:val="20"/>
              </w:rPr>
              <w:t>:</w:t>
            </w:r>
          </w:p>
        </w:tc>
        <w:tc>
          <w:tcPr>
            <w:tcW w:w="5760" w:type="dxa"/>
            <w:vAlign w:val="center"/>
          </w:tcPr>
          <w:p w14:paraId="05B44095" w14:textId="77777777" w:rsidR="00947B86" w:rsidRPr="00224AA7" w:rsidRDefault="00947B86" w:rsidP="00E15217">
            <w:pPr>
              <w:rPr>
                <w:rFonts w:asciiTheme="majorHAnsi" w:hAnsiTheme="majorHAnsi"/>
                <w:bCs/>
                <w:sz w:val="20"/>
                <w:szCs w:val="20"/>
              </w:rPr>
            </w:pPr>
            <w:r w:rsidRPr="00224AA7">
              <w:rPr>
                <w:rFonts w:asciiTheme="majorHAnsi" w:hAnsiTheme="majorHAnsi"/>
                <w:bCs/>
                <w:sz w:val="20"/>
                <w:szCs w:val="20"/>
              </w:rPr>
              <w:t>Yes</w:t>
            </w:r>
          </w:p>
        </w:tc>
      </w:tr>
      <w:tr w:rsidR="00947B86" w:rsidRPr="00224AA7" w14:paraId="3E034259" w14:textId="77777777" w:rsidTr="00E32626">
        <w:trPr>
          <w:cantSplit/>
        </w:trPr>
        <w:tc>
          <w:tcPr>
            <w:tcW w:w="3600" w:type="dxa"/>
            <w:tcBorders>
              <w:top w:val="single" w:sz="6" w:space="0" w:color="auto"/>
              <w:bottom w:val="single" w:sz="6" w:space="0" w:color="auto"/>
            </w:tcBorders>
            <w:shd w:val="clear" w:color="auto" w:fill="67AE3C"/>
            <w:vAlign w:val="center"/>
          </w:tcPr>
          <w:p w14:paraId="77B7E686" w14:textId="77777777" w:rsidR="00947B86" w:rsidRPr="00224AA7" w:rsidRDefault="00947B86" w:rsidP="00E15217">
            <w:pPr>
              <w:jc w:val="center"/>
              <w:rPr>
                <w:rFonts w:asciiTheme="majorHAnsi" w:hAnsiTheme="majorHAnsi"/>
                <w:b/>
                <w:bCs/>
                <w:color w:val="FFFFFF" w:themeColor="background1"/>
                <w:sz w:val="20"/>
                <w:szCs w:val="20"/>
              </w:rPr>
            </w:pPr>
            <w:r w:rsidRPr="00224AA7">
              <w:rPr>
                <w:rFonts w:asciiTheme="majorHAnsi" w:hAnsiTheme="majorHAnsi"/>
                <w:b/>
                <w:bCs/>
                <w:color w:val="FFFFFF" w:themeColor="background1"/>
                <w:sz w:val="20"/>
                <w:szCs w:val="20"/>
              </w:rPr>
              <w:t>Competence</w:t>
            </w:r>
            <w:r w:rsidRPr="00224AA7">
              <w:rPr>
                <w:rFonts w:asciiTheme="majorHAnsi" w:hAnsiTheme="majorHAnsi"/>
                <w:b/>
                <w:bCs/>
                <w:i/>
                <w:color w:val="FFFFFF" w:themeColor="background1"/>
                <w:sz w:val="20"/>
                <w:szCs w:val="20"/>
              </w:rPr>
              <w:t xml:space="preserve"> Ratione temporis</w:t>
            </w:r>
            <w:r w:rsidRPr="00224AA7">
              <w:rPr>
                <w:rFonts w:asciiTheme="majorHAnsi" w:hAnsiTheme="majorHAnsi"/>
                <w:b/>
                <w:bCs/>
                <w:color w:val="FFFFFF" w:themeColor="background1"/>
                <w:sz w:val="20"/>
                <w:szCs w:val="20"/>
              </w:rPr>
              <w:t>:</w:t>
            </w:r>
          </w:p>
        </w:tc>
        <w:tc>
          <w:tcPr>
            <w:tcW w:w="5760" w:type="dxa"/>
            <w:vAlign w:val="center"/>
          </w:tcPr>
          <w:p w14:paraId="6513A73A" w14:textId="77777777" w:rsidR="00947B86" w:rsidRPr="00224AA7" w:rsidRDefault="00947B86" w:rsidP="00E15217">
            <w:pPr>
              <w:rPr>
                <w:rFonts w:asciiTheme="majorHAnsi" w:hAnsiTheme="majorHAnsi"/>
                <w:bCs/>
                <w:sz w:val="20"/>
                <w:szCs w:val="20"/>
              </w:rPr>
            </w:pPr>
            <w:r w:rsidRPr="00224AA7">
              <w:rPr>
                <w:rFonts w:asciiTheme="majorHAnsi" w:hAnsiTheme="majorHAnsi"/>
                <w:bCs/>
                <w:sz w:val="20"/>
                <w:szCs w:val="20"/>
              </w:rPr>
              <w:t>Yes</w:t>
            </w:r>
          </w:p>
        </w:tc>
      </w:tr>
      <w:tr w:rsidR="00947B86" w:rsidRPr="00224AA7" w14:paraId="0CE252D0" w14:textId="77777777" w:rsidTr="00E32626">
        <w:trPr>
          <w:cantSplit/>
        </w:trPr>
        <w:tc>
          <w:tcPr>
            <w:tcW w:w="3600" w:type="dxa"/>
            <w:tcBorders>
              <w:top w:val="single" w:sz="6" w:space="0" w:color="auto"/>
              <w:bottom w:val="single" w:sz="6" w:space="0" w:color="auto"/>
            </w:tcBorders>
            <w:shd w:val="clear" w:color="auto" w:fill="67AE3C"/>
            <w:vAlign w:val="center"/>
          </w:tcPr>
          <w:p w14:paraId="1E1527DA" w14:textId="77777777" w:rsidR="00947B86" w:rsidRPr="00224AA7" w:rsidRDefault="00947B86" w:rsidP="00E15217">
            <w:pPr>
              <w:jc w:val="center"/>
              <w:rPr>
                <w:rFonts w:asciiTheme="majorHAnsi" w:hAnsiTheme="majorHAnsi"/>
                <w:b/>
                <w:bCs/>
                <w:color w:val="FFFFFF" w:themeColor="background1"/>
                <w:sz w:val="20"/>
                <w:szCs w:val="20"/>
              </w:rPr>
            </w:pPr>
            <w:r w:rsidRPr="00224AA7">
              <w:rPr>
                <w:rFonts w:asciiTheme="majorHAnsi" w:hAnsiTheme="majorHAnsi"/>
                <w:b/>
                <w:bCs/>
                <w:color w:val="FFFFFF" w:themeColor="background1"/>
                <w:sz w:val="20"/>
                <w:szCs w:val="20"/>
              </w:rPr>
              <w:t>Competence</w:t>
            </w:r>
            <w:r w:rsidRPr="00224AA7">
              <w:rPr>
                <w:rFonts w:asciiTheme="majorHAnsi" w:hAnsiTheme="majorHAnsi"/>
                <w:b/>
                <w:bCs/>
                <w:i/>
                <w:color w:val="FFFFFF" w:themeColor="background1"/>
                <w:sz w:val="20"/>
                <w:szCs w:val="20"/>
              </w:rPr>
              <w:t xml:space="preserve"> Ratione materiae</w:t>
            </w:r>
            <w:r w:rsidRPr="00224AA7">
              <w:rPr>
                <w:rFonts w:asciiTheme="majorHAnsi" w:hAnsiTheme="majorHAnsi"/>
                <w:b/>
                <w:bCs/>
                <w:color w:val="FFFFFF" w:themeColor="background1"/>
                <w:sz w:val="20"/>
                <w:szCs w:val="20"/>
              </w:rPr>
              <w:t>:</w:t>
            </w:r>
          </w:p>
        </w:tc>
        <w:tc>
          <w:tcPr>
            <w:tcW w:w="5760" w:type="dxa"/>
            <w:vAlign w:val="center"/>
          </w:tcPr>
          <w:p w14:paraId="2CA68FAB" w14:textId="77777777" w:rsidR="00947B86" w:rsidRPr="00224AA7" w:rsidRDefault="00947B86" w:rsidP="0010625B">
            <w:pPr>
              <w:jc w:val="both"/>
              <w:rPr>
                <w:rFonts w:asciiTheme="majorHAnsi" w:hAnsiTheme="majorHAnsi"/>
                <w:bCs/>
                <w:sz w:val="20"/>
                <w:szCs w:val="20"/>
              </w:rPr>
            </w:pPr>
            <w:r w:rsidRPr="00224AA7">
              <w:rPr>
                <w:rFonts w:asciiTheme="majorHAnsi" w:hAnsiTheme="majorHAnsi"/>
                <w:bCs/>
                <w:sz w:val="20"/>
                <w:szCs w:val="20"/>
              </w:rPr>
              <w:t>Yes, American Declaration of the Rights and Duties of Man (ratification of the OAS Charter on June 19, 1951)</w:t>
            </w:r>
          </w:p>
        </w:tc>
      </w:tr>
      <w:tr w:rsidR="00947B86" w:rsidRPr="00224AA7" w14:paraId="537235A3" w14:textId="77777777" w:rsidTr="00E32626">
        <w:trPr>
          <w:cantSplit/>
        </w:trPr>
        <w:tc>
          <w:tcPr>
            <w:tcW w:w="3600" w:type="dxa"/>
            <w:tcBorders>
              <w:top w:val="single" w:sz="6" w:space="0" w:color="auto"/>
              <w:bottom w:val="single" w:sz="6" w:space="0" w:color="auto"/>
            </w:tcBorders>
            <w:shd w:val="clear" w:color="auto" w:fill="67AE3C"/>
            <w:vAlign w:val="center"/>
          </w:tcPr>
          <w:p w14:paraId="618FB82C" w14:textId="77777777" w:rsidR="00947B86" w:rsidRPr="00224AA7" w:rsidRDefault="00947B86" w:rsidP="00E15217">
            <w:pPr>
              <w:jc w:val="center"/>
              <w:rPr>
                <w:rFonts w:asciiTheme="majorHAnsi" w:hAnsiTheme="majorHAnsi"/>
                <w:b/>
                <w:bCs/>
                <w:color w:val="FFFFFF" w:themeColor="background1"/>
                <w:sz w:val="20"/>
                <w:szCs w:val="20"/>
              </w:rPr>
            </w:pPr>
            <w:r w:rsidRPr="00224AA7">
              <w:rPr>
                <w:rFonts w:asciiTheme="majorHAnsi" w:hAnsiTheme="majorHAnsi"/>
                <w:b/>
                <w:bCs/>
                <w:color w:val="FFFFFF" w:themeColor="background1"/>
                <w:sz w:val="20"/>
                <w:szCs w:val="20"/>
              </w:rPr>
              <w:t xml:space="preserve">Duplication of procedures and international </w:t>
            </w:r>
            <w:r w:rsidRPr="00224AA7">
              <w:rPr>
                <w:rFonts w:asciiTheme="majorHAnsi" w:hAnsiTheme="majorHAnsi"/>
                <w:b/>
                <w:bCs/>
                <w:i/>
                <w:iCs/>
                <w:color w:val="FFFFFF" w:themeColor="background1"/>
                <w:sz w:val="20"/>
                <w:szCs w:val="20"/>
              </w:rPr>
              <w:t>res judicata</w:t>
            </w:r>
            <w:r w:rsidRPr="00224AA7">
              <w:rPr>
                <w:rFonts w:asciiTheme="majorHAnsi" w:hAnsiTheme="majorHAnsi"/>
                <w:b/>
                <w:bCs/>
                <w:color w:val="FFFFFF" w:themeColor="background1"/>
                <w:sz w:val="20"/>
                <w:szCs w:val="20"/>
              </w:rPr>
              <w:t>:</w:t>
            </w:r>
          </w:p>
        </w:tc>
        <w:tc>
          <w:tcPr>
            <w:tcW w:w="5760" w:type="dxa"/>
            <w:vAlign w:val="center"/>
          </w:tcPr>
          <w:p w14:paraId="61995C2E" w14:textId="77777777" w:rsidR="00947B86" w:rsidRPr="00224AA7" w:rsidRDefault="00947B86" w:rsidP="00E15217">
            <w:pPr>
              <w:jc w:val="both"/>
              <w:rPr>
                <w:rFonts w:asciiTheme="majorHAnsi" w:hAnsiTheme="majorHAnsi"/>
                <w:bCs/>
                <w:sz w:val="20"/>
                <w:szCs w:val="20"/>
              </w:rPr>
            </w:pPr>
            <w:r w:rsidRPr="00224AA7">
              <w:rPr>
                <w:rFonts w:asciiTheme="majorHAnsi" w:hAnsiTheme="majorHAnsi"/>
                <w:bCs/>
                <w:sz w:val="20"/>
                <w:szCs w:val="20"/>
              </w:rPr>
              <w:t>No</w:t>
            </w:r>
          </w:p>
        </w:tc>
      </w:tr>
    </w:tbl>
    <w:p w14:paraId="5F80A1C1" w14:textId="77777777" w:rsidR="0081365E" w:rsidRDefault="0081365E" w:rsidP="0081365E">
      <w:pPr>
        <w:rPr>
          <w:rFonts w:asciiTheme="majorHAnsi" w:hAnsiTheme="majorHAnsi"/>
          <w:sz w:val="20"/>
          <w:szCs w:val="20"/>
        </w:rPr>
      </w:pPr>
    </w:p>
    <w:p w14:paraId="64CA4666" w14:textId="77777777" w:rsidR="00F3633B" w:rsidRPr="00224AA7" w:rsidRDefault="00F3633B" w:rsidP="0081365E">
      <w:pPr>
        <w:rPr>
          <w:rFonts w:asciiTheme="majorHAnsi" w:hAnsiTheme="majorHAnsi"/>
          <w:sz w:val="20"/>
          <w:szCs w:val="20"/>
        </w:rPr>
      </w:pPr>
    </w:p>
    <w:p w14:paraId="3EFB965D" w14:textId="77777777" w:rsidR="00626FB3" w:rsidRPr="00224AA7" w:rsidRDefault="00B3401D" w:rsidP="00626F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w:t>
      </w:r>
      <w:r w:rsidR="00D210F8" w:rsidRPr="00224AA7">
        <w:rPr>
          <w:rFonts w:asciiTheme="majorHAnsi" w:hAnsiTheme="majorHAnsi"/>
          <w:sz w:val="20"/>
          <w:szCs w:val="20"/>
        </w:rPr>
        <w:t xml:space="preserve">he IACHR notes that the petitioner alleges the violation of Articles 6 and 7 of the International Convenant of Civil and Political Rights, and Articles 1 and 16 of the Convention Against Torture and Other Cruel, Inhuman or Degrading Treatment or Punishment. </w:t>
      </w:r>
      <w:r w:rsidRPr="00224AA7">
        <w:rPr>
          <w:rFonts w:asciiTheme="majorHAnsi" w:hAnsiTheme="majorHAnsi"/>
          <w:sz w:val="20"/>
          <w:szCs w:val="20"/>
        </w:rPr>
        <w:t>The IACHR has no jurisdiction to find such provisions violated, although it may use them as an interpretive guideline to determine the scope of the rights established in the American Declaration.</w:t>
      </w:r>
    </w:p>
    <w:p w14:paraId="54C4496C" w14:textId="77777777" w:rsidR="00626FB3" w:rsidRPr="00224AA7" w:rsidRDefault="00626FB3" w:rsidP="0081365E">
      <w:pPr>
        <w:rPr>
          <w:rFonts w:asciiTheme="majorHAnsi" w:hAnsiTheme="majorHAnsi"/>
          <w:sz w:val="20"/>
          <w:szCs w:val="20"/>
        </w:rPr>
      </w:pPr>
    </w:p>
    <w:p w14:paraId="094193B2" w14:textId="77777777" w:rsidR="00F516D3" w:rsidRPr="00224AA7" w:rsidRDefault="00317FC6"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8" w:name="_Toc90283292"/>
      <w:r w:rsidRPr="00224AA7">
        <w:rPr>
          <w:rFonts w:cs="Tahoma"/>
          <w:color w:val="auto"/>
          <w:sz w:val="20"/>
          <w:szCs w:val="20"/>
          <w:shd w:val="clear" w:color="auto" w:fill="FFFFFF"/>
        </w:rPr>
        <w:t>Exhaustion of domestic remedies and timeliness of the petition</w:t>
      </w:r>
      <w:bookmarkEnd w:id="8"/>
    </w:p>
    <w:p w14:paraId="33CBD6E0" w14:textId="77777777" w:rsidR="00D94F44" w:rsidRPr="00224AA7" w:rsidRDefault="00D94F44" w:rsidP="00D94F44">
      <w:pPr>
        <w:rPr>
          <w:rFonts w:asciiTheme="majorHAnsi" w:hAnsiTheme="majorHAnsi"/>
          <w:color w:val="FF0000"/>
          <w:sz w:val="20"/>
          <w:szCs w:val="20"/>
        </w:rPr>
      </w:pPr>
    </w:p>
    <w:p w14:paraId="2DFF2698" w14:textId="77777777" w:rsidR="00F652F0" w:rsidRPr="00224AA7" w:rsidRDefault="00DA36AE" w:rsidP="003C26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391B88">
        <w:rPr>
          <w:rFonts w:asciiTheme="majorHAnsi" w:hAnsiTheme="majorHAnsi"/>
          <w:sz w:val="20"/>
          <w:szCs w:val="20"/>
        </w:rPr>
        <w:t>According to the information available, and as established in the facts described below, Mr. Rogovich was sentenced to</w:t>
      </w:r>
      <w:r w:rsidR="00D865A2" w:rsidRPr="00391B88">
        <w:rPr>
          <w:rFonts w:asciiTheme="majorHAnsi" w:hAnsiTheme="majorHAnsi"/>
          <w:sz w:val="20"/>
          <w:szCs w:val="20"/>
        </w:rPr>
        <w:t xml:space="preserve"> death by the Superior Court of the State of Arizona on June 9, 1995. </w:t>
      </w:r>
      <w:r w:rsidR="00D4662C" w:rsidRPr="00391B88">
        <w:rPr>
          <w:rFonts w:asciiTheme="majorHAnsi" w:hAnsiTheme="majorHAnsi"/>
          <w:sz w:val="20"/>
          <w:szCs w:val="20"/>
        </w:rPr>
        <w:t>The</w:t>
      </w:r>
      <w:r w:rsidR="000C1E67" w:rsidRPr="00391B88">
        <w:rPr>
          <w:rFonts w:asciiTheme="majorHAnsi" w:hAnsiTheme="majorHAnsi"/>
          <w:sz w:val="20"/>
          <w:szCs w:val="20"/>
        </w:rPr>
        <w:t xml:space="preserve"> appeal </w:t>
      </w:r>
      <w:r w:rsidR="00D4662C" w:rsidRPr="00391B88">
        <w:rPr>
          <w:rFonts w:asciiTheme="majorHAnsi" w:hAnsiTheme="majorHAnsi"/>
          <w:sz w:val="20"/>
          <w:szCs w:val="20"/>
        </w:rPr>
        <w:t xml:space="preserve">filed </w:t>
      </w:r>
      <w:r w:rsidR="000C1E67" w:rsidRPr="00391B88">
        <w:rPr>
          <w:rFonts w:asciiTheme="majorHAnsi" w:hAnsiTheme="majorHAnsi"/>
          <w:sz w:val="20"/>
          <w:szCs w:val="20"/>
        </w:rPr>
        <w:t xml:space="preserve">before the </w:t>
      </w:r>
      <w:r w:rsidR="00E37292" w:rsidRPr="00391B88">
        <w:rPr>
          <w:rFonts w:asciiTheme="majorHAnsi" w:hAnsiTheme="majorHAnsi"/>
          <w:sz w:val="20"/>
          <w:szCs w:val="20"/>
        </w:rPr>
        <w:t>Arizona Supreme</w:t>
      </w:r>
      <w:r w:rsidR="00E37292" w:rsidRPr="00224AA7">
        <w:rPr>
          <w:rFonts w:asciiTheme="majorHAnsi" w:hAnsiTheme="majorHAnsi"/>
          <w:sz w:val="20"/>
          <w:szCs w:val="20"/>
        </w:rPr>
        <w:t xml:space="preserve"> Court</w:t>
      </w:r>
      <w:r w:rsidR="00D4662C" w:rsidRPr="00224AA7">
        <w:rPr>
          <w:rFonts w:asciiTheme="majorHAnsi" w:hAnsiTheme="majorHAnsi"/>
          <w:sz w:val="20"/>
          <w:szCs w:val="20"/>
        </w:rPr>
        <w:t xml:space="preserve"> </w:t>
      </w:r>
      <w:r w:rsidR="000C1E67" w:rsidRPr="00224AA7">
        <w:rPr>
          <w:rFonts w:asciiTheme="majorHAnsi" w:hAnsiTheme="majorHAnsi"/>
          <w:sz w:val="20"/>
          <w:szCs w:val="20"/>
        </w:rPr>
        <w:t xml:space="preserve">was denied on </w:t>
      </w:r>
      <w:r w:rsidR="00E37292" w:rsidRPr="00224AA7">
        <w:rPr>
          <w:rFonts w:asciiTheme="majorHAnsi" w:hAnsiTheme="majorHAnsi"/>
          <w:sz w:val="20"/>
          <w:szCs w:val="20"/>
        </w:rPr>
        <w:t>February 4, 1997</w:t>
      </w:r>
      <w:r w:rsidR="00D4662C" w:rsidRPr="00224AA7">
        <w:rPr>
          <w:rFonts w:asciiTheme="majorHAnsi" w:hAnsiTheme="majorHAnsi"/>
          <w:sz w:val="20"/>
          <w:szCs w:val="20"/>
        </w:rPr>
        <w:t xml:space="preserve">, </w:t>
      </w:r>
      <w:r w:rsidR="00967987" w:rsidRPr="00224AA7">
        <w:rPr>
          <w:rFonts w:asciiTheme="majorHAnsi" w:hAnsiTheme="majorHAnsi"/>
          <w:sz w:val="20"/>
          <w:szCs w:val="20"/>
        </w:rPr>
        <w:t>and later that year</w:t>
      </w:r>
      <w:r w:rsidR="00D4662C" w:rsidRPr="00224AA7">
        <w:rPr>
          <w:rFonts w:asciiTheme="majorHAnsi" w:hAnsiTheme="majorHAnsi"/>
          <w:sz w:val="20"/>
          <w:szCs w:val="20"/>
        </w:rPr>
        <w:t xml:space="preserve"> the </w:t>
      </w:r>
      <w:r w:rsidR="005D2E13" w:rsidRPr="00224AA7">
        <w:rPr>
          <w:rFonts w:asciiTheme="majorHAnsi" w:hAnsiTheme="majorHAnsi"/>
          <w:sz w:val="20"/>
          <w:szCs w:val="20"/>
        </w:rPr>
        <w:t>application for writ of certiorari to the U.S Supreme Court</w:t>
      </w:r>
      <w:r w:rsidR="00967987" w:rsidRPr="00224AA7">
        <w:rPr>
          <w:rFonts w:asciiTheme="majorHAnsi" w:hAnsiTheme="majorHAnsi"/>
          <w:sz w:val="20"/>
          <w:szCs w:val="20"/>
        </w:rPr>
        <w:t xml:space="preserve"> was also denied</w:t>
      </w:r>
      <w:r w:rsidR="001A0B42" w:rsidRPr="00224AA7">
        <w:rPr>
          <w:rFonts w:asciiTheme="majorHAnsi" w:hAnsiTheme="majorHAnsi"/>
          <w:sz w:val="20"/>
          <w:szCs w:val="20"/>
        </w:rPr>
        <w:t xml:space="preserve">. </w:t>
      </w:r>
      <w:r w:rsidR="00D4662C" w:rsidRPr="00224AA7">
        <w:rPr>
          <w:rFonts w:asciiTheme="majorHAnsi" w:hAnsiTheme="majorHAnsi"/>
          <w:sz w:val="20"/>
          <w:szCs w:val="20"/>
        </w:rPr>
        <w:t>On February 4, 1999, Mr. Rogovich filed the first notice for post-conviction relief based on 11 claims. The state trial court denied petitioner’s claims and on September 28, 2001, the Arizona Supreme Court affirmed this decision. In 2002, according to the petitioner, Mr. Rogovich filed a second petition for post-conviction relief but withdrew the request after the U.S. Supreme Court refused to apply a precedent retroactively. In 2009</w:t>
      </w:r>
      <w:r w:rsidR="00391B88">
        <w:rPr>
          <w:rFonts w:asciiTheme="majorHAnsi" w:hAnsiTheme="majorHAnsi"/>
          <w:sz w:val="20"/>
          <w:szCs w:val="20"/>
        </w:rPr>
        <w:t>,</w:t>
      </w:r>
      <w:r w:rsidR="00D4662C" w:rsidRPr="00224AA7">
        <w:rPr>
          <w:rFonts w:asciiTheme="majorHAnsi" w:hAnsiTheme="majorHAnsi"/>
          <w:sz w:val="20"/>
          <w:szCs w:val="20"/>
        </w:rPr>
        <w:t xml:space="preserve"> the alleged victim filed a third petition for post-conviction relief before the Maricopa County Superior Court, alleging that his death sentence violated his fundamental rights because of his serious mental illness. After this petition was denied, he filed on October 22, 2009, a motion for rehearing that was dismissed on January 11, 2016. </w:t>
      </w:r>
      <w:r w:rsidR="00B66B51" w:rsidRPr="00224AA7">
        <w:rPr>
          <w:rFonts w:asciiTheme="majorHAnsi" w:hAnsiTheme="majorHAnsi"/>
          <w:sz w:val="20"/>
          <w:szCs w:val="20"/>
        </w:rPr>
        <w:t>Further, o</w:t>
      </w:r>
      <w:r w:rsidR="003C269F" w:rsidRPr="00224AA7">
        <w:rPr>
          <w:rFonts w:asciiTheme="majorHAnsi" w:hAnsiTheme="majorHAnsi"/>
          <w:sz w:val="20"/>
          <w:szCs w:val="20"/>
        </w:rPr>
        <w:t xml:space="preserve">n February 6, 2012 the alleged victim filed </w:t>
      </w:r>
      <w:r w:rsidR="00B66B51" w:rsidRPr="00224AA7">
        <w:rPr>
          <w:rFonts w:asciiTheme="majorHAnsi" w:hAnsiTheme="majorHAnsi"/>
          <w:sz w:val="20"/>
          <w:szCs w:val="20"/>
        </w:rPr>
        <w:t xml:space="preserve">a complaint </w:t>
      </w:r>
      <w:r w:rsidR="003C269F" w:rsidRPr="00224AA7">
        <w:rPr>
          <w:rFonts w:asciiTheme="majorHAnsi" w:hAnsiTheme="majorHAnsi"/>
          <w:sz w:val="20"/>
          <w:szCs w:val="20"/>
        </w:rPr>
        <w:t xml:space="preserve">before the United States District Court </w:t>
      </w:r>
      <w:r w:rsidR="00391B88">
        <w:rPr>
          <w:rFonts w:asciiTheme="majorHAnsi" w:hAnsiTheme="majorHAnsi"/>
          <w:sz w:val="20"/>
          <w:szCs w:val="20"/>
        </w:rPr>
        <w:t>against</w:t>
      </w:r>
      <w:r w:rsidR="003C269F" w:rsidRPr="00224AA7">
        <w:rPr>
          <w:rFonts w:asciiTheme="majorHAnsi" w:hAnsiTheme="majorHAnsi"/>
          <w:sz w:val="20"/>
          <w:szCs w:val="20"/>
        </w:rPr>
        <w:t xml:space="preserve"> the District of Arizona challeng</w:t>
      </w:r>
      <w:r w:rsidR="009C14DA" w:rsidRPr="00224AA7">
        <w:rPr>
          <w:rFonts w:asciiTheme="majorHAnsi" w:hAnsiTheme="majorHAnsi"/>
          <w:sz w:val="20"/>
          <w:szCs w:val="20"/>
        </w:rPr>
        <w:t>ing</w:t>
      </w:r>
      <w:r w:rsidR="003C269F" w:rsidRPr="00224AA7">
        <w:rPr>
          <w:rFonts w:asciiTheme="majorHAnsi" w:hAnsiTheme="majorHAnsi"/>
          <w:sz w:val="20"/>
          <w:szCs w:val="20"/>
        </w:rPr>
        <w:t xml:space="preserve"> the manner and the means of execution employed by </w:t>
      </w:r>
      <w:r w:rsidR="009C14DA" w:rsidRPr="00224AA7">
        <w:rPr>
          <w:rFonts w:asciiTheme="majorHAnsi" w:hAnsiTheme="majorHAnsi"/>
          <w:sz w:val="20"/>
          <w:szCs w:val="20"/>
        </w:rPr>
        <w:t>the Arizona Department of Corrections (“</w:t>
      </w:r>
      <w:r w:rsidR="003C269F" w:rsidRPr="00224AA7">
        <w:rPr>
          <w:rFonts w:asciiTheme="majorHAnsi" w:hAnsiTheme="majorHAnsi"/>
          <w:sz w:val="20"/>
          <w:szCs w:val="20"/>
        </w:rPr>
        <w:t>ADC</w:t>
      </w:r>
      <w:r w:rsidR="009C14DA" w:rsidRPr="00224AA7">
        <w:rPr>
          <w:rFonts w:asciiTheme="majorHAnsi" w:hAnsiTheme="majorHAnsi"/>
          <w:sz w:val="20"/>
          <w:szCs w:val="20"/>
        </w:rPr>
        <w:t>”)</w:t>
      </w:r>
      <w:r w:rsidR="00B66B51" w:rsidRPr="00224AA7">
        <w:rPr>
          <w:rFonts w:asciiTheme="majorHAnsi" w:hAnsiTheme="majorHAnsi"/>
          <w:sz w:val="20"/>
          <w:szCs w:val="20"/>
        </w:rPr>
        <w:t>; the complaint</w:t>
      </w:r>
      <w:r w:rsidR="001B60FE" w:rsidRPr="00224AA7">
        <w:rPr>
          <w:rFonts w:asciiTheme="majorHAnsi" w:hAnsiTheme="majorHAnsi"/>
          <w:sz w:val="20"/>
          <w:szCs w:val="20"/>
        </w:rPr>
        <w:t xml:space="preserve"> was rejected</w:t>
      </w:r>
      <w:r w:rsidR="003C269F" w:rsidRPr="00224AA7">
        <w:rPr>
          <w:rFonts w:asciiTheme="majorHAnsi" w:hAnsiTheme="majorHAnsi"/>
          <w:sz w:val="20"/>
          <w:szCs w:val="20"/>
        </w:rPr>
        <w:t>.</w:t>
      </w:r>
      <w:r w:rsidR="00066108" w:rsidRPr="00224AA7">
        <w:rPr>
          <w:rFonts w:asciiTheme="majorHAnsi" w:hAnsiTheme="majorHAnsi"/>
          <w:sz w:val="20"/>
          <w:szCs w:val="20"/>
        </w:rPr>
        <w:t xml:space="preserve"> </w:t>
      </w:r>
    </w:p>
    <w:p w14:paraId="3078592E" w14:textId="77777777" w:rsidR="0046488C" w:rsidRPr="00224AA7" w:rsidRDefault="0046488C" w:rsidP="0046488C">
      <w:pPr>
        <w:pStyle w:val="ListParagraph"/>
        <w:rPr>
          <w:rFonts w:asciiTheme="majorHAnsi" w:hAnsiTheme="majorHAnsi"/>
          <w:color w:val="FF0000"/>
          <w:sz w:val="20"/>
          <w:szCs w:val="20"/>
        </w:rPr>
      </w:pPr>
    </w:p>
    <w:p w14:paraId="140209E3" w14:textId="77777777" w:rsidR="00837EDD" w:rsidRPr="00224AA7" w:rsidRDefault="00812C8D" w:rsidP="00812C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rPr>
      </w:pPr>
      <w:r w:rsidRPr="00224AA7">
        <w:rPr>
          <w:rFonts w:asciiTheme="majorHAnsi" w:hAnsiTheme="majorHAnsi"/>
          <w:sz w:val="20"/>
          <w:szCs w:val="20"/>
        </w:rPr>
        <w:t xml:space="preserve">The IACHR notes that the rule requiring </w:t>
      </w:r>
      <w:r w:rsidR="00B66B51" w:rsidRPr="00224AA7">
        <w:rPr>
          <w:rFonts w:asciiTheme="majorHAnsi" w:hAnsiTheme="majorHAnsi"/>
          <w:sz w:val="20"/>
          <w:szCs w:val="20"/>
        </w:rPr>
        <w:t xml:space="preserve">the </w:t>
      </w:r>
      <w:r w:rsidRPr="00224AA7">
        <w:rPr>
          <w:rFonts w:asciiTheme="majorHAnsi" w:hAnsiTheme="majorHAnsi"/>
          <w:sz w:val="20"/>
          <w:szCs w:val="20"/>
        </w:rPr>
        <w:t>exhaustion of domestic remedies does not mean that alleged victims have to exhaust every remedy available. In this regard, the Commission has repeatedly held that “the rule which requires the prior exhaustion of domestic remedies is designed for the benefit of the State, for that rule seeks to excuse the State from having to respond to charges before an international body for acts imputed to it before it has had the opportunity to remedy them by internal means.”</w:t>
      </w:r>
      <w:r w:rsidRPr="00224AA7">
        <w:rPr>
          <w:rStyle w:val="FootnoteReference"/>
          <w:rFonts w:asciiTheme="majorHAnsi" w:hAnsiTheme="majorHAnsi"/>
          <w:sz w:val="20"/>
          <w:szCs w:val="20"/>
        </w:rPr>
        <w:footnoteReference w:id="4"/>
      </w:r>
      <w:r w:rsidRPr="00224AA7">
        <w:rPr>
          <w:rFonts w:asciiTheme="majorHAnsi" w:hAnsiTheme="majorHAnsi"/>
          <w:sz w:val="20"/>
          <w:szCs w:val="20"/>
        </w:rPr>
        <w:t xml:space="preserve"> Therefore, if the alleged victim raised the issue by any lawful and appropriate alternative under the domestic juridical system and the State had the opportunity to remedy the matter within its jurisdiction, the purpose of the international rule has thus been served.</w:t>
      </w:r>
      <w:r w:rsidRPr="00224AA7">
        <w:rPr>
          <w:rStyle w:val="FootnoteReference"/>
          <w:rFonts w:asciiTheme="majorHAnsi" w:hAnsiTheme="majorHAnsi"/>
          <w:sz w:val="20"/>
          <w:szCs w:val="20"/>
        </w:rPr>
        <w:footnoteReference w:id="5"/>
      </w:r>
      <w:r w:rsidR="000F5D64" w:rsidRPr="00224AA7">
        <w:rPr>
          <w:rFonts w:asciiTheme="majorHAnsi" w:hAnsiTheme="majorHAnsi"/>
          <w:sz w:val="20"/>
          <w:szCs w:val="20"/>
        </w:rPr>
        <w:t xml:space="preserve"> </w:t>
      </w:r>
    </w:p>
    <w:p w14:paraId="2D420A94" w14:textId="77777777" w:rsidR="00837EDD" w:rsidRPr="00224AA7" w:rsidRDefault="00837EDD" w:rsidP="00837EDD">
      <w:pPr>
        <w:pStyle w:val="ListParagraph"/>
        <w:rPr>
          <w:rFonts w:asciiTheme="majorHAnsi" w:hAnsiTheme="majorHAnsi"/>
          <w:sz w:val="20"/>
          <w:szCs w:val="20"/>
        </w:rPr>
      </w:pPr>
    </w:p>
    <w:p w14:paraId="599CA3AF" w14:textId="77777777" w:rsidR="00C4237D" w:rsidRPr="00224AA7" w:rsidRDefault="00FC5458" w:rsidP="00812C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rPr>
      </w:pPr>
      <w:r w:rsidRPr="00224AA7">
        <w:rPr>
          <w:rFonts w:asciiTheme="majorHAnsi" w:hAnsiTheme="majorHAnsi"/>
          <w:sz w:val="20"/>
          <w:szCs w:val="20"/>
        </w:rPr>
        <w:t xml:space="preserve">Based on the available information, the IACHR notes that </w:t>
      </w:r>
      <w:r w:rsidR="00AF010B" w:rsidRPr="00224AA7">
        <w:rPr>
          <w:rFonts w:asciiTheme="majorHAnsi" w:hAnsiTheme="majorHAnsi"/>
          <w:sz w:val="20"/>
          <w:szCs w:val="20"/>
        </w:rPr>
        <w:t>the alleged victim has not onl</w:t>
      </w:r>
      <w:r w:rsidR="00837EDD" w:rsidRPr="00224AA7">
        <w:rPr>
          <w:rFonts w:asciiTheme="majorHAnsi" w:hAnsiTheme="majorHAnsi"/>
          <w:sz w:val="20"/>
          <w:szCs w:val="20"/>
        </w:rPr>
        <w:t xml:space="preserve">y exhausted all direct review proceeding, but also state and federal post-conviction proceedings. </w:t>
      </w:r>
      <w:r w:rsidR="00C02A78" w:rsidRPr="00224AA7">
        <w:rPr>
          <w:rFonts w:asciiTheme="majorHAnsi" w:hAnsiTheme="majorHAnsi"/>
          <w:sz w:val="20"/>
          <w:szCs w:val="20"/>
        </w:rPr>
        <w:t>The IACHR also notes that the petitioner raised the lethal injection’s claim</w:t>
      </w:r>
      <w:r w:rsidR="003C4F69" w:rsidRPr="00224AA7">
        <w:rPr>
          <w:rFonts w:asciiTheme="majorHAnsi" w:hAnsiTheme="majorHAnsi"/>
          <w:sz w:val="20"/>
          <w:szCs w:val="20"/>
        </w:rPr>
        <w:t xml:space="preserve"> before domestic courts.</w:t>
      </w:r>
      <w:r w:rsidR="00C02A78" w:rsidRPr="00224AA7">
        <w:rPr>
          <w:rFonts w:asciiTheme="majorHAnsi" w:hAnsiTheme="majorHAnsi"/>
          <w:sz w:val="20"/>
          <w:szCs w:val="20"/>
        </w:rPr>
        <w:t xml:space="preserve"> </w:t>
      </w:r>
      <w:r w:rsidR="00332A4D" w:rsidRPr="00224AA7">
        <w:rPr>
          <w:rFonts w:asciiTheme="majorHAnsi" w:hAnsiTheme="majorHAnsi"/>
          <w:sz w:val="20"/>
          <w:szCs w:val="20"/>
        </w:rPr>
        <w:t>Regarding the claim</w:t>
      </w:r>
      <w:r w:rsidR="003C4F69" w:rsidRPr="00224AA7">
        <w:rPr>
          <w:rFonts w:asciiTheme="majorHAnsi" w:hAnsiTheme="majorHAnsi"/>
          <w:sz w:val="20"/>
          <w:szCs w:val="20"/>
        </w:rPr>
        <w:t xml:space="preserve"> </w:t>
      </w:r>
      <w:r w:rsidR="00BE5AD0" w:rsidRPr="00224AA7">
        <w:rPr>
          <w:rFonts w:asciiTheme="majorHAnsi" w:hAnsiTheme="majorHAnsi"/>
          <w:sz w:val="20"/>
          <w:szCs w:val="20"/>
        </w:rPr>
        <w:t>relating to</w:t>
      </w:r>
      <w:r w:rsidR="003C4F69" w:rsidRPr="00224AA7">
        <w:rPr>
          <w:rFonts w:asciiTheme="majorHAnsi" w:hAnsiTheme="majorHAnsi"/>
          <w:sz w:val="20"/>
          <w:szCs w:val="20"/>
        </w:rPr>
        <w:t xml:space="preserve"> the clemency proceedings</w:t>
      </w:r>
      <w:r w:rsidR="00967987" w:rsidRPr="00224AA7">
        <w:rPr>
          <w:rFonts w:asciiTheme="majorHAnsi" w:hAnsiTheme="majorHAnsi"/>
          <w:sz w:val="20"/>
          <w:szCs w:val="20"/>
        </w:rPr>
        <w:t xml:space="preserve"> and detention conditions</w:t>
      </w:r>
      <w:r w:rsidR="00332A4D" w:rsidRPr="00224AA7">
        <w:rPr>
          <w:rFonts w:asciiTheme="majorHAnsi" w:hAnsiTheme="majorHAnsi"/>
          <w:sz w:val="20"/>
          <w:szCs w:val="20"/>
        </w:rPr>
        <w:t xml:space="preserve">, the Commission </w:t>
      </w:r>
      <w:r w:rsidR="003C21BD" w:rsidRPr="00224AA7">
        <w:rPr>
          <w:rFonts w:asciiTheme="majorHAnsi" w:hAnsiTheme="majorHAnsi"/>
          <w:sz w:val="20"/>
          <w:szCs w:val="20"/>
        </w:rPr>
        <w:t xml:space="preserve">observes </w:t>
      </w:r>
      <w:r w:rsidR="00E13D70" w:rsidRPr="00224AA7">
        <w:rPr>
          <w:rFonts w:asciiTheme="majorHAnsi" w:hAnsiTheme="majorHAnsi"/>
          <w:sz w:val="20"/>
          <w:szCs w:val="20"/>
        </w:rPr>
        <w:t xml:space="preserve">that, in order to accord with generally recognized principles of international law, the State </w:t>
      </w:r>
      <w:r w:rsidR="00CF0A29" w:rsidRPr="00224AA7">
        <w:rPr>
          <w:rFonts w:asciiTheme="majorHAnsi" w:hAnsiTheme="majorHAnsi"/>
          <w:sz w:val="20"/>
          <w:szCs w:val="20"/>
        </w:rPr>
        <w:t>failed to</w:t>
      </w:r>
      <w:r w:rsidR="00E13D70" w:rsidRPr="00224AA7">
        <w:rPr>
          <w:rFonts w:asciiTheme="majorHAnsi" w:hAnsiTheme="majorHAnsi"/>
          <w:sz w:val="20"/>
          <w:szCs w:val="20"/>
        </w:rPr>
        <w:t xml:space="preserve"> </w:t>
      </w:r>
      <w:r w:rsidR="00CF0A29" w:rsidRPr="00224AA7">
        <w:rPr>
          <w:rFonts w:asciiTheme="majorHAnsi" w:hAnsiTheme="majorHAnsi"/>
          <w:sz w:val="20"/>
          <w:szCs w:val="20"/>
        </w:rPr>
        <w:t>point out the</w:t>
      </w:r>
      <w:r w:rsidR="00E13D70" w:rsidRPr="00224AA7">
        <w:rPr>
          <w:rFonts w:asciiTheme="majorHAnsi" w:hAnsiTheme="majorHAnsi"/>
          <w:sz w:val="20"/>
          <w:szCs w:val="20"/>
        </w:rPr>
        <w:t xml:space="preserve"> domestic remedies available</w:t>
      </w:r>
      <w:r w:rsidR="00CF0A29" w:rsidRPr="00224AA7">
        <w:rPr>
          <w:rFonts w:asciiTheme="majorHAnsi" w:hAnsiTheme="majorHAnsi"/>
          <w:sz w:val="20"/>
          <w:szCs w:val="20"/>
        </w:rPr>
        <w:t xml:space="preserve"> and to prove they</w:t>
      </w:r>
      <w:r w:rsidR="00E13D70" w:rsidRPr="00224AA7">
        <w:rPr>
          <w:rFonts w:asciiTheme="majorHAnsi" w:hAnsiTheme="majorHAnsi"/>
          <w:sz w:val="20"/>
          <w:szCs w:val="20"/>
        </w:rPr>
        <w:t xml:space="preserve"> are both adequate, in the sense that they must be suitable to address an infringement of a legal right, and effective, in that they must be capable of producing the result for which they were designed</w:t>
      </w:r>
      <w:r w:rsidR="00E13D70" w:rsidRPr="00224AA7">
        <w:rPr>
          <w:rStyle w:val="FootnoteReference"/>
          <w:rFonts w:asciiTheme="majorHAnsi" w:hAnsiTheme="majorHAnsi"/>
          <w:sz w:val="20"/>
          <w:szCs w:val="20"/>
        </w:rPr>
        <w:footnoteReference w:id="6"/>
      </w:r>
      <w:r w:rsidR="00E13D70" w:rsidRPr="00224AA7">
        <w:rPr>
          <w:rFonts w:asciiTheme="majorHAnsi" w:hAnsiTheme="majorHAnsi"/>
          <w:sz w:val="20"/>
          <w:szCs w:val="20"/>
        </w:rPr>
        <w:t>.</w:t>
      </w:r>
    </w:p>
    <w:p w14:paraId="69405B32" w14:textId="77777777" w:rsidR="00FB0135" w:rsidRPr="00224AA7" w:rsidRDefault="00FB0135" w:rsidP="00FB0135">
      <w:pPr>
        <w:pStyle w:val="ListParagraph"/>
        <w:rPr>
          <w:rFonts w:asciiTheme="majorHAnsi" w:hAnsiTheme="majorHAnsi"/>
          <w:color w:val="FF0000"/>
          <w:sz w:val="20"/>
          <w:szCs w:val="20"/>
        </w:rPr>
      </w:pPr>
    </w:p>
    <w:p w14:paraId="64F77935" w14:textId="77777777" w:rsidR="00FB0135" w:rsidRDefault="00FB0135" w:rsidP="00FB0135">
      <w:pPr>
        <w:pStyle w:val="parrafos"/>
        <w:numPr>
          <w:ilvl w:val="0"/>
          <w:numId w:val="55"/>
        </w:numPr>
        <w:ind w:left="0" w:firstLine="0"/>
      </w:pPr>
      <w:r w:rsidRPr="00224AA7">
        <w:t>Based on the above factors, the Inter-American Commission concludes that the petitioner properly exhausted domestic remedies available within the domestic legal system and, therefore, that the alleged victims’ claims before the Commission are not barred from consideration by the requirement of exhaustion of domestic remedies under Article 31(1) of its Rules of Procedure.</w:t>
      </w:r>
      <w:r w:rsidR="00C43943" w:rsidRPr="00224AA7">
        <w:t xml:space="preserve"> The petition before the IACHR was presented on February 19, 2014, and the motion for rehearing filed against the denial of the third petition for post-conviction relief was dismissed on January 11, 2016. Therefore, t</w:t>
      </w:r>
      <w:r w:rsidRPr="00224AA7">
        <w:t>he Commission also concludes that the requirement specified in Article 32(1) of its Rules of Procedure has been met.</w:t>
      </w:r>
    </w:p>
    <w:p w14:paraId="04F1E39D" w14:textId="77777777" w:rsidR="00F3633B" w:rsidRDefault="00F3633B" w:rsidP="00F3633B">
      <w:pPr>
        <w:pStyle w:val="ListParagraph"/>
      </w:pPr>
    </w:p>
    <w:p w14:paraId="4EB5AD17" w14:textId="77777777" w:rsidR="00F3633B" w:rsidRDefault="00F3633B" w:rsidP="00F3633B">
      <w:pPr>
        <w:pStyle w:val="parrafos"/>
        <w:ind w:left="0" w:firstLine="0"/>
      </w:pPr>
    </w:p>
    <w:p w14:paraId="2ABE27E5" w14:textId="77777777" w:rsidR="00F3633B" w:rsidRDefault="00F3633B" w:rsidP="00F3633B">
      <w:pPr>
        <w:pStyle w:val="parrafos"/>
        <w:ind w:left="0" w:firstLine="0"/>
      </w:pPr>
    </w:p>
    <w:p w14:paraId="5C0D3C2E" w14:textId="77777777" w:rsidR="00F3633B" w:rsidRPr="00224AA7" w:rsidRDefault="00F3633B" w:rsidP="00F3633B">
      <w:pPr>
        <w:pStyle w:val="parrafos"/>
        <w:ind w:left="0" w:firstLine="0"/>
      </w:pPr>
    </w:p>
    <w:p w14:paraId="02CA8F33" w14:textId="77777777" w:rsidR="00F516D3" w:rsidRPr="00224AA7" w:rsidRDefault="00F516D3"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7602625"/>
      <w:bookmarkStart w:id="10" w:name="_Toc90283293"/>
      <w:bookmarkStart w:id="11" w:name="_Toc6349144"/>
      <w:r w:rsidRPr="00224AA7">
        <w:rPr>
          <w:rFonts w:cs="Times New Roman"/>
          <w:color w:val="auto"/>
          <w:sz w:val="20"/>
          <w:szCs w:val="20"/>
        </w:rPr>
        <w:t>Colorable claim</w:t>
      </w:r>
      <w:bookmarkEnd w:id="9"/>
      <w:bookmarkEnd w:id="10"/>
      <w:r w:rsidRPr="00224AA7">
        <w:rPr>
          <w:rFonts w:cs="Times New Roman"/>
          <w:color w:val="auto"/>
          <w:sz w:val="20"/>
          <w:szCs w:val="20"/>
        </w:rPr>
        <w:t xml:space="preserve"> </w:t>
      </w:r>
      <w:bookmarkEnd w:id="11"/>
    </w:p>
    <w:p w14:paraId="2FE44CE1" w14:textId="77777777" w:rsidR="00764470" w:rsidRPr="00224AA7" w:rsidRDefault="00764470" w:rsidP="00764470">
      <w:pPr>
        <w:rPr>
          <w:rFonts w:asciiTheme="majorHAnsi" w:hAnsiTheme="majorHAnsi"/>
          <w:sz w:val="20"/>
          <w:szCs w:val="20"/>
        </w:rPr>
      </w:pPr>
    </w:p>
    <w:p w14:paraId="646613CD" w14:textId="77777777" w:rsidR="00F516D3" w:rsidRPr="00224AA7" w:rsidRDefault="00764470" w:rsidP="00764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The Commission considers that, if proven, the facts alleged by the petitioner would tend to establish violations of the rights set forth in </w:t>
      </w:r>
      <w:r w:rsidR="00CF0A29" w:rsidRPr="00224AA7">
        <w:rPr>
          <w:rFonts w:asciiTheme="majorHAnsi" w:hAnsiTheme="majorHAnsi"/>
          <w:sz w:val="20"/>
          <w:szCs w:val="20"/>
        </w:rPr>
        <w:t>Articles</w:t>
      </w:r>
      <w:r w:rsidR="00550FAA" w:rsidRPr="00224AA7">
        <w:rPr>
          <w:rFonts w:asciiTheme="majorHAnsi" w:hAnsiTheme="majorHAnsi"/>
          <w:sz w:val="20"/>
          <w:szCs w:val="20"/>
        </w:rPr>
        <w:t xml:space="preserve"> I,</w:t>
      </w:r>
      <w:r w:rsidR="00967987" w:rsidRPr="00224AA7">
        <w:rPr>
          <w:rFonts w:asciiTheme="majorHAnsi" w:hAnsiTheme="majorHAnsi"/>
          <w:sz w:val="20"/>
          <w:szCs w:val="20"/>
        </w:rPr>
        <w:t xml:space="preserve"> XI,</w:t>
      </w:r>
      <w:r w:rsidR="00550FAA" w:rsidRPr="00224AA7">
        <w:rPr>
          <w:rFonts w:asciiTheme="majorHAnsi" w:hAnsiTheme="majorHAnsi"/>
          <w:sz w:val="20"/>
          <w:szCs w:val="20"/>
        </w:rPr>
        <w:t xml:space="preserve"> XVIII,</w:t>
      </w:r>
      <w:r w:rsidR="00967987" w:rsidRPr="00224AA7">
        <w:rPr>
          <w:rFonts w:asciiTheme="majorHAnsi" w:hAnsiTheme="majorHAnsi"/>
          <w:sz w:val="20"/>
          <w:szCs w:val="20"/>
        </w:rPr>
        <w:t xml:space="preserve"> XXIV,</w:t>
      </w:r>
      <w:r w:rsidR="00550FAA" w:rsidRPr="00224AA7">
        <w:rPr>
          <w:rFonts w:asciiTheme="majorHAnsi" w:hAnsiTheme="majorHAnsi"/>
          <w:sz w:val="20"/>
          <w:szCs w:val="20"/>
        </w:rPr>
        <w:t xml:space="preserve"> XXV and XXVI</w:t>
      </w:r>
      <w:r w:rsidR="00CF0A29" w:rsidRPr="00224AA7">
        <w:rPr>
          <w:rFonts w:asciiTheme="majorHAnsi" w:hAnsiTheme="majorHAnsi"/>
          <w:sz w:val="20"/>
          <w:szCs w:val="20"/>
        </w:rPr>
        <w:t xml:space="preserve"> </w:t>
      </w:r>
      <w:r w:rsidRPr="00224AA7">
        <w:rPr>
          <w:rFonts w:asciiTheme="majorHAnsi" w:hAnsiTheme="majorHAnsi"/>
          <w:sz w:val="20"/>
          <w:szCs w:val="20"/>
        </w:rPr>
        <w:t>of the American Declaration,</w:t>
      </w:r>
      <w:r w:rsidR="005B1DBA" w:rsidRPr="00224AA7">
        <w:rPr>
          <w:rFonts w:asciiTheme="majorHAnsi" w:hAnsiTheme="majorHAnsi"/>
          <w:sz w:val="20"/>
          <w:szCs w:val="20"/>
        </w:rPr>
        <w:t xml:space="preserve"> to the detriment of Mr. Rogovich</w:t>
      </w:r>
      <w:r w:rsidRPr="00224AA7">
        <w:rPr>
          <w:rFonts w:asciiTheme="majorHAnsi" w:hAnsiTheme="majorHAnsi"/>
          <w:sz w:val="20"/>
          <w:szCs w:val="20"/>
        </w:rPr>
        <w:t xml:space="preserve">. </w:t>
      </w:r>
    </w:p>
    <w:p w14:paraId="3B129BEE" w14:textId="77777777" w:rsidR="00D070D7" w:rsidRPr="00224AA7" w:rsidRDefault="00D070D7" w:rsidP="00D070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3F4C7FC" w14:textId="77777777" w:rsidR="006951BB" w:rsidRPr="00224AA7" w:rsidRDefault="00D070D7" w:rsidP="006951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The IACHR finds that the petitioner has not sufficiently substantiated allegations so as to allow the Inter-American Commission to determine that the alleged facts tend to establish a violation of Articles II of the American Declaration.</w:t>
      </w:r>
      <w:r w:rsidR="007D362A" w:rsidRPr="00224AA7">
        <w:rPr>
          <w:rFonts w:asciiTheme="majorHAnsi" w:hAnsiTheme="majorHAnsi"/>
          <w:sz w:val="20"/>
          <w:szCs w:val="20"/>
        </w:rPr>
        <w:t xml:space="preserve"> </w:t>
      </w:r>
    </w:p>
    <w:p w14:paraId="70A8F62C" w14:textId="77777777" w:rsidR="006951BB" w:rsidRPr="00224AA7" w:rsidRDefault="006951BB" w:rsidP="006951BB">
      <w:pPr>
        <w:pStyle w:val="ListParagraph"/>
        <w:rPr>
          <w:rFonts w:asciiTheme="majorHAnsi" w:hAnsiTheme="majorHAnsi"/>
          <w:sz w:val="20"/>
          <w:szCs w:val="20"/>
        </w:rPr>
      </w:pPr>
    </w:p>
    <w:p w14:paraId="1CF8D7D8" w14:textId="77777777" w:rsidR="007D362A" w:rsidRPr="00224AA7" w:rsidRDefault="007D362A" w:rsidP="006951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The State alleges that the petitioner introduced new claims in the additional observations on the merits not included in the original petition</w:t>
      </w:r>
      <w:r w:rsidR="004A5A1D" w:rsidRPr="00224AA7">
        <w:rPr>
          <w:rFonts w:asciiTheme="majorHAnsi" w:hAnsiTheme="majorHAnsi"/>
          <w:sz w:val="20"/>
          <w:szCs w:val="20"/>
        </w:rPr>
        <w:t>. The State</w:t>
      </w:r>
      <w:r w:rsidRPr="00224AA7">
        <w:rPr>
          <w:rFonts w:asciiTheme="majorHAnsi" w:hAnsiTheme="majorHAnsi"/>
          <w:sz w:val="20"/>
          <w:szCs w:val="20"/>
        </w:rPr>
        <w:t xml:space="preserve"> asserts that this</w:t>
      </w:r>
      <w:r w:rsidR="004A5A1D" w:rsidRPr="00224AA7">
        <w:rPr>
          <w:rFonts w:asciiTheme="majorHAnsi" w:hAnsiTheme="majorHAnsi"/>
          <w:sz w:val="20"/>
          <w:szCs w:val="20"/>
        </w:rPr>
        <w:t xml:space="preserve"> undermines the purpose of the practice of joining the admissibility and merits, as it</w:t>
      </w:r>
      <w:r w:rsidRPr="00224AA7">
        <w:rPr>
          <w:rFonts w:asciiTheme="majorHAnsi" w:hAnsiTheme="majorHAnsi"/>
          <w:sz w:val="20"/>
          <w:szCs w:val="20"/>
        </w:rPr>
        <w:t xml:space="preserve"> would require additional submissions on the admissibility of such new claims. The Commission </w:t>
      </w:r>
      <w:r w:rsidR="00052D20" w:rsidRPr="00224AA7">
        <w:rPr>
          <w:rFonts w:asciiTheme="majorHAnsi" w:hAnsiTheme="majorHAnsi"/>
          <w:sz w:val="20"/>
          <w:szCs w:val="20"/>
        </w:rPr>
        <w:t xml:space="preserve">notes in this regard that </w:t>
      </w:r>
      <w:r w:rsidR="006951BB" w:rsidRPr="00224AA7">
        <w:rPr>
          <w:rFonts w:asciiTheme="majorHAnsi" w:hAnsiTheme="majorHAnsi"/>
          <w:sz w:val="20"/>
          <w:szCs w:val="20"/>
        </w:rPr>
        <w:t>the purpose of Article 36.3 of the IACHR’s Rules is to defer the analysis of the admissibility to the merits stage. At the time of the adoption of the report</w:t>
      </w:r>
      <w:r w:rsidR="004A5A1D" w:rsidRPr="00224AA7">
        <w:rPr>
          <w:rFonts w:asciiTheme="majorHAnsi" w:hAnsiTheme="majorHAnsi"/>
          <w:sz w:val="20"/>
          <w:szCs w:val="20"/>
        </w:rPr>
        <w:t xml:space="preserve"> on the admissibility and merits</w:t>
      </w:r>
      <w:r w:rsidR="006951BB" w:rsidRPr="00224AA7">
        <w:rPr>
          <w:rFonts w:asciiTheme="majorHAnsi" w:hAnsiTheme="majorHAnsi"/>
          <w:sz w:val="20"/>
          <w:szCs w:val="20"/>
        </w:rPr>
        <w:t xml:space="preserve">, the IACHR establishes the object of the case and </w:t>
      </w:r>
      <w:r w:rsidR="004A5A1D" w:rsidRPr="00224AA7">
        <w:rPr>
          <w:rFonts w:asciiTheme="majorHAnsi" w:hAnsiTheme="majorHAnsi"/>
          <w:sz w:val="20"/>
          <w:szCs w:val="20"/>
        </w:rPr>
        <w:t xml:space="preserve">determines the compliance with </w:t>
      </w:r>
      <w:r w:rsidR="006951BB" w:rsidRPr="00224AA7">
        <w:rPr>
          <w:rFonts w:asciiTheme="majorHAnsi" w:hAnsiTheme="majorHAnsi"/>
          <w:sz w:val="20"/>
          <w:szCs w:val="20"/>
        </w:rPr>
        <w:t>the admissibility requirements based on the information received during the processing of the case, information that has been duly forwarded to the other party. Therefore, th</w:t>
      </w:r>
      <w:r w:rsidR="002F5686" w:rsidRPr="00224AA7">
        <w:rPr>
          <w:rFonts w:asciiTheme="majorHAnsi" w:hAnsiTheme="majorHAnsi"/>
          <w:sz w:val="20"/>
          <w:szCs w:val="20"/>
        </w:rPr>
        <w:t xml:space="preserve">e IACHR concludes that the State </w:t>
      </w:r>
      <w:r w:rsidR="006951BB" w:rsidRPr="00224AA7">
        <w:rPr>
          <w:rFonts w:asciiTheme="majorHAnsi" w:hAnsiTheme="majorHAnsi"/>
          <w:sz w:val="20"/>
          <w:szCs w:val="20"/>
        </w:rPr>
        <w:t xml:space="preserve">had the opportunity to present </w:t>
      </w:r>
      <w:r w:rsidR="004A5A1D" w:rsidRPr="00224AA7">
        <w:rPr>
          <w:rFonts w:asciiTheme="majorHAnsi" w:hAnsiTheme="majorHAnsi"/>
          <w:sz w:val="20"/>
          <w:szCs w:val="20"/>
        </w:rPr>
        <w:t>observations on the admissibility of all the claims raised by the petitioner.</w:t>
      </w:r>
    </w:p>
    <w:p w14:paraId="117D35A4" w14:textId="77777777" w:rsidR="00764470" w:rsidRPr="00224AA7" w:rsidRDefault="00764470" w:rsidP="007644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0B7F8296" w14:textId="77777777" w:rsidR="001C4006" w:rsidRPr="00224AA7" w:rsidRDefault="00F516D3" w:rsidP="003676F1">
      <w:pPr>
        <w:pStyle w:val="Heading1"/>
        <w:tabs>
          <w:tab w:val="left" w:pos="360"/>
        </w:tabs>
        <w:spacing w:before="0"/>
        <w:ind w:hanging="720"/>
        <w:rPr>
          <w:color w:val="auto"/>
          <w:sz w:val="20"/>
          <w:szCs w:val="20"/>
        </w:rPr>
      </w:pPr>
      <w:bookmarkStart w:id="12" w:name="_Toc90283294"/>
      <w:r w:rsidRPr="00224AA7">
        <w:rPr>
          <w:color w:val="auto"/>
          <w:sz w:val="20"/>
          <w:szCs w:val="20"/>
        </w:rPr>
        <w:t>FINDINGS OF FACT</w:t>
      </w:r>
      <w:bookmarkEnd w:id="12"/>
    </w:p>
    <w:p w14:paraId="35C17C33" w14:textId="77777777" w:rsidR="00764470" w:rsidRPr="00224AA7" w:rsidRDefault="00764470" w:rsidP="00764470">
      <w:pPr>
        <w:rPr>
          <w:rFonts w:asciiTheme="majorHAnsi" w:hAnsiTheme="majorHAnsi"/>
          <w:sz w:val="20"/>
          <w:szCs w:val="20"/>
        </w:rPr>
      </w:pPr>
    </w:p>
    <w:p w14:paraId="5AC683D9" w14:textId="77777777" w:rsidR="00B11E55" w:rsidRPr="00224AA7" w:rsidRDefault="00B11E55" w:rsidP="0027004C">
      <w:pPr>
        <w:pStyle w:val="Heading2"/>
        <w:numPr>
          <w:ilvl w:val="0"/>
          <w:numId w:val="58"/>
        </w:numPr>
        <w:tabs>
          <w:tab w:val="left" w:pos="360"/>
        </w:tabs>
        <w:spacing w:before="0"/>
        <w:ind w:hanging="720"/>
        <w:rPr>
          <w:color w:val="auto"/>
          <w:sz w:val="20"/>
          <w:szCs w:val="20"/>
        </w:rPr>
      </w:pPr>
      <w:bookmarkStart w:id="13" w:name="_Toc90283295"/>
      <w:r w:rsidRPr="00224AA7">
        <w:rPr>
          <w:color w:val="auto"/>
          <w:sz w:val="20"/>
          <w:szCs w:val="20"/>
        </w:rPr>
        <w:t>Relevant legal framework</w:t>
      </w:r>
      <w:bookmarkEnd w:id="13"/>
    </w:p>
    <w:p w14:paraId="0CBCF513" w14:textId="77777777" w:rsidR="00B11E55" w:rsidRPr="00224AA7" w:rsidRDefault="00B11E55" w:rsidP="00B11E55">
      <w:pPr>
        <w:pStyle w:val="Heading2"/>
        <w:tabs>
          <w:tab w:val="left" w:pos="360"/>
        </w:tabs>
        <w:spacing w:before="0"/>
        <w:ind w:left="720"/>
        <w:rPr>
          <w:color w:val="auto"/>
          <w:sz w:val="20"/>
          <w:szCs w:val="20"/>
        </w:rPr>
      </w:pPr>
    </w:p>
    <w:p w14:paraId="48129A31"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Section 104 of the Antiterrorism and Effective Death Penalty Act (AEDPA) of 1996 establishes:</w:t>
      </w:r>
      <w:r w:rsidRPr="00224AA7">
        <w:rPr>
          <w:rStyle w:val="FootnoteReference"/>
          <w:rFonts w:asciiTheme="majorHAnsi" w:hAnsiTheme="majorHAnsi"/>
          <w:b/>
          <w:bCs/>
          <w:sz w:val="20"/>
          <w:szCs w:val="20"/>
        </w:rPr>
        <w:footnoteReference w:id="7"/>
      </w:r>
    </w:p>
    <w:p w14:paraId="0CB21DCD" w14:textId="77777777" w:rsidR="00021557" w:rsidRPr="00224AA7" w:rsidRDefault="00021557" w:rsidP="00021557">
      <w:pPr>
        <w:autoSpaceDE w:val="0"/>
        <w:autoSpaceDN w:val="0"/>
        <w:adjustRightInd w:val="0"/>
        <w:rPr>
          <w:rFonts w:asciiTheme="majorHAnsi" w:hAnsiTheme="majorHAnsi"/>
          <w:sz w:val="20"/>
          <w:szCs w:val="20"/>
        </w:rPr>
      </w:pPr>
    </w:p>
    <w:p w14:paraId="282DE657"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Section 2254 of title 28, United States Code, is amended—</w:t>
      </w:r>
    </w:p>
    <w:p w14:paraId="03EA592C"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w:t>
      </w:r>
    </w:p>
    <w:p w14:paraId="506B9DFD"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(3) by inserting after subsection (c) the following new subsection:</w:t>
      </w:r>
    </w:p>
    <w:p w14:paraId="4B98C4CE"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(d) An application for a writ of habeas corpus on behalf of a person in custody pursuant to the judgment of a State court shall not be granted with respect to any claim that was adjudicated on the merits in State court proceedings unless the adjudication of the claim—</w:t>
      </w:r>
    </w:p>
    <w:p w14:paraId="3EC30121"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(1) resulted in a decision that was contrary to, or involved an unreasonable application of, clearly established Federal law, as determined by the Supreme Court of the United States; or</w:t>
      </w:r>
    </w:p>
    <w:p w14:paraId="5A0F3736"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(2) resulted in a decision that was based on an unreasonable determination of the facts in light of the evidence presented in the State court proceeding;</w:t>
      </w:r>
    </w:p>
    <w:p w14:paraId="14C605DC"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p>
    <w:p w14:paraId="0BDB8A56"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(4) by amending subsection (e), as redesignated by paragraph (2), to read as follows:</w:t>
      </w:r>
    </w:p>
    <w:p w14:paraId="0056CEAD"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(e)(1) In a proceeding instituted by an application for a writ of habeas corpus by a person in custody pursuant to the judgment of a State court, a determination of a factual issue made by a State court shall be presumed to be correct. The applicant shall have the burden of rebutting the presumption of correctness by clear and convincing evidence.</w:t>
      </w:r>
    </w:p>
    <w:p w14:paraId="1D4376A0"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(2) If the applicant has failed to develop the factual basis of a claim in State court proceedings, the court shall not hold an evidentiary hearing on the claim unless the applicant shows that—</w:t>
      </w:r>
    </w:p>
    <w:p w14:paraId="402A9F4F"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(A) the claim relies on—</w:t>
      </w:r>
    </w:p>
    <w:p w14:paraId="3E2E70FE"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(i) a new rule of constitutional law, made retroactive to cases on collateral review by the Supreme Court, that was previously unavailable; or</w:t>
      </w:r>
    </w:p>
    <w:p w14:paraId="16B18B34" w14:textId="77777777" w:rsidR="00021557" w:rsidRPr="00A91ED0" w:rsidRDefault="00021557" w:rsidP="00021557">
      <w:pPr>
        <w:autoSpaceDE w:val="0"/>
        <w:autoSpaceDN w:val="0"/>
        <w:adjustRightInd w:val="0"/>
        <w:ind w:left="360" w:right="360" w:firstLine="90"/>
        <w:jc w:val="both"/>
        <w:rPr>
          <w:rFonts w:asciiTheme="majorHAnsi" w:hAnsiTheme="majorHAnsi"/>
          <w:sz w:val="18"/>
          <w:szCs w:val="20"/>
        </w:rPr>
      </w:pPr>
      <w:r w:rsidRPr="00A91ED0">
        <w:rPr>
          <w:rFonts w:asciiTheme="majorHAnsi" w:hAnsiTheme="majorHAnsi"/>
          <w:sz w:val="18"/>
          <w:szCs w:val="20"/>
        </w:rPr>
        <w:t>(ii) a factual predicate that could not have been previously discovered through the exercise of due diligence; and</w:t>
      </w:r>
    </w:p>
    <w:p w14:paraId="343615F2" w14:textId="77777777" w:rsidR="00021557" w:rsidRPr="00A91ED0" w:rsidRDefault="00021557" w:rsidP="00021557">
      <w:pPr>
        <w:autoSpaceDE w:val="0"/>
        <w:autoSpaceDN w:val="0"/>
        <w:adjustRightInd w:val="0"/>
        <w:ind w:left="360" w:right="360"/>
        <w:jc w:val="both"/>
        <w:rPr>
          <w:rFonts w:asciiTheme="majorHAnsi" w:hAnsiTheme="majorHAnsi"/>
          <w:sz w:val="18"/>
          <w:szCs w:val="20"/>
        </w:rPr>
      </w:pPr>
      <w:r w:rsidRPr="00A91ED0">
        <w:rPr>
          <w:rFonts w:asciiTheme="majorHAnsi" w:hAnsiTheme="majorHAnsi"/>
          <w:sz w:val="18"/>
          <w:szCs w:val="20"/>
        </w:rPr>
        <w:t>(B) the facts underlying the claim would be sufficient to establish by clear and convincing evidence that but for constitutional error, no reasonable factfinder would have found the applicant guilty of the underlying offense; […]</w:t>
      </w:r>
    </w:p>
    <w:p w14:paraId="19F4A667" w14:textId="77777777" w:rsidR="00021557" w:rsidRPr="00224AA7" w:rsidRDefault="00021557" w:rsidP="00021557">
      <w:pPr>
        <w:autoSpaceDE w:val="0"/>
        <w:autoSpaceDN w:val="0"/>
        <w:adjustRightInd w:val="0"/>
        <w:ind w:left="720" w:right="720"/>
        <w:jc w:val="both"/>
        <w:rPr>
          <w:rFonts w:asciiTheme="majorHAnsi" w:hAnsiTheme="majorHAnsi"/>
          <w:sz w:val="20"/>
          <w:szCs w:val="20"/>
        </w:rPr>
      </w:pPr>
    </w:p>
    <w:p w14:paraId="59A08DD1"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r w:rsidRPr="00224AA7">
        <w:rPr>
          <w:rFonts w:asciiTheme="majorHAnsi" w:hAnsiTheme="majorHAnsi"/>
          <w:sz w:val="20"/>
          <w:szCs w:val="20"/>
        </w:rPr>
        <w:t>Article 2 (PARDON.  R5-4-201. Pardon) of the Arizona Administrative Code establishes:</w:t>
      </w:r>
    </w:p>
    <w:p w14:paraId="7F6D60F1"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720"/>
        <w:jc w:val="both"/>
        <w:rPr>
          <w:rFonts w:asciiTheme="majorHAnsi" w:hAnsiTheme="majorHAnsi"/>
          <w:sz w:val="20"/>
          <w:szCs w:val="20"/>
        </w:rPr>
      </w:pPr>
    </w:p>
    <w:p w14:paraId="222CEB79"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A. Unless prohibited by law, an individual who was convicted of an Arizona felony offense may apply for a pardon.</w:t>
      </w:r>
    </w:p>
    <w:p w14:paraId="3052466B"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lastRenderedPageBreak/>
        <w:t>B. To apply for a pardon, an eligible individual shall submit to the Board a completed application form obtained from the Board.</w:t>
      </w:r>
    </w:p>
    <w:p w14:paraId="5F6438F5"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 xml:space="preserve">C. In addition to the application form required under subsection (B), an applicant shall submit other information and documents that the Board requests to assist it in deciding whether to recommend a pardon. </w:t>
      </w:r>
    </w:p>
    <w:p w14:paraId="22E9F0CA"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D. If an inmate applies for a pardon, the Board shall request that the Department review the application and verify whether the inmate is eligible to apply for the pardon.</w:t>
      </w:r>
    </w:p>
    <w:p w14:paraId="03C72A70"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E. After receiving a complete application from an eligible applicant, the Board shall schedule a hearing and provide advance written notice to the applicant of the date and location of the hearing.</w:t>
      </w:r>
    </w:p>
    <w:p w14:paraId="0AB3AEE2"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F. At the hearing, the Board shall take one of the following actions: 1. Vote to deny recommending that the governor grant a pardon and notify the applicant in writing of the Board’s decision within 10 work days. 2. Vote to recommend that the governor grant a pardon and notify the applicant in writing of the Board’s decision within 10 work days.</w:t>
      </w:r>
    </w:p>
    <w:p w14:paraId="2A48BD50"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G. If the Board votes to recommend a pardon, the Presiding Officer shall designate a Board member to prepare and send to the governor a letter of recommendation. The letter of recommendation may include a statement of individual Board members’ reasons for voting to recommend a pardon. Board members who voted not to recommend a pardon may prepare and send letters of dissent to the governor.</w:t>
      </w:r>
    </w:p>
    <w:p w14:paraId="43937C28"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A91ED0">
        <w:rPr>
          <w:rFonts w:asciiTheme="majorHAnsi" w:hAnsiTheme="majorHAnsi"/>
          <w:sz w:val="18"/>
          <w:szCs w:val="20"/>
        </w:rPr>
        <w:t>H. If the governor denies a pardon, the Board shall notify the applicant in writing of the governor’s decision within 10 work days after receiving notice of the governor’s decision.</w:t>
      </w:r>
    </w:p>
    <w:p w14:paraId="0C0ED90F" w14:textId="77777777" w:rsidR="00021557" w:rsidRPr="00A91ED0"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color w:val="FF0000"/>
          <w:sz w:val="18"/>
          <w:szCs w:val="20"/>
        </w:rPr>
      </w:pPr>
      <w:r w:rsidRPr="00A91ED0">
        <w:rPr>
          <w:rFonts w:asciiTheme="majorHAnsi" w:hAnsiTheme="majorHAnsi"/>
          <w:sz w:val="18"/>
          <w:szCs w:val="20"/>
        </w:rPr>
        <w:t>I. If the Board votes not to recommend a pardon for an applicant or if the governor denies a pardon, the applicant shall not apply again for a pardon for three years from the date of the Board’s decision</w:t>
      </w:r>
      <w:r w:rsidRPr="00A91ED0">
        <w:rPr>
          <w:rStyle w:val="FootnoteReference"/>
          <w:rFonts w:asciiTheme="majorHAnsi" w:hAnsiTheme="majorHAnsi"/>
          <w:sz w:val="18"/>
          <w:szCs w:val="20"/>
        </w:rPr>
        <w:footnoteReference w:id="8"/>
      </w:r>
      <w:r w:rsidRPr="00A91ED0">
        <w:rPr>
          <w:rFonts w:asciiTheme="majorHAnsi" w:hAnsiTheme="majorHAnsi"/>
          <w:sz w:val="18"/>
          <w:szCs w:val="20"/>
        </w:rPr>
        <w:t>.</w:t>
      </w:r>
    </w:p>
    <w:p w14:paraId="30A9D5B7" w14:textId="77777777" w:rsidR="00021557" w:rsidRPr="00224AA7" w:rsidRDefault="00021557" w:rsidP="00021557"/>
    <w:p w14:paraId="7E7888F8" w14:textId="77777777" w:rsidR="00021557" w:rsidRPr="00224AA7" w:rsidRDefault="00021557" w:rsidP="00021557">
      <w:pPr>
        <w:pStyle w:val="Heading2"/>
        <w:numPr>
          <w:ilvl w:val="0"/>
          <w:numId w:val="58"/>
        </w:numPr>
        <w:tabs>
          <w:tab w:val="left" w:pos="360"/>
        </w:tabs>
        <w:spacing w:before="0"/>
        <w:ind w:hanging="720"/>
        <w:rPr>
          <w:color w:val="auto"/>
          <w:sz w:val="20"/>
          <w:szCs w:val="20"/>
        </w:rPr>
      </w:pPr>
      <w:bookmarkStart w:id="14" w:name="_Toc90283296"/>
      <w:r w:rsidRPr="00224AA7">
        <w:rPr>
          <w:color w:val="auto"/>
          <w:sz w:val="20"/>
          <w:szCs w:val="20"/>
        </w:rPr>
        <w:t>Facts of the case</w:t>
      </w:r>
      <w:bookmarkEnd w:id="14"/>
    </w:p>
    <w:p w14:paraId="712B9AD6" w14:textId="77777777" w:rsidR="00021557" w:rsidRPr="00224AA7" w:rsidRDefault="00021557" w:rsidP="00021557">
      <w:pPr>
        <w:rPr>
          <w:rFonts w:asciiTheme="majorHAnsi" w:hAnsiTheme="majorHAnsi"/>
          <w:sz w:val="20"/>
          <w:szCs w:val="20"/>
        </w:rPr>
      </w:pPr>
    </w:p>
    <w:p w14:paraId="30DFF09D"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224AA7">
        <w:rPr>
          <w:rFonts w:ascii="Cambria" w:hAnsi="Cambria"/>
          <w:sz w:val="20"/>
          <w:szCs w:val="20"/>
        </w:rPr>
        <w:t>According to the information available, o</w:t>
      </w:r>
      <w:r w:rsidRPr="00224AA7">
        <w:rPr>
          <w:rFonts w:asciiTheme="majorHAnsi" w:hAnsiTheme="majorHAnsi"/>
          <w:sz w:val="20"/>
          <w:szCs w:val="20"/>
        </w:rPr>
        <w:t>n the morning of March 15, 1992, Pete Carl Rogovich shot a shop clerk in the eye from two feet away. Four hours later he left his apartment and began firing randomly into the parking lot of the complex, jumped the fence and entered a nearby trailer park. There, he went on a “homicidal rampage” killing three women and fleeing into an open field. After the shootings, Mr. Rogovich stole a van and robbed a convenience store, both at gunpoint. After a long pursuit, police were able to stop the van using a roadblock and arrested Mr. Rogovich.</w:t>
      </w:r>
      <w:r w:rsidRPr="00224AA7">
        <w:rPr>
          <w:rStyle w:val="FootnoteReference"/>
          <w:rFonts w:asciiTheme="majorHAnsi" w:hAnsiTheme="majorHAnsi"/>
          <w:sz w:val="20"/>
          <w:szCs w:val="20"/>
        </w:rPr>
        <w:footnoteReference w:id="9"/>
      </w:r>
    </w:p>
    <w:p w14:paraId="1A1E8E08"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13B77F7"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According to the Deputy Sheriff who arrested Mr. Rogovich, after the alleged victim left the store there was a pursuit against him by several patrol cars. Mr. Rogovich’s van then approached one of the police cars about 50 miles an hour, slowed down and the alleged victim leaned over, waved and smiled. After Mr. Rogovich was arrested, he asked if this would “hurt his chances of being a police officer.”</w:t>
      </w:r>
      <w:r w:rsidRPr="00224AA7">
        <w:rPr>
          <w:rStyle w:val="FootnoteReference"/>
          <w:rFonts w:asciiTheme="majorHAnsi" w:hAnsiTheme="majorHAnsi"/>
          <w:sz w:val="20"/>
          <w:szCs w:val="20"/>
        </w:rPr>
        <w:footnoteReference w:id="10"/>
      </w:r>
      <w:r w:rsidRPr="00224AA7">
        <w:rPr>
          <w:rFonts w:asciiTheme="majorHAnsi" w:hAnsiTheme="majorHAnsi"/>
          <w:sz w:val="20"/>
          <w:szCs w:val="20"/>
        </w:rPr>
        <w:t xml:space="preserve"> </w:t>
      </w:r>
    </w:p>
    <w:p w14:paraId="0175F4E8"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5412846" w14:textId="77777777" w:rsidR="00021557" w:rsidRPr="00224AA7" w:rsidRDefault="00021557" w:rsidP="00021557">
      <w:pPr>
        <w:pStyle w:val="Heading2"/>
        <w:tabs>
          <w:tab w:val="left" w:pos="360"/>
        </w:tabs>
        <w:spacing w:before="0"/>
        <w:rPr>
          <w:color w:val="auto"/>
          <w:sz w:val="20"/>
          <w:szCs w:val="20"/>
        </w:rPr>
      </w:pPr>
      <w:bookmarkStart w:id="15" w:name="_Toc90283297"/>
      <w:r w:rsidRPr="00224AA7">
        <w:rPr>
          <w:color w:val="auto"/>
          <w:sz w:val="20"/>
          <w:szCs w:val="20"/>
        </w:rPr>
        <w:t>C.</w:t>
      </w:r>
      <w:r w:rsidRPr="00224AA7">
        <w:rPr>
          <w:color w:val="auto"/>
          <w:sz w:val="20"/>
          <w:szCs w:val="20"/>
        </w:rPr>
        <w:tab/>
        <w:t>Mr. Rogovich’s detention, trial and death sentence</w:t>
      </w:r>
      <w:bookmarkEnd w:id="15"/>
    </w:p>
    <w:p w14:paraId="4FB2BD8D"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171EB170"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After his arrest, Mr. Rogovich was transported to the Main Station of the Phoenix Police Department, where he was interviewed.</w:t>
      </w:r>
      <w:r w:rsidRPr="00224AA7">
        <w:rPr>
          <w:rStyle w:val="FootnoteReference"/>
          <w:rFonts w:asciiTheme="majorHAnsi" w:hAnsiTheme="majorHAnsi"/>
          <w:sz w:val="20"/>
          <w:szCs w:val="20"/>
        </w:rPr>
        <w:footnoteReference w:id="11"/>
      </w:r>
      <w:r w:rsidRPr="00224AA7">
        <w:rPr>
          <w:rFonts w:asciiTheme="majorHAnsi" w:hAnsiTheme="majorHAnsi"/>
          <w:sz w:val="20"/>
          <w:szCs w:val="20"/>
        </w:rPr>
        <w:t xml:space="preserve"> In this opportunity, the alleged victim said: “I guess this blows my chances to get on the Phoenix Police Department, huh – I’ve applied twice” with a humorous expression and said he was suffering a lot of emotional trauma.</w:t>
      </w:r>
      <w:r w:rsidRPr="00224AA7">
        <w:rPr>
          <w:rStyle w:val="FootnoteReference"/>
          <w:rFonts w:asciiTheme="majorHAnsi" w:hAnsiTheme="majorHAnsi"/>
          <w:sz w:val="20"/>
          <w:szCs w:val="20"/>
        </w:rPr>
        <w:footnoteReference w:id="12"/>
      </w:r>
      <w:r w:rsidRPr="00224AA7">
        <w:rPr>
          <w:rFonts w:asciiTheme="majorHAnsi" w:hAnsiTheme="majorHAnsi"/>
          <w:sz w:val="20"/>
          <w:szCs w:val="20"/>
        </w:rPr>
        <w:t xml:space="preserve"> Mr. Rogovich was held in Maricopa County Madison Street Jail until June 9, 1995, when he was transferred to ASPC Eyman-Browning Unit.</w:t>
      </w:r>
      <w:r w:rsidRPr="00224AA7">
        <w:rPr>
          <w:rStyle w:val="FootnoteReference"/>
          <w:rFonts w:asciiTheme="majorHAnsi" w:hAnsiTheme="majorHAnsi"/>
          <w:sz w:val="20"/>
          <w:szCs w:val="20"/>
        </w:rPr>
        <w:footnoteReference w:id="13"/>
      </w:r>
      <w:r w:rsidRPr="00224AA7">
        <w:rPr>
          <w:rFonts w:asciiTheme="majorHAnsi" w:hAnsiTheme="majorHAnsi"/>
          <w:sz w:val="20"/>
          <w:szCs w:val="20"/>
        </w:rPr>
        <w:t xml:space="preserve"> </w:t>
      </w:r>
    </w:p>
    <w:p w14:paraId="0F89E45E"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80A92FC"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On July 28, 1992</w:t>
      </w:r>
      <w:r w:rsidR="00065FBA" w:rsidRPr="00224AA7">
        <w:rPr>
          <w:rFonts w:asciiTheme="majorHAnsi" w:hAnsiTheme="majorHAnsi"/>
          <w:sz w:val="20"/>
          <w:szCs w:val="20"/>
        </w:rPr>
        <w:t>, Mr. Rogovich was found lying o</w:t>
      </w:r>
      <w:r w:rsidRPr="00224AA7">
        <w:rPr>
          <w:rFonts w:asciiTheme="majorHAnsi" w:hAnsiTheme="majorHAnsi"/>
          <w:sz w:val="20"/>
          <w:szCs w:val="20"/>
        </w:rPr>
        <w:t>n his back hollering “they are trying to kill me.” He had superficial scratches on his arm and hand, was very agitated and it required four to six officers to hold him in place</w:t>
      </w:r>
      <w:r w:rsidR="000901D7" w:rsidRPr="00224AA7">
        <w:rPr>
          <w:rFonts w:asciiTheme="majorHAnsi" w:hAnsiTheme="majorHAnsi"/>
          <w:sz w:val="20"/>
          <w:szCs w:val="20"/>
        </w:rPr>
        <w:t>.</w:t>
      </w:r>
      <w:r w:rsidRPr="00224AA7">
        <w:rPr>
          <w:rStyle w:val="FootnoteReference"/>
          <w:rFonts w:asciiTheme="majorHAnsi" w:hAnsiTheme="majorHAnsi"/>
          <w:sz w:val="20"/>
          <w:szCs w:val="20"/>
        </w:rPr>
        <w:footnoteReference w:id="14"/>
      </w:r>
      <w:r w:rsidRPr="00224AA7">
        <w:rPr>
          <w:rFonts w:asciiTheme="majorHAnsi" w:hAnsiTheme="majorHAnsi"/>
          <w:sz w:val="20"/>
          <w:szCs w:val="20"/>
        </w:rPr>
        <w:t xml:space="preserve"> On the same day, he attempted suicide and was then transferred to the psych unit, where for the next </w:t>
      </w:r>
      <w:r w:rsidRPr="00224AA7">
        <w:rPr>
          <w:rFonts w:asciiTheme="majorHAnsi" w:hAnsiTheme="majorHAnsi"/>
          <w:sz w:val="20"/>
          <w:szCs w:val="20"/>
        </w:rPr>
        <w:lastRenderedPageBreak/>
        <w:t>two days was held tied down at his hands and his feet to a bed.</w:t>
      </w:r>
      <w:r w:rsidRPr="00224AA7">
        <w:rPr>
          <w:rStyle w:val="FootnoteReference"/>
          <w:rFonts w:asciiTheme="majorHAnsi" w:hAnsiTheme="majorHAnsi"/>
          <w:sz w:val="20"/>
          <w:szCs w:val="20"/>
        </w:rPr>
        <w:footnoteReference w:id="15"/>
      </w:r>
      <w:r w:rsidRPr="00224AA7">
        <w:rPr>
          <w:rFonts w:asciiTheme="majorHAnsi" w:hAnsiTheme="majorHAnsi"/>
          <w:sz w:val="20"/>
          <w:szCs w:val="20"/>
        </w:rPr>
        <w:t xml:space="preserve"> On August 7, 1992, Mr. Rogovich was prescribed anti-psychotic medication for the first time.</w:t>
      </w:r>
      <w:r w:rsidRPr="00224AA7">
        <w:rPr>
          <w:rStyle w:val="FootnoteReference"/>
          <w:rFonts w:asciiTheme="majorHAnsi" w:hAnsiTheme="majorHAnsi"/>
          <w:sz w:val="20"/>
          <w:szCs w:val="20"/>
        </w:rPr>
        <w:footnoteReference w:id="16"/>
      </w:r>
      <w:r w:rsidRPr="00224AA7">
        <w:rPr>
          <w:rFonts w:asciiTheme="majorHAnsi" w:hAnsiTheme="majorHAnsi"/>
          <w:sz w:val="20"/>
          <w:szCs w:val="20"/>
        </w:rPr>
        <w:t xml:space="preserve"> According to a medical report dated August 20, 1992, Mr. Rogovich appeared to have paranoid schizophrenia.</w:t>
      </w:r>
      <w:r w:rsidRPr="00224AA7">
        <w:rPr>
          <w:rStyle w:val="FootnoteReference"/>
          <w:rFonts w:asciiTheme="majorHAnsi" w:hAnsiTheme="majorHAnsi"/>
          <w:sz w:val="20"/>
          <w:szCs w:val="20"/>
        </w:rPr>
        <w:footnoteReference w:id="17"/>
      </w:r>
      <w:r w:rsidRPr="00224AA7">
        <w:rPr>
          <w:rFonts w:asciiTheme="majorHAnsi" w:hAnsiTheme="majorHAnsi"/>
          <w:sz w:val="20"/>
          <w:szCs w:val="20"/>
        </w:rPr>
        <w:t xml:space="preserve"> Later, </w:t>
      </w:r>
      <w:r w:rsidR="00391B88">
        <w:rPr>
          <w:rFonts w:asciiTheme="majorHAnsi" w:hAnsiTheme="majorHAnsi"/>
          <w:sz w:val="20"/>
          <w:szCs w:val="20"/>
        </w:rPr>
        <w:t>ano</w:t>
      </w:r>
      <w:r w:rsidRPr="00224AA7">
        <w:rPr>
          <w:rFonts w:asciiTheme="majorHAnsi" w:hAnsiTheme="majorHAnsi"/>
          <w:sz w:val="20"/>
          <w:szCs w:val="20"/>
        </w:rPr>
        <w:t>ther doctor diagnosed the alleged victim’s symptoms as “paranoid psychosis.”</w:t>
      </w:r>
      <w:r w:rsidRPr="00224AA7">
        <w:rPr>
          <w:rStyle w:val="FootnoteReference"/>
          <w:rFonts w:asciiTheme="majorHAnsi" w:hAnsiTheme="majorHAnsi"/>
          <w:sz w:val="20"/>
          <w:szCs w:val="20"/>
        </w:rPr>
        <w:footnoteReference w:id="18"/>
      </w:r>
      <w:r w:rsidRPr="00224AA7">
        <w:rPr>
          <w:rFonts w:asciiTheme="majorHAnsi" w:hAnsiTheme="majorHAnsi"/>
          <w:sz w:val="20"/>
          <w:szCs w:val="20"/>
        </w:rPr>
        <w:t xml:space="preserve"> The alleged victim was prescribed psychotic medicine for one month.</w:t>
      </w:r>
      <w:r w:rsidRPr="00224AA7">
        <w:rPr>
          <w:rStyle w:val="FootnoteReference"/>
          <w:rFonts w:asciiTheme="majorHAnsi" w:hAnsiTheme="majorHAnsi"/>
          <w:sz w:val="20"/>
          <w:szCs w:val="20"/>
        </w:rPr>
        <w:footnoteReference w:id="19"/>
      </w:r>
      <w:r w:rsidRPr="00224AA7">
        <w:rPr>
          <w:rFonts w:asciiTheme="majorHAnsi" w:hAnsiTheme="majorHAnsi"/>
          <w:sz w:val="20"/>
          <w:szCs w:val="20"/>
        </w:rPr>
        <w:t xml:space="preserve"> </w:t>
      </w:r>
    </w:p>
    <w:p w14:paraId="08B5A72A" w14:textId="77777777" w:rsidR="00021557" w:rsidRPr="00224AA7" w:rsidRDefault="00021557" w:rsidP="00021557">
      <w:pPr>
        <w:pStyle w:val="ListParagraph"/>
        <w:rPr>
          <w:rFonts w:asciiTheme="majorHAnsi" w:hAnsiTheme="majorHAnsi"/>
          <w:sz w:val="20"/>
          <w:szCs w:val="20"/>
        </w:rPr>
      </w:pPr>
    </w:p>
    <w:p w14:paraId="3BDAB306"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On December 21, 1992, Mr. Rogovich was discharged from the psych unit. One week later, another psychiatrist concluded that the alleged victim’s symptoms came from a long history of drug usage and that he was not suffering from paranoid schizophrenia.</w:t>
      </w:r>
      <w:r w:rsidRPr="00224AA7">
        <w:rPr>
          <w:rStyle w:val="FootnoteReference"/>
          <w:rFonts w:asciiTheme="majorHAnsi" w:hAnsiTheme="majorHAnsi"/>
          <w:sz w:val="20"/>
          <w:szCs w:val="20"/>
        </w:rPr>
        <w:footnoteReference w:id="20"/>
      </w:r>
      <w:r w:rsidRPr="00224AA7">
        <w:rPr>
          <w:rFonts w:asciiTheme="majorHAnsi" w:hAnsiTheme="majorHAnsi"/>
          <w:sz w:val="20"/>
          <w:szCs w:val="20"/>
        </w:rPr>
        <w:t xml:space="preserve"> On May 21 and 24, 1993, the alleged victim was submitted to psychological tests which concluded that Mr. Rogovich “not only is […] a paranoid schizophrenic, but he has brain damage; the organic mental disorder, which is – which is perhaps one of the reasons that he has, that there has been some controversy about his diagnosis.”</w:t>
      </w:r>
      <w:r w:rsidRPr="00224AA7">
        <w:rPr>
          <w:rStyle w:val="FootnoteReference"/>
          <w:rFonts w:asciiTheme="majorHAnsi" w:hAnsiTheme="majorHAnsi"/>
          <w:sz w:val="20"/>
          <w:szCs w:val="20"/>
        </w:rPr>
        <w:footnoteReference w:id="21"/>
      </w:r>
    </w:p>
    <w:p w14:paraId="5012D2EF" w14:textId="77777777" w:rsidR="00021557" w:rsidRPr="00224AA7" w:rsidRDefault="00021557" w:rsidP="00021557">
      <w:pPr>
        <w:pStyle w:val="ListParagraph"/>
        <w:rPr>
          <w:rFonts w:asciiTheme="majorHAnsi" w:hAnsiTheme="majorHAnsi"/>
          <w:color w:val="FF0000"/>
          <w:sz w:val="20"/>
          <w:szCs w:val="20"/>
        </w:rPr>
      </w:pPr>
    </w:p>
    <w:p w14:paraId="7D32E7EC"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During his trial, in May 1994, Mr. Rogovich reported he was in a “chemical haze” due to psychotropic medication, wh</w:t>
      </w:r>
      <w:r w:rsidR="00190E99">
        <w:rPr>
          <w:rFonts w:asciiTheme="majorHAnsi" w:hAnsiTheme="majorHAnsi"/>
          <w:sz w:val="20"/>
          <w:szCs w:val="20"/>
        </w:rPr>
        <w:t>ich</w:t>
      </w:r>
      <w:r w:rsidRPr="00224AA7">
        <w:rPr>
          <w:rFonts w:asciiTheme="majorHAnsi" w:hAnsiTheme="majorHAnsi"/>
          <w:sz w:val="20"/>
          <w:szCs w:val="20"/>
        </w:rPr>
        <w:t xml:space="preserve"> affected his ability to follow the proceedings.</w:t>
      </w:r>
      <w:r w:rsidRPr="00224AA7">
        <w:rPr>
          <w:rStyle w:val="FootnoteReference"/>
          <w:rFonts w:asciiTheme="majorHAnsi" w:hAnsiTheme="majorHAnsi"/>
          <w:sz w:val="20"/>
          <w:szCs w:val="20"/>
        </w:rPr>
        <w:footnoteReference w:id="22"/>
      </w:r>
      <w:r w:rsidRPr="00224AA7">
        <w:rPr>
          <w:rFonts w:asciiTheme="majorHAnsi" w:hAnsiTheme="majorHAnsi"/>
          <w:sz w:val="20"/>
          <w:szCs w:val="20"/>
        </w:rPr>
        <w:t xml:space="preserve"> The alleged victim was taking four different kinds of medicines at the time.</w:t>
      </w:r>
      <w:r w:rsidRPr="00224AA7">
        <w:rPr>
          <w:rStyle w:val="FootnoteReference"/>
          <w:rFonts w:asciiTheme="majorHAnsi" w:hAnsiTheme="majorHAnsi"/>
          <w:sz w:val="20"/>
          <w:szCs w:val="20"/>
        </w:rPr>
        <w:footnoteReference w:id="23"/>
      </w:r>
      <w:r w:rsidRPr="00224AA7">
        <w:rPr>
          <w:rFonts w:asciiTheme="majorHAnsi" w:hAnsiTheme="majorHAnsi"/>
          <w:sz w:val="20"/>
          <w:szCs w:val="20"/>
        </w:rPr>
        <w:t xml:space="preserve"> As </w:t>
      </w:r>
      <w:r w:rsidR="00AF5D02">
        <w:rPr>
          <w:rFonts w:asciiTheme="majorHAnsi" w:hAnsiTheme="majorHAnsi"/>
          <w:sz w:val="20"/>
          <w:szCs w:val="20"/>
        </w:rPr>
        <w:t>it was submitted to</w:t>
      </w:r>
      <w:r w:rsidRPr="00224AA7">
        <w:rPr>
          <w:rFonts w:asciiTheme="majorHAnsi" w:hAnsiTheme="majorHAnsi"/>
          <w:sz w:val="20"/>
          <w:szCs w:val="20"/>
        </w:rPr>
        <w:t xml:space="preserve"> the United States District Court of Arizona, throughout the trial Rogovich continued to have mental health problems which, coupled with the medicines, made it difficult for him to communicate with his counsel</w:t>
      </w:r>
      <w:r w:rsidRPr="00224AA7">
        <w:rPr>
          <w:rStyle w:val="FootnoteReference"/>
          <w:rFonts w:asciiTheme="majorHAnsi" w:hAnsiTheme="majorHAnsi"/>
          <w:sz w:val="20"/>
          <w:szCs w:val="20"/>
        </w:rPr>
        <w:footnoteReference w:id="24"/>
      </w:r>
      <w:r w:rsidRPr="00224AA7">
        <w:rPr>
          <w:rFonts w:asciiTheme="majorHAnsi" w:hAnsiTheme="majorHAnsi"/>
          <w:sz w:val="20"/>
          <w:szCs w:val="20"/>
        </w:rPr>
        <w:t xml:space="preserve">. Mr. Rogovich’s counselor waived his presence at the </w:t>
      </w:r>
      <w:r w:rsidRPr="00224AA7">
        <w:rPr>
          <w:rFonts w:asciiTheme="majorHAnsi" w:hAnsiTheme="majorHAnsi"/>
          <w:i/>
          <w:sz w:val="20"/>
          <w:szCs w:val="20"/>
        </w:rPr>
        <w:t>voir dire</w:t>
      </w:r>
      <w:r w:rsidRPr="00224AA7">
        <w:rPr>
          <w:rFonts w:asciiTheme="majorHAnsi" w:hAnsiTheme="majorHAnsi"/>
          <w:sz w:val="20"/>
          <w:szCs w:val="20"/>
        </w:rPr>
        <w:t xml:space="preserve"> of the jury pool. The issue of Mr. Rogovich’s competency was approached during a hearing on November 15, 1994, and the Court ordered a pre-screening.</w:t>
      </w:r>
      <w:r w:rsidRPr="00224AA7">
        <w:rPr>
          <w:rStyle w:val="FootnoteReference"/>
          <w:rFonts w:asciiTheme="majorHAnsi" w:hAnsiTheme="majorHAnsi"/>
          <w:sz w:val="20"/>
          <w:szCs w:val="20"/>
        </w:rPr>
        <w:footnoteReference w:id="25"/>
      </w:r>
      <w:r w:rsidRPr="00224AA7">
        <w:rPr>
          <w:rFonts w:asciiTheme="majorHAnsi" w:hAnsiTheme="majorHAnsi"/>
          <w:sz w:val="20"/>
          <w:szCs w:val="20"/>
        </w:rPr>
        <w:t xml:space="preserve"> On March 15, 1995, the alleged victim’s competency was confirmed.</w:t>
      </w:r>
      <w:r w:rsidRPr="00224AA7">
        <w:rPr>
          <w:rStyle w:val="FootnoteReference"/>
          <w:rFonts w:asciiTheme="majorHAnsi" w:hAnsiTheme="majorHAnsi"/>
          <w:sz w:val="20"/>
          <w:szCs w:val="20"/>
        </w:rPr>
        <w:footnoteReference w:id="26"/>
      </w:r>
      <w:r w:rsidRPr="00224AA7">
        <w:rPr>
          <w:rFonts w:asciiTheme="majorHAnsi" w:hAnsiTheme="majorHAnsi"/>
          <w:sz w:val="20"/>
          <w:szCs w:val="20"/>
        </w:rPr>
        <w:t xml:space="preserve"> On June </w:t>
      </w:r>
      <w:r w:rsidR="000901D7" w:rsidRPr="00224AA7">
        <w:rPr>
          <w:rFonts w:asciiTheme="majorHAnsi" w:hAnsiTheme="majorHAnsi"/>
          <w:sz w:val="20"/>
          <w:szCs w:val="20"/>
        </w:rPr>
        <w:t>1</w:t>
      </w:r>
      <w:r w:rsidRPr="00224AA7">
        <w:rPr>
          <w:rFonts w:asciiTheme="majorHAnsi" w:hAnsiTheme="majorHAnsi"/>
          <w:sz w:val="20"/>
          <w:szCs w:val="20"/>
        </w:rPr>
        <w:t>, 1995, Mr. Rogovich was convicted of four counts of first-degree murder plus two counts of armed robbery and one count of unlawful flight from a police officer, and sentenced to the death penalty</w:t>
      </w:r>
      <w:r w:rsidR="000901D7" w:rsidRPr="00224AA7">
        <w:rPr>
          <w:rFonts w:asciiTheme="majorHAnsi" w:hAnsiTheme="majorHAnsi"/>
          <w:sz w:val="20"/>
          <w:szCs w:val="20"/>
        </w:rPr>
        <w:t xml:space="preserve"> on June 9, 1995</w:t>
      </w:r>
      <w:r w:rsidRPr="00224AA7">
        <w:rPr>
          <w:rFonts w:asciiTheme="majorHAnsi" w:hAnsiTheme="majorHAnsi"/>
          <w:sz w:val="20"/>
          <w:szCs w:val="20"/>
        </w:rPr>
        <w:t>.</w:t>
      </w:r>
      <w:r w:rsidRPr="00224AA7">
        <w:rPr>
          <w:rStyle w:val="FootnoteReference"/>
          <w:rFonts w:asciiTheme="majorHAnsi" w:hAnsiTheme="majorHAnsi"/>
          <w:sz w:val="20"/>
          <w:szCs w:val="20"/>
        </w:rPr>
        <w:footnoteReference w:id="27"/>
      </w:r>
      <w:r w:rsidRPr="00224AA7">
        <w:rPr>
          <w:rFonts w:asciiTheme="majorHAnsi" w:hAnsiTheme="majorHAnsi"/>
          <w:sz w:val="20"/>
          <w:szCs w:val="20"/>
        </w:rPr>
        <w:t xml:space="preserve"> </w:t>
      </w:r>
    </w:p>
    <w:p w14:paraId="24F8456B" w14:textId="77777777" w:rsidR="00021557" w:rsidRPr="00224AA7" w:rsidRDefault="00021557" w:rsidP="00021557">
      <w:pPr>
        <w:pStyle w:val="ListParagraph"/>
        <w:rPr>
          <w:rFonts w:asciiTheme="majorHAnsi" w:hAnsiTheme="majorHAnsi"/>
          <w:sz w:val="20"/>
          <w:szCs w:val="20"/>
        </w:rPr>
      </w:pPr>
    </w:p>
    <w:p w14:paraId="638BD6F0" w14:textId="77777777" w:rsidR="0002155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Mr. Rogovich’s court-appointed appellate counsel filed an appeal raising </w:t>
      </w:r>
      <w:r w:rsidR="009F2349" w:rsidRPr="00224AA7">
        <w:rPr>
          <w:rFonts w:asciiTheme="majorHAnsi" w:hAnsiTheme="majorHAnsi"/>
          <w:sz w:val="20"/>
          <w:szCs w:val="20"/>
        </w:rPr>
        <w:t xml:space="preserve">three issues in ten pages of arguments and, according to the petitioners, only one of these issues was based on </w:t>
      </w:r>
      <w:r w:rsidR="0095713F" w:rsidRPr="00224AA7">
        <w:rPr>
          <w:rFonts w:asciiTheme="majorHAnsi" w:hAnsiTheme="majorHAnsi"/>
          <w:sz w:val="20"/>
          <w:szCs w:val="20"/>
        </w:rPr>
        <w:t>Mr. Rogovich’s</w:t>
      </w:r>
      <w:r w:rsidR="009F2349" w:rsidRPr="00224AA7">
        <w:rPr>
          <w:rFonts w:asciiTheme="majorHAnsi" w:hAnsiTheme="majorHAnsi"/>
          <w:sz w:val="20"/>
          <w:szCs w:val="20"/>
        </w:rPr>
        <w:t xml:space="preserve"> record. Appellate counsel </w:t>
      </w:r>
      <w:r w:rsidR="0095713F" w:rsidRPr="00224AA7">
        <w:rPr>
          <w:rFonts w:asciiTheme="majorHAnsi" w:hAnsiTheme="majorHAnsi"/>
          <w:sz w:val="20"/>
          <w:szCs w:val="20"/>
        </w:rPr>
        <w:t xml:space="preserve">also </w:t>
      </w:r>
      <w:r w:rsidR="009F2349" w:rsidRPr="00224AA7">
        <w:rPr>
          <w:rFonts w:asciiTheme="majorHAnsi" w:hAnsiTheme="majorHAnsi"/>
          <w:sz w:val="20"/>
          <w:szCs w:val="20"/>
        </w:rPr>
        <w:t>conceded Mr. Rogovich’s competency in his briefing to the court. This information was not contested by the State.</w:t>
      </w:r>
      <w:r w:rsidRPr="00224AA7">
        <w:rPr>
          <w:rFonts w:asciiTheme="majorHAnsi" w:hAnsiTheme="majorHAnsi"/>
          <w:sz w:val="20"/>
          <w:szCs w:val="20"/>
        </w:rPr>
        <w:t xml:space="preserve"> The Arizona Supreme Court denied the appeal on February 4, 1997, and the U.S. Supreme Court of Justice denied an application for writ of certiorari on October 6, 1997.</w:t>
      </w:r>
      <w:r w:rsidRPr="00224AA7">
        <w:rPr>
          <w:rStyle w:val="FootnoteReference"/>
          <w:rFonts w:asciiTheme="majorHAnsi" w:hAnsiTheme="majorHAnsi"/>
          <w:sz w:val="20"/>
          <w:szCs w:val="20"/>
        </w:rPr>
        <w:footnoteReference w:id="28"/>
      </w:r>
    </w:p>
    <w:p w14:paraId="4ACF6EC2" w14:textId="77777777" w:rsidR="00F3633B" w:rsidRPr="00224AA7" w:rsidRDefault="00F3633B" w:rsidP="00F3633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9EF972C" w14:textId="77777777" w:rsidR="00E32626" w:rsidRDefault="00E32626">
      <w:pPr>
        <w:rPr>
          <w:rFonts w:asciiTheme="majorHAnsi" w:eastAsiaTheme="majorEastAsia" w:hAnsiTheme="majorHAnsi" w:cstheme="majorBidi"/>
          <w:b/>
          <w:bCs/>
          <w:sz w:val="20"/>
          <w:szCs w:val="20"/>
        </w:rPr>
      </w:pPr>
      <w:bookmarkStart w:id="16" w:name="_Toc90283298"/>
      <w:r>
        <w:rPr>
          <w:sz w:val="20"/>
          <w:szCs w:val="20"/>
        </w:rPr>
        <w:br w:type="page"/>
      </w:r>
    </w:p>
    <w:p w14:paraId="12D8E04C" w14:textId="4AD49F49" w:rsidR="00021557" w:rsidRPr="00224AA7" w:rsidRDefault="00021557" w:rsidP="00021557">
      <w:pPr>
        <w:pStyle w:val="Heading2"/>
        <w:tabs>
          <w:tab w:val="left" w:pos="360"/>
        </w:tabs>
        <w:spacing w:before="0"/>
        <w:rPr>
          <w:color w:val="auto"/>
          <w:sz w:val="20"/>
          <w:szCs w:val="20"/>
        </w:rPr>
      </w:pPr>
      <w:r w:rsidRPr="00224AA7">
        <w:rPr>
          <w:color w:val="auto"/>
          <w:sz w:val="20"/>
          <w:szCs w:val="20"/>
        </w:rPr>
        <w:lastRenderedPageBreak/>
        <w:t>D.</w:t>
      </w:r>
      <w:r w:rsidRPr="00224AA7">
        <w:rPr>
          <w:color w:val="auto"/>
          <w:sz w:val="20"/>
          <w:szCs w:val="20"/>
        </w:rPr>
        <w:tab/>
        <w:t>Post-conviction proceedings</w:t>
      </w:r>
      <w:bookmarkEnd w:id="16"/>
    </w:p>
    <w:p w14:paraId="25217297" w14:textId="77777777" w:rsidR="00021557" w:rsidRPr="00224AA7" w:rsidRDefault="00021557" w:rsidP="00021557">
      <w:pPr>
        <w:pStyle w:val="ListParagraph"/>
        <w:rPr>
          <w:rFonts w:asciiTheme="majorHAnsi" w:hAnsiTheme="majorHAnsi"/>
          <w:sz w:val="20"/>
          <w:szCs w:val="20"/>
        </w:rPr>
      </w:pPr>
    </w:p>
    <w:p w14:paraId="0F35E06D"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On February 4, 1999, Mr. Rogovich filed a notice for post-conviction relief raising 11 claims, such as ineffective assistance of trial and appellate counsel. A request for an evidentiary hearing was denied, and the Court held oral arguments without the alleged victim’s presence. The arguments raised were rejected a few days later. Mr. Rogovich filed a petition for review of this decision to the Arizona Supreme Court, </w:t>
      </w:r>
      <w:r w:rsidR="00190E99">
        <w:rPr>
          <w:rFonts w:asciiTheme="majorHAnsi" w:hAnsiTheme="majorHAnsi"/>
          <w:sz w:val="20"/>
          <w:szCs w:val="20"/>
        </w:rPr>
        <w:t xml:space="preserve">which was </w:t>
      </w:r>
      <w:r w:rsidRPr="00224AA7">
        <w:rPr>
          <w:rFonts w:asciiTheme="majorHAnsi" w:hAnsiTheme="majorHAnsi"/>
          <w:sz w:val="20"/>
          <w:szCs w:val="20"/>
        </w:rPr>
        <w:t>denied on September 28, 2001.</w:t>
      </w:r>
      <w:r w:rsidRPr="00224AA7">
        <w:rPr>
          <w:rStyle w:val="FootnoteReference"/>
          <w:rFonts w:asciiTheme="majorHAnsi" w:hAnsiTheme="majorHAnsi"/>
          <w:sz w:val="20"/>
          <w:szCs w:val="20"/>
        </w:rPr>
        <w:footnoteReference w:id="29"/>
      </w:r>
      <w:r w:rsidRPr="00224AA7">
        <w:rPr>
          <w:rFonts w:asciiTheme="majorHAnsi" w:hAnsiTheme="majorHAnsi"/>
          <w:sz w:val="20"/>
          <w:szCs w:val="20"/>
        </w:rPr>
        <w:t xml:space="preserve"> </w:t>
      </w:r>
    </w:p>
    <w:p w14:paraId="20EF79B6" w14:textId="77777777" w:rsidR="00021557" w:rsidRPr="00224AA7" w:rsidRDefault="00021557" w:rsidP="00021557">
      <w:pPr>
        <w:pStyle w:val="ListParagraph"/>
        <w:rPr>
          <w:rFonts w:asciiTheme="majorHAnsi" w:hAnsiTheme="majorHAnsi"/>
          <w:color w:val="FF0000"/>
          <w:sz w:val="20"/>
          <w:szCs w:val="20"/>
        </w:rPr>
      </w:pPr>
    </w:p>
    <w:p w14:paraId="1E1CF2DE"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On October 5, 2000, Mr. Rogovich filed a petition for a writ of habeas corpus and a stay of execution. On June 4, 2001, he filed a first amended petition for writ of habeas corpus and raised eleven claims.</w:t>
      </w:r>
      <w:r w:rsidRPr="00224AA7">
        <w:rPr>
          <w:rStyle w:val="FootnoteReference"/>
          <w:rFonts w:asciiTheme="majorHAnsi" w:hAnsiTheme="majorHAnsi"/>
          <w:sz w:val="20"/>
          <w:szCs w:val="20"/>
        </w:rPr>
        <w:footnoteReference w:id="30"/>
      </w:r>
      <w:r w:rsidRPr="00224AA7">
        <w:rPr>
          <w:rFonts w:asciiTheme="majorHAnsi" w:hAnsiTheme="majorHAnsi"/>
          <w:sz w:val="20"/>
          <w:szCs w:val="20"/>
        </w:rPr>
        <w:t xml:space="preserve"> Mr. Rogovich filed a series of lawsuits and letters to the judge and to the prosecutor, asking to waive his appeals, followed by letters retracting those requests.</w:t>
      </w:r>
      <w:r w:rsidRPr="00224AA7">
        <w:rPr>
          <w:rStyle w:val="FootnoteReference"/>
          <w:rFonts w:asciiTheme="majorHAnsi" w:hAnsiTheme="majorHAnsi"/>
          <w:sz w:val="20"/>
          <w:szCs w:val="20"/>
        </w:rPr>
        <w:footnoteReference w:id="31"/>
      </w:r>
      <w:r w:rsidRPr="00224AA7">
        <w:rPr>
          <w:rFonts w:asciiTheme="majorHAnsi" w:hAnsiTheme="majorHAnsi"/>
          <w:sz w:val="20"/>
          <w:szCs w:val="20"/>
        </w:rPr>
        <w:t xml:space="preserve"> The Court, consequently, expressed concern about the petitioner’s mental health and his competency to waive appeals. A hearing was ordered and the court stated that his case seemed “as complicated as possible.</w:t>
      </w:r>
      <w:r w:rsidRPr="00224AA7">
        <w:rPr>
          <w:rStyle w:val="FootnoteReference"/>
          <w:rFonts w:asciiTheme="majorHAnsi" w:hAnsiTheme="majorHAnsi"/>
          <w:sz w:val="20"/>
          <w:szCs w:val="20"/>
        </w:rPr>
        <w:footnoteReference w:id="32"/>
      </w:r>
      <w:r w:rsidRPr="00224AA7">
        <w:rPr>
          <w:rFonts w:asciiTheme="majorHAnsi" w:hAnsiTheme="majorHAnsi"/>
          <w:sz w:val="20"/>
          <w:szCs w:val="20"/>
        </w:rPr>
        <w:t>” According to the petitioner, in 2002 Mr. Rogovich filed a second petition for post-conviction relief and withdrew the request after the U.S. Supreme Court refused to apply a precedent retroactively</w:t>
      </w:r>
      <w:r w:rsidRPr="00224AA7">
        <w:rPr>
          <w:rStyle w:val="FootnoteReference"/>
          <w:rFonts w:asciiTheme="majorHAnsi" w:hAnsiTheme="majorHAnsi"/>
          <w:sz w:val="20"/>
          <w:szCs w:val="20"/>
        </w:rPr>
        <w:t xml:space="preserve"> </w:t>
      </w:r>
      <w:r w:rsidRPr="00224AA7">
        <w:rPr>
          <w:rFonts w:asciiTheme="majorHAnsi" w:hAnsiTheme="majorHAnsi"/>
          <w:sz w:val="20"/>
          <w:szCs w:val="20"/>
        </w:rPr>
        <w:t>.</w:t>
      </w:r>
      <w:r w:rsidRPr="00224AA7">
        <w:rPr>
          <w:rStyle w:val="FootnoteReference"/>
          <w:rFonts w:asciiTheme="majorHAnsi" w:hAnsiTheme="majorHAnsi"/>
          <w:sz w:val="20"/>
          <w:szCs w:val="20"/>
        </w:rPr>
        <w:footnoteReference w:id="33"/>
      </w:r>
      <w:r w:rsidRPr="00224AA7">
        <w:rPr>
          <w:rFonts w:asciiTheme="majorHAnsi" w:hAnsiTheme="majorHAnsi"/>
          <w:sz w:val="20"/>
          <w:szCs w:val="20"/>
        </w:rPr>
        <w:t xml:space="preserve"> </w:t>
      </w:r>
    </w:p>
    <w:p w14:paraId="579DE785"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FC7ADFC"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In 2003, a psychiatrist appointed by defense counsel evaluated Mr. Rogovich and concluded that he had “a serious mental illness, schizoaffective disorder, which is a combination of symptoms of schizophrenia and bipolar disorder.</w:t>
      </w:r>
      <w:r w:rsidR="00F70342" w:rsidRPr="00224AA7">
        <w:rPr>
          <w:rFonts w:asciiTheme="majorHAnsi" w:hAnsiTheme="majorHAnsi"/>
          <w:sz w:val="20"/>
          <w:szCs w:val="20"/>
        </w:rPr>
        <w:t>”</w:t>
      </w:r>
      <w:r w:rsidRPr="00224AA7">
        <w:rPr>
          <w:rStyle w:val="FootnoteReference"/>
          <w:rFonts w:asciiTheme="majorHAnsi" w:hAnsiTheme="majorHAnsi"/>
          <w:sz w:val="20"/>
          <w:szCs w:val="20"/>
        </w:rPr>
        <w:footnoteReference w:id="34"/>
      </w:r>
      <w:r w:rsidRPr="00224AA7">
        <w:rPr>
          <w:rFonts w:asciiTheme="majorHAnsi" w:hAnsiTheme="majorHAnsi"/>
          <w:sz w:val="20"/>
          <w:szCs w:val="20"/>
        </w:rPr>
        <w:t xml:space="preserve"> According to the petitioner, on August 4, 2004, Mr. Rogovich was officially classified as “Seriously Mentally Ill,”</w:t>
      </w:r>
      <w:r w:rsidRPr="00224AA7">
        <w:rPr>
          <w:rStyle w:val="FootnoteReference"/>
          <w:rFonts w:asciiTheme="majorHAnsi" w:hAnsiTheme="majorHAnsi"/>
          <w:sz w:val="20"/>
          <w:szCs w:val="20"/>
        </w:rPr>
        <w:footnoteReference w:id="35"/>
      </w:r>
      <w:r w:rsidRPr="00224AA7">
        <w:rPr>
          <w:rFonts w:asciiTheme="majorHAnsi" w:hAnsiTheme="majorHAnsi"/>
          <w:sz w:val="20"/>
          <w:szCs w:val="20"/>
        </w:rPr>
        <w:t xml:space="preserve"> and on September 30, 2008, the Arizona Department of Corrections removed the SMI classification.</w:t>
      </w:r>
      <w:r w:rsidRPr="00224AA7">
        <w:rPr>
          <w:rStyle w:val="FootnoteReference"/>
          <w:rFonts w:asciiTheme="majorHAnsi" w:hAnsiTheme="majorHAnsi"/>
          <w:sz w:val="20"/>
          <w:szCs w:val="20"/>
        </w:rPr>
        <w:footnoteReference w:id="36"/>
      </w:r>
      <w:r w:rsidRPr="00224AA7">
        <w:rPr>
          <w:rFonts w:asciiTheme="majorHAnsi" w:hAnsiTheme="majorHAnsi"/>
          <w:sz w:val="20"/>
          <w:szCs w:val="20"/>
        </w:rPr>
        <w:t xml:space="preserve"> This allegation was not contested by the State. In 2009, the same psychiatrist declared that  his “assessment remain[ed] unchanged from [his] prior evaluation” and that Mr. Rogovich “warrant[ed] the diagnosis of schizoaffective disorder, panic disorder without agoraphobia, borderline personality disorder and polysubstance abuse in a controlled environment.”</w:t>
      </w:r>
      <w:r w:rsidRPr="00224AA7">
        <w:rPr>
          <w:rStyle w:val="FootnoteReference"/>
          <w:rFonts w:asciiTheme="majorHAnsi" w:hAnsiTheme="majorHAnsi"/>
          <w:sz w:val="20"/>
          <w:szCs w:val="20"/>
        </w:rPr>
        <w:footnoteReference w:id="37"/>
      </w:r>
      <w:r w:rsidRPr="00224AA7">
        <w:rPr>
          <w:rFonts w:asciiTheme="majorHAnsi" w:hAnsiTheme="majorHAnsi"/>
          <w:sz w:val="20"/>
          <w:szCs w:val="20"/>
        </w:rPr>
        <w:t xml:space="preserve"> </w:t>
      </w:r>
    </w:p>
    <w:p w14:paraId="0A6A8021" w14:textId="77777777" w:rsidR="00021557" w:rsidRPr="00224AA7" w:rsidRDefault="00021557" w:rsidP="00021557">
      <w:pPr>
        <w:rPr>
          <w:rFonts w:asciiTheme="majorHAnsi" w:hAnsiTheme="majorHAnsi"/>
          <w:sz w:val="20"/>
          <w:szCs w:val="20"/>
        </w:rPr>
      </w:pPr>
    </w:p>
    <w:p w14:paraId="32C234D3"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The alleged victim filed a third petition for post-conviction relief in 2009 before the Maricopa County Superior Court, challenging the constitutionality of the execution because of his serious mental illness. After this petition was denied, he filed a motion for rehearing on October 22, 2009.</w:t>
      </w:r>
      <w:r w:rsidRPr="00224AA7">
        <w:rPr>
          <w:rStyle w:val="FootnoteReference"/>
          <w:rFonts w:asciiTheme="majorHAnsi" w:hAnsiTheme="majorHAnsi"/>
          <w:sz w:val="20"/>
          <w:szCs w:val="20"/>
        </w:rPr>
        <w:footnoteReference w:id="38"/>
      </w:r>
      <w:r w:rsidRPr="00224AA7">
        <w:rPr>
          <w:rFonts w:asciiTheme="majorHAnsi" w:hAnsiTheme="majorHAnsi"/>
          <w:sz w:val="20"/>
          <w:szCs w:val="20"/>
        </w:rPr>
        <w:t xml:space="preserve"> According to publicly available information, between October 27, 2009</w:t>
      </w:r>
      <w:r w:rsidR="00F70342" w:rsidRPr="00224AA7">
        <w:rPr>
          <w:rFonts w:asciiTheme="majorHAnsi" w:hAnsiTheme="majorHAnsi"/>
          <w:sz w:val="20"/>
          <w:szCs w:val="20"/>
        </w:rPr>
        <w:t>,</w:t>
      </w:r>
      <w:r w:rsidRPr="00224AA7">
        <w:rPr>
          <w:rFonts w:asciiTheme="majorHAnsi" w:hAnsiTheme="majorHAnsi"/>
          <w:sz w:val="20"/>
          <w:szCs w:val="20"/>
        </w:rPr>
        <w:t xml:space="preserve"> and April 18, 2013</w:t>
      </w:r>
      <w:r w:rsidR="00F70342" w:rsidRPr="00224AA7">
        <w:rPr>
          <w:rFonts w:asciiTheme="majorHAnsi" w:hAnsiTheme="majorHAnsi"/>
          <w:sz w:val="20"/>
          <w:szCs w:val="20"/>
        </w:rPr>
        <w:t>,</w:t>
      </w:r>
      <w:r w:rsidRPr="00224AA7">
        <w:rPr>
          <w:rFonts w:asciiTheme="majorHAnsi" w:hAnsiTheme="majorHAnsi"/>
          <w:sz w:val="20"/>
          <w:szCs w:val="20"/>
        </w:rPr>
        <w:t xml:space="preserve"> there was no procedural activity regarding Mr. Rogovich’s motion. After this date, the alleged victim filed a request for ruling and, on December 18, 2013, the state court set a status conference for February 21, 2014. On February 28, 2014, one of Mr. Rogovich attorneys withdrew from his case. On May 12 and on June 26, 2015, Mr. Rogovich’s counsel filed a request for extension of time, which was granted. The motion for rehearing was finally dismissed on January 11, 2016.</w:t>
      </w:r>
    </w:p>
    <w:p w14:paraId="5F715D64" w14:textId="77777777" w:rsidR="00021557" w:rsidRPr="00224AA7" w:rsidRDefault="00021557" w:rsidP="00021557">
      <w:pPr>
        <w:pStyle w:val="ListParagraph"/>
        <w:rPr>
          <w:rFonts w:asciiTheme="majorHAnsi" w:hAnsiTheme="majorHAnsi"/>
          <w:sz w:val="20"/>
          <w:szCs w:val="20"/>
        </w:rPr>
      </w:pPr>
    </w:p>
    <w:p w14:paraId="1B189DE5" w14:textId="77777777" w:rsidR="00021557" w:rsidRPr="00224AA7" w:rsidRDefault="00021557" w:rsidP="003D00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On February 6, 2012, the alleged victim filed a complaint for equitable, injunctive and declaratory relief before the United States District Court for the District of Arizona challenging the manner and the means of execution employed by the ADC</w:t>
      </w:r>
      <w:r w:rsidR="00F70342" w:rsidRPr="00224AA7">
        <w:rPr>
          <w:rFonts w:asciiTheme="majorHAnsi" w:hAnsiTheme="majorHAnsi"/>
          <w:sz w:val="20"/>
          <w:szCs w:val="20"/>
        </w:rPr>
        <w:t xml:space="preserve">. </w:t>
      </w:r>
      <w:r w:rsidR="008E0A77" w:rsidRPr="00224AA7">
        <w:rPr>
          <w:rFonts w:asciiTheme="majorHAnsi" w:hAnsiTheme="majorHAnsi"/>
          <w:sz w:val="20"/>
          <w:szCs w:val="20"/>
        </w:rPr>
        <w:t xml:space="preserve">Mr. Rogovich claimed that the 2012 protocol for executions eliminated many safeguards that were previously employed </w:t>
      </w:r>
      <w:r w:rsidR="00D065A9" w:rsidRPr="00224AA7">
        <w:rPr>
          <w:rFonts w:asciiTheme="majorHAnsi" w:hAnsiTheme="majorHAnsi"/>
          <w:sz w:val="20"/>
          <w:szCs w:val="20"/>
        </w:rPr>
        <w:t>and</w:t>
      </w:r>
      <w:r w:rsidR="008E0A77" w:rsidRPr="00224AA7">
        <w:rPr>
          <w:rFonts w:asciiTheme="majorHAnsi" w:hAnsiTheme="majorHAnsi"/>
          <w:sz w:val="20"/>
          <w:szCs w:val="20"/>
        </w:rPr>
        <w:t xml:space="preserve"> that </w:t>
      </w:r>
      <w:r w:rsidR="00D065A9" w:rsidRPr="00224AA7">
        <w:rPr>
          <w:rFonts w:asciiTheme="majorHAnsi" w:hAnsiTheme="majorHAnsi"/>
          <w:sz w:val="20"/>
          <w:szCs w:val="20"/>
        </w:rPr>
        <w:t>it gave</w:t>
      </w:r>
      <w:r w:rsidR="008E0A77" w:rsidRPr="00224AA7">
        <w:rPr>
          <w:rFonts w:asciiTheme="majorHAnsi" w:hAnsiTheme="majorHAnsi"/>
          <w:sz w:val="20"/>
          <w:szCs w:val="20"/>
        </w:rPr>
        <w:t xml:space="preserve"> ADC Director unfettered discretion in determining </w:t>
      </w:r>
      <w:r w:rsidR="008E0A77" w:rsidRPr="00224AA7">
        <w:rPr>
          <w:rFonts w:asciiTheme="majorHAnsi" w:hAnsiTheme="majorHAnsi"/>
          <w:sz w:val="20"/>
          <w:szCs w:val="20"/>
        </w:rPr>
        <w:lastRenderedPageBreak/>
        <w:t>the manner in which a prisoner would be executed, using non FDA approved drugs.</w:t>
      </w:r>
      <w:r w:rsidR="00D065A9" w:rsidRPr="00224AA7">
        <w:rPr>
          <w:rStyle w:val="FootnoteReference"/>
          <w:rFonts w:asciiTheme="majorHAnsi" w:hAnsiTheme="majorHAnsi"/>
          <w:sz w:val="20"/>
          <w:szCs w:val="20"/>
        </w:rPr>
        <w:footnoteReference w:id="39"/>
      </w:r>
      <w:r w:rsidR="008E0A77" w:rsidRPr="00224AA7">
        <w:rPr>
          <w:rFonts w:asciiTheme="majorHAnsi" w:hAnsiTheme="majorHAnsi"/>
          <w:sz w:val="20"/>
          <w:szCs w:val="20"/>
        </w:rPr>
        <w:t xml:space="preserve"> </w:t>
      </w:r>
      <w:r w:rsidR="00B270C2" w:rsidRPr="00224AA7">
        <w:rPr>
          <w:rFonts w:asciiTheme="majorHAnsi" w:hAnsiTheme="majorHAnsi"/>
          <w:sz w:val="20"/>
          <w:szCs w:val="20"/>
        </w:rPr>
        <w:t>According to the information available, t</w:t>
      </w:r>
      <w:r w:rsidR="00F70342" w:rsidRPr="00224AA7">
        <w:rPr>
          <w:rFonts w:asciiTheme="majorHAnsi" w:hAnsiTheme="majorHAnsi"/>
          <w:sz w:val="20"/>
          <w:szCs w:val="20"/>
        </w:rPr>
        <w:t>he complaint</w:t>
      </w:r>
      <w:r w:rsidRPr="00224AA7">
        <w:rPr>
          <w:rFonts w:asciiTheme="majorHAnsi" w:hAnsiTheme="majorHAnsi"/>
          <w:sz w:val="20"/>
          <w:szCs w:val="20"/>
        </w:rPr>
        <w:t xml:space="preserve"> was rejected.</w:t>
      </w:r>
      <w:r w:rsidRPr="00224AA7">
        <w:rPr>
          <w:rStyle w:val="FootnoteReference"/>
        </w:rPr>
        <w:t xml:space="preserve"> </w:t>
      </w:r>
    </w:p>
    <w:p w14:paraId="1A6E287E"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color w:val="FF0000"/>
          <w:sz w:val="20"/>
          <w:szCs w:val="20"/>
        </w:rPr>
      </w:pPr>
    </w:p>
    <w:p w14:paraId="0F143C7F" w14:textId="77777777" w:rsidR="00021557" w:rsidRPr="00224AA7" w:rsidRDefault="00021557" w:rsidP="009C6457">
      <w:pPr>
        <w:pStyle w:val="Heading2"/>
        <w:numPr>
          <w:ilvl w:val="0"/>
          <w:numId w:val="62"/>
        </w:numPr>
        <w:tabs>
          <w:tab w:val="left" w:pos="360"/>
        </w:tabs>
        <w:spacing w:before="0"/>
        <w:ind w:left="0" w:firstLine="0"/>
        <w:rPr>
          <w:color w:val="auto"/>
          <w:sz w:val="20"/>
          <w:szCs w:val="20"/>
        </w:rPr>
      </w:pPr>
      <w:bookmarkStart w:id="17" w:name="_Toc90283299"/>
      <w:r w:rsidRPr="00224AA7">
        <w:rPr>
          <w:color w:val="auto"/>
          <w:sz w:val="20"/>
          <w:szCs w:val="20"/>
        </w:rPr>
        <w:t>Detention Conditions</w:t>
      </w:r>
      <w:bookmarkEnd w:id="17"/>
    </w:p>
    <w:p w14:paraId="16619BFF" w14:textId="77777777" w:rsidR="00021557" w:rsidRPr="00224AA7" w:rsidRDefault="00021557" w:rsidP="00021557">
      <w:pPr>
        <w:rPr>
          <w:rFonts w:asciiTheme="majorHAnsi" w:hAnsiTheme="majorHAnsi"/>
          <w:sz w:val="20"/>
          <w:szCs w:val="20"/>
        </w:rPr>
      </w:pPr>
    </w:p>
    <w:p w14:paraId="39AA4088" w14:textId="77777777" w:rsidR="00021557" w:rsidRPr="00CC232B"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rPr>
      </w:pPr>
      <w:r w:rsidRPr="00CC232B">
        <w:rPr>
          <w:rFonts w:asciiTheme="majorHAnsi" w:hAnsiTheme="majorHAnsi"/>
          <w:sz w:val="20"/>
          <w:szCs w:val="20"/>
        </w:rPr>
        <w:t>The petitioner alleges that Mr. Rogovich was held for more than 20 years in solitary confinement, in a cell without windows and no access to sunlight,</w:t>
      </w:r>
      <w:r w:rsidRPr="00CC232B">
        <w:rPr>
          <w:rStyle w:val="FootnoteReference"/>
          <w:rFonts w:asciiTheme="majorHAnsi" w:hAnsiTheme="majorHAnsi"/>
          <w:sz w:val="20"/>
          <w:szCs w:val="20"/>
        </w:rPr>
        <w:footnoteReference w:id="40"/>
      </w:r>
      <w:r w:rsidRPr="00CC232B">
        <w:rPr>
          <w:rFonts w:asciiTheme="majorHAnsi" w:hAnsiTheme="majorHAnsi"/>
          <w:sz w:val="20"/>
          <w:szCs w:val="20"/>
        </w:rPr>
        <w:t xml:space="preserve"> where the lights remained on even during the night.</w:t>
      </w:r>
      <w:r w:rsidRPr="00CC232B">
        <w:rPr>
          <w:rStyle w:val="FootnoteReference"/>
          <w:rFonts w:asciiTheme="majorHAnsi" w:hAnsiTheme="majorHAnsi"/>
          <w:sz w:val="20"/>
          <w:szCs w:val="20"/>
        </w:rPr>
        <w:footnoteReference w:id="41"/>
      </w:r>
      <w:r w:rsidRPr="00CC232B">
        <w:rPr>
          <w:rFonts w:asciiTheme="majorHAnsi" w:hAnsiTheme="majorHAnsi"/>
          <w:sz w:val="20"/>
          <w:szCs w:val="20"/>
        </w:rPr>
        <w:t xml:space="preserve"> The petitioner also affirms that prisoners could only leave their cells three times a week, for no longer than two hours. The State did not contest these allegations.</w:t>
      </w:r>
    </w:p>
    <w:p w14:paraId="537A7267" w14:textId="77777777" w:rsidR="00021557" w:rsidRPr="00224AA7" w:rsidRDefault="00021557" w:rsidP="00021557">
      <w:pPr>
        <w:tabs>
          <w:tab w:val="left" w:pos="0"/>
        </w:tabs>
        <w:rPr>
          <w:rFonts w:asciiTheme="majorHAnsi" w:hAnsiTheme="majorHAnsi"/>
          <w:color w:val="FF0000"/>
          <w:sz w:val="20"/>
          <w:szCs w:val="20"/>
        </w:rPr>
      </w:pPr>
    </w:p>
    <w:p w14:paraId="1B83C0D2"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63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According to the information available, medication at the ASPC – Eyman Unit is not provided on a regular basis</w:t>
      </w:r>
      <w:r w:rsidRPr="00224AA7">
        <w:rPr>
          <w:rStyle w:val="FootnoteReference"/>
          <w:rFonts w:asciiTheme="majorHAnsi" w:hAnsiTheme="majorHAnsi"/>
          <w:sz w:val="20"/>
          <w:szCs w:val="20"/>
        </w:rPr>
        <w:footnoteReference w:id="42"/>
      </w:r>
      <w:r w:rsidRPr="00224AA7">
        <w:rPr>
          <w:rFonts w:asciiTheme="majorHAnsi" w:hAnsiTheme="majorHAnsi"/>
          <w:sz w:val="20"/>
          <w:szCs w:val="20"/>
        </w:rPr>
        <w:t xml:space="preserve"> and there is a shortage of qualified mental health staff.</w:t>
      </w:r>
      <w:r w:rsidRPr="00224AA7">
        <w:rPr>
          <w:rStyle w:val="FootnoteReference"/>
          <w:rFonts w:asciiTheme="majorHAnsi" w:hAnsiTheme="majorHAnsi"/>
          <w:sz w:val="20"/>
          <w:szCs w:val="20"/>
        </w:rPr>
        <w:footnoteReference w:id="43"/>
      </w:r>
      <w:r w:rsidRPr="00224AA7">
        <w:rPr>
          <w:rFonts w:asciiTheme="majorHAnsi" w:hAnsiTheme="majorHAnsi"/>
          <w:sz w:val="20"/>
          <w:szCs w:val="20"/>
        </w:rPr>
        <w:t xml:space="preserve"> According to reports</w:t>
      </w:r>
      <w:r w:rsidR="00CC232B">
        <w:rPr>
          <w:rFonts w:asciiTheme="majorHAnsi" w:hAnsiTheme="majorHAnsi"/>
          <w:sz w:val="20"/>
          <w:szCs w:val="20"/>
        </w:rPr>
        <w:t>,</w:t>
      </w:r>
      <w:r w:rsidRPr="00224AA7">
        <w:rPr>
          <w:rFonts w:asciiTheme="majorHAnsi" w:hAnsiTheme="majorHAnsi"/>
          <w:sz w:val="20"/>
          <w:szCs w:val="20"/>
        </w:rPr>
        <w:t xml:space="preserve"> of a phychiatrist and an expert on prison-correctional medicine</w:t>
      </w:r>
      <w:r w:rsidR="00CC232B">
        <w:rPr>
          <w:rFonts w:asciiTheme="majorHAnsi" w:hAnsiTheme="majorHAnsi"/>
          <w:sz w:val="20"/>
          <w:szCs w:val="20"/>
        </w:rPr>
        <w:t>,</w:t>
      </w:r>
      <w:r w:rsidRPr="00224AA7">
        <w:rPr>
          <w:rFonts w:asciiTheme="majorHAnsi" w:hAnsiTheme="majorHAnsi"/>
          <w:sz w:val="20"/>
          <w:szCs w:val="20"/>
        </w:rPr>
        <w:t xml:space="preserve"> submitted before domestic courts, “there is failure to see patients at appropriate intervals, patient encounters that are insufficiently thorough (for example, failure to perform a mental status exam or a suicide risk assessment); and inadequate documentation in the medical record.”</w:t>
      </w:r>
      <w:r w:rsidRPr="00224AA7">
        <w:rPr>
          <w:rStyle w:val="FootnoteReference"/>
          <w:rFonts w:asciiTheme="majorHAnsi" w:hAnsiTheme="majorHAnsi"/>
          <w:sz w:val="20"/>
          <w:szCs w:val="20"/>
        </w:rPr>
        <w:footnoteReference w:id="44"/>
      </w:r>
      <w:r w:rsidRPr="00224AA7">
        <w:rPr>
          <w:rFonts w:asciiTheme="majorHAnsi" w:hAnsiTheme="majorHAnsi"/>
          <w:sz w:val="20"/>
          <w:szCs w:val="20"/>
        </w:rPr>
        <w:t xml:space="preserve"> Further “ADC’s delivery of mental health services and its conditions of confinement for prisoners with mental illness fall below the standard of care and create a substantial risk of serious harm or death.”</w:t>
      </w:r>
      <w:r w:rsidRPr="00224AA7">
        <w:rPr>
          <w:rStyle w:val="FootnoteReference"/>
          <w:rFonts w:asciiTheme="majorHAnsi" w:hAnsiTheme="majorHAnsi"/>
          <w:sz w:val="20"/>
          <w:szCs w:val="20"/>
        </w:rPr>
        <w:footnoteReference w:id="45"/>
      </w:r>
    </w:p>
    <w:p w14:paraId="2889053E" w14:textId="77777777" w:rsidR="00021557" w:rsidRPr="00224AA7" w:rsidRDefault="00021557" w:rsidP="00021557">
      <w:pPr>
        <w:pStyle w:val="ListParagraph"/>
        <w:rPr>
          <w:rFonts w:asciiTheme="majorHAnsi" w:hAnsiTheme="majorHAnsi"/>
          <w:color w:val="FF0000"/>
          <w:sz w:val="20"/>
          <w:szCs w:val="20"/>
        </w:rPr>
      </w:pPr>
    </w:p>
    <w:p w14:paraId="2B9AE3E8" w14:textId="77777777" w:rsidR="00021557" w:rsidRPr="00224AA7" w:rsidRDefault="00021557" w:rsidP="009C6457">
      <w:pPr>
        <w:pStyle w:val="Heading2"/>
        <w:numPr>
          <w:ilvl w:val="0"/>
          <w:numId w:val="62"/>
        </w:numPr>
        <w:tabs>
          <w:tab w:val="left" w:pos="360"/>
        </w:tabs>
        <w:spacing w:before="0"/>
        <w:ind w:left="0" w:firstLine="0"/>
        <w:rPr>
          <w:color w:val="auto"/>
          <w:sz w:val="20"/>
          <w:szCs w:val="20"/>
        </w:rPr>
      </w:pPr>
      <w:bookmarkStart w:id="18" w:name="_Toc90283300"/>
      <w:r w:rsidRPr="00224AA7">
        <w:rPr>
          <w:color w:val="auto"/>
          <w:sz w:val="20"/>
          <w:szCs w:val="20"/>
        </w:rPr>
        <w:t>Method of execution</w:t>
      </w:r>
      <w:bookmarkEnd w:id="18"/>
    </w:p>
    <w:p w14:paraId="70260096"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7CF17B5E" w14:textId="77777777" w:rsidR="00021557" w:rsidRPr="00224AA7" w:rsidRDefault="00021557"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The current protocol from the Arizona Department of Corrections establishes:</w:t>
      </w:r>
      <w:r w:rsidRPr="00224AA7">
        <w:rPr>
          <w:rStyle w:val="FootnoteReference"/>
          <w:rFonts w:asciiTheme="majorHAnsi" w:hAnsiTheme="majorHAnsi"/>
          <w:sz w:val="20"/>
          <w:szCs w:val="20"/>
        </w:rPr>
        <w:footnoteReference w:id="46"/>
      </w:r>
      <w:r w:rsidRPr="00224AA7">
        <w:rPr>
          <w:rFonts w:asciiTheme="majorHAnsi" w:hAnsiTheme="majorHAnsi"/>
          <w:sz w:val="20"/>
          <w:szCs w:val="20"/>
        </w:rPr>
        <w:t xml:space="preserve"> </w:t>
      </w:r>
    </w:p>
    <w:p w14:paraId="5716AF2C"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1C4B05BA" w14:textId="77777777" w:rsidR="00021557" w:rsidRPr="004702E9"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rPr>
      </w:pPr>
      <w:r w:rsidRPr="004702E9">
        <w:rPr>
          <w:rFonts w:asciiTheme="majorHAnsi" w:hAnsiTheme="majorHAnsi"/>
          <w:sz w:val="18"/>
          <w:szCs w:val="20"/>
        </w:rPr>
        <w:t>Charts for all chemical protocols follow. The Director shall have the sole discretion as to which drug protocol will be used for the scheduled execution. This decision will be provided to the inmate and their counsel of record in writing at the time the state files a request for Warrant of Execution in the Arizona Supreme Court. If the Department is able to obtain the chemical pentobarbital in sufficient quantity and quality to successfully implement the one-drug protocol with pentobarbital set forth in Chart A, then the Director shall use the one-drug protocol with pentobarbital set forth in Chart A as the drug protocol for execution. If the Department is unable to obtain such pentobarbital, but is able to obtain the chemical sodium pentothal in sufficient quantity and quality to successfully implement the one-drug protocol with sodium pentothal set forth in Chart B, then the Director shall use the one</w:t>
      </w:r>
      <w:r w:rsidR="00846B2C" w:rsidRPr="004702E9">
        <w:rPr>
          <w:rFonts w:asciiTheme="majorHAnsi" w:hAnsiTheme="majorHAnsi"/>
          <w:sz w:val="18"/>
          <w:szCs w:val="20"/>
        </w:rPr>
        <w:t xml:space="preserve"> </w:t>
      </w:r>
      <w:r w:rsidRPr="004702E9">
        <w:rPr>
          <w:rFonts w:asciiTheme="majorHAnsi" w:hAnsiTheme="majorHAnsi"/>
          <w:sz w:val="18"/>
          <w:szCs w:val="20"/>
        </w:rPr>
        <w:t>drug protocol with sodium pentothal set forth in Chart B as the drug protocol for execution.</w:t>
      </w:r>
    </w:p>
    <w:p w14:paraId="052762C7" w14:textId="77777777" w:rsidR="00021557" w:rsidRPr="00224AA7" w:rsidRDefault="00021557" w:rsidP="0002155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720"/>
        <w:jc w:val="both"/>
        <w:rPr>
          <w:rFonts w:asciiTheme="majorHAnsi" w:hAnsiTheme="majorHAnsi"/>
          <w:sz w:val="20"/>
          <w:szCs w:val="20"/>
        </w:rPr>
      </w:pPr>
    </w:p>
    <w:p w14:paraId="5305143B" w14:textId="77777777" w:rsidR="00190F48" w:rsidRPr="00224AA7" w:rsidRDefault="00190F48"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According to publicly available information, in 2014 Arizona executed Joseph Wood</w:t>
      </w:r>
      <w:r w:rsidR="00846B2C" w:rsidRPr="00224AA7">
        <w:rPr>
          <w:rFonts w:asciiTheme="majorHAnsi" w:hAnsiTheme="majorHAnsi"/>
          <w:sz w:val="20"/>
          <w:szCs w:val="20"/>
        </w:rPr>
        <w:t xml:space="preserve">, </w:t>
      </w:r>
      <w:r w:rsidR="00CC232B">
        <w:rPr>
          <w:rFonts w:asciiTheme="majorHAnsi" w:hAnsiTheme="majorHAnsi"/>
          <w:sz w:val="20"/>
          <w:szCs w:val="20"/>
        </w:rPr>
        <w:t>by administering</w:t>
      </w:r>
      <w:r w:rsidR="00846B2C" w:rsidRPr="00224AA7">
        <w:rPr>
          <w:rFonts w:asciiTheme="majorHAnsi" w:hAnsiTheme="majorHAnsi"/>
          <w:sz w:val="20"/>
          <w:szCs w:val="20"/>
        </w:rPr>
        <w:t xml:space="preserve"> 15 doses of</w:t>
      </w:r>
      <w:r w:rsidRPr="00224AA7">
        <w:rPr>
          <w:rFonts w:asciiTheme="majorHAnsi" w:hAnsiTheme="majorHAnsi"/>
          <w:sz w:val="20"/>
          <w:szCs w:val="20"/>
        </w:rPr>
        <w:t xml:space="preserve"> a two-drug cocktail of midazolam and hydromorphone</w:t>
      </w:r>
      <w:r w:rsidR="00304182" w:rsidRPr="00224AA7">
        <w:rPr>
          <w:rFonts w:asciiTheme="majorHAnsi" w:hAnsiTheme="majorHAnsi"/>
          <w:sz w:val="20"/>
          <w:szCs w:val="20"/>
        </w:rPr>
        <w:t xml:space="preserve"> over two hours</w:t>
      </w:r>
      <w:r w:rsidRPr="00224AA7">
        <w:rPr>
          <w:rFonts w:asciiTheme="majorHAnsi" w:hAnsiTheme="majorHAnsi"/>
          <w:sz w:val="20"/>
          <w:szCs w:val="20"/>
        </w:rPr>
        <w:t xml:space="preserve">. </w:t>
      </w:r>
      <w:r w:rsidR="00704B18" w:rsidRPr="00224AA7">
        <w:rPr>
          <w:rFonts w:asciiTheme="majorHAnsi" w:hAnsiTheme="majorHAnsi"/>
          <w:sz w:val="20"/>
          <w:szCs w:val="20"/>
        </w:rPr>
        <w:t>This execution led to a lawsuit challenging the way the stat</w:t>
      </w:r>
      <w:r w:rsidR="00CD7BBE" w:rsidRPr="00224AA7">
        <w:rPr>
          <w:rFonts w:asciiTheme="majorHAnsi" w:hAnsiTheme="majorHAnsi"/>
          <w:sz w:val="20"/>
          <w:szCs w:val="20"/>
        </w:rPr>
        <w:t>e</w:t>
      </w:r>
      <w:r w:rsidR="00704B18" w:rsidRPr="00224AA7">
        <w:rPr>
          <w:rFonts w:asciiTheme="majorHAnsi" w:hAnsiTheme="majorHAnsi"/>
          <w:sz w:val="20"/>
          <w:szCs w:val="20"/>
        </w:rPr>
        <w:t xml:space="preserve"> carrie</w:t>
      </w:r>
      <w:r w:rsidR="00CD7BBE" w:rsidRPr="00224AA7">
        <w:rPr>
          <w:rFonts w:asciiTheme="majorHAnsi" w:hAnsiTheme="majorHAnsi"/>
          <w:sz w:val="20"/>
          <w:szCs w:val="20"/>
        </w:rPr>
        <w:t>d</w:t>
      </w:r>
      <w:r w:rsidR="00704B18" w:rsidRPr="00224AA7">
        <w:rPr>
          <w:rFonts w:asciiTheme="majorHAnsi" w:hAnsiTheme="majorHAnsi"/>
          <w:sz w:val="20"/>
          <w:szCs w:val="20"/>
        </w:rPr>
        <w:t xml:space="preserve"> out the death penalty and the difficulty of finding lethal injection drugs. </w:t>
      </w:r>
      <w:r w:rsidRPr="00224AA7">
        <w:rPr>
          <w:rFonts w:asciiTheme="majorHAnsi" w:hAnsiTheme="majorHAnsi"/>
          <w:sz w:val="20"/>
          <w:szCs w:val="20"/>
        </w:rPr>
        <w:t>A federal judge subsequently issued a stay on executions in Arizona.</w:t>
      </w:r>
      <w:r w:rsidR="008E164D" w:rsidRPr="00224AA7">
        <w:rPr>
          <w:rFonts w:asciiTheme="majorHAnsi" w:hAnsiTheme="majorHAnsi"/>
          <w:sz w:val="20"/>
          <w:szCs w:val="20"/>
        </w:rPr>
        <w:t xml:space="preserve"> </w:t>
      </w:r>
      <w:r w:rsidR="00456FF9" w:rsidRPr="00224AA7">
        <w:rPr>
          <w:rFonts w:asciiTheme="majorHAnsi" w:hAnsiTheme="majorHAnsi"/>
          <w:sz w:val="20"/>
          <w:szCs w:val="20"/>
        </w:rPr>
        <w:t xml:space="preserve">On </w:t>
      </w:r>
      <w:r w:rsidR="00CD7BBE" w:rsidRPr="00224AA7">
        <w:rPr>
          <w:rFonts w:asciiTheme="majorHAnsi" w:hAnsiTheme="majorHAnsi"/>
          <w:sz w:val="20"/>
          <w:szCs w:val="20"/>
        </w:rPr>
        <w:t>June 22, 2017</w:t>
      </w:r>
      <w:r w:rsidR="00456FF9" w:rsidRPr="00224AA7">
        <w:rPr>
          <w:rFonts w:asciiTheme="majorHAnsi" w:hAnsiTheme="majorHAnsi"/>
          <w:sz w:val="20"/>
          <w:szCs w:val="20"/>
        </w:rPr>
        <w:t>, the judge lifted the stay following a settlement</w:t>
      </w:r>
      <w:r w:rsidR="00CD7BBE" w:rsidRPr="00224AA7">
        <w:rPr>
          <w:rFonts w:asciiTheme="majorHAnsi" w:hAnsiTheme="majorHAnsi"/>
          <w:sz w:val="20"/>
          <w:szCs w:val="20"/>
        </w:rPr>
        <w:t xml:space="preserve"> agreement between the Corrections Department and the prisoners’ attorney.</w:t>
      </w:r>
      <w:r w:rsidR="00456FF9" w:rsidRPr="00224AA7">
        <w:rPr>
          <w:rFonts w:asciiTheme="majorHAnsi" w:hAnsiTheme="majorHAnsi"/>
          <w:sz w:val="20"/>
          <w:szCs w:val="20"/>
        </w:rPr>
        <w:t xml:space="preserve"> </w:t>
      </w:r>
      <w:r w:rsidR="005826EA" w:rsidRPr="00224AA7">
        <w:rPr>
          <w:rFonts w:asciiTheme="majorHAnsi" w:hAnsiTheme="majorHAnsi"/>
          <w:sz w:val="20"/>
          <w:szCs w:val="20"/>
        </w:rPr>
        <w:t xml:space="preserve">On July 26, 2019, </w:t>
      </w:r>
      <w:r w:rsidR="008E164D" w:rsidRPr="00224AA7">
        <w:rPr>
          <w:rFonts w:asciiTheme="majorHAnsi" w:hAnsiTheme="majorHAnsi"/>
          <w:sz w:val="20"/>
          <w:szCs w:val="20"/>
        </w:rPr>
        <w:t xml:space="preserve">Arizona’s Attorney General sent a letter to Arizona’s Governor </w:t>
      </w:r>
      <w:r w:rsidR="005826EA" w:rsidRPr="00224AA7">
        <w:rPr>
          <w:rFonts w:asciiTheme="majorHAnsi" w:hAnsiTheme="majorHAnsi"/>
          <w:sz w:val="20"/>
          <w:szCs w:val="20"/>
        </w:rPr>
        <w:t xml:space="preserve">indicating </w:t>
      </w:r>
      <w:r w:rsidR="008E164D" w:rsidRPr="00224AA7">
        <w:rPr>
          <w:rFonts w:asciiTheme="majorHAnsi" w:hAnsiTheme="majorHAnsi"/>
          <w:sz w:val="20"/>
          <w:szCs w:val="20"/>
        </w:rPr>
        <w:t>that</w:t>
      </w:r>
      <w:r w:rsidR="005826EA" w:rsidRPr="00224AA7">
        <w:rPr>
          <w:rFonts w:asciiTheme="majorHAnsi" w:hAnsiTheme="majorHAnsi"/>
          <w:sz w:val="20"/>
          <w:szCs w:val="20"/>
        </w:rPr>
        <w:t xml:space="preserve"> the now-resolved lawsuit removed legal barriers to carrying out executions and that in a recent opinion the U.S. Justice Department </w:t>
      </w:r>
      <w:r w:rsidR="005826EA" w:rsidRPr="00224AA7">
        <w:rPr>
          <w:rFonts w:asciiTheme="majorHAnsi" w:hAnsiTheme="majorHAnsi"/>
          <w:sz w:val="20"/>
          <w:szCs w:val="20"/>
        </w:rPr>
        <w:lastRenderedPageBreak/>
        <w:t>cleared the way for states to import pentobarbital. There is no information regarding when the next execution will be scheduled.</w:t>
      </w:r>
      <w:r w:rsidR="00846B2C" w:rsidRPr="00224AA7">
        <w:rPr>
          <w:rStyle w:val="FootnoteReference"/>
          <w:rFonts w:asciiTheme="majorHAnsi" w:hAnsiTheme="majorHAnsi"/>
          <w:sz w:val="20"/>
          <w:szCs w:val="20"/>
        </w:rPr>
        <w:footnoteReference w:id="47"/>
      </w:r>
    </w:p>
    <w:p w14:paraId="04E5EE29" w14:textId="77777777" w:rsidR="00103ABE" w:rsidRPr="00224AA7" w:rsidRDefault="00103ABE" w:rsidP="00103A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jc w:val="both"/>
        <w:rPr>
          <w:rFonts w:asciiTheme="majorHAnsi" w:hAnsiTheme="majorHAnsi"/>
          <w:sz w:val="20"/>
          <w:szCs w:val="20"/>
        </w:rPr>
      </w:pPr>
    </w:p>
    <w:p w14:paraId="03EE3C64" w14:textId="77777777" w:rsidR="00677DA7" w:rsidRPr="00224AA7" w:rsidRDefault="00677DA7" w:rsidP="003676F1">
      <w:pPr>
        <w:pStyle w:val="Heading1"/>
        <w:tabs>
          <w:tab w:val="left" w:pos="360"/>
        </w:tabs>
        <w:spacing w:before="0"/>
        <w:ind w:hanging="720"/>
        <w:rPr>
          <w:color w:val="auto"/>
          <w:sz w:val="20"/>
          <w:szCs w:val="20"/>
        </w:rPr>
      </w:pPr>
      <w:bookmarkStart w:id="19" w:name="_Toc90283301"/>
      <w:r w:rsidRPr="00224AA7">
        <w:rPr>
          <w:color w:val="auto"/>
          <w:sz w:val="20"/>
          <w:szCs w:val="20"/>
        </w:rPr>
        <w:t>ANALYSIS OF LAW</w:t>
      </w:r>
      <w:bookmarkEnd w:id="19"/>
    </w:p>
    <w:p w14:paraId="658F8338" w14:textId="77777777" w:rsidR="00E57AC6" w:rsidRPr="00224AA7" w:rsidRDefault="00E57AC6" w:rsidP="00E57AC6"/>
    <w:p w14:paraId="4DA9F2B4" w14:textId="77777777" w:rsidR="00677DA7" w:rsidRPr="00224AA7" w:rsidRDefault="00677DA7" w:rsidP="009C6457">
      <w:pPr>
        <w:pStyle w:val="Heading2"/>
        <w:numPr>
          <w:ilvl w:val="0"/>
          <w:numId w:val="61"/>
        </w:numPr>
        <w:tabs>
          <w:tab w:val="left" w:pos="360"/>
        </w:tabs>
        <w:spacing w:before="0"/>
        <w:ind w:left="0" w:firstLine="0"/>
        <w:rPr>
          <w:color w:val="auto"/>
          <w:sz w:val="20"/>
          <w:szCs w:val="20"/>
        </w:rPr>
      </w:pPr>
      <w:bookmarkStart w:id="20" w:name="_Toc90283302"/>
      <w:r w:rsidRPr="00224AA7">
        <w:rPr>
          <w:color w:val="auto"/>
          <w:sz w:val="20"/>
          <w:szCs w:val="20"/>
        </w:rPr>
        <w:t>Preliminary considerations</w:t>
      </w:r>
      <w:bookmarkEnd w:id="20"/>
    </w:p>
    <w:p w14:paraId="0BD0CACC" w14:textId="77777777" w:rsidR="00E57AC6" w:rsidRPr="00224AA7" w:rsidRDefault="00E57AC6" w:rsidP="00E57AC6">
      <w:pPr>
        <w:pStyle w:val="ListParagraph"/>
      </w:pPr>
    </w:p>
    <w:p w14:paraId="64009AB2" w14:textId="77777777" w:rsidR="00E57AC6" w:rsidRPr="00224AA7" w:rsidRDefault="00E57AC6" w:rsidP="00B44448">
      <w:pPr>
        <w:pStyle w:val="parrafos"/>
        <w:numPr>
          <w:ilvl w:val="0"/>
          <w:numId w:val="55"/>
        </w:numPr>
        <w:ind w:left="0" w:firstLine="0"/>
      </w:pPr>
      <w:r w:rsidRPr="00224AA7">
        <w:t xml:space="preserve">Before embarking on its analysis of the merits in the case of </w:t>
      </w:r>
      <w:r w:rsidR="001A4221" w:rsidRPr="00224AA7">
        <w:t>Pete Carl Rogovich</w:t>
      </w:r>
      <w:r w:rsidRPr="00224AA7">
        <w:t xml:space="preserve">, the Inter-American Commission believes it should reiterate its previous rulings regarding the heightened scrutiny to be used in cases involving the death penalty. The right to life has received broad recognition as the supreme human right and as a sine qua non for the enjoyment of all other rights. </w:t>
      </w:r>
    </w:p>
    <w:p w14:paraId="063B8D69" w14:textId="77777777" w:rsidR="00E57AC6" w:rsidRPr="00224AA7" w:rsidRDefault="00E57AC6" w:rsidP="00B444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35ACBA74" w14:textId="77777777" w:rsidR="00E57AC6" w:rsidRPr="00224AA7" w:rsidRDefault="00E57AC6" w:rsidP="00B44448">
      <w:pPr>
        <w:pStyle w:val="parrafos"/>
        <w:numPr>
          <w:ilvl w:val="0"/>
          <w:numId w:val="55"/>
        </w:numPr>
        <w:ind w:left="0" w:firstLine="0"/>
      </w:pPr>
      <w:r w:rsidRPr="00224AA7">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224AA7">
        <w:rPr>
          <w:rStyle w:val="FootnoteReference"/>
        </w:rPr>
        <w:footnoteReference w:id="48"/>
      </w:r>
      <w:r w:rsidRPr="00224AA7">
        <w:t xml:space="preserve"> and it has been set out and applied by the Inter-American Commission in previous capital cases brought before it.</w:t>
      </w:r>
      <w:r w:rsidRPr="00224AA7">
        <w:rPr>
          <w:rStyle w:val="FootnoteReference"/>
        </w:rPr>
        <w:footnoteReference w:id="49"/>
      </w:r>
      <w:r w:rsidRPr="00224AA7">
        <w:t xml:space="preserve"> As the Inter-American Commission has explained, this standard of review is the necessary consequence of the specific penalty at issue and the right to a fair trial and all attendant due process guarantees, among others.</w:t>
      </w:r>
      <w:r w:rsidRPr="00224AA7">
        <w:rPr>
          <w:rStyle w:val="FootnoteReference"/>
        </w:rPr>
        <w:footnoteReference w:id="50"/>
      </w:r>
      <w:r w:rsidRPr="00224AA7">
        <w:t xml:space="preserve"> In the words of the Commission:</w:t>
      </w:r>
    </w:p>
    <w:p w14:paraId="3E79CEA8" w14:textId="77777777" w:rsidR="00E57AC6" w:rsidRPr="00224AA7" w:rsidRDefault="00E57AC6" w:rsidP="00E57AC6">
      <w:pPr>
        <w:pStyle w:val="ListParagraph"/>
        <w:rPr>
          <w:sz w:val="20"/>
          <w:szCs w:val="20"/>
        </w:rPr>
      </w:pPr>
    </w:p>
    <w:p w14:paraId="61F9C6B1" w14:textId="77777777" w:rsidR="00E57AC6" w:rsidRPr="00224AA7" w:rsidRDefault="00E57AC6" w:rsidP="00E57AC6">
      <w:pPr>
        <w:autoSpaceDE w:val="0"/>
        <w:autoSpaceDN w:val="0"/>
        <w:adjustRightInd w:val="0"/>
        <w:ind w:left="360" w:right="360"/>
        <w:jc w:val="both"/>
        <w:rPr>
          <w:rFonts w:ascii="Cambria" w:hAnsi="Cambria" w:cs="Calibri"/>
          <w:sz w:val="18"/>
          <w:szCs w:val="18"/>
        </w:rPr>
      </w:pPr>
      <w:r w:rsidRPr="00224AA7">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224AA7">
        <w:rPr>
          <w:rStyle w:val="FootnoteReference"/>
          <w:rFonts w:ascii="Cambria" w:hAnsi="Cambria"/>
          <w:sz w:val="18"/>
          <w:szCs w:val="18"/>
        </w:rPr>
        <w:footnoteReference w:id="51"/>
      </w:r>
    </w:p>
    <w:p w14:paraId="46484EF7" w14:textId="77777777" w:rsidR="00E57AC6" w:rsidRPr="00224AA7" w:rsidRDefault="00E57AC6" w:rsidP="00E57AC6">
      <w:pPr>
        <w:jc w:val="both"/>
        <w:rPr>
          <w:rFonts w:ascii="Cambria" w:hAnsi="Cambria"/>
          <w:sz w:val="20"/>
          <w:szCs w:val="20"/>
        </w:rPr>
      </w:pPr>
    </w:p>
    <w:p w14:paraId="5F0A2B53" w14:textId="77777777" w:rsidR="00E57AC6" w:rsidRPr="00224AA7"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rPr>
      </w:pPr>
      <w:r w:rsidRPr="00224AA7">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224AA7">
        <w:rPr>
          <w:rFonts w:asciiTheme="majorHAnsi" w:hAnsiTheme="majorHAnsi"/>
          <w:sz w:val="20"/>
          <w:szCs w:val="20"/>
        </w:rPr>
        <w:t xml:space="preserve">not to receive cruel, infamous or unusual punishment, to </w:t>
      </w:r>
      <w:r w:rsidRPr="00224AA7">
        <w:rPr>
          <w:rFonts w:asciiTheme="majorHAnsi" w:hAnsiTheme="majorHAnsi"/>
          <w:sz w:val="20"/>
          <w:szCs w:val="20"/>
        </w:rPr>
        <w:t>due process, and to a fair trial as prescribed under the American Declaration</w:t>
      </w:r>
      <w:r w:rsidR="003B1D61" w:rsidRPr="00224AA7">
        <w:rPr>
          <w:rFonts w:asciiTheme="majorHAnsi" w:hAnsiTheme="majorHAnsi"/>
          <w:sz w:val="20"/>
          <w:szCs w:val="20"/>
        </w:rPr>
        <w:t>,</w:t>
      </w:r>
      <w:r w:rsidRPr="00224AA7">
        <w:rPr>
          <w:rFonts w:asciiTheme="majorHAnsi" w:hAnsiTheme="majorHAnsi"/>
          <w:sz w:val="20"/>
          <w:szCs w:val="20"/>
        </w:rPr>
        <w:t xml:space="preserve"> have been respected by the State. With regard to the legal status of the American</w:t>
      </w:r>
      <w:r w:rsidRPr="00224AA7">
        <w:rPr>
          <w:rFonts w:ascii="Cambria" w:hAnsi="Cambria"/>
          <w:sz w:val="20"/>
        </w:rPr>
        <w:t xml:space="preserve"> Declaration, the IACHR reiterates that:</w:t>
      </w:r>
      <w:r w:rsidRPr="00224AA7">
        <w:rPr>
          <w:rStyle w:val="FootnoteReference"/>
          <w:rFonts w:ascii="Cambria" w:hAnsi="Cambria"/>
          <w:sz w:val="20"/>
          <w:szCs w:val="20"/>
        </w:rPr>
        <w:footnoteReference w:id="52"/>
      </w:r>
      <w:r w:rsidRPr="00224AA7">
        <w:rPr>
          <w:rFonts w:ascii="Cambria" w:hAnsi="Cambria" w:cs="Tahoma"/>
          <w:color w:val="262626"/>
          <w:sz w:val="20"/>
          <w:szCs w:val="20"/>
        </w:rPr>
        <w:t xml:space="preserve"> </w:t>
      </w:r>
    </w:p>
    <w:p w14:paraId="242D07F0" w14:textId="77777777" w:rsidR="00E57AC6" w:rsidRPr="00224AA7" w:rsidRDefault="00E57AC6" w:rsidP="00E57AC6">
      <w:pPr>
        <w:tabs>
          <w:tab w:val="left" w:pos="630"/>
          <w:tab w:val="left" w:pos="810"/>
        </w:tabs>
        <w:autoSpaceDE w:val="0"/>
        <w:autoSpaceDN w:val="0"/>
        <w:adjustRightInd w:val="0"/>
        <w:jc w:val="both"/>
        <w:rPr>
          <w:rFonts w:ascii="Cambria" w:hAnsi="Cambria" w:cs="Calibri"/>
          <w:sz w:val="20"/>
          <w:szCs w:val="20"/>
        </w:rPr>
      </w:pPr>
    </w:p>
    <w:p w14:paraId="6E965488" w14:textId="77777777" w:rsidR="00E57AC6" w:rsidRPr="00224AA7" w:rsidRDefault="00E57AC6" w:rsidP="00E57AC6">
      <w:pPr>
        <w:tabs>
          <w:tab w:val="left" w:pos="630"/>
          <w:tab w:val="left" w:pos="810"/>
        </w:tabs>
        <w:autoSpaceDE w:val="0"/>
        <w:autoSpaceDN w:val="0"/>
        <w:adjustRightInd w:val="0"/>
        <w:ind w:left="360" w:right="360"/>
        <w:jc w:val="both"/>
        <w:rPr>
          <w:rFonts w:ascii="Cambria" w:hAnsi="Cambria" w:cs="Calibri"/>
          <w:sz w:val="18"/>
          <w:szCs w:val="18"/>
        </w:rPr>
      </w:pPr>
      <w:r w:rsidRPr="00224AA7">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1835D726" w14:textId="77777777" w:rsidR="00E57AC6" w:rsidRDefault="00E57AC6" w:rsidP="00E57AC6">
      <w:pPr>
        <w:pStyle w:val="ListParagraph"/>
        <w:rPr>
          <w:sz w:val="20"/>
          <w:szCs w:val="20"/>
        </w:rPr>
      </w:pPr>
    </w:p>
    <w:p w14:paraId="648B9C74" w14:textId="77777777" w:rsidR="00F3633B" w:rsidRDefault="00F3633B" w:rsidP="00E57AC6">
      <w:pPr>
        <w:pStyle w:val="ListParagraph"/>
        <w:rPr>
          <w:sz w:val="20"/>
          <w:szCs w:val="20"/>
        </w:rPr>
      </w:pPr>
    </w:p>
    <w:p w14:paraId="5AFDEB33" w14:textId="77777777" w:rsidR="00F3633B" w:rsidRPr="00224AA7" w:rsidRDefault="00F3633B" w:rsidP="00E57AC6">
      <w:pPr>
        <w:pStyle w:val="ListParagraph"/>
        <w:rPr>
          <w:sz w:val="20"/>
          <w:szCs w:val="20"/>
        </w:rPr>
      </w:pPr>
    </w:p>
    <w:p w14:paraId="5A34F44B" w14:textId="77777777" w:rsidR="00E57AC6" w:rsidRPr="00224AA7"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224AA7">
        <w:rPr>
          <w:rFonts w:asciiTheme="majorHAnsi" w:hAnsiTheme="majorHAnsi"/>
          <w:sz w:val="20"/>
        </w:rPr>
        <w:lastRenderedPageBreak/>
        <w:t xml:space="preserve">Finally, the Commission recalls that its review does not consist of determining that the death penalty in and of itself violates the American Declaration. What this section addresses is the standard of review of the alleged human rights violations in the context of </w:t>
      </w:r>
      <w:r w:rsidR="002E3921" w:rsidRPr="00224AA7">
        <w:rPr>
          <w:rFonts w:asciiTheme="majorHAnsi" w:hAnsiTheme="majorHAnsi"/>
          <w:sz w:val="20"/>
        </w:rPr>
        <w:t>criminal proceedings in a case involving the application of t</w:t>
      </w:r>
      <w:r w:rsidRPr="00224AA7">
        <w:rPr>
          <w:rFonts w:asciiTheme="majorHAnsi" w:hAnsiTheme="majorHAnsi"/>
          <w:sz w:val="20"/>
        </w:rPr>
        <w:t>he death penalty.</w:t>
      </w:r>
    </w:p>
    <w:p w14:paraId="3C8CC93F" w14:textId="77777777" w:rsidR="00E57AC6" w:rsidRPr="00224AA7" w:rsidRDefault="00E57AC6" w:rsidP="00B55F23">
      <w:pPr>
        <w:pStyle w:val="Heading2"/>
        <w:tabs>
          <w:tab w:val="left" w:pos="360"/>
        </w:tabs>
        <w:spacing w:before="0"/>
        <w:rPr>
          <w:sz w:val="20"/>
          <w:szCs w:val="20"/>
        </w:rPr>
      </w:pPr>
    </w:p>
    <w:p w14:paraId="0011543A" w14:textId="77777777" w:rsidR="00677DA7" w:rsidRPr="00224AA7" w:rsidRDefault="00582D0D" w:rsidP="009C6457">
      <w:pPr>
        <w:pStyle w:val="Heading2"/>
        <w:numPr>
          <w:ilvl w:val="0"/>
          <w:numId w:val="61"/>
        </w:numPr>
        <w:tabs>
          <w:tab w:val="left" w:pos="360"/>
        </w:tabs>
        <w:spacing w:before="0"/>
        <w:ind w:left="0" w:firstLine="0"/>
        <w:jc w:val="both"/>
        <w:rPr>
          <w:color w:val="auto"/>
          <w:sz w:val="20"/>
          <w:szCs w:val="20"/>
        </w:rPr>
      </w:pPr>
      <w:bookmarkStart w:id="21" w:name="_Toc90283303"/>
      <w:r w:rsidRPr="00224AA7">
        <w:rPr>
          <w:color w:val="auto"/>
          <w:sz w:val="20"/>
          <w:szCs w:val="20"/>
        </w:rPr>
        <w:t>R</w:t>
      </w:r>
      <w:r w:rsidR="00AB2ECE" w:rsidRPr="00224AA7">
        <w:rPr>
          <w:color w:val="auto"/>
          <w:sz w:val="20"/>
          <w:szCs w:val="20"/>
        </w:rPr>
        <w:t>ight to a fair trial</w:t>
      </w:r>
      <w:r w:rsidR="002E3921" w:rsidRPr="00224AA7">
        <w:rPr>
          <w:color w:val="auto"/>
          <w:sz w:val="20"/>
          <w:szCs w:val="20"/>
        </w:rPr>
        <w:t>,</w:t>
      </w:r>
      <w:r w:rsidR="00F61B4C" w:rsidRPr="00224AA7">
        <w:rPr>
          <w:rStyle w:val="FootnoteReference"/>
          <w:color w:val="auto"/>
          <w:sz w:val="20"/>
          <w:szCs w:val="20"/>
        </w:rPr>
        <w:footnoteReference w:id="53"/>
      </w:r>
      <w:r w:rsidR="002E3921" w:rsidRPr="00224AA7">
        <w:rPr>
          <w:color w:val="auto"/>
          <w:sz w:val="20"/>
          <w:szCs w:val="20"/>
        </w:rPr>
        <w:t xml:space="preserve"> right of petition,</w:t>
      </w:r>
      <w:r w:rsidR="009C03AE" w:rsidRPr="00224AA7">
        <w:rPr>
          <w:rStyle w:val="FootnoteReference"/>
          <w:color w:val="auto"/>
          <w:sz w:val="20"/>
          <w:szCs w:val="20"/>
        </w:rPr>
        <w:footnoteReference w:id="54"/>
      </w:r>
      <w:r w:rsidR="00BE66B0" w:rsidRPr="00224AA7">
        <w:rPr>
          <w:color w:val="auto"/>
          <w:sz w:val="20"/>
          <w:szCs w:val="20"/>
        </w:rPr>
        <w:t xml:space="preserve"> and</w:t>
      </w:r>
      <w:r w:rsidR="00AB2ECE" w:rsidRPr="00224AA7">
        <w:rPr>
          <w:color w:val="auto"/>
          <w:sz w:val="20"/>
          <w:szCs w:val="20"/>
        </w:rPr>
        <w:t xml:space="preserve"> </w:t>
      </w:r>
      <w:r w:rsidR="00B55F23" w:rsidRPr="00224AA7">
        <w:rPr>
          <w:color w:val="auto"/>
          <w:sz w:val="20"/>
          <w:szCs w:val="20"/>
        </w:rPr>
        <w:t>right to due process of law</w:t>
      </w:r>
      <w:r w:rsidR="00F61B4C" w:rsidRPr="00224AA7">
        <w:rPr>
          <w:rStyle w:val="FootnoteReference"/>
          <w:color w:val="auto"/>
          <w:sz w:val="20"/>
          <w:szCs w:val="20"/>
        </w:rPr>
        <w:footnoteReference w:id="55"/>
      </w:r>
      <w:bookmarkEnd w:id="21"/>
      <w:r w:rsidR="00B55F23" w:rsidRPr="00224AA7">
        <w:rPr>
          <w:color w:val="auto"/>
          <w:sz w:val="20"/>
          <w:szCs w:val="20"/>
        </w:rPr>
        <w:t xml:space="preserve"> </w:t>
      </w:r>
    </w:p>
    <w:p w14:paraId="33D8DC7C" w14:textId="77777777" w:rsidR="002C6C33" w:rsidRPr="00224AA7" w:rsidRDefault="002C6C33" w:rsidP="002C6C33">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218F495B" w14:textId="77777777" w:rsidR="006E1407" w:rsidRPr="00224AA7" w:rsidRDefault="002C6C33" w:rsidP="00224AA7">
      <w:pPr>
        <w:pStyle w:val="Heading3"/>
        <w:numPr>
          <w:ilvl w:val="1"/>
          <w:numId w:val="53"/>
        </w:numPr>
        <w:spacing w:before="0"/>
        <w:ind w:left="360"/>
        <w:rPr>
          <w:color w:val="auto"/>
          <w:sz w:val="20"/>
          <w:szCs w:val="20"/>
        </w:rPr>
      </w:pPr>
      <w:bookmarkStart w:id="22" w:name="_Toc90283304"/>
      <w:r w:rsidRPr="00224AA7">
        <w:rPr>
          <w:color w:val="auto"/>
          <w:sz w:val="20"/>
          <w:szCs w:val="20"/>
        </w:rPr>
        <w:t>Ineffective assistance</w:t>
      </w:r>
      <w:r w:rsidR="000C5DEE" w:rsidRPr="00224AA7">
        <w:rPr>
          <w:color w:val="auto"/>
          <w:sz w:val="20"/>
          <w:szCs w:val="20"/>
        </w:rPr>
        <w:t xml:space="preserve"> of </w:t>
      </w:r>
      <w:r w:rsidR="00AB6F62" w:rsidRPr="00224AA7">
        <w:rPr>
          <w:color w:val="auto"/>
          <w:sz w:val="20"/>
          <w:szCs w:val="20"/>
        </w:rPr>
        <w:t xml:space="preserve">court-appointed </w:t>
      </w:r>
      <w:r w:rsidR="000C5DEE" w:rsidRPr="00224AA7">
        <w:rPr>
          <w:color w:val="auto"/>
          <w:sz w:val="20"/>
          <w:szCs w:val="20"/>
        </w:rPr>
        <w:t>counsel</w:t>
      </w:r>
      <w:bookmarkEnd w:id="22"/>
      <w:r w:rsidR="000C5DEE" w:rsidRPr="00224AA7">
        <w:rPr>
          <w:color w:val="auto"/>
          <w:sz w:val="20"/>
          <w:szCs w:val="20"/>
        </w:rPr>
        <w:t xml:space="preserve"> </w:t>
      </w:r>
    </w:p>
    <w:p w14:paraId="10FDF40A" w14:textId="77777777" w:rsidR="000C5DEE" w:rsidRPr="00224AA7" w:rsidRDefault="000C5DEE" w:rsidP="000C5DEE">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7987DE26" w14:textId="77777777" w:rsidR="00D12883" w:rsidRPr="00224AA7" w:rsidRDefault="00D12883" w:rsidP="00D128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224AA7">
        <w:rPr>
          <w:rFonts w:asciiTheme="majorHAnsi" w:hAnsiTheme="majorHAnsi"/>
          <w:sz w:val="20"/>
          <w:szCs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224AA7">
        <w:rPr>
          <w:rStyle w:val="FootnoteReference"/>
          <w:rFonts w:asciiTheme="majorHAnsi" w:eastAsia="Arial Unicode MS" w:hAnsiTheme="majorHAnsi"/>
          <w:sz w:val="20"/>
          <w:szCs w:val="20"/>
          <w:bdr w:val="nil"/>
        </w:rPr>
        <w:footnoteReference w:id="56"/>
      </w:r>
      <w:r w:rsidRPr="00224AA7">
        <w:rPr>
          <w:rFonts w:asciiTheme="majorHAnsi" w:hAnsiTheme="majorHAnsi"/>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224AA7">
        <w:rPr>
          <w:rStyle w:val="FootnoteReference"/>
          <w:rFonts w:asciiTheme="majorHAnsi" w:eastAsia="Arial Unicode MS" w:hAnsiTheme="majorHAnsi"/>
          <w:sz w:val="20"/>
          <w:szCs w:val="20"/>
          <w:bdr w:val="nil"/>
        </w:rPr>
        <w:footnoteReference w:id="57"/>
      </w:r>
    </w:p>
    <w:p w14:paraId="6C6252AF" w14:textId="77777777" w:rsidR="00D12883" w:rsidRPr="00224AA7" w:rsidRDefault="00D12883" w:rsidP="00D12883">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130AFF95" w14:textId="77777777" w:rsidR="00D12883" w:rsidRPr="00224AA7" w:rsidRDefault="00D12883" w:rsidP="00D12883">
      <w:pPr>
        <w:pStyle w:val="NormalWeb"/>
        <w:numPr>
          <w:ilvl w:val="0"/>
          <w:numId w:val="55"/>
        </w:numPr>
        <w:shd w:val="clear" w:color="auto" w:fill="FFFFFF"/>
        <w:tabs>
          <w:tab w:val="left" w:pos="360"/>
        </w:tabs>
        <w:spacing w:before="0" w:beforeAutospacing="0" w:after="0" w:afterAutospacing="0"/>
        <w:ind w:left="0" w:firstLine="0"/>
        <w:jc w:val="both"/>
        <w:rPr>
          <w:rStyle w:val="FootnoteReference"/>
        </w:rPr>
      </w:pPr>
      <w:r w:rsidRPr="00224AA7">
        <w:rPr>
          <w:rFonts w:ascii="Cambria" w:hAnsi="Cambria"/>
          <w:sz w:val="20"/>
          <w:szCs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  In the present case, the interests at stake included the potential application of the death penalty, and the assistance of counsel must be evaluated in that context.</w:t>
      </w:r>
      <w:r w:rsidRPr="00224AA7">
        <w:rPr>
          <w:rStyle w:val="FootnoteReference"/>
          <w:rFonts w:asciiTheme="majorHAnsi" w:hAnsiTheme="majorHAnsi"/>
          <w:sz w:val="20"/>
          <w:szCs w:val="20"/>
        </w:rPr>
        <w:footnoteReference w:id="58"/>
      </w:r>
      <w:r w:rsidRPr="00224AA7">
        <w:rPr>
          <w:rStyle w:val="FootnoteReference"/>
          <w:rFonts w:asciiTheme="majorHAnsi" w:hAnsiTheme="majorHAnsi"/>
        </w:rPr>
        <w:t xml:space="preserve"> </w:t>
      </w:r>
    </w:p>
    <w:p w14:paraId="27FBC249" w14:textId="77777777" w:rsidR="00D12883" w:rsidRPr="00224AA7" w:rsidRDefault="00D12883" w:rsidP="00D12883">
      <w:pPr>
        <w:pStyle w:val="ListParagraph"/>
        <w:rPr>
          <w:sz w:val="20"/>
          <w:szCs w:val="20"/>
        </w:rPr>
      </w:pPr>
    </w:p>
    <w:p w14:paraId="0059251E" w14:textId="77777777" w:rsidR="00D12883" w:rsidRPr="00224AA7" w:rsidRDefault="00D12883" w:rsidP="00D128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224AA7">
        <w:rPr>
          <w:rFonts w:ascii="Cambria" w:hAnsi="Cambria"/>
          <w:sz w:val="20"/>
          <w:szCs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224AA7">
        <w:rPr>
          <w:rStyle w:val="FootnoteReference"/>
          <w:rFonts w:asciiTheme="majorHAnsi" w:hAnsiTheme="majorHAnsi"/>
          <w:sz w:val="20"/>
        </w:rPr>
        <w:footnoteReference w:id="59"/>
      </w:r>
      <w:r w:rsidRPr="00224AA7">
        <w:rPr>
          <w:rFonts w:ascii="Cambria" w:hAnsi="Cambria"/>
          <w:sz w:val="20"/>
          <w:szCs w:val="20"/>
        </w:rPr>
        <w:t xml:space="preserve"> The Commission has also indicated that due process protections, under the Declaration: </w:t>
      </w:r>
    </w:p>
    <w:p w14:paraId="76F1A505" w14:textId="77777777" w:rsidR="00D12883" w:rsidRPr="00224AA7" w:rsidRDefault="00D12883" w:rsidP="00D12883">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2F54A8B4" w14:textId="77777777" w:rsidR="00D12883" w:rsidRPr="00224AA7" w:rsidRDefault="00D12883" w:rsidP="00D12883">
      <w:pPr>
        <w:pBdr>
          <w:top w:val="none" w:sz="0" w:space="0" w:color="auto"/>
          <w:left w:val="none" w:sz="0" w:space="0" w:color="auto"/>
          <w:bottom w:val="none" w:sz="0" w:space="0" w:color="auto"/>
          <w:right w:val="none" w:sz="0" w:space="0" w:color="auto"/>
          <w:bar w:val="none" w:sz="0" w:color="auto"/>
        </w:pBdr>
        <w:ind w:left="360" w:right="360"/>
        <w:jc w:val="both"/>
        <w:rPr>
          <w:rFonts w:ascii="Cambria" w:hAnsi="Cambria"/>
          <w:sz w:val="18"/>
          <w:szCs w:val="18"/>
        </w:rPr>
      </w:pPr>
      <w:r w:rsidRPr="00224AA7">
        <w:rPr>
          <w:rFonts w:ascii="Cambria" w:hAnsi="Cambria"/>
          <w:sz w:val="18"/>
          <w:szCs w:val="18"/>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224AA7">
        <w:rPr>
          <w:rStyle w:val="FootnoteReference"/>
          <w:rFonts w:ascii="Cambria" w:hAnsi="Cambria"/>
          <w:sz w:val="18"/>
          <w:szCs w:val="18"/>
        </w:rPr>
        <w:footnoteReference w:id="60"/>
      </w:r>
    </w:p>
    <w:p w14:paraId="5DD8DB3A" w14:textId="77777777" w:rsidR="00D12883" w:rsidRPr="00224AA7" w:rsidRDefault="00D12883" w:rsidP="00D128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rPr>
      </w:pPr>
    </w:p>
    <w:p w14:paraId="635F381B" w14:textId="77777777" w:rsidR="00D12883" w:rsidRPr="00224AA7" w:rsidRDefault="00D12883" w:rsidP="00D128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224AA7">
        <w:rPr>
          <w:rStyle w:val="FootnoteReference"/>
          <w:rFonts w:asciiTheme="majorHAnsi" w:hAnsiTheme="majorHAnsi"/>
          <w:sz w:val="20"/>
        </w:rPr>
        <w:footnoteReference w:id="61"/>
      </w:r>
      <w:r w:rsidRPr="00224AA7">
        <w:rPr>
          <w:rFonts w:ascii="Cambria" w:hAnsi="Cambria"/>
          <w:sz w:val="20"/>
          <w:szCs w:val="20"/>
        </w:rPr>
        <w:t xml:space="preserve"> </w:t>
      </w:r>
      <w:r w:rsidRPr="00224AA7">
        <w:rPr>
          <w:rFonts w:ascii="Cambria" w:hAnsi="Cambria"/>
          <w:sz w:val="20"/>
          <w:szCs w:val="20"/>
        </w:rPr>
        <w:lastRenderedPageBreak/>
        <w:t>According to these guidelines, the duty of counsel in the United States to investigate and present mitigating evidence is now well-established and “[b]ecause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224AA7">
        <w:rPr>
          <w:rStyle w:val="FootnoteReference"/>
          <w:rFonts w:asciiTheme="majorHAnsi" w:hAnsiTheme="majorHAnsi"/>
          <w:sz w:val="20"/>
        </w:rPr>
        <w:footnoteReference w:id="62"/>
      </w:r>
      <w:r w:rsidRPr="00224AA7">
        <w:rPr>
          <w:rFonts w:ascii="Cambria" w:hAnsi="Cambria"/>
          <w:sz w:val="20"/>
          <w:szCs w:val="20"/>
        </w:rPr>
        <w:t xml:space="preserve"> 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224AA7">
        <w:rPr>
          <w:rStyle w:val="FootnoteReference"/>
          <w:rFonts w:asciiTheme="majorHAnsi" w:hAnsiTheme="majorHAnsi"/>
          <w:sz w:val="20"/>
        </w:rPr>
        <w:footnoteReference w:id="63"/>
      </w:r>
      <w:r w:rsidRPr="00224AA7">
        <w:rPr>
          <w:rStyle w:val="FootnoteReference"/>
          <w:rFonts w:asciiTheme="majorHAnsi" w:hAnsiTheme="majorHAnsi"/>
        </w:rPr>
        <w:t xml:space="preserve"> </w:t>
      </w:r>
    </w:p>
    <w:p w14:paraId="56F83D32" w14:textId="77777777" w:rsidR="00AB6F62" w:rsidRPr="00224AA7" w:rsidRDefault="00AB6F62"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0C509BC2" w14:textId="77777777" w:rsidR="00AB6F62" w:rsidRPr="00224AA7" w:rsidRDefault="00E54100" w:rsidP="00D128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Theme="majorHAnsi" w:hAnsiTheme="majorHAnsi"/>
          <w:sz w:val="20"/>
          <w:szCs w:val="20"/>
        </w:rPr>
        <w:t xml:space="preserve">In the instant case, the petitioner </w:t>
      </w:r>
      <w:r w:rsidR="005B12C2" w:rsidRPr="00224AA7">
        <w:rPr>
          <w:rFonts w:asciiTheme="majorHAnsi" w:hAnsiTheme="majorHAnsi"/>
          <w:sz w:val="20"/>
          <w:szCs w:val="20"/>
        </w:rPr>
        <w:t>claims</w:t>
      </w:r>
      <w:r w:rsidRPr="00224AA7">
        <w:rPr>
          <w:rFonts w:asciiTheme="majorHAnsi" w:hAnsiTheme="majorHAnsi"/>
          <w:sz w:val="20"/>
          <w:szCs w:val="20"/>
        </w:rPr>
        <w:t xml:space="preserve"> that Mr. Rogovich was provided incompetent legal representation at trial and on direct appeal. </w:t>
      </w:r>
      <w:r w:rsidR="005B12C2" w:rsidRPr="00224AA7">
        <w:rPr>
          <w:rFonts w:asciiTheme="majorHAnsi" w:hAnsiTheme="majorHAnsi"/>
          <w:sz w:val="20"/>
          <w:szCs w:val="20"/>
        </w:rPr>
        <w:t>The State alleges that legal representation during trial, appellate, and post-conviction relie</w:t>
      </w:r>
      <w:r w:rsidR="002E5A58">
        <w:rPr>
          <w:rFonts w:asciiTheme="majorHAnsi" w:hAnsiTheme="majorHAnsi"/>
          <w:sz w:val="20"/>
          <w:szCs w:val="20"/>
        </w:rPr>
        <w:t>f</w:t>
      </w:r>
      <w:r w:rsidR="005B12C2" w:rsidRPr="00224AA7">
        <w:rPr>
          <w:rFonts w:asciiTheme="majorHAnsi" w:hAnsiTheme="majorHAnsi"/>
          <w:sz w:val="20"/>
          <w:szCs w:val="20"/>
        </w:rPr>
        <w:t xml:space="preserve"> proceedings met constitutional standards of competence.</w:t>
      </w:r>
    </w:p>
    <w:p w14:paraId="0B7406DF" w14:textId="77777777" w:rsidR="00F27F00" w:rsidRPr="00224AA7" w:rsidRDefault="00F27F00" w:rsidP="00F27F00">
      <w:pPr>
        <w:pStyle w:val="NormalWeb"/>
        <w:shd w:val="clear" w:color="auto" w:fill="FFFFFF"/>
        <w:tabs>
          <w:tab w:val="left" w:pos="360"/>
        </w:tabs>
        <w:spacing w:before="0" w:beforeAutospacing="0" w:after="0" w:afterAutospacing="0"/>
        <w:jc w:val="both"/>
        <w:rPr>
          <w:rFonts w:ascii="Cambria" w:eastAsia="Cambria" w:hAnsi="Cambria" w:cs="Cambria"/>
          <w:color w:val="000000"/>
          <w:sz w:val="20"/>
          <w:szCs w:val="20"/>
          <w:u w:color="000000"/>
          <w:bdr w:val="nil"/>
          <w:lang w:eastAsia="es-ES"/>
        </w:rPr>
      </w:pPr>
    </w:p>
    <w:p w14:paraId="7D383E9F" w14:textId="77777777" w:rsidR="00FA21FC" w:rsidRPr="00224AA7" w:rsidRDefault="00FC3E0A" w:rsidP="00F27F00">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224AA7">
        <w:rPr>
          <w:rFonts w:asciiTheme="majorHAnsi" w:hAnsiTheme="majorHAnsi"/>
          <w:sz w:val="20"/>
          <w:szCs w:val="20"/>
        </w:rPr>
        <w:t>The petitioner argues that the State provided incompetent defense counsel, given that trial counsel waived Mr. Rogovich</w:t>
      </w:r>
      <w:r w:rsidR="002368C5" w:rsidRPr="00224AA7">
        <w:rPr>
          <w:rFonts w:asciiTheme="majorHAnsi" w:hAnsiTheme="majorHAnsi"/>
          <w:sz w:val="20"/>
          <w:szCs w:val="20"/>
        </w:rPr>
        <w:t>’s</w:t>
      </w:r>
      <w:r w:rsidRPr="00224AA7">
        <w:rPr>
          <w:rFonts w:asciiTheme="majorHAnsi" w:hAnsiTheme="majorHAnsi"/>
          <w:sz w:val="20"/>
          <w:szCs w:val="20"/>
        </w:rPr>
        <w:t xml:space="preserve"> presence during the jury selection stage and presented a defense of insanity without consulting the alleged victim. The IACHR notes in this regard that, throughout the proceedings before the Commission, the petitioner </w:t>
      </w:r>
      <w:r w:rsidR="00EC5123" w:rsidRPr="00224AA7">
        <w:rPr>
          <w:rFonts w:asciiTheme="majorHAnsi" w:hAnsiTheme="majorHAnsi"/>
          <w:sz w:val="20"/>
          <w:szCs w:val="20"/>
        </w:rPr>
        <w:t xml:space="preserve">consistently </w:t>
      </w:r>
      <w:r w:rsidRPr="00224AA7">
        <w:rPr>
          <w:rFonts w:asciiTheme="majorHAnsi" w:hAnsiTheme="majorHAnsi"/>
          <w:sz w:val="20"/>
          <w:szCs w:val="20"/>
        </w:rPr>
        <w:t xml:space="preserve">alleged that </w:t>
      </w:r>
      <w:r w:rsidR="00EC5123" w:rsidRPr="00224AA7">
        <w:rPr>
          <w:rFonts w:asciiTheme="majorHAnsi" w:hAnsiTheme="majorHAnsi"/>
          <w:sz w:val="20"/>
          <w:szCs w:val="20"/>
        </w:rPr>
        <w:t xml:space="preserve">Mr. Rogovich suffered at the time, and still suffers, from severe mental illness, </w:t>
      </w:r>
      <w:r w:rsidR="002E5A58">
        <w:rPr>
          <w:rFonts w:asciiTheme="majorHAnsi" w:hAnsiTheme="majorHAnsi"/>
          <w:sz w:val="20"/>
          <w:szCs w:val="20"/>
        </w:rPr>
        <w:t xml:space="preserve">an </w:t>
      </w:r>
      <w:r w:rsidR="00EC5123" w:rsidRPr="00224AA7">
        <w:rPr>
          <w:rFonts w:asciiTheme="majorHAnsi" w:hAnsiTheme="majorHAnsi"/>
          <w:sz w:val="20"/>
          <w:szCs w:val="20"/>
        </w:rPr>
        <w:t xml:space="preserve">allegation that will be analyzed below. </w:t>
      </w:r>
      <w:r w:rsidR="00BE3967" w:rsidRPr="00224AA7">
        <w:rPr>
          <w:rFonts w:asciiTheme="majorHAnsi" w:hAnsiTheme="majorHAnsi"/>
          <w:sz w:val="20"/>
          <w:szCs w:val="20"/>
        </w:rPr>
        <w:t xml:space="preserve">The Commission agrees with the State in the </w:t>
      </w:r>
      <w:r w:rsidR="002E5A58">
        <w:rPr>
          <w:rFonts w:asciiTheme="majorHAnsi" w:hAnsiTheme="majorHAnsi"/>
          <w:sz w:val="20"/>
          <w:szCs w:val="20"/>
        </w:rPr>
        <w:t>regard</w:t>
      </w:r>
      <w:r w:rsidR="002E5A58" w:rsidRPr="00224AA7">
        <w:rPr>
          <w:rFonts w:asciiTheme="majorHAnsi" w:hAnsiTheme="majorHAnsi"/>
          <w:sz w:val="20"/>
          <w:szCs w:val="20"/>
        </w:rPr>
        <w:t xml:space="preserve"> </w:t>
      </w:r>
      <w:r w:rsidR="00BE3967" w:rsidRPr="00224AA7">
        <w:rPr>
          <w:rFonts w:asciiTheme="majorHAnsi" w:hAnsiTheme="majorHAnsi"/>
          <w:sz w:val="20"/>
          <w:szCs w:val="20"/>
        </w:rPr>
        <w:t xml:space="preserve">that there </w:t>
      </w:r>
      <w:r w:rsidR="00BF2EA8" w:rsidRPr="00224AA7">
        <w:rPr>
          <w:rFonts w:asciiTheme="majorHAnsi" w:hAnsiTheme="majorHAnsi"/>
          <w:sz w:val="20"/>
          <w:szCs w:val="20"/>
        </w:rPr>
        <w:t xml:space="preserve">could </w:t>
      </w:r>
      <w:r w:rsidR="00BE3967" w:rsidRPr="00224AA7">
        <w:rPr>
          <w:rFonts w:asciiTheme="majorHAnsi" w:hAnsiTheme="majorHAnsi"/>
          <w:sz w:val="20"/>
          <w:szCs w:val="20"/>
        </w:rPr>
        <w:t xml:space="preserve">be a contradiction between </w:t>
      </w:r>
      <w:r w:rsidR="00647033" w:rsidRPr="00224AA7">
        <w:rPr>
          <w:rFonts w:asciiTheme="majorHAnsi" w:hAnsiTheme="majorHAnsi"/>
          <w:sz w:val="20"/>
          <w:szCs w:val="20"/>
        </w:rPr>
        <w:t>both allegations.</w:t>
      </w:r>
      <w:r w:rsidR="00BE3967" w:rsidRPr="00224AA7">
        <w:rPr>
          <w:rFonts w:asciiTheme="majorHAnsi" w:hAnsiTheme="majorHAnsi"/>
          <w:sz w:val="20"/>
          <w:szCs w:val="20"/>
        </w:rPr>
        <w:t xml:space="preserve"> </w:t>
      </w:r>
      <w:r w:rsidR="00E114A7" w:rsidRPr="00224AA7">
        <w:rPr>
          <w:rFonts w:asciiTheme="majorHAnsi" w:hAnsiTheme="majorHAnsi"/>
          <w:sz w:val="20"/>
          <w:szCs w:val="20"/>
        </w:rPr>
        <w:t>The IACHR also notes that</w:t>
      </w:r>
      <w:r w:rsidR="00EC5123" w:rsidRPr="00224AA7">
        <w:rPr>
          <w:rFonts w:asciiTheme="majorHAnsi" w:hAnsiTheme="majorHAnsi"/>
          <w:sz w:val="20"/>
          <w:szCs w:val="20"/>
        </w:rPr>
        <w:t xml:space="preserve"> the pet</w:t>
      </w:r>
      <w:r w:rsidR="001C0710" w:rsidRPr="00224AA7">
        <w:rPr>
          <w:rFonts w:asciiTheme="majorHAnsi" w:hAnsiTheme="majorHAnsi"/>
          <w:sz w:val="20"/>
          <w:szCs w:val="20"/>
        </w:rPr>
        <w:t xml:space="preserve">itioner </w:t>
      </w:r>
      <w:r w:rsidR="00E114A7" w:rsidRPr="00224AA7">
        <w:rPr>
          <w:rFonts w:asciiTheme="majorHAnsi" w:hAnsiTheme="majorHAnsi"/>
          <w:sz w:val="20"/>
          <w:szCs w:val="20"/>
        </w:rPr>
        <w:t xml:space="preserve">asserted </w:t>
      </w:r>
      <w:r w:rsidR="001C0710" w:rsidRPr="00224AA7">
        <w:rPr>
          <w:rFonts w:asciiTheme="majorHAnsi" w:hAnsiTheme="majorHAnsi"/>
          <w:sz w:val="20"/>
          <w:szCs w:val="20"/>
        </w:rPr>
        <w:t>before the Comm</w:t>
      </w:r>
      <w:r w:rsidR="00EC5123" w:rsidRPr="00224AA7">
        <w:rPr>
          <w:rFonts w:asciiTheme="majorHAnsi" w:hAnsiTheme="majorHAnsi"/>
          <w:sz w:val="20"/>
          <w:szCs w:val="20"/>
        </w:rPr>
        <w:t>ission that</w:t>
      </w:r>
      <w:r w:rsidR="001C0710" w:rsidRPr="00224AA7">
        <w:rPr>
          <w:rFonts w:asciiTheme="majorHAnsi" w:hAnsiTheme="majorHAnsi"/>
          <w:sz w:val="20"/>
          <w:szCs w:val="20"/>
        </w:rPr>
        <w:t xml:space="preserve"> defense</w:t>
      </w:r>
      <w:r w:rsidR="00EC5123" w:rsidRPr="00224AA7">
        <w:rPr>
          <w:rFonts w:asciiTheme="majorHAnsi" w:hAnsiTheme="majorHAnsi"/>
          <w:sz w:val="20"/>
          <w:szCs w:val="20"/>
        </w:rPr>
        <w:t xml:space="preserve"> counsel </w:t>
      </w:r>
      <w:r w:rsidR="00B34E2B" w:rsidRPr="00224AA7">
        <w:rPr>
          <w:rFonts w:asciiTheme="majorHAnsi" w:hAnsiTheme="majorHAnsi"/>
          <w:sz w:val="20"/>
          <w:szCs w:val="20"/>
        </w:rPr>
        <w:t>raised “numerous issues”</w:t>
      </w:r>
      <w:r w:rsidR="001C0710" w:rsidRPr="00224AA7">
        <w:rPr>
          <w:rFonts w:asciiTheme="majorHAnsi" w:hAnsiTheme="majorHAnsi"/>
          <w:sz w:val="20"/>
          <w:szCs w:val="20"/>
        </w:rPr>
        <w:t xml:space="preserve"> during trial.</w:t>
      </w:r>
      <w:r w:rsidR="001C0710" w:rsidRPr="00224AA7">
        <w:rPr>
          <w:rStyle w:val="FootnoteReference"/>
          <w:rFonts w:asciiTheme="majorHAnsi" w:hAnsiTheme="majorHAnsi"/>
          <w:sz w:val="20"/>
        </w:rPr>
        <w:footnoteReference w:id="64"/>
      </w:r>
      <w:r w:rsidR="00EC5123" w:rsidRPr="00224AA7">
        <w:rPr>
          <w:rFonts w:asciiTheme="majorHAnsi" w:hAnsiTheme="majorHAnsi"/>
          <w:sz w:val="20"/>
          <w:szCs w:val="20"/>
        </w:rPr>
        <w:t xml:space="preserve"> </w:t>
      </w:r>
      <w:r w:rsidR="0068579A" w:rsidRPr="00224AA7">
        <w:rPr>
          <w:rFonts w:asciiTheme="majorHAnsi" w:hAnsiTheme="majorHAnsi"/>
          <w:sz w:val="20"/>
          <w:szCs w:val="20"/>
        </w:rPr>
        <w:t xml:space="preserve">Therefore, </w:t>
      </w:r>
      <w:r w:rsidR="00F27F00" w:rsidRPr="00224AA7">
        <w:rPr>
          <w:rFonts w:asciiTheme="majorHAnsi" w:hAnsiTheme="majorHAnsi"/>
          <w:sz w:val="20"/>
          <w:szCs w:val="20"/>
        </w:rPr>
        <w:t>the IACHR does not have sufficient factual elements to determine whether this action was compatible with the State's international obligations regarding the legal capacity of persons with disabilities.</w:t>
      </w:r>
    </w:p>
    <w:p w14:paraId="71C76101" w14:textId="77777777" w:rsidR="00FA21FC" w:rsidRPr="00224AA7" w:rsidRDefault="00FA21FC" w:rsidP="00FA21FC">
      <w:pPr>
        <w:pStyle w:val="ListParagraph"/>
        <w:rPr>
          <w:sz w:val="20"/>
          <w:szCs w:val="20"/>
        </w:rPr>
      </w:pPr>
    </w:p>
    <w:p w14:paraId="08E15E53" w14:textId="77777777" w:rsidR="004D15C2" w:rsidRPr="00224AA7" w:rsidRDefault="00BE3967" w:rsidP="000E24D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 xml:space="preserve">With regard </w:t>
      </w:r>
      <w:r w:rsidR="00DF42A0" w:rsidRPr="00224AA7">
        <w:rPr>
          <w:rFonts w:ascii="Cambria" w:hAnsi="Cambria"/>
          <w:sz w:val="20"/>
          <w:szCs w:val="20"/>
        </w:rPr>
        <w:t xml:space="preserve">to </w:t>
      </w:r>
      <w:r w:rsidRPr="00224AA7">
        <w:rPr>
          <w:rFonts w:ascii="Cambria" w:hAnsi="Cambria"/>
          <w:sz w:val="20"/>
          <w:szCs w:val="20"/>
        </w:rPr>
        <w:t xml:space="preserve">Mr. Rogovich’s legal representation on direct appeal, </w:t>
      </w:r>
      <w:r w:rsidR="00DF42A0" w:rsidRPr="00224AA7">
        <w:rPr>
          <w:rFonts w:ascii="Cambria" w:hAnsi="Cambria"/>
          <w:sz w:val="20"/>
          <w:szCs w:val="20"/>
        </w:rPr>
        <w:t xml:space="preserve">from the information provided by the petitioner </w:t>
      </w:r>
      <w:r w:rsidR="00816E06">
        <w:rPr>
          <w:rFonts w:ascii="Cambria" w:hAnsi="Cambria"/>
          <w:sz w:val="20"/>
          <w:szCs w:val="20"/>
        </w:rPr>
        <w:t xml:space="preserve">which has </w:t>
      </w:r>
      <w:r w:rsidR="00DF42A0" w:rsidRPr="00224AA7">
        <w:rPr>
          <w:rFonts w:ascii="Cambria" w:hAnsi="Cambria"/>
          <w:sz w:val="20"/>
          <w:szCs w:val="20"/>
        </w:rPr>
        <w:t xml:space="preserve">not </w:t>
      </w:r>
      <w:r w:rsidR="00816E06">
        <w:rPr>
          <w:rFonts w:ascii="Cambria" w:hAnsi="Cambria"/>
          <w:sz w:val="20"/>
          <w:szCs w:val="20"/>
        </w:rPr>
        <w:t xml:space="preserve">been </w:t>
      </w:r>
      <w:r w:rsidR="00DF42A0" w:rsidRPr="00224AA7">
        <w:rPr>
          <w:rFonts w:ascii="Cambria" w:hAnsi="Cambria"/>
          <w:sz w:val="20"/>
          <w:szCs w:val="20"/>
        </w:rPr>
        <w:t>contested by the State</w:t>
      </w:r>
      <w:r w:rsidR="00A42803" w:rsidRPr="00224AA7">
        <w:rPr>
          <w:rFonts w:ascii="Cambria" w:hAnsi="Cambria"/>
          <w:sz w:val="20"/>
          <w:szCs w:val="20"/>
        </w:rPr>
        <w:t>,</w:t>
      </w:r>
      <w:r w:rsidRPr="00224AA7">
        <w:rPr>
          <w:rFonts w:ascii="Cambria" w:hAnsi="Cambria"/>
          <w:sz w:val="20"/>
          <w:szCs w:val="20"/>
        </w:rPr>
        <w:t xml:space="preserve"> </w:t>
      </w:r>
      <w:r w:rsidR="003A348D" w:rsidRPr="00224AA7">
        <w:rPr>
          <w:rFonts w:ascii="Cambria" w:hAnsi="Cambria"/>
          <w:sz w:val="20"/>
          <w:szCs w:val="20"/>
        </w:rPr>
        <w:t xml:space="preserve">the Commission notes that </w:t>
      </w:r>
      <w:r w:rsidR="00CC44ED" w:rsidRPr="00224AA7">
        <w:rPr>
          <w:rFonts w:ascii="Cambria" w:hAnsi="Cambria"/>
          <w:sz w:val="20"/>
          <w:szCs w:val="20"/>
        </w:rPr>
        <w:t xml:space="preserve">appellate counsel </w:t>
      </w:r>
      <w:r w:rsidR="00FB74A8" w:rsidRPr="00224AA7">
        <w:rPr>
          <w:rFonts w:ascii="Cambria" w:hAnsi="Cambria"/>
          <w:sz w:val="20"/>
          <w:szCs w:val="20"/>
        </w:rPr>
        <w:t xml:space="preserve">raised three issues in ten pages of arguments, </w:t>
      </w:r>
      <w:r w:rsidR="003A348D" w:rsidRPr="00224AA7">
        <w:rPr>
          <w:rFonts w:ascii="Cambria" w:hAnsi="Cambria"/>
          <w:sz w:val="20"/>
          <w:szCs w:val="20"/>
        </w:rPr>
        <w:t xml:space="preserve">two of those being generic claims. </w:t>
      </w:r>
      <w:r w:rsidR="00A42803" w:rsidRPr="00224AA7">
        <w:rPr>
          <w:rFonts w:ascii="Cambria" w:hAnsi="Cambria"/>
          <w:sz w:val="20"/>
          <w:szCs w:val="20"/>
        </w:rPr>
        <w:t xml:space="preserve">Appellate counsel not only failed to thoroughly challenge </w:t>
      </w:r>
      <w:r w:rsidR="00FA21FC" w:rsidRPr="00224AA7">
        <w:rPr>
          <w:rFonts w:ascii="Cambria" w:hAnsi="Cambria"/>
          <w:sz w:val="20"/>
          <w:szCs w:val="20"/>
        </w:rPr>
        <w:t>the</w:t>
      </w:r>
      <w:r w:rsidR="00A42803" w:rsidRPr="00224AA7">
        <w:rPr>
          <w:rFonts w:ascii="Cambria" w:hAnsi="Cambria"/>
          <w:sz w:val="20"/>
          <w:szCs w:val="20"/>
        </w:rPr>
        <w:t xml:space="preserve"> conviction and sentence, but also conceded Mr. Rogovich</w:t>
      </w:r>
      <w:r w:rsidR="00F27F00" w:rsidRPr="00224AA7">
        <w:rPr>
          <w:rFonts w:ascii="Cambria" w:hAnsi="Cambria"/>
          <w:sz w:val="20"/>
          <w:szCs w:val="20"/>
        </w:rPr>
        <w:t>’</w:t>
      </w:r>
      <w:r w:rsidR="00A42803" w:rsidRPr="00224AA7">
        <w:rPr>
          <w:rFonts w:ascii="Cambria" w:hAnsi="Cambria"/>
          <w:sz w:val="20"/>
          <w:szCs w:val="20"/>
        </w:rPr>
        <w:t>s competency, one of the most contested issues during trial.</w:t>
      </w:r>
      <w:r w:rsidR="00FA21FC" w:rsidRPr="00224AA7">
        <w:rPr>
          <w:rFonts w:ascii="Cambria" w:hAnsi="Cambria"/>
          <w:sz w:val="20"/>
          <w:szCs w:val="20"/>
        </w:rPr>
        <w:t xml:space="preserve"> </w:t>
      </w:r>
      <w:r w:rsidR="004D15C2" w:rsidRPr="00224AA7">
        <w:rPr>
          <w:rFonts w:ascii="Cambria" w:hAnsi="Cambria"/>
          <w:sz w:val="20"/>
          <w:szCs w:val="20"/>
        </w:rPr>
        <w:t>Further, there is no indication in the record before the IACHR that appellate counsel hired additional experts, especially considering the divergent opinions regarding Mr. Rogovich’s mental health.</w:t>
      </w:r>
    </w:p>
    <w:p w14:paraId="48EC4C7A" w14:textId="77777777" w:rsidR="004D15C2" w:rsidRPr="00224AA7" w:rsidRDefault="004D15C2" w:rsidP="004D15C2">
      <w:pPr>
        <w:pStyle w:val="ListParagraph"/>
        <w:rPr>
          <w:sz w:val="20"/>
          <w:szCs w:val="20"/>
        </w:rPr>
      </w:pPr>
    </w:p>
    <w:p w14:paraId="2C3EB23F" w14:textId="77777777" w:rsidR="000E24D2" w:rsidRPr="00224AA7" w:rsidRDefault="000E24D2" w:rsidP="004D15C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 xml:space="preserve">Considering that </w:t>
      </w:r>
      <w:r w:rsidRPr="00224AA7">
        <w:rPr>
          <w:rFonts w:ascii="Cambria" w:hAnsi="Cambria" w:cs="Arial"/>
          <w:sz w:val="20"/>
          <w:szCs w:val="20"/>
        </w:rPr>
        <w:t xml:space="preserve">the fundamental due process and fair trial requirements for capital trials include the obligation to afford adequate legal representation, and that the failure to adequately challenge </w:t>
      </w:r>
      <w:r w:rsidR="0028392E" w:rsidRPr="00224AA7">
        <w:rPr>
          <w:rFonts w:ascii="Cambria" w:hAnsi="Cambria" w:cs="Arial"/>
          <w:sz w:val="20"/>
          <w:szCs w:val="20"/>
        </w:rPr>
        <w:t xml:space="preserve">the conviction and sentence </w:t>
      </w:r>
      <w:r w:rsidRPr="00224AA7">
        <w:rPr>
          <w:rFonts w:ascii="Cambria" w:hAnsi="Cambria" w:cs="Arial"/>
          <w:sz w:val="20"/>
          <w:szCs w:val="20"/>
        </w:rPr>
        <w:t xml:space="preserve">in a capital case would constitute inadequate representation, the Inter-American Commission concludes that the United States violated Mr. </w:t>
      </w:r>
      <w:r w:rsidR="002E6B47" w:rsidRPr="00224AA7">
        <w:rPr>
          <w:rFonts w:ascii="Cambria" w:hAnsi="Cambria" w:cs="Arial"/>
          <w:sz w:val="20"/>
          <w:szCs w:val="20"/>
        </w:rPr>
        <w:t>Rogovich</w:t>
      </w:r>
      <w:r w:rsidRPr="00224AA7">
        <w:rPr>
          <w:rFonts w:ascii="Cambria" w:hAnsi="Cambria" w:cs="Arial"/>
          <w:sz w:val="20"/>
          <w:szCs w:val="20"/>
        </w:rPr>
        <w:t>’s right to due process and to a fair trial under Articles XVIII and XXVI of the American Declaration.</w:t>
      </w:r>
    </w:p>
    <w:p w14:paraId="7C48F120" w14:textId="77777777" w:rsidR="00AB6F62" w:rsidRPr="00224AA7" w:rsidRDefault="00AB6F62" w:rsidP="000C5DEE">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15575B74" w14:textId="77777777" w:rsidR="002C6C33" w:rsidRPr="00224AA7" w:rsidRDefault="002C6C33" w:rsidP="00224AA7">
      <w:pPr>
        <w:pStyle w:val="Heading3"/>
        <w:numPr>
          <w:ilvl w:val="1"/>
          <w:numId w:val="53"/>
        </w:numPr>
        <w:spacing w:before="0"/>
        <w:ind w:left="360"/>
        <w:rPr>
          <w:color w:val="auto"/>
          <w:sz w:val="20"/>
          <w:szCs w:val="20"/>
        </w:rPr>
      </w:pPr>
      <w:bookmarkStart w:id="23" w:name="_Toc90283305"/>
      <w:r w:rsidRPr="00224AA7">
        <w:rPr>
          <w:color w:val="auto"/>
          <w:sz w:val="20"/>
          <w:szCs w:val="20"/>
        </w:rPr>
        <w:t>Right to appeal and procedural bars</w:t>
      </w:r>
      <w:bookmarkEnd w:id="23"/>
    </w:p>
    <w:p w14:paraId="535C2A4F" w14:textId="77777777" w:rsidR="000414D2" w:rsidRPr="00224AA7" w:rsidRDefault="000414D2" w:rsidP="000414D2">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11D0093F" w14:textId="77777777" w:rsidR="000C2C82" w:rsidRPr="00224AA7" w:rsidRDefault="000C2C82" w:rsidP="000C2C8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The right to appeal a judgment is a basic guarantee of due process to prevent consolidation of a situation of injustice. In this respect, the IACHR has stated that “[t]he due process guarantees should also be interpreted to include a right of effective review or appeal from a determination that the death penalty is an appropriate sentence in a given case.”</w:t>
      </w:r>
      <w:r w:rsidRPr="00224AA7">
        <w:rPr>
          <w:rStyle w:val="FootnoteReference"/>
          <w:rFonts w:asciiTheme="majorHAnsi" w:eastAsia="Arial Unicode MS" w:hAnsiTheme="majorHAnsi"/>
          <w:sz w:val="20"/>
          <w:szCs w:val="20"/>
          <w:bdr w:val="nil"/>
        </w:rPr>
        <w:footnoteReference w:id="65"/>
      </w:r>
      <w:r w:rsidRPr="00224AA7">
        <w:rPr>
          <w:rFonts w:ascii="Cambria" w:hAnsi="Cambria"/>
          <w:sz w:val="20"/>
          <w:szCs w:val="20"/>
        </w:rPr>
        <w:t xml:space="preserve"> The aim of the right to appeal is to protect the right of defense by creating a remedy to prevent a flawed ruling, containing errors prejudicial to a person’s interests, from becoming final.</w:t>
      </w:r>
      <w:r w:rsidRPr="00224AA7">
        <w:rPr>
          <w:rStyle w:val="FootnoteReference"/>
          <w:rFonts w:asciiTheme="majorHAnsi" w:eastAsia="Arial Unicode MS" w:hAnsiTheme="majorHAnsi"/>
          <w:sz w:val="20"/>
          <w:szCs w:val="20"/>
          <w:bdr w:val="nil"/>
        </w:rPr>
        <w:footnoteReference w:id="66"/>
      </w:r>
    </w:p>
    <w:p w14:paraId="74FF629E" w14:textId="77777777" w:rsidR="000C2C82" w:rsidRPr="00224AA7" w:rsidRDefault="000C2C82" w:rsidP="000C2C82">
      <w:pPr>
        <w:pStyle w:val="NormalWeb"/>
        <w:shd w:val="clear" w:color="auto" w:fill="FFFFFF"/>
        <w:tabs>
          <w:tab w:val="left" w:pos="360"/>
        </w:tabs>
        <w:spacing w:before="0" w:beforeAutospacing="0" w:after="0" w:afterAutospacing="0"/>
        <w:jc w:val="both"/>
        <w:rPr>
          <w:rFonts w:ascii="Cambria" w:hAnsi="Cambria"/>
          <w:sz w:val="20"/>
          <w:szCs w:val="20"/>
        </w:rPr>
      </w:pPr>
    </w:p>
    <w:p w14:paraId="0477321A" w14:textId="77777777" w:rsidR="000C2C82" w:rsidRPr="00224AA7" w:rsidRDefault="000C2C82" w:rsidP="004A4400">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224AA7">
        <w:rPr>
          <w:rFonts w:asciiTheme="majorHAnsi" w:hAnsiTheme="majorHAnsi" w:cs="Univers"/>
          <w:sz w:val="20"/>
          <w:szCs w:val="20"/>
        </w:rPr>
        <w:t xml:space="preserve">According to the standards developed by the inter-American human rights system, a remedy must be effective, i.e., it must provide results or responses to the end that </w:t>
      </w:r>
      <w:r w:rsidR="00816E06">
        <w:rPr>
          <w:rFonts w:asciiTheme="majorHAnsi" w:hAnsiTheme="majorHAnsi" w:cs="Univers"/>
          <w:sz w:val="20"/>
          <w:szCs w:val="20"/>
        </w:rPr>
        <w:t>it was</w:t>
      </w:r>
      <w:r w:rsidRPr="00224AA7">
        <w:rPr>
          <w:rFonts w:asciiTheme="majorHAnsi" w:hAnsiTheme="majorHAnsi" w:cs="Univers"/>
          <w:sz w:val="20"/>
          <w:szCs w:val="20"/>
        </w:rPr>
        <w:t xml:space="preserve"> intended to serve, which is to prevent </w:t>
      </w:r>
      <w:r w:rsidRPr="00224AA7">
        <w:rPr>
          <w:rFonts w:asciiTheme="majorHAnsi" w:hAnsiTheme="majorHAnsi" w:cs="Univers"/>
          <w:sz w:val="20"/>
          <w:szCs w:val="20"/>
        </w:rPr>
        <w:lastRenderedPageBreak/>
        <w:t>consolidation of an unjust situation. It must also be accessible, without requiring the kind of complex formalities that would render this right illusory.</w:t>
      </w:r>
      <w:r w:rsidRPr="00224AA7">
        <w:rPr>
          <w:rStyle w:val="FootnoteReference"/>
          <w:rFonts w:asciiTheme="majorHAnsi" w:hAnsiTheme="majorHAnsi"/>
          <w:sz w:val="20"/>
          <w:szCs w:val="20"/>
        </w:rPr>
        <w:footnoteReference w:id="67"/>
      </w:r>
      <w:r w:rsidR="00140380" w:rsidRPr="00224AA7">
        <w:rPr>
          <w:rFonts w:asciiTheme="majorHAnsi" w:hAnsiTheme="majorHAnsi" w:cs="Univers"/>
          <w:sz w:val="20"/>
          <w:szCs w:val="20"/>
        </w:rPr>
        <w:t xml:space="preserve"> </w:t>
      </w:r>
    </w:p>
    <w:p w14:paraId="6BC9B5BB" w14:textId="77777777" w:rsidR="004A4400" w:rsidRPr="00224AA7" w:rsidRDefault="004A4400" w:rsidP="004A4400">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344DC02B" w14:textId="77777777" w:rsidR="000C2C82" w:rsidRPr="00224AA7" w:rsidRDefault="000C2C82" w:rsidP="000C2C82">
      <w:pPr>
        <w:pStyle w:val="NormalWeb"/>
        <w:numPr>
          <w:ilvl w:val="0"/>
          <w:numId w:val="55"/>
        </w:numPr>
        <w:shd w:val="clear" w:color="auto" w:fill="FFFFFF"/>
        <w:tabs>
          <w:tab w:val="left" w:pos="360"/>
        </w:tabs>
        <w:spacing w:before="0" w:beforeAutospacing="0" w:after="0" w:afterAutospacing="0"/>
        <w:ind w:left="0" w:firstLine="0"/>
        <w:jc w:val="both"/>
        <w:rPr>
          <w:rStyle w:val="apple-style-span"/>
        </w:rPr>
      </w:pPr>
      <w:r w:rsidRPr="00224AA7">
        <w:rPr>
          <w:rFonts w:asciiTheme="majorHAnsi" w:hAnsiTheme="majorHAnsi" w:cs="Univers"/>
          <w:sz w:val="20"/>
          <w:szCs w:val="20"/>
        </w:rPr>
        <w:t>Finally, the Commission must underscore that it has an enhanced obligation to ensur</w:t>
      </w:r>
      <w:r w:rsidRPr="00224AA7">
        <w:rPr>
          <w:rStyle w:val="apple-style-span"/>
          <w:rFonts w:asciiTheme="majorHAnsi" w:eastAsia="Trebuchet MS" w:hAnsiTheme="majorHAnsi"/>
          <w:sz w:val="20"/>
          <w:szCs w:val="20"/>
        </w:rPr>
        <w:t>e that any deprivation of life which may occur through the application of the death penalty is in strict compliance with the right to a timely, effective and accessible appeal.</w:t>
      </w:r>
    </w:p>
    <w:p w14:paraId="25D20791" w14:textId="77777777" w:rsidR="00923E54" w:rsidRPr="00224AA7" w:rsidRDefault="00923E54" w:rsidP="00923E54">
      <w:pPr>
        <w:pStyle w:val="ListParagraph"/>
        <w:rPr>
          <w:rStyle w:val="apple-style-span"/>
          <w:rFonts w:ascii="Times New Roman" w:hAnsi="Times New Roman"/>
          <w:color w:val="auto"/>
          <w:bdr w:val="none" w:sz="0" w:space="0" w:color="auto"/>
          <w:lang w:eastAsia="en-US"/>
        </w:rPr>
      </w:pPr>
    </w:p>
    <w:p w14:paraId="05790645" w14:textId="77777777" w:rsidR="00923E54" w:rsidRPr="00224AA7" w:rsidRDefault="00923E54" w:rsidP="000C2C82">
      <w:pPr>
        <w:pStyle w:val="NormalWeb"/>
        <w:numPr>
          <w:ilvl w:val="0"/>
          <w:numId w:val="55"/>
        </w:numPr>
        <w:shd w:val="clear" w:color="auto" w:fill="FFFFFF"/>
        <w:tabs>
          <w:tab w:val="left" w:pos="360"/>
        </w:tabs>
        <w:spacing w:before="0" w:beforeAutospacing="0" w:after="0" w:afterAutospacing="0"/>
        <w:ind w:left="0" w:firstLine="0"/>
        <w:jc w:val="both"/>
        <w:rPr>
          <w:rStyle w:val="apple-style-span"/>
          <w:rFonts w:ascii="Cambria" w:eastAsia="Cambria" w:hAnsi="Cambria"/>
          <w:color w:val="000000"/>
          <w:u w:color="000000"/>
          <w:bdr w:val="nil"/>
          <w:lang w:eastAsia="es-ES"/>
        </w:rPr>
      </w:pPr>
      <w:r w:rsidRPr="00224AA7">
        <w:rPr>
          <w:rStyle w:val="apple-style-span"/>
          <w:rFonts w:asciiTheme="majorHAnsi" w:hAnsiTheme="majorHAnsi"/>
          <w:sz w:val="20"/>
          <w:szCs w:val="20"/>
        </w:rPr>
        <w:t xml:space="preserve">The Inter-American Commission has previously established the following regarding the AEDPA:  </w:t>
      </w:r>
    </w:p>
    <w:p w14:paraId="0EF22836" w14:textId="77777777" w:rsidR="00DC2858" w:rsidRPr="00224AA7" w:rsidRDefault="00DC2858" w:rsidP="00923E54">
      <w:pPr>
        <w:pStyle w:val="ListParagraph"/>
        <w:tabs>
          <w:tab w:val="left" w:pos="360"/>
        </w:tabs>
        <w:ind w:left="0"/>
        <w:rPr>
          <w:rStyle w:val="apple-style-span"/>
          <w:rFonts w:ascii="Times New Roman" w:hAnsi="Times New Roman"/>
          <w:color w:val="auto"/>
          <w:bdr w:val="none" w:sz="0" w:space="0" w:color="auto"/>
          <w:lang w:eastAsia="en-US"/>
        </w:rPr>
      </w:pPr>
    </w:p>
    <w:p w14:paraId="7AFD5A5C" w14:textId="77777777" w:rsidR="00923E54" w:rsidRPr="00224AA7" w:rsidRDefault="00923E54" w:rsidP="00923E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224AA7">
        <w:rPr>
          <w:rFonts w:asciiTheme="majorHAnsi" w:hAnsiTheme="majorHAnsi"/>
          <w:sz w:val="18"/>
          <w:szCs w:val="18"/>
        </w:rPr>
        <w:t>Before 1996, state court interpretations or applications of federal law were not binding in subsequent federal habeas proceeding. With the passage of AEDPA the exhaustion doctrine was modified to permit federal courts to dismiss groundless petitions notwithstanding the fact that state courts have not been afforded the opportunity to find them without merit.</w:t>
      </w:r>
      <w:r w:rsidRPr="00224AA7">
        <w:rPr>
          <w:rStyle w:val="FootnoteReference"/>
          <w:rFonts w:asciiTheme="majorHAnsi" w:hAnsiTheme="majorHAnsi"/>
          <w:sz w:val="18"/>
          <w:szCs w:val="18"/>
        </w:rPr>
        <w:footnoteReference w:id="68"/>
      </w:r>
      <w:r w:rsidRPr="00224AA7">
        <w:rPr>
          <w:rFonts w:asciiTheme="majorHAnsi" w:hAnsiTheme="majorHAnsi"/>
          <w:sz w:val="18"/>
          <w:szCs w:val="18"/>
        </w:rPr>
        <w:t xml:space="preserve"> Therefore, the Act “</w:t>
      </w:r>
      <w:r w:rsidRPr="00224AA7">
        <w:rPr>
          <w:rFonts w:asciiTheme="majorHAnsi" w:hAnsiTheme="majorHAnsi" w:cs="Arial"/>
          <w:sz w:val="18"/>
          <w:szCs w:val="18"/>
        </w:rPr>
        <w:t>limits the introduction of evidence not previously presented to the state courts to cases where either the evidence supports a newly recognized, retroactively applicable constitutional claim or was not reasonably discoverable earlier, however only if the petitioner clearly and convincingly shows that but for the constitutional error established by the newly presented evidence no reasonable jury would have found the petitioner guilty.”</w:t>
      </w:r>
      <w:r w:rsidRPr="00224AA7">
        <w:rPr>
          <w:rStyle w:val="FootnoteReference"/>
          <w:rFonts w:asciiTheme="majorHAnsi" w:hAnsiTheme="majorHAnsi"/>
          <w:sz w:val="18"/>
          <w:szCs w:val="18"/>
        </w:rPr>
        <w:t xml:space="preserve"> </w:t>
      </w:r>
      <w:r w:rsidRPr="00224AA7">
        <w:rPr>
          <w:rStyle w:val="FootnoteReference"/>
          <w:rFonts w:asciiTheme="majorHAnsi" w:hAnsiTheme="majorHAnsi"/>
          <w:sz w:val="18"/>
          <w:szCs w:val="18"/>
        </w:rPr>
        <w:footnoteReference w:id="69"/>
      </w:r>
      <w:r w:rsidRPr="00224AA7">
        <w:rPr>
          <w:rFonts w:asciiTheme="majorHAnsi" w:hAnsiTheme="majorHAnsi" w:cs="Arial"/>
          <w:sz w:val="18"/>
          <w:szCs w:val="18"/>
        </w:rPr>
        <w:t xml:space="preserve"> </w:t>
      </w:r>
    </w:p>
    <w:p w14:paraId="648064D8" w14:textId="77777777" w:rsidR="00923E54" w:rsidRPr="00224AA7" w:rsidRDefault="00923E54" w:rsidP="00923E54">
      <w:pPr>
        <w:pStyle w:val="ListParagraph"/>
        <w:tabs>
          <w:tab w:val="left" w:pos="360"/>
        </w:tabs>
        <w:ind w:left="360" w:right="360"/>
        <w:rPr>
          <w:rFonts w:asciiTheme="majorHAnsi" w:hAnsiTheme="majorHAnsi" w:cs="Arial"/>
          <w:sz w:val="18"/>
          <w:szCs w:val="18"/>
        </w:rPr>
      </w:pPr>
    </w:p>
    <w:p w14:paraId="2CA9A230" w14:textId="77777777" w:rsidR="00923E54" w:rsidRPr="00224AA7" w:rsidRDefault="00923E54" w:rsidP="00923E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224AA7">
        <w:rPr>
          <w:rFonts w:asciiTheme="majorHAnsi" w:hAnsiTheme="majorHAnsi"/>
          <w:sz w:val="18"/>
          <w:szCs w:val="18"/>
        </w:rPr>
        <w:t>Further, in Cullen v. Pinholster, the United States Supreme Court held that review under AEDPA sets several limits on a federal court’s power to grant habeas relief to a state prisoner and that this review is limited to the record that was before the state court that adjudicated the claim on the merits. The ruling also establishes that “[a]lthough state prisoners may sometimes submit new evidence in federal court; AEDPA’s statutory scheme is designed to strongly discourage them from doing so.” In addition, the Supreme Court, referring to Strickland v. Washington, states that “[t]o overcome the strong presumption that counsel has acted competently, id., at 690, a defendant must show that counsel failed to act “reasonabl[y] considering all the circumstances,” id., at 688, and must prove the “reasonable probability that, but for counsel’s unprofessional errors, the result of the proceeding would have been different,” id., at 694.”</w:t>
      </w:r>
      <w:r w:rsidR="00FC13F0" w:rsidRPr="00224AA7">
        <w:rPr>
          <w:rStyle w:val="FootnoteReference"/>
          <w:rFonts w:asciiTheme="majorHAnsi" w:hAnsiTheme="majorHAnsi"/>
          <w:sz w:val="18"/>
          <w:szCs w:val="18"/>
        </w:rPr>
        <w:footnoteReference w:id="70"/>
      </w:r>
    </w:p>
    <w:p w14:paraId="02BFDE9D" w14:textId="77777777" w:rsidR="00923E54" w:rsidRPr="00224AA7" w:rsidRDefault="00923E54" w:rsidP="00923E54">
      <w:pPr>
        <w:tabs>
          <w:tab w:val="left" w:pos="360"/>
        </w:tabs>
        <w:jc w:val="both"/>
        <w:rPr>
          <w:rFonts w:asciiTheme="majorHAnsi" w:hAnsiTheme="majorHAnsi"/>
          <w:sz w:val="20"/>
          <w:szCs w:val="20"/>
        </w:rPr>
      </w:pPr>
    </w:p>
    <w:p w14:paraId="15CBD1FA" w14:textId="77777777" w:rsidR="00923E54" w:rsidRPr="00224AA7" w:rsidRDefault="00923E54" w:rsidP="00923E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224AA7">
        <w:rPr>
          <w:rFonts w:asciiTheme="majorHAnsi" w:hAnsiTheme="majorHAnsi" w:cs="Univers"/>
          <w:sz w:val="20"/>
          <w:szCs w:val="20"/>
        </w:rPr>
        <w:t xml:space="preserve">In light of the standards described above, </w:t>
      </w:r>
      <w:r w:rsidR="00516035" w:rsidRPr="00224AA7">
        <w:rPr>
          <w:rFonts w:asciiTheme="majorHAnsi" w:hAnsiTheme="majorHAnsi" w:cs="Univers"/>
          <w:sz w:val="20"/>
          <w:szCs w:val="20"/>
        </w:rPr>
        <w:t xml:space="preserve">the IACHR reiterates that </w:t>
      </w:r>
      <w:r w:rsidRPr="00224AA7">
        <w:rPr>
          <w:rFonts w:asciiTheme="majorHAnsi" w:hAnsiTheme="majorHAnsi" w:cs="Univers"/>
          <w:sz w:val="20"/>
          <w:szCs w:val="20"/>
        </w:rPr>
        <w:t xml:space="preserve">it is incompatible with the rights to a fair trial and to due process of law set forth in the American Declaration for the review by a federal court to be </w:t>
      </w:r>
      <w:r w:rsidRPr="00224AA7">
        <w:rPr>
          <w:rFonts w:asciiTheme="majorHAnsi" w:hAnsiTheme="majorHAnsi" w:cs="Arial"/>
          <w:sz w:val="20"/>
          <w:szCs w:val="20"/>
        </w:rPr>
        <w:t>exceedingly limited</w:t>
      </w:r>
      <w:r w:rsidRPr="00224AA7">
        <w:rPr>
          <w:rFonts w:asciiTheme="majorHAnsi" w:hAnsiTheme="majorHAnsi" w:cs="Univers"/>
          <w:sz w:val="20"/>
          <w:szCs w:val="20"/>
        </w:rPr>
        <w:t xml:space="preserve">. Considering the irreversible nature of the death penalty, a federal post-conviction review limited by </w:t>
      </w:r>
      <w:r w:rsidRPr="00224AA7">
        <w:rPr>
          <w:rFonts w:asciiTheme="majorHAnsi" w:hAnsiTheme="majorHAnsi"/>
          <w:sz w:val="20"/>
          <w:szCs w:val="20"/>
        </w:rPr>
        <w:t xml:space="preserve">state court interpretations and by the state factual determination does not comply with the inter-American standards, according to which </w:t>
      </w:r>
      <w:r w:rsidRPr="00224AA7">
        <w:rPr>
          <w:rFonts w:asciiTheme="majorHAnsi" w:hAnsiTheme="majorHAnsi" w:cs="Univers"/>
          <w:sz w:val="20"/>
          <w:szCs w:val="20"/>
        </w:rPr>
        <w:t>the right to appeal is part of the body of procedural guarantees that ensures the due process of law.</w:t>
      </w:r>
      <w:r w:rsidR="008245AD" w:rsidRPr="00224AA7">
        <w:rPr>
          <w:rStyle w:val="FootnoteReference"/>
          <w:rFonts w:asciiTheme="majorHAnsi" w:hAnsiTheme="majorHAnsi"/>
          <w:sz w:val="20"/>
          <w:szCs w:val="20"/>
        </w:rPr>
        <w:t xml:space="preserve"> </w:t>
      </w:r>
      <w:r w:rsidR="008245AD" w:rsidRPr="00224AA7">
        <w:rPr>
          <w:rStyle w:val="FootnoteReference"/>
          <w:rFonts w:asciiTheme="majorHAnsi" w:hAnsiTheme="majorHAnsi"/>
          <w:sz w:val="20"/>
          <w:szCs w:val="20"/>
        </w:rPr>
        <w:footnoteReference w:id="71"/>
      </w:r>
    </w:p>
    <w:p w14:paraId="47432C5A" w14:textId="77777777" w:rsidR="00923E54" w:rsidRPr="00224AA7" w:rsidRDefault="00923E54" w:rsidP="00923E54">
      <w:pPr>
        <w:pStyle w:val="ListParagraph"/>
        <w:tabs>
          <w:tab w:val="left" w:pos="360"/>
        </w:tabs>
        <w:ind w:left="0"/>
        <w:rPr>
          <w:rFonts w:asciiTheme="majorHAnsi" w:hAnsiTheme="majorHAnsi" w:cs="Univers"/>
          <w:sz w:val="20"/>
          <w:szCs w:val="20"/>
        </w:rPr>
      </w:pPr>
    </w:p>
    <w:p w14:paraId="770962F1" w14:textId="77777777" w:rsidR="00DE01CB" w:rsidRDefault="00923E54" w:rsidP="002D52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 w:rsidRPr="00224AA7">
        <w:rPr>
          <w:rFonts w:asciiTheme="majorHAnsi" w:hAnsiTheme="majorHAnsi" w:cs="Univers"/>
          <w:sz w:val="20"/>
          <w:szCs w:val="20"/>
        </w:rPr>
        <w:t xml:space="preserve">The Inter-American Commission concludes that, given the limitations imposed by </w:t>
      </w:r>
      <w:r w:rsidR="00AC740E" w:rsidRPr="00224AA7">
        <w:rPr>
          <w:rFonts w:asciiTheme="majorHAnsi" w:hAnsiTheme="majorHAnsi" w:cs="Univers"/>
          <w:sz w:val="20"/>
          <w:szCs w:val="20"/>
        </w:rPr>
        <w:t>the AEDPA</w:t>
      </w:r>
      <w:r w:rsidRPr="00224AA7">
        <w:rPr>
          <w:rFonts w:asciiTheme="majorHAnsi" w:hAnsiTheme="majorHAnsi" w:cs="Univers"/>
          <w:sz w:val="20"/>
          <w:szCs w:val="20"/>
        </w:rPr>
        <w:t xml:space="preserve">, Mr. </w:t>
      </w:r>
      <w:r w:rsidR="00AC740E" w:rsidRPr="00224AA7">
        <w:rPr>
          <w:rFonts w:asciiTheme="majorHAnsi" w:hAnsiTheme="majorHAnsi" w:cs="Univers"/>
          <w:sz w:val="20"/>
          <w:szCs w:val="20"/>
        </w:rPr>
        <w:t>Rogovich</w:t>
      </w:r>
      <w:r w:rsidRPr="00224AA7">
        <w:rPr>
          <w:rFonts w:asciiTheme="majorHAnsi" w:hAnsiTheme="majorHAnsi" w:cs="Univers"/>
          <w:sz w:val="20"/>
          <w:szCs w:val="20"/>
        </w:rPr>
        <w:t xml:space="preserve"> did not get a thorough review of his conviction in order to correct possible errors, and the State therefore violated to his detriment the right established in Articles XVIII and XXVI of the American Declaration. </w:t>
      </w:r>
    </w:p>
    <w:p w14:paraId="370D5C8E" w14:textId="77777777" w:rsidR="002D52FA" w:rsidRPr="00224AA7" w:rsidRDefault="002D52FA" w:rsidP="000414D2">
      <w:pPr>
        <w:pStyle w:val="NormalWeb"/>
        <w:shd w:val="clear" w:color="auto" w:fill="FFFFFF"/>
        <w:tabs>
          <w:tab w:val="left" w:pos="360"/>
        </w:tabs>
        <w:spacing w:before="0" w:beforeAutospacing="0" w:after="0" w:afterAutospacing="0"/>
        <w:ind w:left="720"/>
        <w:jc w:val="both"/>
        <w:rPr>
          <w:rFonts w:asciiTheme="majorHAnsi" w:hAnsiTheme="majorHAnsi"/>
          <w:b/>
          <w:sz w:val="20"/>
          <w:szCs w:val="20"/>
        </w:rPr>
      </w:pPr>
    </w:p>
    <w:p w14:paraId="16A47740" w14:textId="77777777" w:rsidR="002C6C33" w:rsidRPr="00224AA7" w:rsidRDefault="00582D0D" w:rsidP="00224AA7">
      <w:pPr>
        <w:pStyle w:val="Heading3"/>
        <w:numPr>
          <w:ilvl w:val="1"/>
          <w:numId w:val="53"/>
        </w:numPr>
        <w:spacing w:before="0"/>
        <w:ind w:left="360"/>
        <w:rPr>
          <w:color w:val="auto"/>
          <w:sz w:val="20"/>
          <w:szCs w:val="20"/>
        </w:rPr>
      </w:pPr>
      <w:bookmarkStart w:id="24" w:name="_Toc90283306"/>
      <w:r w:rsidRPr="00224AA7">
        <w:rPr>
          <w:color w:val="auto"/>
          <w:sz w:val="20"/>
          <w:szCs w:val="20"/>
        </w:rPr>
        <w:t>Right to be tried without u</w:t>
      </w:r>
      <w:r w:rsidR="00E76C84" w:rsidRPr="00224AA7">
        <w:rPr>
          <w:color w:val="auto"/>
          <w:sz w:val="20"/>
          <w:szCs w:val="20"/>
        </w:rPr>
        <w:t>ndue delay</w:t>
      </w:r>
      <w:bookmarkEnd w:id="24"/>
    </w:p>
    <w:p w14:paraId="3E7F868D" w14:textId="77777777" w:rsidR="00A2089E" w:rsidRPr="00224AA7" w:rsidRDefault="00A2089E" w:rsidP="00A2089E">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3D59A0D2" w14:textId="77777777" w:rsidR="00625585" w:rsidRPr="00224AA7" w:rsidRDefault="00625585" w:rsidP="0062558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cs="Univers"/>
          <w:sz w:val="20"/>
          <w:szCs w:val="20"/>
        </w:rPr>
      </w:pPr>
      <w:r w:rsidRPr="00224AA7">
        <w:rPr>
          <w:rFonts w:asciiTheme="majorHAnsi" w:hAnsiTheme="majorHAnsi" w:cs="Univers"/>
          <w:sz w:val="20"/>
          <w:szCs w:val="20"/>
        </w:rPr>
        <w:t xml:space="preserve">According to </w:t>
      </w:r>
      <w:r w:rsidR="009E41B3" w:rsidRPr="00224AA7">
        <w:rPr>
          <w:rFonts w:asciiTheme="majorHAnsi" w:hAnsiTheme="majorHAnsi" w:cs="Univers"/>
          <w:sz w:val="20"/>
          <w:szCs w:val="20"/>
        </w:rPr>
        <w:t>i</w:t>
      </w:r>
      <w:r w:rsidRPr="00224AA7">
        <w:rPr>
          <w:rFonts w:asciiTheme="majorHAnsi" w:hAnsiTheme="majorHAnsi" w:cs="Univers"/>
          <w:sz w:val="20"/>
          <w:szCs w:val="20"/>
        </w:rPr>
        <w:t>nter-American human rights</w:t>
      </w:r>
      <w:r w:rsidR="009E41B3" w:rsidRPr="00224AA7">
        <w:rPr>
          <w:rFonts w:asciiTheme="majorHAnsi" w:hAnsiTheme="majorHAnsi" w:cs="Univers"/>
          <w:sz w:val="20"/>
          <w:szCs w:val="20"/>
        </w:rPr>
        <w:t>’ standards</w:t>
      </w:r>
      <w:r w:rsidRPr="00224AA7">
        <w:rPr>
          <w:rFonts w:asciiTheme="majorHAnsi" w:hAnsiTheme="majorHAnsi" w:cs="Univers"/>
          <w:sz w:val="20"/>
          <w:szCs w:val="20"/>
        </w:rPr>
        <w:t>,</w:t>
      </w:r>
      <w:r w:rsidR="009E41B3" w:rsidRPr="00224AA7">
        <w:rPr>
          <w:rFonts w:asciiTheme="majorHAnsi" w:hAnsiTheme="majorHAnsi" w:cs="Univers"/>
          <w:sz w:val="20"/>
          <w:szCs w:val="20"/>
        </w:rPr>
        <w:t xml:space="preserve"> the duration of internal proceedings is an essential component of due process and effective access to justice.</w:t>
      </w:r>
      <w:r w:rsidR="009E41B3" w:rsidRPr="00224AA7">
        <w:rPr>
          <w:rStyle w:val="FootnoteReference"/>
          <w:rFonts w:asciiTheme="majorHAnsi" w:hAnsiTheme="majorHAnsi"/>
          <w:sz w:val="20"/>
          <w:szCs w:val="20"/>
        </w:rPr>
        <w:footnoteReference w:id="72"/>
      </w:r>
      <w:r w:rsidR="009E41B3" w:rsidRPr="00224AA7">
        <w:rPr>
          <w:rFonts w:asciiTheme="majorHAnsi" w:hAnsiTheme="majorHAnsi" w:cs="Univers"/>
          <w:sz w:val="20"/>
          <w:szCs w:val="20"/>
        </w:rPr>
        <w:t xml:space="preserve"> </w:t>
      </w:r>
      <w:r w:rsidRPr="00224AA7">
        <w:rPr>
          <w:rFonts w:asciiTheme="majorHAnsi" w:hAnsiTheme="majorHAnsi"/>
          <w:bCs/>
          <w:sz w:val="20"/>
          <w:szCs w:val="20"/>
          <w:bdr w:val="none" w:sz="0" w:space="0" w:color="auto" w:frame="1"/>
        </w:rPr>
        <w:t>The IACHR has also considered that the burden of proof ought to be on the State to justify the delay in light of the following elements: a) the complexity of the matter; b) the procedural activity of the interested party; c) the conduct of the judicial authorities; and d) the impact of the legal situation on the person involved in the proceedings.</w:t>
      </w:r>
      <w:r w:rsidRPr="00224AA7">
        <w:rPr>
          <w:rStyle w:val="FootnoteReference"/>
          <w:rFonts w:asciiTheme="majorHAnsi" w:hAnsiTheme="majorHAnsi"/>
          <w:bCs/>
          <w:sz w:val="20"/>
          <w:szCs w:val="20"/>
          <w:bdr w:val="none" w:sz="0" w:space="0" w:color="auto" w:frame="1"/>
        </w:rPr>
        <w:footnoteReference w:id="73"/>
      </w:r>
      <w:r w:rsidRPr="00224AA7">
        <w:rPr>
          <w:rFonts w:asciiTheme="majorHAnsi" w:hAnsiTheme="majorHAnsi"/>
          <w:bCs/>
          <w:sz w:val="20"/>
          <w:szCs w:val="20"/>
          <w:bdr w:val="none" w:sz="0" w:space="0" w:color="auto" w:frame="1"/>
        </w:rPr>
        <w:t xml:space="preserve"> </w:t>
      </w:r>
    </w:p>
    <w:p w14:paraId="327B6AB6" w14:textId="77777777" w:rsidR="00BC6DA1" w:rsidRPr="00224AA7" w:rsidRDefault="00BC6DA1" w:rsidP="00BC6DA1">
      <w:pPr>
        <w:pStyle w:val="NormalWeb"/>
        <w:shd w:val="clear" w:color="auto" w:fill="FFFFFF"/>
        <w:tabs>
          <w:tab w:val="left" w:pos="360"/>
        </w:tabs>
        <w:spacing w:before="0" w:beforeAutospacing="0" w:after="0" w:afterAutospacing="0"/>
        <w:jc w:val="both"/>
        <w:rPr>
          <w:rFonts w:asciiTheme="majorHAnsi" w:hAnsiTheme="majorHAnsi" w:cs="Univers"/>
          <w:sz w:val="20"/>
          <w:szCs w:val="20"/>
        </w:rPr>
      </w:pPr>
    </w:p>
    <w:p w14:paraId="43B99A77" w14:textId="77777777" w:rsidR="002A1EF3" w:rsidRPr="00224AA7" w:rsidRDefault="00BC6DA1" w:rsidP="000B41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bCs/>
          <w:sz w:val="20"/>
          <w:szCs w:val="20"/>
          <w:bdr w:val="none" w:sz="0" w:space="0" w:color="auto" w:frame="1"/>
        </w:rPr>
        <w:lastRenderedPageBreak/>
        <w:t xml:space="preserve">According to the facts established in this report, </w:t>
      </w:r>
      <w:r w:rsidR="00B0207D" w:rsidRPr="00224AA7">
        <w:rPr>
          <w:rFonts w:asciiTheme="majorHAnsi" w:hAnsiTheme="majorHAnsi"/>
          <w:bCs/>
          <w:sz w:val="20"/>
          <w:szCs w:val="20"/>
          <w:bdr w:val="none" w:sz="0" w:space="0" w:color="auto" w:frame="1"/>
        </w:rPr>
        <w:t xml:space="preserve">Mr. Rogovich </w:t>
      </w:r>
      <w:r w:rsidR="00196280" w:rsidRPr="00224AA7">
        <w:rPr>
          <w:rFonts w:asciiTheme="majorHAnsi" w:hAnsiTheme="majorHAnsi"/>
          <w:sz w:val="20"/>
          <w:szCs w:val="20"/>
        </w:rPr>
        <w:t xml:space="preserve">filed a third petition for post-conviction relief in 2009, challenging the constitutionality of the execution because of his serious mental illness. </w:t>
      </w:r>
      <w:r w:rsidR="006E37D3" w:rsidRPr="00224AA7">
        <w:rPr>
          <w:rFonts w:asciiTheme="majorHAnsi" w:hAnsiTheme="majorHAnsi"/>
          <w:sz w:val="20"/>
          <w:szCs w:val="20"/>
        </w:rPr>
        <w:t xml:space="preserve">After this petition was denied, he filed a motion for rehearing on October 22, 2009, which was dismissed on January 11, 2016. The State alleges that the delay was due to changes of counsel as well as several motions by the defense to extend time for filings. </w:t>
      </w:r>
    </w:p>
    <w:p w14:paraId="4267929C" w14:textId="77777777" w:rsidR="002A1EF3" w:rsidRPr="00224AA7" w:rsidRDefault="002A1EF3" w:rsidP="002A1EF3">
      <w:pPr>
        <w:pStyle w:val="ListParagraph"/>
        <w:rPr>
          <w:rFonts w:asciiTheme="majorHAnsi" w:hAnsiTheme="majorHAnsi"/>
          <w:sz w:val="20"/>
          <w:szCs w:val="20"/>
        </w:rPr>
      </w:pPr>
    </w:p>
    <w:p w14:paraId="1A703A2C" w14:textId="77777777" w:rsidR="00196280" w:rsidRPr="00224AA7" w:rsidRDefault="00196280" w:rsidP="000B41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According to publicly available information, between October 27, 2009, and April 18, 2013, there was no procedural activity regarding Mr. Rogovich’s motion</w:t>
      </w:r>
      <w:r w:rsidR="002A1EF3" w:rsidRPr="00224AA7">
        <w:rPr>
          <w:rFonts w:asciiTheme="majorHAnsi" w:hAnsiTheme="majorHAnsi"/>
          <w:sz w:val="20"/>
          <w:szCs w:val="20"/>
        </w:rPr>
        <w:t xml:space="preserve"> for rehearing</w:t>
      </w:r>
      <w:r w:rsidRPr="00224AA7">
        <w:rPr>
          <w:rFonts w:asciiTheme="majorHAnsi" w:hAnsiTheme="majorHAnsi"/>
          <w:sz w:val="20"/>
          <w:szCs w:val="20"/>
        </w:rPr>
        <w:t>. After the alleged victim filed a request for ruling, on December 18, 2013, the state court set a status conference for February 21, 2014. On February 28, 2014, one of Mr. Rogovich</w:t>
      </w:r>
      <w:r w:rsidR="0065154E">
        <w:rPr>
          <w:rFonts w:asciiTheme="majorHAnsi" w:hAnsiTheme="majorHAnsi"/>
          <w:sz w:val="20"/>
          <w:szCs w:val="20"/>
        </w:rPr>
        <w:t>’s</w:t>
      </w:r>
      <w:r w:rsidRPr="00224AA7">
        <w:rPr>
          <w:rFonts w:asciiTheme="majorHAnsi" w:hAnsiTheme="majorHAnsi"/>
          <w:sz w:val="20"/>
          <w:szCs w:val="20"/>
        </w:rPr>
        <w:t xml:space="preserve"> attorneys withdrew from his case. On May 12 and on June 26, 2015, Mr. Rogovich’s counsel filed a request for extension of time, which was granted. </w:t>
      </w:r>
    </w:p>
    <w:p w14:paraId="5E74791B" w14:textId="77777777" w:rsidR="002A1EF3" w:rsidRPr="00224AA7" w:rsidRDefault="002A1EF3" w:rsidP="002A1EF3">
      <w:pPr>
        <w:pStyle w:val="ListParagraph"/>
        <w:rPr>
          <w:rFonts w:asciiTheme="majorHAnsi" w:hAnsiTheme="majorHAnsi"/>
          <w:sz w:val="20"/>
          <w:szCs w:val="20"/>
        </w:rPr>
      </w:pPr>
    </w:p>
    <w:p w14:paraId="3556F9D2" w14:textId="77777777" w:rsidR="00DB1D14" w:rsidRPr="00224AA7" w:rsidRDefault="002A1EF3" w:rsidP="000B41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Based on this information, the IACHR notes that it took more than six years for the court to rule on the motion for rehearing. The Commission also notes that there was no procedural activity for the first three and a half years and that the proceedings were reactivated </w:t>
      </w:r>
      <w:r w:rsidR="009214C8" w:rsidRPr="00224AA7">
        <w:rPr>
          <w:rFonts w:asciiTheme="majorHAnsi" w:hAnsiTheme="majorHAnsi"/>
          <w:sz w:val="20"/>
          <w:szCs w:val="20"/>
        </w:rPr>
        <w:t>due to the impulse of Mr. Rogovich’s counsel. Further, the requests for extensions submitted by the defense were filed a few months before the motion was finally denied. Th</w:t>
      </w:r>
      <w:r w:rsidR="00400FF0" w:rsidRPr="00224AA7">
        <w:rPr>
          <w:rFonts w:asciiTheme="majorHAnsi" w:hAnsiTheme="majorHAnsi"/>
          <w:sz w:val="20"/>
          <w:szCs w:val="20"/>
        </w:rPr>
        <w:t>us</w:t>
      </w:r>
      <w:r w:rsidR="009214C8" w:rsidRPr="00224AA7">
        <w:rPr>
          <w:rFonts w:asciiTheme="majorHAnsi" w:hAnsiTheme="majorHAnsi"/>
          <w:sz w:val="20"/>
          <w:szCs w:val="20"/>
        </w:rPr>
        <w:t>, the procedural activity of the interest</w:t>
      </w:r>
      <w:r w:rsidR="00400FF0" w:rsidRPr="00224AA7">
        <w:rPr>
          <w:rFonts w:asciiTheme="majorHAnsi" w:hAnsiTheme="majorHAnsi"/>
          <w:sz w:val="20"/>
          <w:szCs w:val="20"/>
        </w:rPr>
        <w:t>ed</w:t>
      </w:r>
      <w:r w:rsidR="009214C8" w:rsidRPr="00224AA7">
        <w:rPr>
          <w:rFonts w:asciiTheme="majorHAnsi" w:hAnsiTheme="majorHAnsi"/>
          <w:sz w:val="20"/>
          <w:szCs w:val="20"/>
        </w:rPr>
        <w:t xml:space="preserve"> party was </w:t>
      </w:r>
      <w:r w:rsidR="00400FF0" w:rsidRPr="00224AA7">
        <w:rPr>
          <w:rFonts w:asciiTheme="majorHAnsi" w:hAnsiTheme="majorHAnsi"/>
          <w:sz w:val="20"/>
          <w:szCs w:val="20"/>
        </w:rPr>
        <w:t xml:space="preserve">not the cause of the delay as alleged by the State. The Commission also considers that the motion for rehearing filed against the denial of the third petition for post-conviction relief is not a complex matter. </w:t>
      </w:r>
    </w:p>
    <w:p w14:paraId="64BAAE2D" w14:textId="77777777" w:rsidR="00DB1D14" w:rsidRPr="00224AA7" w:rsidRDefault="00DB1D14" w:rsidP="00DB1D14">
      <w:pPr>
        <w:pStyle w:val="ListParagraph"/>
        <w:rPr>
          <w:rFonts w:asciiTheme="majorHAnsi" w:hAnsiTheme="majorHAnsi"/>
          <w:sz w:val="20"/>
          <w:szCs w:val="20"/>
        </w:rPr>
      </w:pPr>
    </w:p>
    <w:p w14:paraId="68B8D9B9" w14:textId="77777777" w:rsidR="00DB1D14" w:rsidRPr="00224AA7" w:rsidRDefault="00CD0979" w:rsidP="00DB1D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eastAsia="Times New Roman" w:hAnsiTheme="majorHAnsi"/>
          <w:bCs/>
          <w:sz w:val="20"/>
          <w:szCs w:val="20"/>
          <w:bdr w:val="none" w:sz="0" w:space="0" w:color="auto"/>
        </w:rPr>
      </w:pPr>
      <w:r w:rsidRPr="00224AA7">
        <w:rPr>
          <w:rFonts w:asciiTheme="majorHAnsi" w:hAnsiTheme="majorHAnsi"/>
          <w:sz w:val="20"/>
          <w:szCs w:val="20"/>
        </w:rPr>
        <w:t xml:space="preserve">Therefore, the Commission concludes that </w:t>
      </w:r>
      <w:r w:rsidR="003218DF" w:rsidRPr="00224AA7">
        <w:rPr>
          <w:rFonts w:asciiTheme="majorHAnsi" w:hAnsiTheme="majorHAnsi"/>
          <w:sz w:val="20"/>
          <w:szCs w:val="20"/>
        </w:rPr>
        <w:t xml:space="preserve">the conduct of the judicial authorities resulted in an undue delay in the resolution of the motion. </w:t>
      </w:r>
      <w:r w:rsidR="00DB1D14" w:rsidRPr="00224AA7">
        <w:rPr>
          <w:rFonts w:asciiTheme="majorHAnsi" w:hAnsiTheme="majorHAnsi"/>
          <w:sz w:val="20"/>
        </w:rPr>
        <w:t xml:space="preserve">In addition, as it will be discussed below, the length of the proceedings had an impact on the death row phenomenon, aggravated by Mr. Rogovich’s underlying mental condition. </w:t>
      </w:r>
      <w:r w:rsidR="00DB1D14" w:rsidRPr="00224AA7">
        <w:rPr>
          <w:rFonts w:asciiTheme="majorHAnsi" w:eastAsia="Times New Roman" w:hAnsiTheme="majorHAnsi"/>
          <w:bCs/>
          <w:sz w:val="20"/>
          <w:szCs w:val="20"/>
          <w:bdr w:val="none" w:sz="0" w:space="0" w:color="auto"/>
        </w:rPr>
        <w:t xml:space="preserve">In light of the above considerations, the IACHR concludes that the unwarranted delay in the processing of the </w:t>
      </w:r>
      <w:r w:rsidR="00DB1D14" w:rsidRPr="00224AA7">
        <w:rPr>
          <w:rFonts w:asciiTheme="majorHAnsi" w:hAnsiTheme="majorHAnsi"/>
          <w:sz w:val="20"/>
          <w:szCs w:val="20"/>
        </w:rPr>
        <w:t>motion for rehearing</w:t>
      </w:r>
      <w:r w:rsidR="00DB1D14" w:rsidRPr="00224AA7">
        <w:rPr>
          <w:rFonts w:asciiTheme="majorHAnsi" w:eastAsia="Times New Roman" w:hAnsiTheme="majorHAnsi"/>
          <w:bCs/>
          <w:sz w:val="20"/>
          <w:szCs w:val="20"/>
          <w:bdr w:val="none" w:sz="0" w:space="0" w:color="auto"/>
        </w:rPr>
        <w:t xml:space="preserve"> amounts to a violation of Mr. Rogovich’s rights under Articles XVIII and XXIV of the Declaration. </w:t>
      </w:r>
    </w:p>
    <w:p w14:paraId="16858532" w14:textId="77777777" w:rsidR="006B5C2E" w:rsidRPr="00224AA7" w:rsidRDefault="006B5C2E" w:rsidP="006B5C2E">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1B5393BA" w14:textId="77777777" w:rsidR="00BE66B0" w:rsidRPr="00224AA7" w:rsidRDefault="00BE66B0" w:rsidP="00224AA7">
      <w:pPr>
        <w:pStyle w:val="Heading3"/>
        <w:numPr>
          <w:ilvl w:val="1"/>
          <w:numId w:val="53"/>
        </w:numPr>
        <w:spacing w:before="0"/>
        <w:ind w:left="360"/>
        <w:rPr>
          <w:color w:val="auto"/>
          <w:sz w:val="20"/>
          <w:szCs w:val="20"/>
        </w:rPr>
      </w:pPr>
      <w:bookmarkStart w:id="25" w:name="_Toc90283307"/>
      <w:r w:rsidRPr="00224AA7">
        <w:rPr>
          <w:color w:val="auto"/>
          <w:sz w:val="20"/>
          <w:szCs w:val="20"/>
        </w:rPr>
        <w:t>Clemency proceedings</w:t>
      </w:r>
      <w:bookmarkEnd w:id="25"/>
    </w:p>
    <w:p w14:paraId="705701C3" w14:textId="77777777" w:rsidR="00BE66B0" w:rsidRPr="00224AA7" w:rsidRDefault="00BE66B0" w:rsidP="00BE66B0">
      <w:pPr>
        <w:pStyle w:val="NormalWeb"/>
        <w:shd w:val="clear" w:color="auto" w:fill="FFFFFF"/>
        <w:tabs>
          <w:tab w:val="left" w:pos="360"/>
        </w:tabs>
        <w:spacing w:before="0" w:beforeAutospacing="0" w:after="0" w:afterAutospacing="0"/>
        <w:ind w:left="1530"/>
        <w:jc w:val="both"/>
        <w:rPr>
          <w:rFonts w:asciiTheme="majorHAnsi" w:hAnsiTheme="majorHAnsi"/>
          <w:b/>
          <w:sz w:val="20"/>
          <w:szCs w:val="20"/>
        </w:rPr>
      </w:pPr>
    </w:p>
    <w:p w14:paraId="54EB82B6" w14:textId="77777777" w:rsidR="00F71982" w:rsidRPr="00224AA7" w:rsidRDefault="00F71982" w:rsidP="00BE66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The petitioner alleges that the clemency board members are trained by the Attorney General whose office assists prosecutors in securing death sentences at the trial level and that they are restricted to the evidence and arguments presented at trial</w:t>
      </w:r>
      <w:r w:rsidR="006B37DA" w:rsidRPr="00224AA7">
        <w:rPr>
          <w:rFonts w:asciiTheme="majorHAnsi" w:hAnsiTheme="majorHAnsi"/>
          <w:sz w:val="20"/>
          <w:szCs w:val="20"/>
        </w:rPr>
        <w:t>. T</w:t>
      </w:r>
      <w:r w:rsidRPr="00224AA7">
        <w:rPr>
          <w:rFonts w:asciiTheme="majorHAnsi" w:hAnsiTheme="majorHAnsi"/>
          <w:sz w:val="20"/>
          <w:szCs w:val="20"/>
        </w:rPr>
        <w:t>he State</w:t>
      </w:r>
      <w:r w:rsidR="006B37DA" w:rsidRPr="00224AA7">
        <w:rPr>
          <w:rFonts w:asciiTheme="majorHAnsi" w:hAnsiTheme="majorHAnsi"/>
          <w:sz w:val="20"/>
          <w:szCs w:val="20"/>
        </w:rPr>
        <w:t xml:space="preserve">, for its part, </w:t>
      </w:r>
      <w:r w:rsidR="00615B67" w:rsidRPr="00224AA7">
        <w:rPr>
          <w:rFonts w:asciiTheme="majorHAnsi" w:hAnsiTheme="majorHAnsi"/>
          <w:sz w:val="20"/>
          <w:szCs w:val="20"/>
        </w:rPr>
        <w:t>claims that access to clemency proceedings is not a due process right.</w:t>
      </w:r>
      <w:r w:rsidRPr="00224AA7">
        <w:rPr>
          <w:rFonts w:asciiTheme="majorHAnsi" w:hAnsiTheme="majorHAnsi"/>
          <w:sz w:val="20"/>
          <w:szCs w:val="20"/>
        </w:rPr>
        <w:t xml:space="preserve"> </w:t>
      </w:r>
    </w:p>
    <w:p w14:paraId="6A02571B" w14:textId="77777777" w:rsidR="00F71982" w:rsidRPr="00224AA7" w:rsidRDefault="00F71982" w:rsidP="00F719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jc w:val="both"/>
        <w:rPr>
          <w:rFonts w:asciiTheme="majorHAnsi" w:hAnsiTheme="majorHAnsi"/>
          <w:sz w:val="20"/>
          <w:szCs w:val="20"/>
        </w:rPr>
      </w:pPr>
    </w:p>
    <w:p w14:paraId="76D4A296" w14:textId="77777777" w:rsidR="00780BCB" w:rsidRPr="00224AA7" w:rsidRDefault="00780BCB" w:rsidP="00780B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 xml:space="preserve">The Inter-American Commission has concluded </w:t>
      </w:r>
      <w:r w:rsidR="00BE66B0" w:rsidRPr="00224AA7">
        <w:rPr>
          <w:rFonts w:asciiTheme="majorHAnsi" w:hAnsiTheme="majorHAnsi"/>
          <w:sz w:val="20"/>
          <w:szCs w:val="20"/>
        </w:rPr>
        <w:t>the right to apply for pardon or commutation of sentence is subject to certain minimal fairness guarantees in order for the right to be effectively respected and enjoyed. These procedural protections have been held to include “the right on the part of condemned prisoners to submit a request for amnesty, pardon or commutation of sentence, to be informed of when the competent authority will consider the offender's case, to make representations, in person or by counsel to the competent authority, and to receive a decision from that authority within a reasonable period of time prior to his or her execution.”</w:t>
      </w:r>
      <w:bookmarkStart w:id="26" w:name="_ftnref81"/>
      <w:r w:rsidR="00BE66B0" w:rsidRPr="00224AA7">
        <w:rPr>
          <w:rFonts w:asciiTheme="majorHAnsi" w:hAnsiTheme="majorHAnsi"/>
          <w:sz w:val="20"/>
          <w:szCs w:val="20"/>
        </w:rPr>
        <w:t xml:space="preserve"> In particular, the IACHR has previously held that “[i]</w:t>
      </w:r>
      <w:bookmarkEnd w:id="26"/>
      <w:r w:rsidR="00BE66B0" w:rsidRPr="00224AA7">
        <w:rPr>
          <w:rFonts w:asciiTheme="majorHAnsi" w:hAnsiTheme="majorHAnsi"/>
          <w:sz w:val="20"/>
          <w:szCs w:val="20"/>
        </w:rPr>
        <w:t>n the case of Clemency proceedings pending the execution of a death sentence, the minimal fairness guarantees afforded to the applicant should include the opportunity to receive an impartial hearing.”</w:t>
      </w:r>
      <w:r w:rsidR="00BE66B0" w:rsidRPr="00224AA7">
        <w:rPr>
          <w:rStyle w:val="FootnoteReference"/>
          <w:rFonts w:asciiTheme="majorHAnsi" w:eastAsia="Times New Roman" w:hAnsiTheme="majorHAnsi"/>
          <w:bCs/>
          <w:sz w:val="20"/>
          <w:szCs w:val="20"/>
          <w:bdr w:val="none" w:sz="0" w:space="0" w:color="auto" w:frame="1"/>
        </w:rPr>
        <w:footnoteReference w:id="74"/>
      </w:r>
    </w:p>
    <w:p w14:paraId="566E5764" w14:textId="77777777" w:rsidR="00780BCB" w:rsidRPr="00224AA7" w:rsidRDefault="00780BCB" w:rsidP="00780BCB">
      <w:pPr>
        <w:pStyle w:val="ListParagraph"/>
        <w:rPr>
          <w:rFonts w:asciiTheme="majorHAnsi" w:hAnsiTheme="majorHAnsi"/>
          <w:sz w:val="20"/>
          <w:szCs w:val="20"/>
        </w:rPr>
      </w:pPr>
    </w:p>
    <w:p w14:paraId="621B7DC1" w14:textId="77777777" w:rsidR="00780BCB" w:rsidRPr="00224AA7" w:rsidRDefault="00780BCB" w:rsidP="00780B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rPr>
      </w:pPr>
      <w:r w:rsidRPr="00224AA7">
        <w:rPr>
          <w:rFonts w:asciiTheme="majorHAnsi" w:hAnsiTheme="majorHAnsi"/>
          <w:sz w:val="20"/>
          <w:szCs w:val="20"/>
        </w:rPr>
        <w:t>From the available information, the clemency process in Arizona does not appear to guarantee the minimal procedural protections</w:t>
      </w:r>
      <w:r w:rsidR="0065154E">
        <w:rPr>
          <w:rFonts w:asciiTheme="majorHAnsi" w:hAnsiTheme="majorHAnsi"/>
          <w:sz w:val="20"/>
          <w:szCs w:val="20"/>
        </w:rPr>
        <w:t xml:space="preserve"> </w:t>
      </w:r>
      <w:r w:rsidR="0065154E" w:rsidRPr="00224AA7">
        <w:rPr>
          <w:rFonts w:asciiTheme="majorHAnsi" w:hAnsiTheme="majorHAnsi"/>
          <w:sz w:val="20"/>
          <w:szCs w:val="20"/>
        </w:rPr>
        <w:t>abovementioned</w:t>
      </w:r>
      <w:r w:rsidRPr="00224AA7">
        <w:rPr>
          <w:rFonts w:asciiTheme="majorHAnsi" w:hAnsiTheme="majorHAnsi"/>
          <w:sz w:val="20"/>
          <w:szCs w:val="20"/>
        </w:rPr>
        <w:t>.  In particular, the fact that the person</w:t>
      </w:r>
      <w:r w:rsidR="0066584C">
        <w:rPr>
          <w:rFonts w:asciiTheme="majorHAnsi" w:hAnsiTheme="majorHAnsi"/>
          <w:sz w:val="20"/>
          <w:szCs w:val="20"/>
        </w:rPr>
        <w:t>s</w:t>
      </w:r>
      <w:r w:rsidRPr="00224AA7">
        <w:rPr>
          <w:rFonts w:asciiTheme="majorHAnsi" w:hAnsiTheme="majorHAnsi"/>
          <w:sz w:val="20"/>
          <w:szCs w:val="20"/>
        </w:rPr>
        <w:t xml:space="preserve"> vested with the power to commute Mr. Rogovich’s capital punishment sentence are train</w:t>
      </w:r>
      <w:r w:rsidR="0066584C">
        <w:rPr>
          <w:rFonts w:asciiTheme="majorHAnsi" w:hAnsiTheme="majorHAnsi"/>
          <w:sz w:val="20"/>
          <w:szCs w:val="20"/>
        </w:rPr>
        <w:t>ed</w:t>
      </w:r>
      <w:r w:rsidRPr="00224AA7">
        <w:rPr>
          <w:rFonts w:asciiTheme="majorHAnsi" w:hAnsiTheme="majorHAnsi"/>
          <w:sz w:val="20"/>
          <w:szCs w:val="20"/>
        </w:rPr>
        <w:t xml:space="preserve"> by the same office that was in charge of his prosecution, does not satisfy the minimal fairness guarantees such as the right to be heard by an impartial authority.  Based upon the foregoing, the Inter-American Commission concludes that the clemency procedures in Arizona fail to guarantee the right to minimal fairness guarantees pursuant to Article XXVI of the American Declaration.</w:t>
      </w:r>
    </w:p>
    <w:p w14:paraId="53B43A91" w14:textId="77777777" w:rsidR="00BE66B0" w:rsidRPr="00224AA7" w:rsidRDefault="00BE66B0" w:rsidP="00BE66B0">
      <w:pPr>
        <w:pStyle w:val="NormalWeb"/>
        <w:shd w:val="clear" w:color="auto" w:fill="FFFFFF"/>
        <w:tabs>
          <w:tab w:val="left" w:pos="360"/>
        </w:tabs>
        <w:spacing w:before="0" w:beforeAutospacing="0" w:after="0" w:afterAutospacing="0"/>
        <w:ind w:left="1530"/>
        <w:jc w:val="both"/>
        <w:rPr>
          <w:rFonts w:asciiTheme="majorHAnsi" w:hAnsiTheme="majorHAnsi"/>
          <w:b/>
          <w:sz w:val="20"/>
          <w:szCs w:val="20"/>
        </w:rPr>
      </w:pPr>
    </w:p>
    <w:p w14:paraId="4437A444" w14:textId="77777777" w:rsidR="006B5C2E" w:rsidRPr="00224AA7" w:rsidRDefault="006B5C2E" w:rsidP="009C6457">
      <w:pPr>
        <w:pStyle w:val="Heading2"/>
        <w:numPr>
          <w:ilvl w:val="0"/>
          <w:numId w:val="61"/>
        </w:numPr>
        <w:tabs>
          <w:tab w:val="left" w:pos="360"/>
        </w:tabs>
        <w:spacing w:before="0"/>
        <w:ind w:left="0" w:firstLine="0"/>
        <w:jc w:val="both"/>
        <w:rPr>
          <w:color w:val="auto"/>
          <w:sz w:val="20"/>
          <w:szCs w:val="20"/>
        </w:rPr>
      </w:pPr>
      <w:bookmarkStart w:id="27" w:name="_Toc90283308"/>
      <w:r w:rsidRPr="00224AA7">
        <w:rPr>
          <w:color w:val="auto"/>
          <w:sz w:val="20"/>
          <w:szCs w:val="20"/>
        </w:rPr>
        <w:lastRenderedPageBreak/>
        <w:t>Right to humane treatment during custody</w:t>
      </w:r>
      <w:r w:rsidR="00157CE4" w:rsidRPr="00224AA7">
        <w:rPr>
          <w:color w:val="auto"/>
          <w:sz w:val="20"/>
          <w:szCs w:val="20"/>
        </w:rPr>
        <w:t>,</w:t>
      </w:r>
      <w:r w:rsidR="009C03AE">
        <w:rPr>
          <w:rStyle w:val="FootnoteReference"/>
          <w:color w:val="auto"/>
          <w:sz w:val="20"/>
          <w:szCs w:val="20"/>
        </w:rPr>
        <w:footnoteReference w:id="75"/>
      </w:r>
      <w:r w:rsidR="00157CE4" w:rsidRPr="00224AA7">
        <w:rPr>
          <w:color w:val="auto"/>
          <w:sz w:val="20"/>
          <w:szCs w:val="20"/>
        </w:rPr>
        <w:t xml:space="preserve"> right to health,</w:t>
      </w:r>
      <w:r w:rsidR="00157CE4" w:rsidRPr="00224AA7">
        <w:rPr>
          <w:rStyle w:val="FootnoteReference"/>
          <w:rFonts w:eastAsia="Times New Roman"/>
          <w:color w:val="auto"/>
          <w:sz w:val="20"/>
          <w:szCs w:val="20"/>
          <w:bdr w:val="none" w:sz="0" w:space="0" w:color="auto"/>
        </w:rPr>
        <w:footnoteReference w:id="76"/>
      </w:r>
      <w:r w:rsidRPr="00224AA7">
        <w:rPr>
          <w:color w:val="auto"/>
          <w:sz w:val="20"/>
          <w:szCs w:val="20"/>
        </w:rPr>
        <w:t xml:space="preserve"> and not to receive cruel, infamous or unusual punishment</w:t>
      </w:r>
      <w:bookmarkEnd w:id="27"/>
      <w:r w:rsidRPr="00224AA7">
        <w:rPr>
          <w:color w:val="auto"/>
          <w:sz w:val="20"/>
          <w:szCs w:val="20"/>
        </w:rPr>
        <w:t xml:space="preserve"> </w:t>
      </w:r>
    </w:p>
    <w:p w14:paraId="25A5AB82" w14:textId="77777777" w:rsidR="006B5C2E" w:rsidRPr="00224AA7" w:rsidRDefault="006B5C2E" w:rsidP="006B5C2E"/>
    <w:p w14:paraId="5FB155CB" w14:textId="77777777" w:rsidR="00563314" w:rsidRPr="00224AA7" w:rsidRDefault="006B5C2E" w:rsidP="00224AA7">
      <w:pPr>
        <w:pStyle w:val="Heading3"/>
        <w:numPr>
          <w:ilvl w:val="3"/>
          <w:numId w:val="53"/>
        </w:numPr>
        <w:spacing w:before="0"/>
        <w:ind w:left="360"/>
        <w:rPr>
          <w:color w:val="auto"/>
          <w:sz w:val="20"/>
          <w:szCs w:val="20"/>
        </w:rPr>
      </w:pPr>
      <w:bookmarkStart w:id="28" w:name="_Toc90283309"/>
      <w:r w:rsidRPr="00224AA7">
        <w:rPr>
          <w:color w:val="auto"/>
          <w:sz w:val="20"/>
          <w:szCs w:val="20"/>
        </w:rPr>
        <w:t>Right of every per</w:t>
      </w:r>
      <w:r w:rsidR="00E855B5" w:rsidRPr="00224AA7">
        <w:rPr>
          <w:color w:val="auto"/>
          <w:sz w:val="20"/>
          <w:szCs w:val="20"/>
        </w:rPr>
        <w:t xml:space="preserve">son with mental </w:t>
      </w:r>
      <w:r w:rsidRPr="00224AA7">
        <w:rPr>
          <w:color w:val="auto"/>
          <w:sz w:val="20"/>
          <w:szCs w:val="20"/>
        </w:rPr>
        <w:t>disabilities not to be subject to death penalty</w:t>
      </w:r>
      <w:bookmarkEnd w:id="28"/>
      <w:r w:rsidRPr="00224AA7">
        <w:rPr>
          <w:color w:val="auto"/>
          <w:sz w:val="20"/>
          <w:szCs w:val="20"/>
        </w:rPr>
        <w:t xml:space="preserve"> </w:t>
      </w:r>
    </w:p>
    <w:p w14:paraId="31353619" w14:textId="77777777" w:rsidR="00801C7F" w:rsidRPr="00224AA7" w:rsidRDefault="00801C7F" w:rsidP="00801C7F">
      <w:pPr>
        <w:pStyle w:val="ListParagraph"/>
        <w:tabs>
          <w:tab w:val="left" w:pos="360"/>
        </w:tabs>
        <w:ind w:left="0"/>
        <w:rPr>
          <w:b/>
          <w:sz w:val="20"/>
          <w:szCs w:val="20"/>
        </w:rPr>
      </w:pPr>
    </w:p>
    <w:p w14:paraId="61691F64" w14:textId="77777777" w:rsidR="00E855B5" w:rsidRPr="00224AA7" w:rsidRDefault="00E855B5"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bCs/>
          <w:sz w:val="20"/>
          <w:szCs w:val="20"/>
          <w:bdr w:val="none" w:sz="0" w:space="0" w:color="auto" w:frame="1"/>
        </w:rPr>
        <w:t>The IACHR has established that, while the American Declaration does not expressly prohibit the imposition of the death penalty in the case of persons with mental and intellectual disabilities, such a practice is in violation of the rights and basic principles recognized in Articles I and XXVI of the American Declaration.</w:t>
      </w:r>
      <w:r w:rsidRPr="00224AA7">
        <w:rPr>
          <w:rStyle w:val="FootnoteReference"/>
          <w:rFonts w:asciiTheme="majorHAnsi" w:hAnsiTheme="majorHAnsi"/>
          <w:bCs/>
          <w:sz w:val="20"/>
          <w:szCs w:val="20"/>
        </w:rPr>
        <w:footnoteReference w:id="77"/>
      </w:r>
      <w:r w:rsidRPr="00224AA7">
        <w:rPr>
          <w:rStyle w:val="FootnoteReference"/>
        </w:rPr>
        <w:t xml:space="preserve"> </w:t>
      </w:r>
      <w:r w:rsidRPr="00224AA7">
        <w:rPr>
          <w:rFonts w:asciiTheme="majorHAnsi" w:hAnsiTheme="majorHAnsi"/>
          <w:bCs/>
          <w:sz w:val="20"/>
          <w:szCs w:val="20"/>
          <w:bdr w:val="none" w:sz="0" w:space="0" w:color="auto" w:frame="1"/>
        </w:rPr>
        <w:t>The IACHR has also ruled that:</w:t>
      </w:r>
    </w:p>
    <w:p w14:paraId="18E63604" w14:textId="77777777" w:rsidR="00E855B5" w:rsidRPr="00224AA7" w:rsidRDefault="00E855B5" w:rsidP="00E855B5">
      <w:pPr>
        <w:pStyle w:val="ListParagraph"/>
        <w:shd w:val="clear" w:color="auto" w:fill="FFFFFF"/>
        <w:ind w:left="0"/>
        <w:jc w:val="both"/>
        <w:rPr>
          <w:rFonts w:asciiTheme="majorHAnsi" w:hAnsiTheme="majorHAnsi"/>
          <w:bCs/>
          <w:sz w:val="20"/>
          <w:szCs w:val="20"/>
        </w:rPr>
      </w:pPr>
    </w:p>
    <w:p w14:paraId="52B30680" w14:textId="77777777" w:rsidR="00E855B5" w:rsidRPr="00224AA7" w:rsidRDefault="00E855B5" w:rsidP="00E855B5">
      <w:pPr>
        <w:pStyle w:val="ListParagraph"/>
        <w:shd w:val="clear" w:color="auto" w:fill="FFFFFF"/>
        <w:ind w:left="360" w:right="360"/>
        <w:jc w:val="both"/>
        <w:rPr>
          <w:rFonts w:asciiTheme="majorHAnsi" w:hAnsiTheme="majorHAnsi"/>
          <w:bCs/>
          <w:sz w:val="18"/>
          <w:szCs w:val="18"/>
        </w:rPr>
      </w:pPr>
      <w:r w:rsidRPr="00224AA7">
        <w:rPr>
          <w:rFonts w:eastAsia="Times New Roman"/>
          <w:sz w:val="18"/>
          <w:szCs w:val="18"/>
          <w:bdr w:val="none" w:sz="0" w:space="0" w:color="auto" w:frame="1"/>
        </w:rPr>
        <w:t>States have a special duty to protect persons with mental and intellectual disabilities, a duty that is reinforced in the case of persons under State custody.  Moreover, it is a principle of international law that persons with mental and intellectual disabilities, either at the time of the commission of the crime or during trial, cannot be sentenced to the death penalty.  Likewise, international law also prohibits the execution of a person sentenced to death if that person has a mental or intellectual disability at the time of the execution.</w:t>
      </w:r>
      <w:r w:rsidRPr="00224AA7">
        <w:rPr>
          <w:rFonts w:eastAsia="Times New Roman"/>
          <w:sz w:val="18"/>
          <w:szCs w:val="18"/>
          <w:bdr w:val="none" w:sz="0" w:space="0" w:color="auto" w:frame="1"/>
          <w:vertAlign w:val="superscript"/>
        </w:rPr>
        <w:footnoteReference w:id="78"/>
      </w:r>
    </w:p>
    <w:p w14:paraId="390D4E8B" w14:textId="77777777" w:rsidR="00E855B5" w:rsidRPr="00224AA7" w:rsidRDefault="00E855B5" w:rsidP="00E855B5">
      <w:pPr>
        <w:tabs>
          <w:tab w:val="left" w:pos="0"/>
        </w:tabs>
        <w:jc w:val="both"/>
        <w:rPr>
          <w:rFonts w:ascii="Cambria" w:eastAsia="Times New Roman" w:hAnsi="Cambria"/>
          <w:bCs/>
          <w:sz w:val="20"/>
          <w:szCs w:val="20"/>
          <w:bdr w:val="none" w:sz="0" w:space="0" w:color="auto" w:frame="1"/>
        </w:rPr>
      </w:pPr>
    </w:p>
    <w:p w14:paraId="4E8AEF81" w14:textId="77777777" w:rsidR="00E855B5" w:rsidRPr="00224AA7" w:rsidRDefault="00E855B5"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bCs/>
          <w:sz w:val="20"/>
          <w:szCs w:val="20"/>
          <w:bdr w:val="none" w:sz="0" w:space="0" w:color="auto" w:frame="1"/>
        </w:rPr>
        <w:t>In a case involving Trinidad and Tobago, the Human Rights Committee held that the reading of a death warrant to a person with a mental disability, even if that person had been competent at the time of his or her conviction, is a violation of the right not to be subjected to torture or to cruel, inhuman or degrading treatment or punishment.</w:t>
      </w:r>
      <w:r w:rsidRPr="00224AA7">
        <w:rPr>
          <w:rStyle w:val="FootnoteReference"/>
          <w:rFonts w:asciiTheme="majorHAnsi" w:eastAsia="Cambria" w:hAnsiTheme="majorHAnsi"/>
          <w:bCs/>
          <w:color w:val="000000"/>
          <w:sz w:val="20"/>
          <w:szCs w:val="20"/>
          <w:u w:color="000000"/>
          <w:bdr w:val="nil"/>
          <w:lang w:eastAsia="es-ES"/>
        </w:rPr>
        <w:footnoteReference w:id="79"/>
      </w:r>
      <w:r w:rsidRPr="00224AA7">
        <w:rPr>
          <w:rFonts w:asciiTheme="majorHAnsi" w:hAnsiTheme="majorHAnsi"/>
          <w:bCs/>
          <w:sz w:val="20"/>
          <w:szCs w:val="20"/>
          <w:bdr w:val="none" w:sz="0" w:space="0" w:color="auto" w:frame="1"/>
        </w:rPr>
        <w:t xml:space="preserve"> The United Nations “Safeguards Guaranteeing Protection of the Rights of Those Facing the Death Penalty” provide that a death sentence shall not be carried out on […] “persons who have become insane.”</w:t>
      </w:r>
      <w:r w:rsidRPr="00224AA7">
        <w:rPr>
          <w:rStyle w:val="FootnoteReference"/>
          <w:rFonts w:asciiTheme="majorHAnsi" w:eastAsia="Cambria" w:hAnsiTheme="majorHAnsi"/>
          <w:bCs/>
          <w:color w:val="000000"/>
          <w:sz w:val="20"/>
          <w:szCs w:val="20"/>
          <w:u w:color="000000"/>
          <w:bdr w:val="nil"/>
          <w:lang w:eastAsia="es-ES"/>
        </w:rPr>
        <w:footnoteReference w:id="80"/>
      </w:r>
      <w:r w:rsidRPr="00224AA7">
        <w:rPr>
          <w:rStyle w:val="FootnoteReference"/>
          <w:rFonts w:asciiTheme="majorHAnsi" w:eastAsia="Cambria" w:hAnsiTheme="majorHAnsi"/>
          <w:color w:val="000000"/>
          <w:u w:color="000000"/>
          <w:bdr w:val="nil"/>
          <w:lang w:eastAsia="es-ES"/>
        </w:rPr>
        <w:t xml:space="preserve"> </w:t>
      </w:r>
      <w:r w:rsidRPr="00224AA7">
        <w:rPr>
          <w:rFonts w:asciiTheme="majorHAnsi" w:hAnsiTheme="majorHAnsi"/>
          <w:bCs/>
          <w:sz w:val="20"/>
          <w:szCs w:val="20"/>
          <w:bdr w:val="none" w:sz="0" w:space="0" w:color="auto" w:frame="1"/>
        </w:rPr>
        <w:t>The United Nations Commission on Human Rights called upon all States that still have the death penalty “[n]ot to impose the death penalty on a person suffering from any mental or intellectual disabilities or to execute any such person.”</w:t>
      </w:r>
      <w:r w:rsidRPr="00224AA7">
        <w:rPr>
          <w:rStyle w:val="FootnoteReference"/>
          <w:rFonts w:asciiTheme="majorHAnsi" w:eastAsia="Cambria" w:hAnsiTheme="majorHAnsi"/>
          <w:bCs/>
          <w:color w:val="000000"/>
          <w:sz w:val="20"/>
          <w:szCs w:val="20"/>
          <w:u w:color="000000"/>
          <w:bdr w:val="nil"/>
          <w:lang w:eastAsia="es-ES"/>
        </w:rPr>
        <w:footnoteReference w:id="81"/>
      </w:r>
    </w:p>
    <w:p w14:paraId="43130CDE" w14:textId="77777777" w:rsidR="00E855B5" w:rsidRPr="00224AA7" w:rsidRDefault="00E855B5" w:rsidP="00E855B5">
      <w:pPr>
        <w:pStyle w:val="NormalWeb"/>
        <w:shd w:val="clear" w:color="auto" w:fill="FFFFFF"/>
        <w:tabs>
          <w:tab w:val="left" w:pos="360"/>
        </w:tabs>
        <w:spacing w:before="0" w:beforeAutospacing="0" w:after="0" w:afterAutospacing="0"/>
        <w:jc w:val="both"/>
        <w:rPr>
          <w:rFonts w:asciiTheme="majorHAnsi" w:hAnsiTheme="majorHAnsi"/>
          <w:bCs/>
          <w:sz w:val="20"/>
          <w:szCs w:val="20"/>
          <w:bdr w:val="none" w:sz="0" w:space="0" w:color="auto" w:frame="1"/>
        </w:rPr>
      </w:pPr>
    </w:p>
    <w:p w14:paraId="4CE174CB" w14:textId="77777777" w:rsidR="00E855B5" w:rsidRPr="00224AA7" w:rsidRDefault="00E855B5"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sz w:val="20"/>
          <w:szCs w:val="20"/>
          <w:bdr w:val="none" w:sz="0" w:space="0" w:color="auto" w:frame="1"/>
        </w:rPr>
        <w:t>Also, the U.N. Special Rapporteur on torture and other cruel, inhuman or degrading treatment or punishment indicated that international law considers the imposition and enforcement of the death penalty in the case of persons with mental disabilities as particularly cruel, inhuman and degrading, and in violation of Article 7 of the International Covenant on Civil and Political Rights and Articles 1 and 16 of the Convention against Torture.</w:t>
      </w:r>
      <w:r w:rsidRPr="00224AA7">
        <w:rPr>
          <w:rStyle w:val="FootnoteReference"/>
          <w:rFonts w:asciiTheme="majorHAnsi" w:hAnsiTheme="majorHAnsi"/>
          <w:bCs/>
          <w:sz w:val="20"/>
          <w:szCs w:val="20"/>
        </w:rPr>
        <w:footnoteReference w:id="82"/>
      </w:r>
      <w:r w:rsidRPr="00224AA7">
        <w:rPr>
          <w:rFonts w:asciiTheme="majorHAnsi" w:hAnsiTheme="majorHAnsi"/>
          <w:sz w:val="20"/>
          <w:szCs w:val="20"/>
          <w:bdr w:val="none" w:sz="0" w:space="0" w:color="auto" w:frame="1"/>
        </w:rPr>
        <w:t xml:space="preserve"> Likewise, the U.N. Special Rapporteur on arbitrary executions stated that “[i]</w:t>
      </w:r>
      <w:r w:rsidRPr="00224AA7">
        <w:rPr>
          <w:rFonts w:asciiTheme="majorHAnsi" w:hAnsiTheme="majorHAnsi"/>
          <w:sz w:val="20"/>
          <w:szCs w:val="20"/>
          <w:bdr w:val="none" w:sz="0" w:space="0" w:color="auto" w:frame="1"/>
          <w:shd w:val="clear" w:color="auto" w:fill="FFFFFF"/>
        </w:rPr>
        <w:t>t is a violation of death penalty safeguards to impose capital punishment on individuals suffering from psychosocial disabilities.”</w:t>
      </w:r>
      <w:r w:rsidRPr="00224AA7">
        <w:rPr>
          <w:rStyle w:val="FootnoteReference"/>
          <w:rFonts w:asciiTheme="majorHAnsi" w:hAnsiTheme="majorHAnsi"/>
          <w:bCs/>
          <w:sz w:val="20"/>
          <w:szCs w:val="20"/>
        </w:rPr>
        <w:footnoteReference w:id="83"/>
      </w:r>
    </w:p>
    <w:p w14:paraId="004A68EA" w14:textId="77777777" w:rsidR="00E855B5" w:rsidRPr="00224AA7" w:rsidRDefault="00E855B5" w:rsidP="00E855B5">
      <w:pPr>
        <w:pStyle w:val="ListParagraph"/>
        <w:rPr>
          <w:rFonts w:asciiTheme="majorHAnsi" w:hAnsiTheme="majorHAnsi"/>
          <w:sz w:val="20"/>
          <w:szCs w:val="20"/>
          <w:bdr w:val="none" w:sz="0" w:space="0" w:color="auto" w:frame="1"/>
        </w:rPr>
      </w:pPr>
    </w:p>
    <w:p w14:paraId="41A79254" w14:textId="77777777" w:rsidR="00E855B5" w:rsidRPr="00224AA7" w:rsidRDefault="00E855B5"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sz w:val="20"/>
          <w:szCs w:val="20"/>
          <w:bdr w:val="none" w:sz="0" w:space="0" w:color="auto" w:frame="1"/>
        </w:rPr>
        <w:t xml:space="preserve">In </w:t>
      </w:r>
      <w:r w:rsidRPr="00224AA7">
        <w:rPr>
          <w:rFonts w:asciiTheme="majorHAnsi" w:hAnsiTheme="majorHAnsi"/>
          <w:i/>
          <w:sz w:val="20"/>
          <w:szCs w:val="20"/>
          <w:bdr w:val="none" w:sz="0" w:space="0" w:color="auto" w:frame="1"/>
        </w:rPr>
        <w:t>Atkins v. Virginia</w:t>
      </w:r>
      <w:r w:rsidRPr="00224AA7">
        <w:rPr>
          <w:rFonts w:asciiTheme="majorHAnsi" w:hAnsiTheme="majorHAnsi"/>
          <w:sz w:val="20"/>
          <w:szCs w:val="20"/>
          <w:bdr w:val="none" w:sz="0" w:space="0" w:color="auto" w:frame="1"/>
        </w:rPr>
        <w:t>,</w:t>
      </w:r>
      <w:r w:rsidRPr="00224AA7">
        <w:rPr>
          <w:rStyle w:val="FootnoteReference"/>
          <w:rFonts w:asciiTheme="majorHAnsi" w:hAnsiTheme="majorHAnsi"/>
          <w:bCs/>
          <w:sz w:val="20"/>
          <w:szCs w:val="20"/>
        </w:rPr>
        <w:footnoteReference w:id="84"/>
      </w:r>
      <w:r w:rsidRPr="00224AA7">
        <w:rPr>
          <w:rFonts w:asciiTheme="majorHAnsi" w:hAnsiTheme="majorHAnsi"/>
          <w:sz w:val="20"/>
          <w:szCs w:val="20"/>
          <w:bdr w:val="none" w:sz="0" w:space="0" w:color="auto" w:frame="1"/>
        </w:rPr>
        <w:t xml:space="preserve"> the United States Supreme Court held that “</w:t>
      </w:r>
      <w:r w:rsidRPr="00224AA7">
        <w:rPr>
          <w:rFonts w:asciiTheme="majorHAnsi" w:hAnsiTheme="majorHAnsi"/>
          <w:sz w:val="20"/>
          <w:szCs w:val="20"/>
          <w:bdr w:val="none" w:sz="0" w:space="0" w:color="auto" w:frame="1"/>
          <w:shd w:val="clear" w:color="auto" w:fill="FFFFFF"/>
        </w:rPr>
        <w:t>executions of mentally retarded criminals are cruel and unusual punishments prohibited by the Eighth Amendment” of the U.S. Constitution.  In its ruling, the Supreme Court traced the history of the concept of “excessive” sanctions and underscored the fact that the consensus today unquestionably reflects widespread judgment about the relative culpability of “mentally retarded offenders.”</w:t>
      </w:r>
      <w:r w:rsidRPr="00224AA7">
        <w:rPr>
          <w:rStyle w:val="FootnoteReference"/>
          <w:rFonts w:asciiTheme="majorHAnsi" w:hAnsiTheme="majorHAnsi"/>
          <w:bCs/>
          <w:sz w:val="20"/>
          <w:szCs w:val="20"/>
        </w:rPr>
        <w:footnoteReference w:id="85"/>
      </w:r>
      <w:r w:rsidRPr="00224AA7">
        <w:rPr>
          <w:rFonts w:asciiTheme="majorHAnsi" w:hAnsiTheme="majorHAnsi"/>
          <w:sz w:val="20"/>
          <w:szCs w:val="20"/>
          <w:bdr w:val="none" w:sz="0" w:space="0" w:color="auto" w:frame="1"/>
        </w:rPr>
        <w:t xml:space="preserve"> </w:t>
      </w:r>
    </w:p>
    <w:p w14:paraId="54A578A2" w14:textId="77777777" w:rsidR="008D02D4" w:rsidRPr="00224AA7" w:rsidRDefault="008D02D4" w:rsidP="008D02D4">
      <w:pPr>
        <w:pStyle w:val="ListParagraph"/>
        <w:rPr>
          <w:rFonts w:asciiTheme="majorHAnsi" w:hAnsiTheme="majorHAnsi"/>
          <w:bCs/>
          <w:sz w:val="20"/>
          <w:szCs w:val="20"/>
          <w:bdr w:val="none" w:sz="0" w:space="0" w:color="auto" w:frame="1"/>
        </w:rPr>
      </w:pPr>
    </w:p>
    <w:p w14:paraId="6B11B817" w14:textId="77777777" w:rsidR="00EC59D9" w:rsidRPr="00224AA7" w:rsidRDefault="00EC59D9"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bCs/>
          <w:sz w:val="20"/>
          <w:szCs w:val="20"/>
        </w:rPr>
        <w:lastRenderedPageBreak/>
        <w:t>There is no information in the file before the IACHR regarding the reasons that led the jury to conclude that Mr. Rogovich was competent to stand trial. However, t</w:t>
      </w:r>
      <w:r w:rsidRPr="00224AA7">
        <w:rPr>
          <w:rFonts w:asciiTheme="majorHAnsi" w:eastAsia="Arial Unicode MS" w:hAnsiTheme="majorHAnsi"/>
          <w:sz w:val="20"/>
          <w:szCs w:val="20"/>
        </w:rPr>
        <w:t>he Commission notes that</w:t>
      </w:r>
      <w:r w:rsidR="00065FBA" w:rsidRPr="00224AA7">
        <w:rPr>
          <w:rFonts w:asciiTheme="majorHAnsi" w:hAnsiTheme="majorHAnsi"/>
          <w:bCs/>
          <w:sz w:val="20"/>
          <w:szCs w:val="20"/>
          <w:bdr w:val="none" w:sz="0" w:space="0" w:color="auto" w:frame="1"/>
        </w:rPr>
        <w:t xml:space="preserve">, on July 28, 1992, </w:t>
      </w:r>
      <w:r w:rsidRPr="00224AA7">
        <w:rPr>
          <w:rFonts w:asciiTheme="majorHAnsi" w:hAnsiTheme="majorHAnsi"/>
          <w:bCs/>
          <w:sz w:val="20"/>
          <w:szCs w:val="20"/>
          <w:bdr w:val="none" w:sz="0" w:space="0" w:color="auto" w:frame="1"/>
        </w:rPr>
        <w:t xml:space="preserve">a few months after his arrest, </w:t>
      </w:r>
      <w:r w:rsidR="00065FBA" w:rsidRPr="00224AA7">
        <w:rPr>
          <w:rFonts w:asciiTheme="majorHAnsi" w:hAnsiTheme="majorHAnsi"/>
          <w:bCs/>
          <w:sz w:val="20"/>
          <w:szCs w:val="20"/>
          <w:bdr w:val="none" w:sz="0" w:space="0" w:color="auto" w:frame="1"/>
        </w:rPr>
        <w:t xml:space="preserve">Mr. Rogovich was found lying on his back hollering “they are trying to kill me” and later that day he attempted suicide. </w:t>
      </w:r>
      <w:r w:rsidR="002D12CF" w:rsidRPr="00224AA7">
        <w:rPr>
          <w:rFonts w:asciiTheme="majorHAnsi" w:hAnsiTheme="majorHAnsi"/>
          <w:bCs/>
          <w:sz w:val="20"/>
          <w:szCs w:val="20"/>
          <w:bdr w:val="none" w:sz="0" w:space="0" w:color="auto" w:frame="1"/>
        </w:rPr>
        <w:t>He</w:t>
      </w:r>
      <w:r w:rsidR="00065FBA" w:rsidRPr="00224AA7">
        <w:rPr>
          <w:rFonts w:asciiTheme="majorHAnsi" w:hAnsiTheme="majorHAnsi"/>
          <w:bCs/>
          <w:sz w:val="20"/>
          <w:szCs w:val="20"/>
          <w:bdr w:val="none" w:sz="0" w:space="0" w:color="auto" w:frame="1"/>
        </w:rPr>
        <w:t xml:space="preserve"> was subsequently transferred to the psych unit</w:t>
      </w:r>
      <w:r w:rsidR="00825952" w:rsidRPr="00224AA7">
        <w:rPr>
          <w:rFonts w:asciiTheme="majorHAnsi" w:hAnsiTheme="majorHAnsi"/>
          <w:bCs/>
          <w:sz w:val="20"/>
          <w:szCs w:val="20"/>
          <w:bdr w:val="none" w:sz="0" w:space="0" w:color="auto" w:frame="1"/>
        </w:rPr>
        <w:t xml:space="preserve"> where he stayed until December 21, 1992. </w:t>
      </w:r>
      <w:r w:rsidR="002D12CF" w:rsidRPr="00224AA7">
        <w:rPr>
          <w:rFonts w:asciiTheme="majorHAnsi" w:hAnsiTheme="majorHAnsi"/>
          <w:bCs/>
          <w:sz w:val="20"/>
          <w:szCs w:val="20"/>
          <w:bdr w:val="none" w:sz="0" w:space="0" w:color="auto" w:frame="1"/>
        </w:rPr>
        <w:t>Mr. Rogovich</w:t>
      </w:r>
      <w:r w:rsidR="00825952" w:rsidRPr="00224AA7">
        <w:rPr>
          <w:rFonts w:asciiTheme="majorHAnsi" w:hAnsiTheme="majorHAnsi"/>
          <w:bCs/>
          <w:sz w:val="20"/>
          <w:szCs w:val="20"/>
          <w:bdr w:val="none" w:sz="0" w:space="0" w:color="auto" w:frame="1"/>
        </w:rPr>
        <w:t xml:space="preserve"> was diagnosed with paranoid schizophrenia and was prescribed psychotic medicine for one month. </w:t>
      </w:r>
      <w:r w:rsidR="006F6EE6" w:rsidRPr="00224AA7">
        <w:rPr>
          <w:rFonts w:asciiTheme="majorHAnsi" w:hAnsiTheme="majorHAnsi"/>
          <w:bCs/>
          <w:sz w:val="20"/>
          <w:szCs w:val="20"/>
          <w:bdr w:val="none" w:sz="0" w:space="0" w:color="auto" w:frame="1"/>
        </w:rPr>
        <w:t xml:space="preserve">Psychological tests conducted </w:t>
      </w:r>
      <w:r w:rsidR="002D12CF" w:rsidRPr="00224AA7">
        <w:rPr>
          <w:rFonts w:asciiTheme="majorHAnsi" w:hAnsiTheme="majorHAnsi"/>
          <w:bCs/>
          <w:sz w:val="20"/>
          <w:szCs w:val="20"/>
          <w:bdr w:val="none" w:sz="0" w:space="0" w:color="auto" w:frame="1"/>
        </w:rPr>
        <w:t>in</w:t>
      </w:r>
      <w:r w:rsidR="006F6EE6" w:rsidRPr="00224AA7">
        <w:rPr>
          <w:rFonts w:asciiTheme="majorHAnsi" w:hAnsiTheme="majorHAnsi"/>
          <w:bCs/>
          <w:sz w:val="20"/>
          <w:szCs w:val="20"/>
          <w:bdr w:val="none" w:sz="0" w:space="0" w:color="auto" w:frame="1"/>
        </w:rPr>
        <w:t xml:space="preserve"> May</w:t>
      </w:r>
      <w:r w:rsidR="002D12CF" w:rsidRPr="00224AA7">
        <w:rPr>
          <w:rFonts w:asciiTheme="majorHAnsi" w:hAnsiTheme="majorHAnsi"/>
          <w:bCs/>
          <w:sz w:val="20"/>
          <w:szCs w:val="20"/>
          <w:bdr w:val="none" w:sz="0" w:space="0" w:color="auto" w:frame="1"/>
        </w:rPr>
        <w:t>,</w:t>
      </w:r>
      <w:r w:rsidR="006F6EE6" w:rsidRPr="00224AA7">
        <w:rPr>
          <w:rFonts w:asciiTheme="majorHAnsi" w:hAnsiTheme="majorHAnsi"/>
          <w:bCs/>
          <w:sz w:val="20"/>
          <w:szCs w:val="20"/>
          <w:bdr w:val="none" w:sz="0" w:space="0" w:color="auto" w:frame="1"/>
        </w:rPr>
        <w:t xml:space="preserve"> 1993, concluded that he also suffered from brain damage.</w:t>
      </w:r>
      <w:r w:rsidR="0033054B" w:rsidRPr="00224AA7">
        <w:rPr>
          <w:rFonts w:asciiTheme="majorHAnsi" w:hAnsiTheme="majorHAnsi"/>
          <w:bCs/>
          <w:sz w:val="20"/>
          <w:szCs w:val="20"/>
          <w:bdr w:val="none" w:sz="0" w:space="0" w:color="auto" w:frame="1"/>
        </w:rPr>
        <w:t xml:space="preserve"> </w:t>
      </w:r>
    </w:p>
    <w:p w14:paraId="21D03102" w14:textId="77777777" w:rsidR="00EC59D9" w:rsidRPr="00224AA7" w:rsidRDefault="00EC59D9" w:rsidP="00EC59D9">
      <w:pPr>
        <w:pStyle w:val="ListParagraph"/>
        <w:rPr>
          <w:rFonts w:asciiTheme="majorHAnsi" w:hAnsiTheme="majorHAnsi"/>
          <w:bCs/>
          <w:sz w:val="20"/>
          <w:szCs w:val="20"/>
          <w:bdr w:val="none" w:sz="0" w:space="0" w:color="auto" w:frame="1"/>
        </w:rPr>
      </w:pPr>
    </w:p>
    <w:p w14:paraId="4AF4EDDF" w14:textId="77777777" w:rsidR="008D02D4" w:rsidRPr="00224AA7" w:rsidRDefault="00EC59D9"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bCs/>
          <w:sz w:val="20"/>
          <w:szCs w:val="20"/>
          <w:bdr w:val="none" w:sz="0" w:space="0" w:color="auto" w:frame="1"/>
        </w:rPr>
        <w:t>Further, according to the facts established in this report, d</w:t>
      </w:r>
      <w:r w:rsidR="0033054B" w:rsidRPr="00224AA7">
        <w:rPr>
          <w:rFonts w:asciiTheme="majorHAnsi" w:hAnsiTheme="majorHAnsi"/>
          <w:bCs/>
          <w:sz w:val="20"/>
          <w:szCs w:val="20"/>
          <w:bdr w:val="none" w:sz="0" w:space="0" w:color="auto" w:frame="1"/>
        </w:rPr>
        <w:t>uring trial</w:t>
      </w:r>
      <w:r w:rsidR="006F6EE6" w:rsidRPr="00224AA7">
        <w:rPr>
          <w:rFonts w:asciiTheme="majorHAnsi" w:hAnsiTheme="majorHAnsi"/>
          <w:bCs/>
          <w:sz w:val="20"/>
          <w:szCs w:val="20"/>
          <w:bdr w:val="none" w:sz="0" w:space="0" w:color="auto" w:frame="1"/>
        </w:rPr>
        <w:t xml:space="preserve"> </w:t>
      </w:r>
      <w:r w:rsidR="0033054B" w:rsidRPr="00224AA7">
        <w:rPr>
          <w:rFonts w:asciiTheme="majorHAnsi" w:hAnsiTheme="majorHAnsi"/>
          <w:bCs/>
          <w:sz w:val="20"/>
          <w:szCs w:val="20"/>
          <w:bdr w:val="none" w:sz="0" w:space="0" w:color="auto" w:frame="1"/>
        </w:rPr>
        <w:t>Mr. Rogovich was taking four different psychotropic medications which affected his ability to follow the proceedings and, coupled with the mental health problems, made it difficult to communicate with his counsel.</w:t>
      </w:r>
      <w:r w:rsidR="00085519" w:rsidRPr="00224AA7">
        <w:rPr>
          <w:rFonts w:asciiTheme="majorHAnsi" w:hAnsiTheme="majorHAnsi"/>
          <w:bCs/>
          <w:sz w:val="20"/>
          <w:szCs w:val="20"/>
          <w:bdr w:val="none" w:sz="0" w:space="0" w:color="auto" w:frame="1"/>
        </w:rPr>
        <w:t xml:space="preserve"> After a pre-screening,</w:t>
      </w:r>
      <w:r w:rsidR="006609DD" w:rsidRPr="00224AA7">
        <w:rPr>
          <w:rFonts w:asciiTheme="majorHAnsi" w:hAnsiTheme="majorHAnsi"/>
          <w:bCs/>
          <w:sz w:val="20"/>
          <w:szCs w:val="20"/>
          <w:bdr w:val="none" w:sz="0" w:space="0" w:color="auto" w:frame="1"/>
        </w:rPr>
        <w:t xml:space="preserve"> Mr. Rogovich’</w:t>
      </w:r>
      <w:r w:rsidR="005B3A12" w:rsidRPr="00224AA7">
        <w:rPr>
          <w:rFonts w:asciiTheme="majorHAnsi" w:hAnsiTheme="majorHAnsi"/>
          <w:bCs/>
          <w:sz w:val="20"/>
          <w:szCs w:val="20"/>
          <w:bdr w:val="none" w:sz="0" w:space="0" w:color="auto" w:frame="1"/>
        </w:rPr>
        <w:t>s competency was confirmed on March 15, 1995.</w:t>
      </w:r>
      <w:r w:rsidR="00EC36F6" w:rsidRPr="00224AA7">
        <w:rPr>
          <w:rFonts w:asciiTheme="majorHAnsi" w:hAnsiTheme="majorHAnsi"/>
          <w:bCs/>
          <w:sz w:val="20"/>
          <w:szCs w:val="20"/>
          <w:bdr w:val="none" w:sz="0" w:space="0" w:color="auto" w:frame="1"/>
        </w:rPr>
        <w:t xml:space="preserve"> According to the State, four mental health experts considered his case; two found he might suffer psychosis while two others found his behavior was the result of </w:t>
      </w:r>
      <w:r w:rsidR="0084043E" w:rsidRPr="00224AA7">
        <w:rPr>
          <w:rFonts w:asciiTheme="majorHAnsi" w:hAnsiTheme="majorHAnsi"/>
          <w:bCs/>
          <w:sz w:val="20"/>
          <w:szCs w:val="20"/>
          <w:bdr w:val="none" w:sz="0" w:space="0" w:color="auto" w:frame="1"/>
        </w:rPr>
        <w:t>personality</w:t>
      </w:r>
      <w:r w:rsidR="00EC36F6" w:rsidRPr="00224AA7">
        <w:rPr>
          <w:rFonts w:asciiTheme="majorHAnsi" w:hAnsiTheme="majorHAnsi"/>
          <w:bCs/>
          <w:sz w:val="20"/>
          <w:szCs w:val="20"/>
          <w:bdr w:val="none" w:sz="0" w:space="0" w:color="auto" w:frame="1"/>
        </w:rPr>
        <w:t xml:space="preserve"> disorder or drug intoxication.</w:t>
      </w:r>
      <w:r w:rsidR="00085519" w:rsidRPr="00224AA7">
        <w:rPr>
          <w:rFonts w:asciiTheme="majorHAnsi" w:hAnsiTheme="majorHAnsi"/>
          <w:bCs/>
          <w:sz w:val="20"/>
          <w:szCs w:val="20"/>
          <w:bdr w:val="none" w:sz="0" w:space="0" w:color="auto" w:frame="1"/>
        </w:rPr>
        <w:t xml:space="preserve"> </w:t>
      </w:r>
    </w:p>
    <w:p w14:paraId="31565D2D" w14:textId="77777777" w:rsidR="007C769E" w:rsidRPr="00224AA7" w:rsidRDefault="007C769E" w:rsidP="007C769E">
      <w:pPr>
        <w:pStyle w:val="ListParagraph"/>
        <w:rPr>
          <w:rFonts w:asciiTheme="majorHAnsi" w:hAnsiTheme="majorHAnsi"/>
          <w:bCs/>
          <w:sz w:val="20"/>
          <w:szCs w:val="20"/>
          <w:bdr w:val="none" w:sz="0" w:space="0" w:color="auto" w:frame="1"/>
        </w:rPr>
      </w:pPr>
    </w:p>
    <w:p w14:paraId="59416708" w14:textId="77777777" w:rsidR="007C769E" w:rsidRPr="00224AA7" w:rsidRDefault="007C769E" w:rsidP="00E855B5">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rPr>
      </w:pPr>
      <w:r w:rsidRPr="00224AA7">
        <w:rPr>
          <w:rFonts w:asciiTheme="majorHAnsi" w:hAnsiTheme="majorHAnsi"/>
          <w:bCs/>
          <w:sz w:val="20"/>
          <w:szCs w:val="20"/>
          <w:bdr w:val="none" w:sz="0" w:space="0" w:color="auto" w:frame="1"/>
        </w:rPr>
        <w:t>In 2001, during post-conviction proceedings, Mr. Rogovich filed a series of letters to the judge and to the prosecutor asking to wave his appeals, follow</w:t>
      </w:r>
      <w:r w:rsidR="002D1CFA" w:rsidRPr="00224AA7">
        <w:rPr>
          <w:rFonts w:asciiTheme="majorHAnsi" w:hAnsiTheme="majorHAnsi"/>
          <w:bCs/>
          <w:sz w:val="20"/>
          <w:szCs w:val="20"/>
          <w:bdr w:val="none" w:sz="0" w:space="0" w:color="auto" w:frame="1"/>
        </w:rPr>
        <w:t>ed</w:t>
      </w:r>
      <w:r w:rsidRPr="00224AA7">
        <w:rPr>
          <w:rFonts w:asciiTheme="majorHAnsi" w:hAnsiTheme="majorHAnsi"/>
          <w:bCs/>
          <w:sz w:val="20"/>
          <w:szCs w:val="20"/>
          <w:bdr w:val="none" w:sz="0" w:space="0" w:color="auto" w:frame="1"/>
        </w:rPr>
        <w:t xml:space="preserve"> by letters retracting those requests. </w:t>
      </w:r>
      <w:r w:rsidR="002D1CFA" w:rsidRPr="00224AA7">
        <w:rPr>
          <w:rFonts w:asciiTheme="majorHAnsi" w:hAnsiTheme="majorHAnsi"/>
          <w:bCs/>
          <w:sz w:val="20"/>
          <w:szCs w:val="20"/>
          <w:bdr w:val="none" w:sz="0" w:space="0" w:color="auto" w:frame="1"/>
        </w:rPr>
        <w:t>The court expressed concern about his mental health and his competency to waive appeals</w:t>
      </w:r>
      <w:r w:rsidR="002D12CF" w:rsidRPr="00224AA7">
        <w:rPr>
          <w:rFonts w:asciiTheme="majorHAnsi" w:hAnsiTheme="majorHAnsi"/>
          <w:bCs/>
          <w:sz w:val="20"/>
          <w:szCs w:val="20"/>
          <w:bdr w:val="none" w:sz="0" w:space="0" w:color="auto" w:frame="1"/>
        </w:rPr>
        <w:t>,</w:t>
      </w:r>
      <w:r w:rsidR="002D1CFA" w:rsidRPr="00224AA7">
        <w:rPr>
          <w:rFonts w:asciiTheme="majorHAnsi" w:hAnsiTheme="majorHAnsi"/>
          <w:bCs/>
          <w:sz w:val="20"/>
          <w:szCs w:val="20"/>
          <w:bdr w:val="none" w:sz="0" w:space="0" w:color="auto" w:frame="1"/>
        </w:rPr>
        <w:t xml:space="preserve"> and order a hearing. In 2003, a psychiatrist concluded that Mr. Rogovich had </w:t>
      </w:r>
      <w:r w:rsidR="00EB394F" w:rsidRPr="00224AA7">
        <w:rPr>
          <w:rFonts w:asciiTheme="majorHAnsi" w:hAnsiTheme="majorHAnsi"/>
          <w:sz w:val="20"/>
          <w:szCs w:val="20"/>
        </w:rPr>
        <w:t xml:space="preserve">“a serious mental illness, schizoaffective disorder, which is a combination of symptoms of schizophrenia and bipolar disorder.” Between August 4, 2004, and September 30, 2008, he was officially classified as “Seriously Mentally Ill.” In 2009, the same psychiatrist declared </w:t>
      </w:r>
      <w:r w:rsidR="00EE2931" w:rsidRPr="00224AA7">
        <w:rPr>
          <w:rFonts w:asciiTheme="majorHAnsi" w:hAnsiTheme="majorHAnsi"/>
          <w:sz w:val="20"/>
          <w:szCs w:val="20"/>
        </w:rPr>
        <w:t>that his</w:t>
      </w:r>
      <w:r w:rsidR="00EB394F" w:rsidRPr="00224AA7">
        <w:rPr>
          <w:rFonts w:asciiTheme="majorHAnsi" w:hAnsiTheme="majorHAnsi"/>
          <w:sz w:val="20"/>
          <w:szCs w:val="20"/>
        </w:rPr>
        <w:t xml:space="preserve"> assessment remained unchanged and </w:t>
      </w:r>
      <w:r w:rsidR="00EE2931" w:rsidRPr="00224AA7">
        <w:rPr>
          <w:rFonts w:asciiTheme="majorHAnsi" w:hAnsiTheme="majorHAnsi"/>
          <w:sz w:val="20"/>
          <w:szCs w:val="20"/>
        </w:rPr>
        <w:t>diagnosed</w:t>
      </w:r>
      <w:r w:rsidR="00EB394F" w:rsidRPr="00224AA7">
        <w:rPr>
          <w:rFonts w:asciiTheme="majorHAnsi" w:hAnsiTheme="majorHAnsi"/>
          <w:sz w:val="20"/>
          <w:szCs w:val="20"/>
        </w:rPr>
        <w:t xml:space="preserve"> Mr. Rogovich </w:t>
      </w:r>
      <w:r w:rsidR="00EE2931" w:rsidRPr="00224AA7">
        <w:rPr>
          <w:rFonts w:asciiTheme="majorHAnsi" w:hAnsiTheme="majorHAnsi"/>
          <w:sz w:val="20"/>
          <w:szCs w:val="20"/>
        </w:rPr>
        <w:t>with</w:t>
      </w:r>
      <w:r w:rsidR="00EB394F" w:rsidRPr="00224AA7">
        <w:rPr>
          <w:rFonts w:asciiTheme="majorHAnsi" w:hAnsiTheme="majorHAnsi"/>
          <w:sz w:val="20"/>
          <w:szCs w:val="20"/>
        </w:rPr>
        <w:t xml:space="preserve"> schizoaffective disorder, panic disorder without agoraphobia, borderline personality disorder and polysubstance abuse in a controlled environment.</w:t>
      </w:r>
    </w:p>
    <w:p w14:paraId="3D1A7606" w14:textId="77777777" w:rsidR="00E855B5" w:rsidRPr="00224AA7" w:rsidRDefault="00E855B5" w:rsidP="00801C7F">
      <w:pPr>
        <w:pStyle w:val="ListParagraph"/>
        <w:tabs>
          <w:tab w:val="left" w:pos="360"/>
        </w:tabs>
        <w:ind w:left="0"/>
        <w:rPr>
          <w:b/>
          <w:sz w:val="20"/>
          <w:szCs w:val="20"/>
        </w:rPr>
      </w:pPr>
    </w:p>
    <w:p w14:paraId="3B2E8F09" w14:textId="77777777" w:rsidR="00EC59D9" w:rsidRPr="00224AA7" w:rsidRDefault="00EC59D9" w:rsidP="00EC59D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eastAsia="Times New Roman"/>
          <w:bCs/>
          <w:sz w:val="20"/>
          <w:szCs w:val="20"/>
          <w:bdr w:val="none" w:sz="0" w:space="0" w:color="auto"/>
        </w:rPr>
      </w:pPr>
      <w:r w:rsidRPr="00224AA7">
        <w:rPr>
          <w:rFonts w:asciiTheme="majorHAnsi" w:eastAsia="Arial Unicode MS" w:hAnsiTheme="majorHAnsi"/>
          <w:sz w:val="20"/>
          <w:szCs w:val="20"/>
        </w:rPr>
        <w:t xml:space="preserve">Therefore, there is evidence that, during trial and post-conviction proceedings there were </w:t>
      </w:r>
      <w:r w:rsidR="000E07F7" w:rsidRPr="00224AA7">
        <w:rPr>
          <w:rFonts w:asciiTheme="majorHAnsi" w:eastAsia="Arial Unicode MS" w:hAnsiTheme="majorHAnsi"/>
          <w:sz w:val="20"/>
          <w:szCs w:val="20"/>
        </w:rPr>
        <w:t xml:space="preserve">sufficient </w:t>
      </w:r>
      <w:r w:rsidRPr="00224AA7">
        <w:rPr>
          <w:rFonts w:asciiTheme="majorHAnsi" w:eastAsia="Arial Unicode MS" w:hAnsiTheme="majorHAnsi"/>
          <w:sz w:val="20"/>
          <w:szCs w:val="20"/>
        </w:rPr>
        <w:t>elements to</w:t>
      </w:r>
      <w:r w:rsidR="000E07F7" w:rsidRPr="00224AA7">
        <w:rPr>
          <w:rFonts w:asciiTheme="majorHAnsi" w:eastAsia="Arial Unicode MS" w:hAnsiTheme="majorHAnsi"/>
          <w:sz w:val="20"/>
          <w:szCs w:val="20"/>
        </w:rPr>
        <w:t xml:space="preserve"> raise a reasonable doubt as to Mr. Rogovich’s competence to stand trial and to be subject to the death penalty. </w:t>
      </w:r>
      <w:r w:rsidR="00E83848" w:rsidRPr="00224AA7">
        <w:rPr>
          <w:rFonts w:asciiTheme="majorHAnsi" w:eastAsia="Arial Unicode MS" w:hAnsiTheme="majorHAnsi"/>
          <w:sz w:val="20"/>
          <w:szCs w:val="20"/>
        </w:rPr>
        <w:t xml:space="preserve">Given the procedural limitations established above, this issue was not duly considered by domestic courts during post-conviction proceedings. </w:t>
      </w:r>
      <w:r w:rsidRPr="00224AA7">
        <w:rPr>
          <w:rFonts w:eastAsia="Times New Roman"/>
          <w:bCs/>
          <w:sz w:val="20"/>
          <w:szCs w:val="20"/>
          <w:bdr w:val="none" w:sz="0" w:space="0" w:color="auto"/>
        </w:rPr>
        <w:t xml:space="preserve">Based on the above considerations, the available information, </w:t>
      </w:r>
      <w:r w:rsidRPr="00224AA7">
        <w:rPr>
          <w:rFonts w:eastAsia="Times New Roman"/>
          <w:sz w:val="20"/>
          <w:szCs w:val="20"/>
          <w:bdr w:val="none" w:sz="0" w:space="0" w:color="auto"/>
        </w:rPr>
        <w:t>and given the heightened degree of scrutiny that it has applied in death penalty cases,</w:t>
      </w:r>
      <w:r w:rsidRPr="00224AA7">
        <w:rPr>
          <w:rFonts w:eastAsia="Times New Roman"/>
          <w:bCs/>
          <w:sz w:val="20"/>
          <w:szCs w:val="20"/>
          <w:bdr w:val="none" w:sz="0" w:space="0" w:color="auto"/>
        </w:rPr>
        <w:t xml:space="preserve"> the IACHR concludes that the United States </w:t>
      </w:r>
      <w:r w:rsidRPr="00224AA7">
        <w:rPr>
          <w:rFonts w:eastAsia="Times New Roman"/>
          <w:sz w:val="20"/>
          <w:szCs w:val="20"/>
          <w:bdr w:val="none" w:sz="0" w:space="0" w:color="auto"/>
        </w:rPr>
        <w:t xml:space="preserve">violated Articles I and XXVI of the American Declaration to the detriment of Mr. </w:t>
      </w:r>
      <w:r w:rsidR="00E83848" w:rsidRPr="00224AA7">
        <w:rPr>
          <w:rFonts w:eastAsia="Times New Roman"/>
          <w:bCs/>
          <w:sz w:val="20"/>
          <w:szCs w:val="20"/>
          <w:bdr w:val="none" w:sz="0" w:space="0" w:color="auto"/>
        </w:rPr>
        <w:t>Rogovich</w:t>
      </w:r>
      <w:r w:rsidRPr="00224AA7">
        <w:rPr>
          <w:rFonts w:eastAsia="Times New Roman"/>
          <w:bCs/>
          <w:sz w:val="20"/>
          <w:szCs w:val="20"/>
          <w:bdr w:val="none" w:sz="0" w:space="0" w:color="auto"/>
        </w:rPr>
        <w:t>.</w:t>
      </w:r>
    </w:p>
    <w:p w14:paraId="0432115B" w14:textId="77777777" w:rsidR="00563314" w:rsidRPr="00224AA7" w:rsidRDefault="00563314" w:rsidP="00563314">
      <w:pPr>
        <w:tabs>
          <w:tab w:val="left" w:pos="360"/>
        </w:tabs>
        <w:rPr>
          <w:sz w:val="20"/>
          <w:szCs w:val="20"/>
        </w:rPr>
      </w:pPr>
    </w:p>
    <w:p w14:paraId="0FD095AC" w14:textId="77777777" w:rsidR="00563314" w:rsidRPr="00224AA7" w:rsidRDefault="00801C7F" w:rsidP="00224AA7">
      <w:pPr>
        <w:pStyle w:val="Heading3"/>
        <w:numPr>
          <w:ilvl w:val="3"/>
          <w:numId w:val="53"/>
        </w:numPr>
        <w:spacing w:before="0"/>
        <w:ind w:left="360"/>
        <w:rPr>
          <w:color w:val="auto"/>
          <w:sz w:val="20"/>
          <w:szCs w:val="20"/>
        </w:rPr>
      </w:pPr>
      <w:bookmarkStart w:id="29" w:name="_Toc90283310"/>
      <w:r w:rsidRPr="00224AA7">
        <w:rPr>
          <w:color w:val="auto"/>
          <w:sz w:val="20"/>
          <w:szCs w:val="20"/>
        </w:rPr>
        <w:t>Death row confinement conditions</w:t>
      </w:r>
      <w:bookmarkEnd w:id="29"/>
    </w:p>
    <w:p w14:paraId="500A9125" w14:textId="77777777" w:rsidR="00801C7F" w:rsidRPr="00224AA7" w:rsidRDefault="00801C7F" w:rsidP="00801C7F">
      <w:pPr>
        <w:pStyle w:val="ListParagraph"/>
        <w:tabs>
          <w:tab w:val="left" w:pos="360"/>
        </w:tabs>
        <w:ind w:left="0"/>
        <w:rPr>
          <w:b/>
          <w:sz w:val="20"/>
          <w:szCs w:val="20"/>
        </w:rPr>
      </w:pPr>
    </w:p>
    <w:p w14:paraId="406F11FB" w14:textId="77777777" w:rsidR="000C556C" w:rsidRPr="00224AA7" w:rsidRDefault="000C556C" w:rsidP="000C556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Theme="majorHAnsi" w:hAnsiTheme="majorHAnsi"/>
          <w:sz w:val="20"/>
          <w:szCs w:val="20"/>
          <w:bdr w:val="none" w:sz="0" w:space="0" w:color="auto" w:frame="1"/>
        </w:rPr>
        <w:t>According to international human rights standards, persons deprived of liberty on death row should not be subjected to solitary confinement as a regular condition of imprisonment, but only in exceptional circumstances and solely as a disciplinary punishment in those instances and under the same conditions in which these measures apply to the rest of the inmates.</w:t>
      </w:r>
      <w:r w:rsidRPr="00224AA7">
        <w:rPr>
          <w:rStyle w:val="FootnoteReference"/>
          <w:rFonts w:asciiTheme="majorHAnsi" w:hAnsiTheme="majorHAnsi"/>
          <w:bCs/>
          <w:sz w:val="20"/>
          <w:szCs w:val="20"/>
        </w:rPr>
        <w:footnoteReference w:id="86"/>
      </w:r>
    </w:p>
    <w:p w14:paraId="0011A65A" w14:textId="77777777" w:rsidR="000C556C" w:rsidRPr="00224AA7" w:rsidRDefault="000C556C" w:rsidP="000C556C">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402767D8" w14:textId="77777777" w:rsidR="000C556C" w:rsidRPr="00224AA7" w:rsidRDefault="000C556C" w:rsidP="000C556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Cambria" w:hAnsi="Cambria"/>
          <w:sz w:val="20"/>
          <w:szCs w:val="20"/>
        </w:rPr>
        <w:t xml:space="preserve">The IACHR has </w:t>
      </w:r>
      <w:r w:rsidR="00705FAC" w:rsidRPr="00224AA7">
        <w:rPr>
          <w:rFonts w:ascii="Cambria" w:hAnsi="Cambria"/>
          <w:sz w:val="20"/>
          <w:szCs w:val="20"/>
        </w:rPr>
        <w:t>established</w:t>
      </w:r>
      <w:r w:rsidRPr="00224AA7">
        <w:rPr>
          <w:rFonts w:ascii="Cambria" w:hAnsi="Cambria"/>
          <w:sz w:val="20"/>
          <w:szCs w:val="20"/>
        </w:rPr>
        <w:t xml:space="preserve"> that solitary confinement should only be used on an exceptional basis, for the shortest amount of time possible and only as a measure of last resort.</w:t>
      </w:r>
      <w:r w:rsidRPr="00224AA7">
        <w:rPr>
          <w:rStyle w:val="FootnoteReference"/>
          <w:rFonts w:asciiTheme="majorHAnsi" w:hAnsiTheme="majorHAnsi"/>
          <w:bCs/>
          <w:sz w:val="20"/>
          <w:szCs w:val="20"/>
        </w:rPr>
        <w:footnoteReference w:id="87"/>
      </w:r>
      <w:r w:rsidRPr="00224AA7">
        <w:rPr>
          <w:rStyle w:val="FootnoteReference"/>
          <w:rFonts w:asciiTheme="majorHAnsi" w:hAnsiTheme="majorHAnsi"/>
          <w:bCs/>
        </w:rPr>
        <w:t xml:space="preserve"> </w:t>
      </w:r>
      <w:r w:rsidRPr="00224AA7">
        <w:rPr>
          <w:rFonts w:ascii="Cambria" w:hAnsi="Cambria"/>
          <w:sz w:val="20"/>
          <w:szCs w:val="20"/>
        </w:rPr>
        <w:t xml:space="preserve">The Principles and Best Practices on the Protection of Persons Deprived of Liberty in the Americas underscore the exceptional nature of the practice of solitary confinement: </w:t>
      </w:r>
    </w:p>
    <w:p w14:paraId="42C79632" w14:textId="77777777" w:rsidR="000C556C" w:rsidRPr="00224AA7" w:rsidRDefault="000C556C" w:rsidP="000C556C">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TimesNewRoman"/>
          <w:bCs/>
          <w:sz w:val="20"/>
          <w:szCs w:val="20"/>
          <w:bdr w:val="none" w:sz="0" w:space="0" w:color="auto"/>
        </w:rPr>
      </w:pPr>
    </w:p>
    <w:p w14:paraId="7DD9E3A3" w14:textId="77777777" w:rsidR="000C556C" w:rsidRPr="00224AA7" w:rsidRDefault="000C556C" w:rsidP="000C55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000"/>
        </w:tabs>
        <w:ind w:left="360" w:right="360"/>
        <w:jc w:val="both"/>
        <w:rPr>
          <w:rFonts w:asciiTheme="majorHAnsi" w:eastAsia="Times New Roman" w:hAnsiTheme="majorHAnsi" w:cs="TimesNewRoman"/>
          <w:b/>
          <w:sz w:val="18"/>
          <w:szCs w:val="18"/>
          <w:bdr w:val="none" w:sz="0" w:space="0" w:color="auto"/>
        </w:rPr>
      </w:pPr>
      <w:r w:rsidRPr="00224AA7">
        <w:rPr>
          <w:rFonts w:asciiTheme="majorHAnsi" w:eastAsia="Times New Roman" w:hAnsiTheme="majorHAnsi" w:cs="Tahoma"/>
          <w:sz w:val="18"/>
          <w:szCs w:val="18"/>
          <w:bdr w:val="none" w:sz="0" w:space="0" w:color="auto"/>
        </w:rPr>
        <w:t>Solitary confinement shall only be permitted as a disposition of last resort and for a strictly limited time, when it is evident that it is necessary to ensure legitimate interests relating to the institution’s internal security, and to protect fundamental rights, such as the right to life and integrity of persons deprived of liberty or the personnel.</w:t>
      </w:r>
      <w:r w:rsidRPr="00224AA7">
        <w:rPr>
          <w:rFonts w:asciiTheme="majorHAnsi" w:eastAsia="Times New Roman" w:hAnsiTheme="majorHAnsi"/>
          <w:b/>
          <w:sz w:val="18"/>
          <w:szCs w:val="18"/>
          <w:bdr w:val="none" w:sz="0" w:space="0" w:color="auto"/>
          <w:vertAlign w:val="superscript"/>
        </w:rPr>
        <w:footnoteReference w:id="88"/>
      </w:r>
    </w:p>
    <w:p w14:paraId="2AFEDE80" w14:textId="77777777" w:rsidR="000C556C" w:rsidRPr="00224AA7" w:rsidRDefault="000C556C" w:rsidP="000C556C">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Arial"/>
          <w:bCs/>
          <w:sz w:val="20"/>
          <w:szCs w:val="20"/>
          <w:bdr w:val="none" w:sz="0" w:space="0" w:color="auto"/>
        </w:rPr>
      </w:pPr>
    </w:p>
    <w:p w14:paraId="0EAA98C3" w14:textId="77777777" w:rsidR="000C556C" w:rsidRPr="00224AA7" w:rsidRDefault="000C556C" w:rsidP="000C556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Theme="majorHAnsi" w:hAnsiTheme="majorHAnsi"/>
          <w:sz w:val="20"/>
          <w:szCs w:val="20"/>
          <w:bdr w:val="none" w:sz="0" w:space="0" w:color="auto" w:frame="1"/>
        </w:rPr>
        <w:t xml:space="preserve">In assessing whether solitary confinement falls within the ambit of Article 3 (Prohibition of torture) in a particular case, the European Court of Human Rights will consider “the stringency of the measure, its duration, </w:t>
      </w:r>
      <w:r w:rsidRPr="00224AA7">
        <w:rPr>
          <w:rFonts w:asciiTheme="majorHAnsi" w:hAnsiTheme="majorHAnsi"/>
          <w:sz w:val="20"/>
          <w:szCs w:val="20"/>
          <w:bdr w:val="none" w:sz="0" w:space="0" w:color="auto" w:frame="1"/>
        </w:rPr>
        <w:lastRenderedPageBreak/>
        <w:t>the objective pursued and its effects on the person concerned.”</w:t>
      </w:r>
      <w:r w:rsidRPr="00224AA7">
        <w:rPr>
          <w:rStyle w:val="FootnoteReference"/>
          <w:rFonts w:asciiTheme="majorHAnsi" w:hAnsiTheme="majorHAnsi"/>
          <w:bCs/>
          <w:sz w:val="20"/>
          <w:szCs w:val="20"/>
        </w:rPr>
        <w:footnoteReference w:id="89"/>
      </w:r>
      <w:r w:rsidRPr="00224AA7">
        <w:rPr>
          <w:rStyle w:val="FootnoteReference"/>
          <w:bCs/>
        </w:rPr>
        <w:t xml:space="preserve"> </w:t>
      </w:r>
      <w:r w:rsidRPr="00224AA7">
        <w:rPr>
          <w:rFonts w:asciiTheme="majorHAnsi" w:hAnsiTheme="majorHAnsi"/>
          <w:sz w:val="20"/>
          <w:szCs w:val="20"/>
          <w:bdr w:val="none" w:sz="0" w:space="0" w:color="auto" w:frame="1"/>
        </w:rPr>
        <w:t>At the same time, it has found that “where conditions of detention comply with the Convention and the detainee has contact with the outside world, through visits and contact with prison staff, the prohibition of contact with other prisoners will not breach Article 3 provided that the regime is proportional to the aim to be achieved, and the period of solitary detention is not excessive.”</w:t>
      </w:r>
      <w:r w:rsidRPr="00224AA7">
        <w:rPr>
          <w:rStyle w:val="FootnoteReference"/>
          <w:rFonts w:asciiTheme="majorHAnsi" w:hAnsiTheme="majorHAnsi"/>
          <w:bCs/>
          <w:sz w:val="20"/>
          <w:szCs w:val="20"/>
        </w:rPr>
        <w:footnoteReference w:id="90"/>
      </w:r>
      <w:r w:rsidRPr="00224AA7">
        <w:rPr>
          <w:rFonts w:asciiTheme="majorHAnsi" w:hAnsiTheme="majorHAnsi"/>
          <w:sz w:val="20"/>
          <w:szCs w:val="20"/>
          <w:bdr w:val="none" w:sz="0" w:space="0" w:color="auto" w:frame="1"/>
        </w:rPr>
        <w:t xml:space="preserve"> </w:t>
      </w:r>
      <w:r w:rsidRPr="00224AA7">
        <w:rPr>
          <w:rFonts w:ascii="Cambria" w:hAnsi="Cambria"/>
          <w:bCs/>
          <w:sz w:val="20"/>
          <w:szCs w:val="20"/>
        </w:rPr>
        <w:t xml:space="preserve">Similarly, the </w:t>
      </w:r>
      <w:r w:rsidRPr="00224AA7">
        <w:rPr>
          <w:rFonts w:ascii="Cambria" w:hAnsi="Cambria"/>
          <w:sz w:val="20"/>
          <w:szCs w:val="20"/>
        </w:rPr>
        <w:t>United Nations Human Rights Committee has concluded that solitary confinement is justifiable only in case of urgent need, in exceptional circumstances and for limited periods of time.</w:t>
      </w:r>
      <w:r w:rsidRPr="00224AA7">
        <w:rPr>
          <w:rStyle w:val="FootnoteReference"/>
          <w:rFonts w:asciiTheme="majorHAnsi" w:hAnsiTheme="majorHAnsi"/>
          <w:bCs/>
          <w:sz w:val="20"/>
          <w:szCs w:val="20"/>
        </w:rPr>
        <w:footnoteReference w:id="91"/>
      </w:r>
    </w:p>
    <w:p w14:paraId="41B33686" w14:textId="77777777" w:rsidR="000C556C" w:rsidRPr="00224AA7" w:rsidRDefault="000C556C" w:rsidP="000C556C">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133F89AD" w14:textId="77777777" w:rsidR="000C556C" w:rsidRPr="00224AA7" w:rsidRDefault="000C556C" w:rsidP="000C556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Cambria" w:hAnsi="Cambria"/>
          <w:sz w:val="20"/>
          <w:szCs w:val="20"/>
        </w:rPr>
        <w:t>On October 18, 2011, the U.N. Special Rapporteur on torture and other cruel, inhuman or degrading treatment or punishment called for the prohibition of indefinite solitary confinement and prolonged solitary confinement, which he defined as for any period in excess of 15 days.</w:t>
      </w:r>
      <w:r w:rsidRPr="00224AA7">
        <w:rPr>
          <w:rStyle w:val="FootnoteReference"/>
          <w:rFonts w:asciiTheme="majorHAnsi" w:hAnsiTheme="majorHAnsi"/>
          <w:bCs/>
          <w:sz w:val="20"/>
          <w:szCs w:val="20"/>
        </w:rPr>
        <w:footnoteReference w:id="92"/>
      </w:r>
      <w:r w:rsidRPr="00224AA7">
        <w:rPr>
          <w:rStyle w:val="FootnoteReference"/>
          <w:rFonts w:asciiTheme="majorHAnsi" w:hAnsiTheme="majorHAnsi"/>
          <w:bCs/>
        </w:rPr>
        <w:t xml:space="preserve">  </w:t>
      </w:r>
      <w:r w:rsidRPr="00224AA7">
        <w:rPr>
          <w:rFonts w:ascii="Cambria" w:hAnsi="Cambria"/>
          <w:sz w:val="20"/>
          <w:szCs w:val="20"/>
        </w:rPr>
        <w:t xml:space="preserve">The Special Rapporteur concluded that 15 days </w:t>
      </w:r>
      <w:r w:rsidRPr="00224AA7">
        <w:rPr>
          <w:rFonts w:ascii="Cambria" w:hAnsi="Cambria" w:cs="TimesNewRoman"/>
          <w:sz w:val="20"/>
          <w:szCs w:val="20"/>
        </w:rPr>
        <w:t>“is the limit between ‘solitary confinement’ and ‘prolonged solitary confinement’ because at that point, according to the literature surveyed, some of the harmful psychological effects of isolation can become irreversible.” The U.N. Special Rapporteur also observed that “even a few days of solitary confinement will shift an individual’s brain activity towards an abnormal pattern characteristic of stupor and delirium.”</w:t>
      </w:r>
      <w:r w:rsidRPr="00224AA7">
        <w:rPr>
          <w:rStyle w:val="FootnoteReference"/>
          <w:rFonts w:asciiTheme="majorHAnsi" w:hAnsiTheme="majorHAnsi"/>
          <w:bCs/>
          <w:sz w:val="20"/>
          <w:szCs w:val="20"/>
        </w:rPr>
        <w:footnoteReference w:id="93"/>
      </w:r>
      <w:r w:rsidRPr="00224AA7">
        <w:rPr>
          <w:rStyle w:val="FootnoteReference"/>
          <w:rFonts w:asciiTheme="majorHAnsi" w:hAnsiTheme="majorHAnsi"/>
          <w:bCs/>
        </w:rPr>
        <w:t xml:space="preserve"> </w:t>
      </w:r>
      <w:r w:rsidRPr="00224AA7">
        <w:rPr>
          <w:rFonts w:ascii="Cambria" w:hAnsi="Cambria" w:cs="TimesNewRoman"/>
          <w:sz w:val="20"/>
          <w:szCs w:val="20"/>
        </w:rPr>
        <w:t>Also, the Rapporteur has stated that, consistent with human rights standards, “no prisoner, including those serving life sentence and prisoners on death row, shall be held in solitary confinement merely because of the gravity of the crime.”</w:t>
      </w:r>
      <w:r w:rsidRPr="00224AA7">
        <w:rPr>
          <w:rStyle w:val="FootnoteReference"/>
          <w:rFonts w:asciiTheme="majorHAnsi" w:hAnsiTheme="majorHAnsi"/>
          <w:bCs/>
          <w:sz w:val="20"/>
          <w:szCs w:val="20"/>
        </w:rPr>
        <w:footnoteReference w:id="94"/>
      </w:r>
    </w:p>
    <w:p w14:paraId="079160E8" w14:textId="77777777" w:rsidR="000C556C" w:rsidRPr="00224AA7" w:rsidRDefault="000C556C" w:rsidP="000C556C">
      <w:pPr>
        <w:pStyle w:val="ListParagraph"/>
        <w:rPr>
          <w:sz w:val="20"/>
          <w:szCs w:val="20"/>
        </w:rPr>
      </w:pPr>
    </w:p>
    <w:p w14:paraId="6F3F5A74" w14:textId="77777777" w:rsidR="000C556C" w:rsidRPr="00224AA7" w:rsidRDefault="000C556C" w:rsidP="000C556C">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Cambria" w:hAnsi="Cambria"/>
          <w:sz w:val="20"/>
          <w:szCs w:val="20"/>
        </w:rPr>
        <w:t>With regard to the cell size, the U.N. Special Rapporteur indicates that, while there is no universal instrument that specifies a minimum acceptable size, domestic and regional jurisdictions have sometimes ruled on the matter. According to the European Court of Human Rights in Ramírez Sanchez v. France, a cell measuring 6.84 square meters (73.6 square feet) is “large enough” for single occupancy.  However, the Special Rapporteur disagrees, “especially if the single cell should also contain, at a minimum, toilet and washing facilities, bedding and a desk.”</w:t>
      </w:r>
      <w:r w:rsidRPr="00224AA7">
        <w:rPr>
          <w:rStyle w:val="FootnoteReference"/>
          <w:rFonts w:asciiTheme="majorHAnsi" w:hAnsiTheme="majorHAnsi"/>
          <w:bCs/>
          <w:sz w:val="20"/>
          <w:szCs w:val="20"/>
        </w:rPr>
        <w:footnoteReference w:id="95"/>
      </w:r>
    </w:p>
    <w:p w14:paraId="6C7DFA7E" w14:textId="77777777" w:rsidR="000C556C" w:rsidRPr="00224AA7" w:rsidRDefault="000C556C" w:rsidP="000C556C">
      <w:pPr>
        <w:pStyle w:val="ListParagraph"/>
        <w:rPr>
          <w:sz w:val="20"/>
          <w:szCs w:val="20"/>
        </w:rPr>
      </w:pPr>
    </w:p>
    <w:p w14:paraId="37FF9269" w14:textId="77777777" w:rsidR="00C153DE" w:rsidRPr="00224AA7" w:rsidRDefault="000C556C" w:rsidP="00C153D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Cambria" w:hAnsi="Cambria"/>
          <w:sz w:val="20"/>
          <w:szCs w:val="20"/>
        </w:rPr>
        <w:t>Solitary confinement can have serious psychological effects, ranging from depression to paranoia and psychosis, as well as physiological effects such as cardiovascular problems and profound fatigue.</w:t>
      </w:r>
      <w:r w:rsidRPr="00224AA7">
        <w:rPr>
          <w:rStyle w:val="FootnoteReference"/>
          <w:rFonts w:asciiTheme="majorHAnsi" w:hAnsiTheme="majorHAnsi"/>
          <w:bCs/>
          <w:sz w:val="20"/>
          <w:szCs w:val="20"/>
        </w:rPr>
        <w:footnoteReference w:id="96"/>
      </w:r>
      <w:r w:rsidRPr="00224AA7">
        <w:rPr>
          <w:rStyle w:val="FootnoteReference"/>
          <w:rFonts w:asciiTheme="majorHAnsi" w:hAnsiTheme="majorHAnsi"/>
          <w:bCs/>
        </w:rPr>
        <w:t xml:space="preserve"> </w:t>
      </w:r>
      <w:r w:rsidRPr="00224AA7">
        <w:rPr>
          <w:rFonts w:ascii="Cambria" w:hAnsi="Cambria"/>
          <w:sz w:val="20"/>
          <w:szCs w:val="20"/>
        </w:rPr>
        <w:t>The European Court has held that protracted sensory isolation, coupled with social isolation, can destroy the personality and constitutes a form of inhuman treatment.</w:t>
      </w:r>
      <w:r w:rsidRPr="00224AA7">
        <w:rPr>
          <w:rStyle w:val="FootnoteReference"/>
          <w:rFonts w:asciiTheme="majorHAnsi" w:hAnsiTheme="majorHAnsi"/>
          <w:bCs/>
          <w:sz w:val="20"/>
          <w:szCs w:val="20"/>
        </w:rPr>
        <w:footnoteReference w:id="97"/>
      </w:r>
      <w:r w:rsidRPr="00224AA7">
        <w:rPr>
          <w:rFonts w:ascii="Cambria" w:hAnsi="Cambria"/>
          <w:sz w:val="20"/>
          <w:szCs w:val="20"/>
        </w:rPr>
        <w:t xml:space="preserve"> The United Nations Human Rights Committee has expressed its concern over the practice in some maximum security prisons in the United States “to hold detainees in prolonged cellular confinement, and to allow them out-of-cell recreation for only five hours per week, in general conditions of strict regimentation in a depersonalized environment.”</w:t>
      </w:r>
      <w:r w:rsidRPr="00224AA7">
        <w:rPr>
          <w:rStyle w:val="FootnoteReference"/>
          <w:rFonts w:asciiTheme="majorHAnsi" w:hAnsiTheme="majorHAnsi"/>
          <w:sz w:val="20"/>
          <w:szCs w:val="20"/>
        </w:rPr>
        <w:footnoteReference w:id="98"/>
      </w:r>
      <w:r w:rsidRPr="00224AA7">
        <w:rPr>
          <w:rStyle w:val="FootnoteReference"/>
          <w:rFonts w:asciiTheme="majorHAnsi" w:hAnsiTheme="majorHAnsi"/>
        </w:rPr>
        <w:t xml:space="preserve"> </w:t>
      </w:r>
      <w:r w:rsidRPr="00224AA7">
        <w:rPr>
          <w:rFonts w:ascii="Cambria" w:hAnsi="Cambria"/>
          <w:sz w:val="20"/>
          <w:szCs w:val="20"/>
        </w:rPr>
        <w:t>For its part, in a death penalty case in which the victims were held in solitary confinement for protracted periods, the Inter-American Commission established that the State failed to ensure respect for the inherent dignity of the human person, regardless of the circumstance, and the right not to be subjected to cruel, inhuman or degrading treatment or punishment.</w:t>
      </w:r>
      <w:r w:rsidRPr="00224AA7">
        <w:rPr>
          <w:rStyle w:val="FootnoteReference"/>
          <w:rFonts w:asciiTheme="majorHAnsi" w:hAnsiTheme="majorHAnsi"/>
          <w:sz w:val="20"/>
          <w:szCs w:val="20"/>
        </w:rPr>
        <w:footnoteReference w:id="99"/>
      </w:r>
    </w:p>
    <w:p w14:paraId="62A08981" w14:textId="77777777" w:rsidR="00C153DE" w:rsidRPr="00224AA7" w:rsidRDefault="00C153DE" w:rsidP="00C153DE">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43C7FF04" w14:textId="77777777" w:rsidR="000C556C" w:rsidRPr="00224AA7" w:rsidRDefault="000C556C" w:rsidP="00C153DE">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224AA7">
        <w:rPr>
          <w:rFonts w:ascii="Cambria" w:hAnsi="Cambria"/>
          <w:sz w:val="20"/>
          <w:szCs w:val="20"/>
        </w:rPr>
        <w:lastRenderedPageBreak/>
        <w:t>The Inter-American Commission reaffirms that all persons deprived of liberty must receive humane treatment, commensurate with respect for their inherent dignity.  This means that the conditions of imprisonment of persons sentenced to death must meet the same international norms and standards that apply in general to persons deprived of liberty.  In this regard, the duties of the State to respect and ensure the right to humane treatment of all persons under its jurisdiction apply regardless of the nature of the conduct for which the person in question has been deprived of his liberty.</w:t>
      </w:r>
      <w:r w:rsidRPr="00224AA7">
        <w:rPr>
          <w:rStyle w:val="FootnoteReference"/>
          <w:rFonts w:asciiTheme="majorHAnsi" w:hAnsiTheme="majorHAnsi"/>
          <w:sz w:val="20"/>
          <w:szCs w:val="20"/>
        </w:rPr>
        <w:footnoteReference w:id="100"/>
      </w:r>
    </w:p>
    <w:p w14:paraId="6A8F1E88" w14:textId="77777777" w:rsidR="00247E0E" w:rsidRPr="00224AA7" w:rsidRDefault="00247E0E" w:rsidP="00247E0E">
      <w:pPr>
        <w:pStyle w:val="ListParagraph"/>
        <w:rPr>
          <w:rFonts w:asciiTheme="majorHAnsi" w:hAnsiTheme="majorHAnsi"/>
          <w:sz w:val="20"/>
          <w:szCs w:val="20"/>
          <w:bdr w:val="none" w:sz="0" w:space="0" w:color="auto" w:frame="1"/>
        </w:rPr>
      </w:pPr>
    </w:p>
    <w:p w14:paraId="0F933EB2" w14:textId="77777777" w:rsidR="00316026" w:rsidRPr="00224AA7" w:rsidRDefault="00247E0E" w:rsidP="00316026">
      <w:pPr>
        <w:pStyle w:val="NormalWeb"/>
        <w:numPr>
          <w:ilvl w:val="0"/>
          <w:numId w:val="55"/>
        </w:numPr>
        <w:shd w:val="clear" w:color="auto" w:fill="FFFFFF"/>
        <w:tabs>
          <w:tab w:val="left" w:pos="0"/>
          <w:tab w:val="left" w:pos="360"/>
          <w:tab w:val="left" w:pos="630"/>
          <w:tab w:val="left" w:pos="1440"/>
        </w:tabs>
        <w:suppressAutoHyphens/>
        <w:spacing w:before="0" w:beforeAutospacing="0" w:after="0" w:afterAutospacing="0"/>
        <w:ind w:left="0" w:firstLine="0"/>
        <w:jc w:val="both"/>
        <w:rPr>
          <w:rFonts w:asciiTheme="majorHAnsi" w:hAnsiTheme="majorHAnsi"/>
          <w:sz w:val="20"/>
          <w:szCs w:val="20"/>
        </w:rPr>
      </w:pPr>
      <w:r w:rsidRPr="00224AA7">
        <w:rPr>
          <w:rFonts w:asciiTheme="majorHAnsi" w:hAnsiTheme="majorHAnsi"/>
          <w:sz w:val="20"/>
          <w:szCs w:val="20"/>
          <w:bdr w:val="none" w:sz="0" w:space="0" w:color="auto" w:frame="1"/>
        </w:rPr>
        <w:t xml:space="preserve">According to the information available, </w:t>
      </w:r>
      <w:r w:rsidR="006E2E6B" w:rsidRPr="00224AA7">
        <w:rPr>
          <w:rFonts w:asciiTheme="majorHAnsi" w:hAnsiTheme="majorHAnsi"/>
          <w:sz w:val="20"/>
          <w:szCs w:val="20"/>
        </w:rPr>
        <w:t xml:space="preserve">until July 18, 2017, </w:t>
      </w:r>
      <w:r w:rsidR="000D0BD2" w:rsidRPr="00224AA7">
        <w:rPr>
          <w:rFonts w:asciiTheme="majorHAnsi" w:hAnsiTheme="majorHAnsi"/>
          <w:sz w:val="20"/>
          <w:szCs w:val="20"/>
        </w:rPr>
        <w:t>Mr. Rogovich was held in solitary confinement, in a cell without windows and no access to sunlight, where the lights remained on even during the night. Prisoners could only leave their cells three times a week, for no longer than two hours. Further, according to the information provided, there is a shortage of qualified mental health staff at the ASPC – Eyman Unit</w:t>
      </w:r>
      <w:r w:rsidR="006021D4" w:rsidRPr="00224AA7">
        <w:rPr>
          <w:rFonts w:asciiTheme="majorHAnsi" w:hAnsiTheme="majorHAnsi"/>
          <w:sz w:val="20"/>
          <w:szCs w:val="20"/>
        </w:rPr>
        <w:t xml:space="preserve"> and</w:t>
      </w:r>
      <w:r w:rsidR="000D0BD2" w:rsidRPr="00224AA7">
        <w:rPr>
          <w:rFonts w:asciiTheme="majorHAnsi" w:hAnsiTheme="majorHAnsi"/>
          <w:sz w:val="20"/>
          <w:szCs w:val="20"/>
        </w:rPr>
        <w:t xml:space="preserve"> medication is not provided on a regular basis. </w:t>
      </w:r>
      <w:r w:rsidR="006E2E6B" w:rsidRPr="00224AA7">
        <w:rPr>
          <w:rFonts w:asciiTheme="majorHAnsi" w:hAnsiTheme="majorHAnsi"/>
          <w:sz w:val="20"/>
          <w:szCs w:val="20"/>
        </w:rPr>
        <w:t xml:space="preserve"> </w:t>
      </w:r>
    </w:p>
    <w:p w14:paraId="1ED8ECBC" w14:textId="77777777" w:rsidR="00316026" w:rsidRPr="00224AA7" w:rsidRDefault="00316026" w:rsidP="00316026">
      <w:pPr>
        <w:pStyle w:val="ListParagraph"/>
        <w:rPr>
          <w:sz w:val="20"/>
          <w:szCs w:val="20"/>
        </w:rPr>
      </w:pPr>
    </w:p>
    <w:p w14:paraId="02FEB960" w14:textId="77777777" w:rsidR="00316026" w:rsidRPr="00224AA7" w:rsidRDefault="00316026" w:rsidP="00316026">
      <w:pPr>
        <w:pStyle w:val="NormalWeb"/>
        <w:numPr>
          <w:ilvl w:val="0"/>
          <w:numId w:val="55"/>
        </w:numPr>
        <w:shd w:val="clear" w:color="auto" w:fill="FFFFFF"/>
        <w:tabs>
          <w:tab w:val="left" w:pos="0"/>
          <w:tab w:val="left" w:pos="360"/>
          <w:tab w:val="left" w:pos="630"/>
          <w:tab w:val="left" w:pos="1440"/>
        </w:tabs>
        <w:suppressAutoHyphens/>
        <w:spacing w:before="0" w:beforeAutospacing="0" w:after="0" w:afterAutospacing="0"/>
        <w:ind w:left="0" w:firstLine="0"/>
        <w:jc w:val="both"/>
        <w:rPr>
          <w:rFonts w:asciiTheme="majorHAnsi" w:hAnsiTheme="majorHAnsi"/>
          <w:sz w:val="20"/>
          <w:szCs w:val="20"/>
        </w:rPr>
      </w:pPr>
      <w:r w:rsidRPr="00224AA7">
        <w:rPr>
          <w:rFonts w:ascii="Cambria" w:hAnsi="Cambria"/>
          <w:sz w:val="20"/>
          <w:szCs w:val="20"/>
        </w:rPr>
        <w:t>Therefore, based on the information available, the IACHR considers that</w:t>
      </w:r>
      <w:r w:rsidR="006E2E6B" w:rsidRPr="00224AA7">
        <w:rPr>
          <w:rFonts w:ascii="Cambria" w:hAnsi="Cambria"/>
          <w:sz w:val="20"/>
          <w:szCs w:val="20"/>
        </w:rPr>
        <w:t>,</w:t>
      </w:r>
      <w:r w:rsidRPr="00224AA7">
        <w:rPr>
          <w:rFonts w:ascii="Cambria" w:hAnsi="Cambria"/>
          <w:sz w:val="20"/>
          <w:szCs w:val="20"/>
        </w:rPr>
        <w:t xml:space="preserve"> </w:t>
      </w:r>
      <w:r w:rsidR="006E2E6B" w:rsidRPr="00224AA7">
        <w:rPr>
          <w:rFonts w:ascii="Cambria" w:hAnsi="Cambria"/>
          <w:sz w:val="20"/>
          <w:szCs w:val="20"/>
        </w:rPr>
        <w:t xml:space="preserve">for over 20 years, </w:t>
      </w:r>
      <w:r w:rsidRPr="00224AA7">
        <w:rPr>
          <w:rFonts w:ascii="Cambria" w:hAnsi="Cambria"/>
          <w:sz w:val="20"/>
          <w:szCs w:val="20"/>
        </w:rPr>
        <w:t xml:space="preserve">Mr. Rogovich </w:t>
      </w:r>
      <w:r w:rsidR="006E2E6B" w:rsidRPr="00224AA7">
        <w:rPr>
          <w:rFonts w:ascii="Cambria" w:hAnsi="Cambria"/>
          <w:sz w:val="20"/>
          <w:szCs w:val="20"/>
        </w:rPr>
        <w:t>was</w:t>
      </w:r>
      <w:r w:rsidRPr="00224AA7">
        <w:rPr>
          <w:rFonts w:ascii="Cambria" w:hAnsi="Cambria"/>
          <w:sz w:val="20"/>
          <w:szCs w:val="20"/>
        </w:rPr>
        <w:t xml:space="preserve"> held under prolonged solitary confinement mainly </w:t>
      </w:r>
      <w:r w:rsidR="006E2E6B" w:rsidRPr="00224AA7">
        <w:rPr>
          <w:rFonts w:ascii="Cambria" w:hAnsi="Cambria"/>
          <w:sz w:val="20"/>
          <w:szCs w:val="20"/>
        </w:rPr>
        <w:t>due to</w:t>
      </w:r>
      <w:r w:rsidRPr="00224AA7">
        <w:rPr>
          <w:rFonts w:ascii="Cambria" w:hAnsi="Cambria"/>
          <w:sz w:val="20"/>
          <w:szCs w:val="20"/>
        </w:rPr>
        <w:t xml:space="preserve"> the fact that he had been sentenced to death. Based on international human rights standards, the Inter-American Commission concludes that by keeping the alleged victim in prolonged solitary confinement, the United States </w:t>
      </w:r>
      <w:r w:rsidR="006E2E6B" w:rsidRPr="00224AA7">
        <w:rPr>
          <w:rFonts w:ascii="Cambria" w:hAnsi="Cambria"/>
          <w:sz w:val="20"/>
          <w:szCs w:val="20"/>
        </w:rPr>
        <w:t>subjected</w:t>
      </w:r>
      <w:r w:rsidRPr="00224AA7">
        <w:rPr>
          <w:rFonts w:ascii="Cambria" w:hAnsi="Cambria"/>
          <w:sz w:val="20"/>
          <w:szCs w:val="20"/>
        </w:rPr>
        <w:t xml:space="preserve"> him to inhumane treatment during his incarceration and impos</w:t>
      </w:r>
      <w:r w:rsidR="006E2E6B" w:rsidRPr="00224AA7">
        <w:rPr>
          <w:rFonts w:ascii="Cambria" w:hAnsi="Cambria"/>
          <w:sz w:val="20"/>
          <w:szCs w:val="20"/>
        </w:rPr>
        <w:t>ed</w:t>
      </w:r>
      <w:r w:rsidRPr="00224AA7">
        <w:rPr>
          <w:rFonts w:ascii="Cambria" w:hAnsi="Cambria"/>
          <w:sz w:val="20"/>
          <w:szCs w:val="20"/>
        </w:rPr>
        <w:t xml:space="preserve"> cruel, infamous and unusual punishment, in violation of Articles XXV and XXVI of the American Declaration.</w:t>
      </w:r>
      <w:r w:rsidR="006021D4" w:rsidRPr="00224AA7">
        <w:rPr>
          <w:rFonts w:ascii="Cambria" w:hAnsi="Cambria"/>
          <w:sz w:val="20"/>
          <w:szCs w:val="20"/>
        </w:rPr>
        <w:t xml:space="preserve"> Also, considering Mr. Rogovich’s mental health as well as the reinforced obligation of the State vis-à-vis of persons in its custody, the lack of adequate medical care and lack of medication constitute a violation of Article </w:t>
      </w:r>
      <w:r w:rsidR="008315C5" w:rsidRPr="00224AA7">
        <w:rPr>
          <w:rFonts w:ascii="Cambria" w:hAnsi="Cambria"/>
          <w:sz w:val="20"/>
          <w:szCs w:val="20"/>
        </w:rPr>
        <w:t>XI of the American Declaration.</w:t>
      </w:r>
    </w:p>
    <w:p w14:paraId="011A3986" w14:textId="77777777" w:rsidR="00801C7F" w:rsidRPr="00224AA7" w:rsidRDefault="00801C7F" w:rsidP="00801C7F">
      <w:pPr>
        <w:tabs>
          <w:tab w:val="left" w:pos="360"/>
        </w:tabs>
        <w:rPr>
          <w:b/>
          <w:sz w:val="20"/>
          <w:szCs w:val="20"/>
        </w:rPr>
      </w:pPr>
    </w:p>
    <w:p w14:paraId="661D6C26" w14:textId="77777777" w:rsidR="006B5C2E" w:rsidRPr="00224AA7" w:rsidRDefault="00801C7F" w:rsidP="00224AA7">
      <w:pPr>
        <w:pStyle w:val="Heading3"/>
        <w:numPr>
          <w:ilvl w:val="3"/>
          <w:numId w:val="53"/>
        </w:numPr>
        <w:spacing w:before="0"/>
        <w:ind w:left="360"/>
        <w:rPr>
          <w:color w:val="auto"/>
          <w:sz w:val="20"/>
          <w:szCs w:val="20"/>
        </w:rPr>
      </w:pPr>
      <w:bookmarkStart w:id="30" w:name="_Toc90283311"/>
      <w:r w:rsidRPr="00224AA7">
        <w:rPr>
          <w:color w:val="auto"/>
          <w:sz w:val="20"/>
          <w:szCs w:val="20"/>
        </w:rPr>
        <w:t>Method of execution</w:t>
      </w:r>
      <w:bookmarkEnd w:id="30"/>
    </w:p>
    <w:p w14:paraId="11CACD8F" w14:textId="77777777" w:rsidR="00801C7F" w:rsidRPr="00224AA7" w:rsidRDefault="00801C7F" w:rsidP="00801C7F">
      <w:pPr>
        <w:pStyle w:val="ListParagraph"/>
        <w:tabs>
          <w:tab w:val="left" w:pos="360"/>
        </w:tabs>
        <w:ind w:left="0"/>
        <w:rPr>
          <w:b/>
          <w:sz w:val="20"/>
          <w:szCs w:val="20"/>
        </w:rPr>
      </w:pPr>
    </w:p>
    <w:p w14:paraId="2C3CB2EE" w14:textId="77777777" w:rsidR="00F91540" w:rsidRPr="00224AA7"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In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case of executions by lethal injection, and the composition of the execution team as well as the training of its members.</w:t>
      </w:r>
      <w:r w:rsidRPr="00224AA7">
        <w:rPr>
          <w:rStyle w:val="FootnoteReference"/>
          <w:rFonts w:asciiTheme="majorHAnsi" w:hAnsiTheme="majorHAnsi"/>
          <w:sz w:val="20"/>
          <w:szCs w:val="20"/>
        </w:rPr>
        <w:footnoteReference w:id="101"/>
      </w:r>
      <w:r w:rsidRPr="00224AA7">
        <w:rPr>
          <w:rStyle w:val="FootnoteReference"/>
          <w:rFonts w:asciiTheme="majorHAnsi" w:hAnsiTheme="majorHAnsi"/>
          <w:sz w:val="20"/>
          <w:szCs w:val="20"/>
        </w:rPr>
        <w:t xml:space="preserve"> </w:t>
      </w:r>
      <w:r w:rsidRPr="00224AA7">
        <w:rPr>
          <w:rFonts w:ascii="Cambria" w:hAnsi="Cambria"/>
          <w:sz w:val="20"/>
          <w:szCs w:val="20"/>
        </w:rPr>
        <w:t xml:space="preserve"> </w:t>
      </w:r>
    </w:p>
    <w:p w14:paraId="2FA90EFB" w14:textId="77777777" w:rsidR="00F91540" w:rsidRPr="00224AA7" w:rsidRDefault="00F91540" w:rsidP="00F91540">
      <w:pPr>
        <w:pStyle w:val="NormalWeb"/>
        <w:shd w:val="clear" w:color="auto" w:fill="FFFFFF"/>
        <w:tabs>
          <w:tab w:val="left" w:pos="360"/>
        </w:tabs>
        <w:spacing w:before="0" w:beforeAutospacing="0" w:after="0" w:afterAutospacing="0"/>
        <w:jc w:val="both"/>
        <w:rPr>
          <w:rFonts w:ascii="Cambria" w:hAnsi="Cambria"/>
          <w:sz w:val="20"/>
          <w:szCs w:val="20"/>
        </w:rPr>
      </w:pPr>
    </w:p>
    <w:p w14:paraId="03B087B5" w14:textId="77777777" w:rsidR="00F91540" w:rsidRPr="00224AA7"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Any person subjected to the death penalty must have the opportunity to challenge every aspect of the execution procedure and such information is necessary to file a challenge. The IACHR notes in this regard that the due process requirement is not limited to the conviction and post-conviction proceedings.</w:t>
      </w:r>
      <w:r w:rsidRPr="00224AA7">
        <w:rPr>
          <w:rStyle w:val="FootnoteReference"/>
          <w:rFonts w:asciiTheme="majorHAnsi" w:hAnsiTheme="majorHAnsi"/>
          <w:sz w:val="20"/>
          <w:szCs w:val="20"/>
        </w:rPr>
        <w:footnoteReference w:id="102"/>
      </w:r>
      <w:r w:rsidRPr="00224AA7">
        <w:rPr>
          <w:rStyle w:val="FootnoteReference"/>
          <w:rFonts w:asciiTheme="majorHAnsi" w:hAnsiTheme="majorHAnsi"/>
        </w:rPr>
        <w:t xml:space="preserve"> </w:t>
      </w:r>
      <w:r w:rsidRPr="00224AA7">
        <w:rPr>
          <w:rFonts w:ascii="Cambria" w:hAnsi="Cambria"/>
          <w:sz w:val="20"/>
          <w:szCs w:val="20"/>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2652DA09" w14:textId="77777777" w:rsidR="00F3633B" w:rsidRDefault="00F3633B" w:rsidP="00F91540">
      <w:pPr>
        <w:pStyle w:val="ListParagraph"/>
        <w:rPr>
          <w:sz w:val="20"/>
          <w:szCs w:val="20"/>
        </w:rPr>
      </w:pPr>
    </w:p>
    <w:p w14:paraId="70946E51" w14:textId="77777777" w:rsidR="00F91540" w:rsidRPr="00224AA7"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 xml:space="preserve">Further, the IACHR highlights the reinforced special duty of the State to ensure that the method of execution does not constitute cruel, </w:t>
      </w:r>
      <w:proofErr w:type="gramStart"/>
      <w:r w:rsidRPr="00224AA7">
        <w:rPr>
          <w:rFonts w:ascii="Cambria" w:hAnsi="Cambria"/>
          <w:sz w:val="20"/>
          <w:szCs w:val="20"/>
        </w:rPr>
        <w:t>infamous</w:t>
      </w:r>
      <w:proofErr w:type="gramEnd"/>
      <w:r w:rsidRPr="00224AA7">
        <w:rPr>
          <w:rFonts w:ascii="Cambria" w:hAnsi="Cambria"/>
          <w:sz w:val="20"/>
          <w:szCs w:val="20"/>
        </w:rPr>
        <w:t xml:space="preserve"> or unusual punishment. In this regard, the U.N. Special Rapporteur on torture and other cruel, inhuman or degrading treatment or punishment stated that “[t]</w:t>
      </w:r>
      <w:r w:rsidRPr="00224AA7">
        <w:rPr>
          <w:rFonts w:ascii="Cambria" w:hAnsi="Cambria" w:cs="TimesNewRomanPS"/>
          <w:color w:val="231F20"/>
          <w:sz w:val="20"/>
          <w:szCs w:val="20"/>
        </w:rPr>
        <w:t>he fact that a number of execution methods have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224AA7">
        <w:rPr>
          <w:rStyle w:val="FootnoteReference"/>
          <w:rFonts w:asciiTheme="majorHAnsi" w:hAnsiTheme="majorHAnsi"/>
          <w:sz w:val="20"/>
          <w:szCs w:val="20"/>
        </w:rPr>
        <w:footnoteReference w:id="103"/>
      </w:r>
    </w:p>
    <w:p w14:paraId="09591F67" w14:textId="77777777" w:rsidR="00F91540" w:rsidRPr="00224AA7" w:rsidRDefault="00F91540" w:rsidP="00F91540">
      <w:pPr>
        <w:pStyle w:val="ListParagraph"/>
        <w:rPr>
          <w:sz w:val="20"/>
          <w:szCs w:val="20"/>
        </w:rPr>
      </w:pPr>
    </w:p>
    <w:p w14:paraId="3B165D34" w14:textId="77777777" w:rsidR="00F91540" w:rsidRPr="00224AA7" w:rsidRDefault="00F91540" w:rsidP="00F9154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224AA7">
        <w:rPr>
          <w:rStyle w:val="FootnoteReference"/>
          <w:rFonts w:asciiTheme="majorHAnsi" w:hAnsiTheme="majorHAnsi"/>
          <w:sz w:val="20"/>
          <w:szCs w:val="20"/>
        </w:rPr>
        <w:footnoteReference w:id="104"/>
      </w:r>
    </w:p>
    <w:p w14:paraId="640262DD" w14:textId="77777777" w:rsidR="005E4CF1" w:rsidRPr="00224AA7" w:rsidRDefault="005E4CF1" w:rsidP="005E4CF1">
      <w:pPr>
        <w:pStyle w:val="ListParagraph"/>
        <w:rPr>
          <w:sz w:val="20"/>
          <w:szCs w:val="20"/>
        </w:rPr>
      </w:pPr>
    </w:p>
    <w:p w14:paraId="4A97A35B" w14:textId="77777777" w:rsidR="001B4E52" w:rsidRPr="00224AA7" w:rsidRDefault="005E4CF1" w:rsidP="001B4E5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 xml:space="preserve">According to the current protocol, </w:t>
      </w:r>
      <w:r w:rsidR="00473197" w:rsidRPr="00224AA7">
        <w:rPr>
          <w:rFonts w:ascii="Cambria" w:hAnsi="Cambria"/>
          <w:sz w:val="20"/>
          <w:szCs w:val="20"/>
        </w:rPr>
        <w:t xml:space="preserve">the </w:t>
      </w:r>
      <w:r w:rsidRPr="00224AA7">
        <w:rPr>
          <w:rFonts w:ascii="Cambria" w:hAnsi="Cambria"/>
          <w:sz w:val="20"/>
          <w:szCs w:val="20"/>
        </w:rPr>
        <w:t>Director of the Arizona Department of Corrections has the sole discretion as to which drug will be used for the scheduled executions</w:t>
      </w:r>
      <w:r w:rsidR="00473197" w:rsidRPr="00224AA7">
        <w:rPr>
          <w:rFonts w:ascii="Cambria" w:hAnsi="Cambria"/>
          <w:sz w:val="20"/>
          <w:szCs w:val="20"/>
        </w:rPr>
        <w:t xml:space="preserve">, which will depend on the availability of either pentobarbital or sodium pentothal in sufficient quantity and quality to successfully implement the one-drug protocol. As of the time of adoption of the present report, there is no information regarding when executions will resume in Arizona after a five-year hiatus brought on by an execution that critics said was botched. </w:t>
      </w:r>
      <w:r w:rsidR="006E0F9B" w:rsidRPr="00224AA7">
        <w:rPr>
          <w:rFonts w:ascii="Cambria" w:hAnsi="Cambria"/>
          <w:sz w:val="20"/>
          <w:szCs w:val="20"/>
        </w:rPr>
        <w:t xml:space="preserve">There is also no information </w:t>
      </w:r>
      <w:r w:rsidR="00A9641B" w:rsidRPr="00224AA7">
        <w:rPr>
          <w:rFonts w:ascii="Cambria" w:hAnsi="Cambria"/>
          <w:sz w:val="20"/>
          <w:szCs w:val="20"/>
        </w:rPr>
        <w:t xml:space="preserve">regarding the </w:t>
      </w:r>
      <w:r w:rsidR="00BA3DCF" w:rsidRPr="00224AA7">
        <w:rPr>
          <w:rFonts w:ascii="Cambria" w:hAnsi="Cambria"/>
          <w:sz w:val="20"/>
          <w:szCs w:val="20"/>
        </w:rPr>
        <w:t xml:space="preserve">origins of the drugs that will be used, the </w:t>
      </w:r>
      <w:r w:rsidR="00A9641B" w:rsidRPr="00224AA7">
        <w:rPr>
          <w:rFonts w:ascii="Cambria" w:hAnsi="Cambria"/>
          <w:sz w:val="20"/>
          <w:szCs w:val="20"/>
        </w:rPr>
        <w:t xml:space="preserve">composition of the execution team or the training of its members. </w:t>
      </w:r>
    </w:p>
    <w:p w14:paraId="3662C98E" w14:textId="77777777" w:rsidR="001B4E52" w:rsidRPr="00224AA7" w:rsidRDefault="001B4E52" w:rsidP="001B4E52">
      <w:pPr>
        <w:pStyle w:val="ListParagraph"/>
        <w:rPr>
          <w:sz w:val="20"/>
          <w:szCs w:val="20"/>
        </w:rPr>
      </w:pPr>
    </w:p>
    <w:p w14:paraId="06DB0ADB" w14:textId="77777777" w:rsidR="001B4E52" w:rsidRPr="00224AA7" w:rsidRDefault="001B4E52" w:rsidP="001B4E52">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 xml:space="preserve">Based on the above considerations, and the uncertainty surrounding death penalty executions in Arizona, the IACHR concludes that the State is exposing Mr. Rogovich to anguish and fear that amount to a violation of his right to humane treatment and not to receive cruel, infamous or unusual punishment set forth in Articles XXV and XXVI of the Declaration. </w:t>
      </w:r>
    </w:p>
    <w:p w14:paraId="1C3C24DD" w14:textId="77777777" w:rsidR="00801C7F" w:rsidRPr="00224AA7" w:rsidRDefault="00801C7F" w:rsidP="00801C7F">
      <w:pPr>
        <w:pStyle w:val="ListParagraph"/>
        <w:tabs>
          <w:tab w:val="left" w:pos="360"/>
        </w:tabs>
        <w:rPr>
          <w:sz w:val="20"/>
          <w:szCs w:val="20"/>
        </w:rPr>
      </w:pPr>
    </w:p>
    <w:p w14:paraId="4A5EF9B1" w14:textId="77777777" w:rsidR="00801C7F" w:rsidRPr="00224AA7" w:rsidRDefault="00BB76B9" w:rsidP="00224AA7">
      <w:pPr>
        <w:pStyle w:val="Heading3"/>
        <w:numPr>
          <w:ilvl w:val="3"/>
          <w:numId w:val="53"/>
        </w:numPr>
        <w:spacing w:before="0"/>
        <w:ind w:left="360"/>
        <w:rPr>
          <w:color w:val="auto"/>
          <w:sz w:val="20"/>
          <w:szCs w:val="20"/>
        </w:rPr>
      </w:pPr>
      <w:bookmarkStart w:id="31" w:name="_Toc90283312"/>
      <w:r w:rsidRPr="00224AA7">
        <w:rPr>
          <w:color w:val="auto"/>
          <w:sz w:val="20"/>
          <w:szCs w:val="20"/>
        </w:rPr>
        <w:t>The d</w:t>
      </w:r>
      <w:r w:rsidR="00801C7F" w:rsidRPr="00224AA7">
        <w:rPr>
          <w:color w:val="auto"/>
          <w:sz w:val="20"/>
          <w:szCs w:val="20"/>
        </w:rPr>
        <w:t>eprivation of liberty on death row</w:t>
      </w:r>
      <w:r w:rsidRPr="00224AA7">
        <w:rPr>
          <w:color w:val="auto"/>
          <w:sz w:val="20"/>
          <w:szCs w:val="20"/>
        </w:rPr>
        <w:t xml:space="preserve"> and the right of protection against cruel, infamous or unusual punishment</w:t>
      </w:r>
      <w:bookmarkEnd w:id="31"/>
    </w:p>
    <w:p w14:paraId="389DD91D" w14:textId="77777777" w:rsidR="00801C7F" w:rsidRPr="00224AA7" w:rsidRDefault="00801C7F" w:rsidP="00801C7F">
      <w:pPr>
        <w:pStyle w:val="ListParagraph"/>
        <w:tabs>
          <w:tab w:val="left" w:pos="360"/>
        </w:tabs>
        <w:ind w:left="0"/>
        <w:rPr>
          <w:b/>
          <w:sz w:val="20"/>
          <w:szCs w:val="20"/>
        </w:rPr>
      </w:pPr>
    </w:p>
    <w:p w14:paraId="1A9EF0E6" w14:textId="77777777" w:rsidR="00BE3560" w:rsidRPr="00224AA7"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224AA7">
        <w:rPr>
          <w:rFonts w:ascii="Cambria" w:eastAsia="Arial Unicode MS" w:hAnsi="Cambria"/>
          <w:sz w:val="20"/>
          <w:bdr w:val="nil"/>
          <w:vertAlign w:val="superscript"/>
        </w:rPr>
        <w:footnoteReference w:id="105"/>
      </w:r>
      <w:r w:rsidRPr="00224AA7">
        <w:rPr>
          <w:rFonts w:ascii="Cambria" w:eastAsia="Arial Unicode MS" w:hAnsi="Cambria"/>
          <w:sz w:val="20"/>
          <w:bdr w:val="nil"/>
          <w:vertAlign w:val="superscript"/>
        </w:rPr>
        <w:t xml:space="preserve"> </w:t>
      </w:r>
      <w:r w:rsidRPr="00224AA7">
        <w:rPr>
          <w:rFonts w:ascii="Cambria" w:hAnsi="Cambria"/>
          <w:sz w:val="20"/>
          <w:szCs w:val="20"/>
        </w:rPr>
        <w:t>Based on those standards, in the case of Russell Bucklew the IACHR found that “the very fact of spending 20 years on death row is, by any account, excessive and inhuman.”</w:t>
      </w:r>
      <w:r w:rsidRPr="00224AA7">
        <w:rPr>
          <w:rFonts w:ascii="Cambria" w:eastAsia="Arial Unicode MS" w:hAnsi="Cambria"/>
          <w:sz w:val="20"/>
          <w:bdr w:val="nil"/>
          <w:vertAlign w:val="superscript"/>
        </w:rPr>
        <w:footnoteReference w:id="106"/>
      </w:r>
    </w:p>
    <w:p w14:paraId="5E8C6658" w14:textId="77777777" w:rsidR="00BE3560" w:rsidRPr="00224AA7" w:rsidRDefault="00BE3560" w:rsidP="00BE3560">
      <w:pPr>
        <w:pStyle w:val="NormalWeb"/>
        <w:shd w:val="clear" w:color="auto" w:fill="FFFFFF"/>
        <w:tabs>
          <w:tab w:val="left" w:pos="360"/>
        </w:tabs>
        <w:spacing w:before="0" w:beforeAutospacing="0" w:after="0" w:afterAutospacing="0"/>
        <w:jc w:val="both"/>
        <w:rPr>
          <w:rFonts w:ascii="Cambria" w:hAnsi="Cambria"/>
          <w:sz w:val="20"/>
          <w:szCs w:val="20"/>
        </w:rPr>
      </w:pPr>
    </w:p>
    <w:p w14:paraId="4B3F200D" w14:textId="77777777" w:rsidR="00BE3560" w:rsidRPr="00224AA7"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rPr>
        <w:t>Specifically regarding the matter of prolonged solitary confinement on death row, the Inter-American Commission has determined that deprivation of liberty under certain conditions on death row, including solitary confinement for four years, constituted inhuman treatment.</w:t>
      </w:r>
      <w:r w:rsidRPr="00224AA7">
        <w:rPr>
          <w:rFonts w:ascii="Cambria" w:eastAsia="Arial Unicode MS" w:hAnsi="Cambria"/>
          <w:sz w:val="20"/>
          <w:bdr w:val="nil"/>
          <w:vertAlign w:val="superscript"/>
        </w:rPr>
        <w:footnoteReference w:id="107"/>
      </w:r>
      <w:r w:rsidRPr="00224AA7">
        <w:rPr>
          <w:rFonts w:ascii="Cambria" w:eastAsia="Arial Unicode MS" w:hAnsi="Cambria"/>
          <w:sz w:val="20"/>
          <w:bdr w:val="nil"/>
          <w:vertAlign w:val="superscript"/>
        </w:rPr>
        <w:t xml:space="preserve">   </w:t>
      </w:r>
      <w:r w:rsidRPr="00224AA7">
        <w:rPr>
          <w:rFonts w:ascii="Cambria" w:hAnsi="Cambria"/>
          <w:sz w:val="20"/>
        </w:rPr>
        <w:t xml:space="preserve">  </w:t>
      </w:r>
    </w:p>
    <w:p w14:paraId="4FBD63A5" w14:textId="77777777" w:rsidR="00BE3560" w:rsidRPr="00224AA7" w:rsidRDefault="00BE3560" w:rsidP="00BE3560">
      <w:pPr>
        <w:pStyle w:val="ListParagraph"/>
        <w:rPr>
          <w:sz w:val="20"/>
        </w:rPr>
      </w:pPr>
    </w:p>
    <w:p w14:paraId="2FA49160" w14:textId="77777777" w:rsidR="003A5E9B" w:rsidRPr="00224AA7"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224AA7">
        <w:rPr>
          <w:rFonts w:ascii="Cambria" w:hAnsi="Cambria"/>
          <w:sz w:val="20"/>
        </w:rPr>
        <w:t xml:space="preserve">The UN Special Rapporteur on Torture has found that: </w:t>
      </w:r>
    </w:p>
    <w:p w14:paraId="5769E0F2" w14:textId="77777777" w:rsidR="003A5E9B" w:rsidRPr="00224AA7" w:rsidRDefault="003A5E9B" w:rsidP="003A5E9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13E79249" w14:textId="77777777" w:rsidR="003A5E9B" w:rsidRPr="00224AA7" w:rsidRDefault="003A5E9B" w:rsidP="003A5E9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rPr>
      </w:pPr>
      <w:r w:rsidRPr="00224AA7">
        <w:rPr>
          <w:rFonts w:ascii="Cambria" w:eastAsia="Times New Roman" w:hAnsi="Cambria"/>
          <w:sz w:val="18"/>
          <w:szCs w:val="18"/>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224AA7">
        <w:rPr>
          <w:rFonts w:ascii="Cambria" w:eastAsia="Times New Roman" w:hAnsi="Cambria"/>
          <w:sz w:val="18"/>
          <w:szCs w:val="18"/>
          <w:vertAlign w:val="superscript"/>
        </w:rPr>
        <w:footnoteReference w:id="108"/>
      </w:r>
    </w:p>
    <w:p w14:paraId="35E3C35A" w14:textId="77777777" w:rsidR="003A5E9B" w:rsidRPr="00224AA7" w:rsidRDefault="003A5E9B" w:rsidP="003A5E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7DCA1C72" w14:textId="77777777" w:rsidR="003A5E9B" w:rsidRPr="00224AA7" w:rsidRDefault="003A5E9B" w:rsidP="00BE356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rPr>
      </w:pPr>
      <w:r w:rsidRPr="00224AA7">
        <w:rPr>
          <w:rFonts w:ascii="Cambria" w:hAnsi="Cambria"/>
          <w:sz w:val="20"/>
        </w:rPr>
        <w:t xml:space="preserve">As established in this report, Mr. Rogovich </w:t>
      </w:r>
      <w:r w:rsidR="00D73D78" w:rsidRPr="00224AA7">
        <w:rPr>
          <w:rFonts w:ascii="Cambria" w:hAnsi="Cambria"/>
          <w:sz w:val="20"/>
        </w:rPr>
        <w:t>has been deprived of his liberty on death row for</w:t>
      </w:r>
      <w:r w:rsidRPr="00224AA7">
        <w:rPr>
          <w:rFonts w:ascii="Cambria" w:hAnsi="Cambria"/>
          <w:sz w:val="20"/>
        </w:rPr>
        <w:t xml:space="preserve"> </w:t>
      </w:r>
      <w:r w:rsidR="00B11C6F" w:rsidRPr="00224AA7">
        <w:rPr>
          <w:rFonts w:ascii="Cambria" w:hAnsi="Cambria"/>
          <w:sz w:val="20"/>
        </w:rPr>
        <w:t>27</w:t>
      </w:r>
      <w:r w:rsidRPr="00224AA7">
        <w:rPr>
          <w:rFonts w:ascii="Cambria" w:hAnsi="Cambria"/>
          <w:sz w:val="20"/>
        </w:rPr>
        <w:t xml:space="preserve"> years. The Commission notes that the very fact of spending </w:t>
      </w:r>
      <w:r w:rsidR="00B11C6F" w:rsidRPr="00224AA7">
        <w:rPr>
          <w:rFonts w:ascii="Cambria" w:hAnsi="Cambria"/>
          <w:sz w:val="20"/>
        </w:rPr>
        <w:t>27</w:t>
      </w:r>
      <w:r w:rsidRPr="00224AA7">
        <w:rPr>
          <w:rFonts w:ascii="Cambria" w:hAnsi="Cambria"/>
          <w:sz w:val="20"/>
        </w:rPr>
        <w:t xml:space="preserve"> years on death row is, by any account, excessive and inhuman, and is aggravated by Mr. Rogovich’s mental health condition as well as by the prolonged expectation that the death sentence could be executed. The IACHR notes in this regard that Mr. Rogovich </w:t>
      </w:r>
      <w:r w:rsidR="00F629C7" w:rsidRPr="00224AA7">
        <w:rPr>
          <w:rFonts w:asciiTheme="majorHAnsi" w:hAnsiTheme="majorHAnsi"/>
          <w:sz w:val="20"/>
          <w:szCs w:val="20"/>
        </w:rPr>
        <w:t>was held for more than 20 years in solitary confinement, in a cell without windows and no access to sunlight, where the lights remained on even during the night, and where prisoners could only leave their cells three times a week, for no longer than two hours</w:t>
      </w:r>
      <w:r w:rsidRPr="00224AA7">
        <w:rPr>
          <w:rFonts w:ascii="Cambria" w:hAnsi="Cambria"/>
          <w:sz w:val="20"/>
        </w:rPr>
        <w:t xml:space="preserve">. Consequently, the United States is responsible for violating, to the detriment of Mr. Rogovich, the right to humane treatment, and not to receive cruel, infamous or unusual punishment established in </w:t>
      </w:r>
      <w:r w:rsidR="00970813" w:rsidRPr="00224AA7">
        <w:rPr>
          <w:rFonts w:ascii="Cambria" w:hAnsi="Cambria"/>
          <w:sz w:val="20"/>
        </w:rPr>
        <w:t xml:space="preserve">Articles XXV and XXVI of </w:t>
      </w:r>
      <w:r w:rsidRPr="00224AA7">
        <w:rPr>
          <w:rFonts w:ascii="Cambria" w:hAnsi="Cambria"/>
          <w:sz w:val="20"/>
        </w:rPr>
        <w:t xml:space="preserve">the American Declaration.  </w:t>
      </w:r>
    </w:p>
    <w:p w14:paraId="4DB24FED" w14:textId="77777777" w:rsidR="00801C7F" w:rsidRPr="00224AA7" w:rsidRDefault="00801C7F" w:rsidP="00801C7F">
      <w:pPr>
        <w:pStyle w:val="NormalWeb"/>
        <w:shd w:val="clear" w:color="auto" w:fill="FFFFFF"/>
        <w:tabs>
          <w:tab w:val="left" w:pos="360"/>
        </w:tabs>
        <w:spacing w:before="0" w:beforeAutospacing="0" w:after="0" w:afterAutospacing="0"/>
        <w:jc w:val="both"/>
        <w:rPr>
          <w:sz w:val="20"/>
          <w:szCs w:val="20"/>
        </w:rPr>
      </w:pPr>
    </w:p>
    <w:p w14:paraId="4CB12385" w14:textId="77777777" w:rsidR="00801C7F" w:rsidRPr="00224AA7" w:rsidRDefault="00375D88" w:rsidP="009C6457">
      <w:pPr>
        <w:pStyle w:val="Heading2"/>
        <w:numPr>
          <w:ilvl w:val="0"/>
          <w:numId w:val="61"/>
        </w:numPr>
        <w:tabs>
          <w:tab w:val="left" w:pos="360"/>
        </w:tabs>
        <w:spacing w:before="0"/>
        <w:ind w:left="0" w:firstLine="0"/>
        <w:jc w:val="both"/>
        <w:rPr>
          <w:color w:val="auto"/>
          <w:sz w:val="20"/>
          <w:szCs w:val="20"/>
        </w:rPr>
      </w:pPr>
      <w:bookmarkStart w:id="32" w:name="_Toc90283313"/>
      <w:r>
        <w:rPr>
          <w:color w:val="auto"/>
          <w:sz w:val="20"/>
          <w:szCs w:val="20"/>
        </w:rPr>
        <w:lastRenderedPageBreak/>
        <w:t>R</w:t>
      </w:r>
      <w:r w:rsidR="002B4417" w:rsidRPr="00224AA7">
        <w:rPr>
          <w:color w:val="auto"/>
          <w:sz w:val="20"/>
          <w:szCs w:val="20"/>
        </w:rPr>
        <w:t>ight to life</w:t>
      </w:r>
      <w:r w:rsidR="00C535F1">
        <w:rPr>
          <w:rStyle w:val="FootnoteReference"/>
          <w:color w:val="auto"/>
          <w:sz w:val="20"/>
          <w:szCs w:val="20"/>
        </w:rPr>
        <w:footnoteReference w:id="109"/>
      </w:r>
      <w:r w:rsidR="00DD5501" w:rsidRPr="00224AA7">
        <w:rPr>
          <w:color w:val="auto"/>
          <w:sz w:val="20"/>
          <w:szCs w:val="20"/>
        </w:rPr>
        <w:t xml:space="preserve"> and to protection against cruel, infamous o</w:t>
      </w:r>
      <w:r w:rsidR="00224AA7">
        <w:rPr>
          <w:color w:val="auto"/>
          <w:sz w:val="20"/>
          <w:szCs w:val="20"/>
        </w:rPr>
        <w:t>r</w:t>
      </w:r>
      <w:r w:rsidR="00DD5501" w:rsidRPr="00224AA7">
        <w:rPr>
          <w:color w:val="auto"/>
          <w:sz w:val="20"/>
          <w:szCs w:val="20"/>
        </w:rPr>
        <w:t xml:space="preserve"> unusual punishment with respect to the eventual execution of Pete Carl Rogovich</w:t>
      </w:r>
      <w:bookmarkEnd w:id="32"/>
      <w:r w:rsidR="00867DA3" w:rsidRPr="00224AA7">
        <w:rPr>
          <w:color w:val="auto"/>
          <w:sz w:val="20"/>
          <w:szCs w:val="20"/>
        </w:rPr>
        <w:t xml:space="preserve"> </w:t>
      </w:r>
    </w:p>
    <w:p w14:paraId="42AC78C9" w14:textId="77777777" w:rsidR="00867DA3" w:rsidRPr="00224AA7" w:rsidRDefault="00867DA3" w:rsidP="00867DA3">
      <w:pPr>
        <w:rPr>
          <w:rFonts w:asciiTheme="majorHAnsi" w:hAnsiTheme="majorHAnsi"/>
          <w:sz w:val="20"/>
          <w:szCs w:val="20"/>
        </w:rPr>
      </w:pPr>
    </w:p>
    <w:p w14:paraId="6DA29E31" w14:textId="77777777" w:rsidR="00BE3560" w:rsidRPr="00224AA7" w:rsidRDefault="00BE3560" w:rsidP="00BE35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224AA7">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224AA7">
        <w:rPr>
          <w:rStyle w:val="FootnoteReference"/>
          <w:rFonts w:ascii="Cambria" w:hAnsi="Cambria"/>
          <w:sz w:val="20"/>
          <w:szCs w:val="20"/>
        </w:rPr>
        <w:footnoteReference w:id="110"/>
      </w:r>
    </w:p>
    <w:p w14:paraId="129BC294" w14:textId="77777777" w:rsidR="00BE3560" w:rsidRPr="00224AA7" w:rsidRDefault="00BE3560" w:rsidP="00BE356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cs="Times New Roman"/>
          <w:color w:val="auto"/>
          <w:sz w:val="20"/>
          <w:szCs w:val="20"/>
          <w:lang w:eastAsia="en-US"/>
        </w:rPr>
      </w:pPr>
    </w:p>
    <w:p w14:paraId="7C845625" w14:textId="77777777" w:rsidR="00BE3560" w:rsidRPr="00224AA7" w:rsidRDefault="00BE3560" w:rsidP="00BE35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224AA7">
        <w:rPr>
          <w:rFonts w:ascii="Cambria" w:hAnsi="Cambria"/>
          <w:sz w:val="20"/>
          <w:szCs w:val="20"/>
        </w:rPr>
        <w:t xml:space="preserve">Throughout this report, the Commission established that Mr. </w:t>
      </w:r>
      <w:r w:rsidR="009111FF" w:rsidRPr="00224AA7">
        <w:rPr>
          <w:rFonts w:ascii="Cambria" w:hAnsi="Cambria"/>
          <w:sz w:val="20"/>
          <w:szCs w:val="20"/>
        </w:rPr>
        <w:t>Rogovich</w:t>
      </w:r>
      <w:r w:rsidR="006146AC" w:rsidRPr="00224AA7">
        <w:rPr>
          <w:rFonts w:ascii="Cambria" w:hAnsi="Cambria"/>
          <w:sz w:val="20"/>
          <w:szCs w:val="20"/>
        </w:rPr>
        <w:t xml:space="preserve">, </w:t>
      </w:r>
      <w:r w:rsidR="006146AC" w:rsidRPr="00224AA7">
        <w:rPr>
          <w:rFonts w:ascii="Cambria" w:hAnsi="Cambria"/>
          <w:i/>
          <w:sz w:val="20"/>
          <w:szCs w:val="20"/>
        </w:rPr>
        <w:t>inter alia</w:t>
      </w:r>
      <w:r w:rsidR="006146AC" w:rsidRPr="00224AA7">
        <w:rPr>
          <w:rFonts w:ascii="Cambria" w:hAnsi="Cambria"/>
          <w:sz w:val="20"/>
          <w:szCs w:val="20"/>
        </w:rPr>
        <w:t xml:space="preserve">, </w:t>
      </w:r>
      <w:r w:rsidR="00B05B2D">
        <w:rPr>
          <w:rFonts w:ascii="Cambria" w:hAnsi="Cambria"/>
          <w:sz w:val="20"/>
          <w:szCs w:val="20"/>
        </w:rPr>
        <w:t xml:space="preserve">was </w:t>
      </w:r>
      <w:r w:rsidR="006146AC" w:rsidRPr="00224AA7">
        <w:rPr>
          <w:rFonts w:ascii="Cambria" w:hAnsi="Cambria"/>
          <w:sz w:val="20"/>
          <w:szCs w:val="20"/>
        </w:rPr>
        <w:t xml:space="preserve">not afforded with adequate legal representation on direct appeal, did not get a thorough review of his conviction, </w:t>
      </w:r>
      <w:r w:rsidR="00B05B2D">
        <w:rPr>
          <w:rFonts w:ascii="Cambria" w:hAnsi="Cambria"/>
          <w:sz w:val="20"/>
          <w:szCs w:val="20"/>
        </w:rPr>
        <w:t>was disadvantaged by</w:t>
      </w:r>
      <w:r w:rsidR="006146AC" w:rsidRPr="00224AA7">
        <w:rPr>
          <w:rFonts w:ascii="Cambria" w:hAnsi="Cambria"/>
          <w:sz w:val="20"/>
          <w:szCs w:val="20"/>
        </w:rPr>
        <w:t xml:space="preserve"> doubts as to his competence to stand trial</w:t>
      </w:r>
      <w:r w:rsidR="00B05B2D">
        <w:rPr>
          <w:rFonts w:ascii="Cambria" w:hAnsi="Cambria"/>
          <w:sz w:val="20"/>
          <w:szCs w:val="20"/>
        </w:rPr>
        <w:t>;</w:t>
      </w:r>
      <w:r w:rsidRPr="00224AA7">
        <w:rPr>
          <w:rFonts w:ascii="Cambria" w:hAnsi="Cambria"/>
          <w:sz w:val="20"/>
          <w:szCs w:val="20"/>
        </w:rPr>
        <w:t xml:space="preserve"> and </w:t>
      </w:r>
      <w:r w:rsidR="00B05B2D">
        <w:rPr>
          <w:rFonts w:ascii="Cambria" w:hAnsi="Cambria"/>
          <w:sz w:val="20"/>
          <w:szCs w:val="20"/>
        </w:rPr>
        <w:t xml:space="preserve">that </w:t>
      </w:r>
      <w:r w:rsidRPr="00224AA7">
        <w:rPr>
          <w:rFonts w:ascii="Cambria" w:hAnsi="Cambria"/>
          <w:sz w:val="20"/>
          <w:szCs w:val="20"/>
        </w:rPr>
        <w:t xml:space="preserve">the </w:t>
      </w:r>
      <w:r w:rsidR="00200D2E" w:rsidRPr="00224AA7">
        <w:rPr>
          <w:rFonts w:ascii="Cambria" w:hAnsi="Cambria"/>
          <w:sz w:val="20"/>
          <w:szCs w:val="20"/>
        </w:rPr>
        <w:t>27</w:t>
      </w:r>
      <w:r w:rsidRPr="00224AA7">
        <w:rPr>
          <w:rFonts w:ascii="Cambria" w:hAnsi="Cambria"/>
          <w:sz w:val="20"/>
          <w:szCs w:val="20"/>
        </w:rPr>
        <w:t xml:space="preserve"> years that </w:t>
      </w:r>
      <w:r w:rsidR="00B05B2D" w:rsidRPr="00224AA7">
        <w:rPr>
          <w:rFonts w:ascii="Cambria" w:hAnsi="Cambria"/>
          <w:sz w:val="20"/>
          <w:szCs w:val="20"/>
        </w:rPr>
        <w:t>Mr. Rogovich</w:t>
      </w:r>
      <w:r w:rsidRPr="00224AA7">
        <w:rPr>
          <w:rFonts w:ascii="Cambria" w:hAnsi="Cambria"/>
          <w:sz w:val="20"/>
          <w:szCs w:val="20"/>
        </w:rPr>
        <w:t xml:space="preserve"> has been on death row constitute cruel and inhumane treatment.</w:t>
      </w:r>
    </w:p>
    <w:p w14:paraId="7BE9B3FC" w14:textId="77777777" w:rsidR="00BE3560" w:rsidRPr="00224AA7" w:rsidRDefault="00BE3560" w:rsidP="00BE3560">
      <w:pPr>
        <w:pStyle w:val="ListParagraph"/>
        <w:rPr>
          <w:sz w:val="20"/>
          <w:szCs w:val="20"/>
        </w:rPr>
      </w:pPr>
    </w:p>
    <w:p w14:paraId="4FAAD623" w14:textId="77777777" w:rsidR="00BE3560" w:rsidRPr="00224AA7" w:rsidRDefault="00BE3560" w:rsidP="00BE35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224AA7">
        <w:rPr>
          <w:rFonts w:ascii="Cambria" w:hAnsi="Cambria"/>
          <w:sz w:val="20"/>
          <w:szCs w:val="20"/>
        </w:rPr>
        <w:t>Under these circumstances, the IACHR has maintained that executing a person</w:t>
      </w:r>
      <w:r w:rsidR="002D5D4E">
        <w:rPr>
          <w:rFonts w:ascii="Cambria" w:hAnsi="Cambria"/>
          <w:sz w:val="20"/>
          <w:szCs w:val="20"/>
        </w:rPr>
        <w:t>,</w:t>
      </w:r>
      <w:r w:rsidRPr="00224AA7">
        <w:rPr>
          <w:rFonts w:ascii="Cambria" w:hAnsi="Cambria"/>
          <w:sz w:val="20"/>
          <w:szCs w:val="20"/>
        </w:rPr>
        <w:t xml:space="preserve"> after proceedings that were conducted in violation of his rights</w:t>
      </w:r>
      <w:r w:rsidR="002D5D4E">
        <w:rPr>
          <w:rFonts w:ascii="Cambria" w:hAnsi="Cambria"/>
          <w:sz w:val="20"/>
          <w:szCs w:val="20"/>
        </w:rPr>
        <w:t>,</w:t>
      </w:r>
      <w:r w:rsidRPr="00224AA7">
        <w:rPr>
          <w:rFonts w:ascii="Cambria" w:hAnsi="Cambria"/>
          <w:sz w:val="20"/>
          <w:szCs w:val="20"/>
        </w:rPr>
        <w:t xml:space="preserve"> would be extremely grave and constitute a deliberate violation of the right to life established in Article I of the American Declaration.</w:t>
      </w:r>
      <w:r w:rsidRPr="00224AA7">
        <w:rPr>
          <w:rStyle w:val="FootnoteReference"/>
          <w:rFonts w:ascii="Cambria" w:hAnsi="Cambria"/>
          <w:sz w:val="20"/>
          <w:szCs w:val="20"/>
        </w:rPr>
        <w:footnoteReference w:id="111"/>
      </w:r>
      <w:r w:rsidRPr="00224AA7">
        <w:rPr>
          <w:rFonts w:ascii="Cambria" w:hAnsi="Cambria"/>
          <w:sz w:val="20"/>
          <w:szCs w:val="20"/>
        </w:rPr>
        <w:t xml:space="preserve"> Further, based on the conclusions regarding the deprivation of liberty on death row, the eventual execution of Mr. </w:t>
      </w:r>
      <w:r w:rsidR="005713C7" w:rsidRPr="00224AA7">
        <w:rPr>
          <w:rFonts w:ascii="Cambria" w:hAnsi="Cambria"/>
          <w:sz w:val="20"/>
          <w:szCs w:val="20"/>
        </w:rPr>
        <w:t>Rogovich</w:t>
      </w:r>
      <w:r w:rsidRPr="00224AA7">
        <w:rPr>
          <w:rFonts w:ascii="Cambria" w:hAnsi="Cambria"/>
          <w:sz w:val="20"/>
          <w:szCs w:val="20"/>
        </w:rPr>
        <w:t xml:space="preserve"> would constitute, by any account, a violation of the right to protection against cruel, infamous or unusual punishment. In light of the foregoing and taking into account the determinations made throughout this report, the IACHR concludes that the execution of Mr. </w:t>
      </w:r>
      <w:r w:rsidR="005713C7" w:rsidRPr="00224AA7">
        <w:rPr>
          <w:rFonts w:ascii="Cambria" w:hAnsi="Cambria"/>
          <w:sz w:val="20"/>
          <w:szCs w:val="20"/>
        </w:rPr>
        <w:t>Rogovich</w:t>
      </w:r>
      <w:r w:rsidRPr="00224AA7">
        <w:rPr>
          <w:rFonts w:ascii="Cambria" w:hAnsi="Cambria"/>
          <w:sz w:val="20"/>
          <w:szCs w:val="20"/>
        </w:rPr>
        <w:t xml:space="preserve"> would constitute a serious violation of his right to life established in Articles I of the American Declaration.</w:t>
      </w:r>
    </w:p>
    <w:p w14:paraId="147A44ED" w14:textId="77777777" w:rsidR="00C712F7" w:rsidRDefault="00C712F7" w:rsidP="00C712F7">
      <w:pPr>
        <w:pStyle w:val="ListParagraph"/>
        <w:rPr>
          <w:rFonts w:asciiTheme="majorHAnsi" w:hAnsiTheme="majorHAnsi"/>
          <w:sz w:val="20"/>
          <w:szCs w:val="20"/>
        </w:rPr>
      </w:pPr>
    </w:p>
    <w:p w14:paraId="31B2EF8C" w14:textId="3AEB9F21" w:rsidR="00C712F7" w:rsidRPr="00B6341F" w:rsidRDefault="00C712F7" w:rsidP="00C712F7">
      <w:pPr>
        <w:pStyle w:val="Heading1"/>
        <w:tabs>
          <w:tab w:val="left" w:pos="360"/>
        </w:tabs>
        <w:spacing w:before="0"/>
        <w:ind w:hanging="720"/>
        <w:rPr>
          <w:color w:val="auto"/>
          <w:sz w:val="20"/>
          <w:szCs w:val="20"/>
        </w:rPr>
      </w:pPr>
      <w:bookmarkStart w:id="33" w:name="_Toc45105400"/>
      <w:bookmarkStart w:id="34" w:name="_Toc47714178"/>
      <w:bookmarkStart w:id="35" w:name="_Toc87432711"/>
      <w:bookmarkStart w:id="36" w:name="_Toc87518249"/>
      <w:bookmarkStart w:id="37" w:name="_Toc90283314"/>
      <w:r w:rsidRPr="00B6341F">
        <w:rPr>
          <w:color w:val="auto"/>
          <w:sz w:val="20"/>
          <w:szCs w:val="20"/>
        </w:rPr>
        <w:t>REPORT No. 154/19 AND INFORMATION ABOUT COMPLIANCE</w:t>
      </w:r>
      <w:bookmarkEnd w:id="33"/>
      <w:bookmarkEnd w:id="34"/>
      <w:bookmarkEnd w:id="35"/>
      <w:bookmarkEnd w:id="36"/>
      <w:bookmarkEnd w:id="37"/>
    </w:p>
    <w:p w14:paraId="389C9138" w14:textId="77777777" w:rsidR="00C712F7" w:rsidRPr="00B6341F" w:rsidRDefault="00C712F7" w:rsidP="00C712F7">
      <w:pPr>
        <w:rPr>
          <w:rFonts w:asciiTheme="majorHAnsi" w:hAnsiTheme="majorHAnsi"/>
          <w:sz w:val="20"/>
          <w:szCs w:val="20"/>
        </w:rPr>
      </w:pPr>
    </w:p>
    <w:p w14:paraId="697BF67F" w14:textId="695477D7" w:rsidR="00C712F7" w:rsidRPr="00B6341F" w:rsidRDefault="00C712F7" w:rsidP="00C712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B6341F">
        <w:rPr>
          <w:rFonts w:asciiTheme="majorHAnsi" w:hAnsiTheme="majorHAnsi"/>
          <w:sz w:val="20"/>
          <w:szCs w:val="20"/>
        </w:rPr>
        <w:t xml:space="preserve">On September 28, 2019, the Commission approved Report No. 154/19 on the </w:t>
      </w:r>
      <w:r w:rsidR="0092035E" w:rsidRPr="00B6341F">
        <w:rPr>
          <w:rFonts w:asciiTheme="majorHAnsi" w:hAnsiTheme="majorHAnsi"/>
          <w:sz w:val="20"/>
          <w:szCs w:val="20"/>
        </w:rPr>
        <w:t xml:space="preserve">admissibility and </w:t>
      </w:r>
      <w:r w:rsidRPr="00B6341F">
        <w:rPr>
          <w:rFonts w:asciiTheme="majorHAnsi" w:hAnsiTheme="majorHAnsi"/>
          <w:sz w:val="20"/>
          <w:szCs w:val="20"/>
        </w:rPr>
        <w:t xml:space="preserve">merits of the instant case, which encompasses paragraphs 1 to 99 supra, and issued the following recommendations to the State: </w:t>
      </w:r>
    </w:p>
    <w:p w14:paraId="67E5E5D6" w14:textId="13EDE3B2" w:rsidR="002237F3" w:rsidRDefault="002237F3" w:rsidP="00867DA3">
      <w:pPr>
        <w:rPr>
          <w:rFonts w:asciiTheme="majorHAnsi" w:hAnsiTheme="majorHAnsi"/>
          <w:sz w:val="20"/>
          <w:szCs w:val="20"/>
        </w:rPr>
      </w:pPr>
    </w:p>
    <w:p w14:paraId="75180513"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rFonts w:eastAsia="Times New Roman" w:cs="Tahoma"/>
          <w:sz w:val="20"/>
          <w:szCs w:val="20"/>
          <w:bdr w:val="none" w:sz="0" w:space="0" w:color="auto" w:frame="1"/>
        </w:rPr>
        <w:t xml:space="preserve">Grant </w:t>
      </w:r>
      <w:r w:rsidRPr="00224AA7">
        <w:rPr>
          <w:rFonts w:asciiTheme="majorHAnsi" w:hAnsiTheme="majorHAnsi"/>
          <w:color w:val="000000" w:themeColor="text1"/>
          <w:sz w:val="20"/>
          <w:szCs w:val="20"/>
        </w:rPr>
        <w:t xml:space="preserve">Pete Carl </w:t>
      </w:r>
      <w:proofErr w:type="spellStart"/>
      <w:r w:rsidRPr="00224AA7">
        <w:rPr>
          <w:rFonts w:asciiTheme="majorHAnsi" w:hAnsiTheme="majorHAnsi"/>
          <w:color w:val="000000" w:themeColor="text1"/>
          <w:sz w:val="20"/>
          <w:szCs w:val="20"/>
        </w:rPr>
        <w:t>Rogovich</w:t>
      </w:r>
      <w:proofErr w:type="spellEnd"/>
      <w:r w:rsidRPr="00224AA7">
        <w:rPr>
          <w:rFonts w:eastAsia="Times New Roman" w:cs="Tahoma"/>
          <w:sz w:val="20"/>
          <w:szCs w:val="20"/>
          <w:bdr w:val="none" w:sz="0" w:space="0" w:color="auto" w:frame="1"/>
        </w:rPr>
        <w:t xml:space="preserve"> effective relief, including the review of his trial and sentence in accordance with the guarantees of fair trial and due process set forth in Articles </w:t>
      </w:r>
      <w:r w:rsidRPr="00224AA7">
        <w:rPr>
          <w:rFonts w:asciiTheme="majorHAnsi" w:hAnsiTheme="majorHAnsi"/>
          <w:color w:val="000000" w:themeColor="text1"/>
          <w:sz w:val="20"/>
          <w:szCs w:val="20"/>
        </w:rPr>
        <w:t xml:space="preserve">XVIII, XXV and XXVI </w:t>
      </w:r>
      <w:r w:rsidRPr="00224AA7">
        <w:rPr>
          <w:rFonts w:eastAsia="Times New Roman" w:cs="Tahoma"/>
          <w:sz w:val="20"/>
          <w:szCs w:val="20"/>
          <w:bdr w:val="none" w:sz="0" w:space="0" w:color="auto" w:frame="1"/>
        </w:rPr>
        <w:t xml:space="preserve">of the American Declaration, and the payment of pecuniary compensation. </w:t>
      </w:r>
      <w:r w:rsidRPr="00224AA7">
        <w:rPr>
          <w:rFonts w:cs="Arial"/>
          <w:color w:val="auto"/>
          <w:sz w:val="20"/>
          <w:szCs w:val="20"/>
        </w:rPr>
        <w:t xml:space="preserve">Taking into account the conclusions of the IACHR on the time </w:t>
      </w:r>
      <w:r w:rsidRPr="00224AA7">
        <w:rPr>
          <w:rFonts w:asciiTheme="majorHAnsi" w:hAnsiTheme="majorHAnsi"/>
          <w:color w:val="000000" w:themeColor="text1"/>
          <w:sz w:val="20"/>
          <w:szCs w:val="20"/>
        </w:rPr>
        <w:t xml:space="preserve">Pete Carl </w:t>
      </w:r>
      <w:proofErr w:type="spellStart"/>
      <w:r w:rsidRPr="00224AA7">
        <w:rPr>
          <w:rFonts w:asciiTheme="majorHAnsi" w:hAnsiTheme="majorHAnsi"/>
          <w:color w:val="000000" w:themeColor="text1"/>
          <w:sz w:val="20"/>
          <w:szCs w:val="20"/>
        </w:rPr>
        <w:t>Rogovich</w:t>
      </w:r>
      <w:proofErr w:type="spellEnd"/>
      <w:r w:rsidRPr="00224AA7">
        <w:rPr>
          <w:rFonts w:eastAsia="Times New Roman" w:cs="Tahoma"/>
          <w:sz w:val="20"/>
          <w:szCs w:val="20"/>
          <w:bdr w:val="none" w:sz="0" w:space="0" w:color="auto" w:frame="1"/>
        </w:rPr>
        <w:t xml:space="preserve"> </w:t>
      </w:r>
      <w:r w:rsidRPr="00224AA7">
        <w:rPr>
          <w:rFonts w:cs="Arial"/>
          <w:color w:val="auto"/>
          <w:sz w:val="20"/>
          <w:szCs w:val="20"/>
        </w:rPr>
        <w:t>has been held on death row, the Commission recommends that his sentence be commuted</w:t>
      </w:r>
      <w:r w:rsidRPr="00224AA7">
        <w:rPr>
          <w:rFonts w:eastAsia="Times New Roman" w:cs="Tahoma"/>
          <w:sz w:val="20"/>
          <w:szCs w:val="20"/>
          <w:bdr w:val="none" w:sz="0" w:space="0" w:color="auto" w:frame="1"/>
        </w:rPr>
        <w:t>.</w:t>
      </w:r>
    </w:p>
    <w:p w14:paraId="3587956D" w14:textId="77777777" w:rsidR="00C712F7" w:rsidRPr="00224AA7" w:rsidRDefault="00C712F7" w:rsidP="00C712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2D7C4340"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sz w:val="20"/>
        </w:rPr>
        <w:t xml:space="preserve">Review its laws, procedures, and </w:t>
      </w:r>
      <w:r w:rsidRPr="002D52FA">
        <w:rPr>
          <w:sz w:val="20"/>
        </w:rPr>
        <w:t>practices at the state, and if applicable, at the federal level to ensure that persons accused of capital crimes are tried and, if convicted, sentenced in accordance with the rights</w:t>
      </w:r>
      <w:r w:rsidRPr="00224AA7">
        <w:rPr>
          <w:sz w:val="20"/>
        </w:rPr>
        <w:t xml:space="preserve"> established in the American Declaration, including Articles I, XVIII, XXV and XXVI thereof, and, in particular,</w:t>
      </w:r>
      <w:r w:rsidRPr="00224AA7">
        <w:rPr>
          <w:rFonts w:eastAsia="Times New Roman"/>
          <w:sz w:val="20"/>
          <w:szCs w:val="20"/>
          <w:bdr w:val="none" w:sz="0" w:space="0" w:color="auto" w:frame="1"/>
        </w:rPr>
        <w:t xml:space="preserve"> that </w:t>
      </w:r>
      <w:r w:rsidRPr="00224AA7">
        <w:rPr>
          <w:rFonts w:eastAsia="Times New Roman"/>
          <w:sz w:val="20"/>
          <w:szCs w:val="20"/>
          <w:bdr w:val="none" w:sz="0" w:space="0" w:color="auto"/>
        </w:rPr>
        <w:t>no one with a mental disability at the time of the commission of the crime or execution of the death sentence receives the death penalty or is executed</w:t>
      </w:r>
      <w:r w:rsidRPr="00224AA7">
        <w:rPr>
          <w:sz w:val="20"/>
        </w:rPr>
        <w:t>.</w:t>
      </w:r>
      <w:r w:rsidRPr="00224AA7">
        <w:rPr>
          <w:rFonts w:eastAsia="Times New Roman" w:cs="Tahoma"/>
          <w:sz w:val="20"/>
          <w:szCs w:val="20"/>
          <w:bdr w:val="none" w:sz="0" w:space="0" w:color="auto"/>
        </w:rPr>
        <w:t xml:space="preserve"> </w:t>
      </w:r>
    </w:p>
    <w:p w14:paraId="132CC120" w14:textId="77777777" w:rsidR="00C712F7" w:rsidRPr="00224AA7" w:rsidRDefault="00C712F7" w:rsidP="00C712F7">
      <w:pPr>
        <w:pStyle w:val="ListParagraph"/>
        <w:rPr>
          <w:sz w:val="20"/>
          <w:szCs w:val="20"/>
          <w:bdr w:val="none" w:sz="0" w:space="0" w:color="auto" w:frame="1"/>
        </w:rPr>
      </w:pPr>
    </w:p>
    <w:p w14:paraId="36F9980E"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sz w:val="20"/>
          <w:szCs w:val="20"/>
          <w:bdr w:val="none" w:sz="0" w:space="0" w:color="auto" w:frame="1"/>
        </w:rPr>
        <w:t xml:space="preserve">Ensure that court-appointed appellate counsel provides adequate legal representation in death penalty cases. </w:t>
      </w:r>
    </w:p>
    <w:p w14:paraId="204B2A1A" w14:textId="77777777" w:rsidR="00C712F7" w:rsidRPr="00224AA7" w:rsidRDefault="00C712F7" w:rsidP="00C712F7">
      <w:pPr>
        <w:pStyle w:val="ListParagraph"/>
        <w:rPr>
          <w:rFonts w:eastAsia="Times New Roman" w:cs="Tahoma"/>
          <w:sz w:val="20"/>
          <w:szCs w:val="20"/>
          <w:bdr w:val="none" w:sz="0" w:space="0" w:color="auto" w:frame="1"/>
        </w:rPr>
      </w:pPr>
    </w:p>
    <w:p w14:paraId="7E9AF930"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rFonts w:eastAsia="Times New Roman" w:cs="Tahoma"/>
          <w:sz w:val="20"/>
          <w:szCs w:val="20"/>
          <w:bdr w:val="none" w:sz="0" w:space="0" w:color="auto" w:frame="1"/>
        </w:rPr>
        <w:t>Ensure that conditions on death row are compatible with international human rights standards and that solitary confinement is only used in exceptional circumstances, for the shortest period possible.</w:t>
      </w:r>
    </w:p>
    <w:p w14:paraId="1A56AD29" w14:textId="77777777" w:rsidR="00C712F7" w:rsidRPr="00224AA7" w:rsidRDefault="00C712F7" w:rsidP="00C712F7">
      <w:pPr>
        <w:pStyle w:val="ListParagraph"/>
        <w:rPr>
          <w:rFonts w:eastAsia="Times New Roman" w:cs="Tahoma"/>
          <w:sz w:val="20"/>
          <w:szCs w:val="20"/>
          <w:bdr w:val="none" w:sz="0" w:space="0" w:color="auto"/>
        </w:rPr>
      </w:pPr>
    </w:p>
    <w:p w14:paraId="0A3DC827"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rFonts w:eastAsia="Times New Roman" w:cs="Tahoma"/>
          <w:sz w:val="20"/>
          <w:szCs w:val="20"/>
          <w:bdr w:val="none" w:sz="0" w:space="0" w:color="auto"/>
        </w:rPr>
        <w:t>Review its laws, procedures, and practices to ensure that the persons sentenced to the death penalty have access to effective judicial remedies to challenge the possible impact of the method of execution on their fundamental rights in accordance with the standards set forth in this merits report.</w:t>
      </w:r>
    </w:p>
    <w:p w14:paraId="7F3433DD" w14:textId="77777777" w:rsidR="00C712F7" w:rsidRPr="00224AA7" w:rsidRDefault="00C712F7" w:rsidP="00C712F7">
      <w:pPr>
        <w:pStyle w:val="ListParagraph"/>
        <w:tabs>
          <w:tab w:val="left" w:pos="360"/>
        </w:tabs>
        <w:ind w:left="360" w:hanging="360"/>
        <w:jc w:val="both"/>
        <w:rPr>
          <w:rFonts w:eastAsia="Times New Roman" w:cs="Tahoma"/>
          <w:sz w:val="20"/>
          <w:szCs w:val="20"/>
          <w:bdr w:val="none" w:sz="0" w:space="0" w:color="auto" w:frame="1"/>
        </w:rPr>
      </w:pPr>
    </w:p>
    <w:p w14:paraId="10B6B23A" w14:textId="77777777" w:rsidR="00C712F7" w:rsidRPr="00224AA7" w:rsidRDefault="00C712F7" w:rsidP="00C712F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224AA7">
        <w:rPr>
          <w:rFonts w:asciiTheme="majorHAnsi" w:hAnsiTheme="majorHAnsi"/>
          <w:sz w:val="20"/>
        </w:rPr>
        <w:lastRenderedPageBreak/>
        <w:t>Given the violations of the American Declaration the IACHR has established in the present</w:t>
      </w:r>
      <w:r w:rsidRPr="00224AA7">
        <w:rPr>
          <w:sz w:val="20"/>
        </w:rPr>
        <w:t xml:space="preserve"> case and in others involving application of the death penalty, the Inter-American Commission also recommends to the United States that it adopt a moratorium on executions of persons sentenced to death.</w:t>
      </w:r>
      <w:r w:rsidRPr="00224AA7">
        <w:rPr>
          <w:rStyle w:val="FootnoteReference"/>
          <w:sz w:val="20"/>
        </w:rPr>
        <w:footnoteReference w:id="112"/>
      </w:r>
    </w:p>
    <w:p w14:paraId="2844DE7C" w14:textId="3C02CB67" w:rsidR="00C712F7" w:rsidRDefault="00C712F7" w:rsidP="00867DA3">
      <w:pPr>
        <w:rPr>
          <w:rFonts w:asciiTheme="majorHAnsi" w:hAnsiTheme="majorHAnsi"/>
          <w:sz w:val="20"/>
          <w:szCs w:val="20"/>
        </w:rPr>
      </w:pPr>
    </w:p>
    <w:p w14:paraId="4A7D1B10" w14:textId="2FD5D25C" w:rsidR="00C712F7" w:rsidRPr="00B6341F" w:rsidRDefault="00C712F7" w:rsidP="00C712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sz w:val="20"/>
          <w:szCs w:val="20"/>
        </w:rPr>
      </w:pPr>
      <w:r w:rsidRPr="00B6341F">
        <w:rPr>
          <w:sz w:val="20"/>
          <w:szCs w:val="20"/>
        </w:rPr>
        <w:t xml:space="preserve">On </w:t>
      </w:r>
      <w:r w:rsidRPr="00B6341F">
        <w:rPr>
          <w:rFonts w:ascii="Cambria" w:eastAsia="Cambria" w:hAnsi="Cambria" w:cs="Cambria"/>
          <w:color w:val="000000"/>
          <w:sz w:val="20"/>
          <w:szCs w:val="20"/>
          <w:u w:color="000000"/>
          <w:lang w:eastAsia="es-ES"/>
        </w:rPr>
        <w:t>December</w:t>
      </w:r>
      <w:r w:rsidRPr="00B6341F">
        <w:rPr>
          <w:sz w:val="20"/>
          <w:szCs w:val="20"/>
        </w:rPr>
        <w:t xml:space="preserve"> 2, 2020 the IACHR transmitted the report to the State with a time period of two months to inform the Commission on the measures taken to comply with its recommendations. To date, the Commission has not received any response from the United States regarding report No. 154/19.</w:t>
      </w:r>
    </w:p>
    <w:p w14:paraId="49342D13" w14:textId="77777777" w:rsidR="00445CCB" w:rsidRPr="00B645F5" w:rsidRDefault="00445CCB" w:rsidP="00445CC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71B1FE2D" w14:textId="64066C59" w:rsidR="00445CCB" w:rsidRPr="00DB475B" w:rsidRDefault="00445CCB" w:rsidP="00445CCB">
      <w:pPr>
        <w:pStyle w:val="Heading1"/>
        <w:spacing w:before="0"/>
        <w:ind w:hanging="720"/>
        <w:rPr>
          <w:color w:val="auto"/>
          <w:sz w:val="20"/>
          <w:szCs w:val="20"/>
        </w:rPr>
      </w:pPr>
      <w:bookmarkStart w:id="38" w:name="_Toc26550943"/>
      <w:bookmarkStart w:id="39" w:name="_Toc87522016"/>
      <w:bookmarkStart w:id="40" w:name="_Toc90115136"/>
      <w:bookmarkStart w:id="41" w:name="_Toc90283315"/>
      <w:r w:rsidRPr="00DB475B">
        <w:rPr>
          <w:color w:val="auto"/>
          <w:sz w:val="20"/>
          <w:szCs w:val="20"/>
        </w:rPr>
        <w:t>ACTIONS SUBSEQUENT TO REPORT No. 329/</w:t>
      </w:r>
      <w:bookmarkEnd w:id="38"/>
      <w:r w:rsidRPr="00DB475B">
        <w:rPr>
          <w:color w:val="auto"/>
          <w:sz w:val="20"/>
          <w:szCs w:val="20"/>
        </w:rPr>
        <w:t>2</w:t>
      </w:r>
      <w:bookmarkEnd w:id="39"/>
      <w:r w:rsidRPr="00DB475B">
        <w:rPr>
          <w:color w:val="auto"/>
          <w:sz w:val="20"/>
          <w:szCs w:val="20"/>
        </w:rPr>
        <w:t>1</w:t>
      </w:r>
      <w:bookmarkEnd w:id="40"/>
      <w:bookmarkEnd w:id="41"/>
    </w:p>
    <w:p w14:paraId="5471011A" w14:textId="77777777" w:rsidR="00445CCB" w:rsidRPr="00DB475B" w:rsidRDefault="00445CCB" w:rsidP="00445CCB">
      <w:pPr>
        <w:rPr>
          <w:sz w:val="20"/>
          <w:szCs w:val="20"/>
        </w:rPr>
      </w:pPr>
    </w:p>
    <w:p w14:paraId="0E442CEC" w14:textId="6F0E8AC8" w:rsidR="00445CCB" w:rsidRPr="00DB475B" w:rsidRDefault="00445CCB" w:rsidP="00445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DB475B">
        <w:rPr>
          <w:sz w:val="20"/>
          <w:szCs w:val="20"/>
        </w:rPr>
        <w:t>On</w:t>
      </w:r>
      <w:r w:rsidRPr="00DB475B">
        <w:rPr>
          <w:rFonts w:ascii="Cambria" w:hAnsi="Cambria"/>
          <w:sz w:val="20"/>
          <w:szCs w:val="20"/>
        </w:rPr>
        <w:t xml:space="preserve"> November 19, 2021, the Commission approved Final Merits Report No. 329/21, which encompasses paragraphs 1 to 101 </w:t>
      </w:r>
      <w:r w:rsidRPr="00DB475B">
        <w:rPr>
          <w:rFonts w:ascii="Cambria" w:hAnsi="Cambria"/>
          <w:i/>
          <w:sz w:val="20"/>
          <w:szCs w:val="20"/>
        </w:rPr>
        <w:t>supra</w:t>
      </w:r>
      <w:r w:rsidRPr="00DB475B">
        <w:rPr>
          <w:rFonts w:ascii="Cambria" w:hAnsi="Cambria"/>
          <w:sz w:val="20"/>
          <w:szCs w:val="20"/>
        </w:rPr>
        <w:t>, and issued its final conclusions and recommendations to the State. On November 29,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329/21.</w:t>
      </w:r>
    </w:p>
    <w:p w14:paraId="566DB135" w14:textId="77777777" w:rsidR="00445CCB" w:rsidRPr="00B6341F" w:rsidRDefault="00445CCB" w:rsidP="00867DA3">
      <w:pPr>
        <w:rPr>
          <w:rFonts w:asciiTheme="majorHAnsi" w:hAnsiTheme="majorHAnsi"/>
          <w:sz w:val="20"/>
          <w:szCs w:val="20"/>
        </w:rPr>
      </w:pPr>
    </w:p>
    <w:p w14:paraId="79AF3CDF" w14:textId="79765806" w:rsidR="00C55560" w:rsidRPr="00B6341F" w:rsidRDefault="00C712F7" w:rsidP="00224AA7">
      <w:pPr>
        <w:pStyle w:val="Heading1"/>
        <w:tabs>
          <w:tab w:val="left" w:pos="360"/>
        </w:tabs>
        <w:spacing w:before="0"/>
        <w:ind w:hanging="720"/>
        <w:rPr>
          <w:color w:val="auto"/>
          <w:sz w:val="20"/>
          <w:szCs w:val="20"/>
        </w:rPr>
      </w:pPr>
      <w:bookmarkStart w:id="42" w:name="_Toc90283316"/>
      <w:r w:rsidRPr="00B6341F">
        <w:rPr>
          <w:color w:val="auto"/>
          <w:sz w:val="20"/>
          <w:szCs w:val="20"/>
        </w:rPr>
        <w:t xml:space="preserve">FINAL </w:t>
      </w:r>
      <w:r w:rsidR="00677DA7" w:rsidRPr="00B6341F">
        <w:rPr>
          <w:color w:val="auto"/>
          <w:sz w:val="20"/>
          <w:szCs w:val="20"/>
        </w:rPr>
        <w:t>CONCLUSIONS AND RECOMMENDATIONS</w:t>
      </w:r>
      <w:bookmarkEnd w:id="42"/>
    </w:p>
    <w:p w14:paraId="52BF3A0F" w14:textId="77777777" w:rsidR="00BC5766" w:rsidRPr="00B6341F" w:rsidRDefault="00BC5766" w:rsidP="00BC5766"/>
    <w:p w14:paraId="0D2345D1" w14:textId="77777777" w:rsidR="00BC5766" w:rsidRPr="00B6341F" w:rsidRDefault="00BC5766" w:rsidP="00F118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rPr>
      </w:pPr>
      <w:r w:rsidRPr="00B6341F">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XI (preservation of health), XVIII (fair trial), XXV (protection from arbitrary detention), and XXVI (due process) of the American Declaration. </w:t>
      </w:r>
    </w:p>
    <w:p w14:paraId="4733CBD3" w14:textId="77777777" w:rsidR="00DE01CB" w:rsidRPr="00B6341F" w:rsidRDefault="00DE01CB" w:rsidP="00BC5766">
      <w:pPr>
        <w:tabs>
          <w:tab w:val="left" w:pos="360"/>
        </w:tabs>
        <w:jc w:val="both"/>
        <w:rPr>
          <w:rFonts w:ascii="Cambria" w:hAnsi="Cambria"/>
          <w:b/>
          <w:sz w:val="20"/>
          <w:szCs w:val="20"/>
        </w:rPr>
      </w:pPr>
    </w:p>
    <w:p w14:paraId="291F3CBD" w14:textId="53F1E6AE" w:rsidR="00BC5766" w:rsidRPr="00224AA7" w:rsidRDefault="00BC5766" w:rsidP="00BC5766">
      <w:pPr>
        <w:tabs>
          <w:tab w:val="left" w:pos="360"/>
        </w:tabs>
        <w:jc w:val="both"/>
        <w:rPr>
          <w:rFonts w:ascii="Cambria" w:hAnsi="Cambria"/>
          <w:b/>
          <w:sz w:val="20"/>
          <w:szCs w:val="20"/>
        </w:rPr>
      </w:pPr>
      <w:r w:rsidRPr="00B6341F">
        <w:rPr>
          <w:rFonts w:ascii="Cambria" w:hAnsi="Cambria"/>
          <w:b/>
          <w:sz w:val="20"/>
          <w:szCs w:val="20"/>
        </w:rPr>
        <w:t>THE INTER-AMERICAN COMMISSION ON HUMAN RIGHTS RE</w:t>
      </w:r>
      <w:r w:rsidR="00C712F7" w:rsidRPr="00B6341F">
        <w:rPr>
          <w:rFonts w:ascii="Cambria" w:hAnsi="Cambria"/>
          <w:b/>
          <w:sz w:val="20"/>
          <w:szCs w:val="20"/>
        </w:rPr>
        <w:t>ITERATES</w:t>
      </w:r>
      <w:r w:rsidR="00C712F7">
        <w:rPr>
          <w:rFonts w:ascii="Cambria" w:hAnsi="Cambria"/>
          <w:b/>
          <w:sz w:val="20"/>
          <w:szCs w:val="20"/>
        </w:rPr>
        <w:t xml:space="preserve"> </w:t>
      </w:r>
      <w:r w:rsidRPr="00224AA7">
        <w:rPr>
          <w:rFonts w:ascii="Cambria" w:hAnsi="Cambria"/>
          <w:b/>
          <w:sz w:val="20"/>
          <w:szCs w:val="20"/>
        </w:rPr>
        <w:t>THAT THE UNITED STATES OF AMERICA,</w:t>
      </w:r>
    </w:p>
    <w:p w14:paraId="2E69E565" w14:textId="77777777" w:rsidR="00AA3C9F" w:rsidRPr="00224AA7" w:rsidRDefault="00AA3C9F" w:rsidP="00AA3C9F"/>
    <w:p w14:paraId="2F921927" w14:textId="138B926E" w:rsidR="002237F3" w:rsidRPr="00224AA7" w:rsidRDefault="00AA3C9F"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224AA7">
        <w:rPr>
          <w:rFonts w:eastAsia="Times New Roman" w:cs="Tahoma"/>
          <w:sz w:val="20"/>
          <w:szCs w:val="20"/>
          <w:bdr w:val="none" w:sz="0" w:space="0" w:color="auto" w:frame="1"/>
        </w:rPr>
        <w:t xml:space="preserve">Grant </w:t>
      </w:r>
      <w:r w:rsidRPr="00224AA7">
        <w:rPr>
          <w:rFonts w:asciiTheme="majorHAnsi" w:hAnsiTheme="majorHAnsi"/>
          <w:color w:val="000000" w:themeColor="text1"/>
          <w:sz w:val="20"/>
          <w:szCs w:val="20"/>
        </w:rPr>
        <w:t>Pete Carl Rogovich</w:t>
      </w:r>
      <w:r w:rsidRPr="00224AA7">
        <w:rPr>
          <w:rFonts w:eastAsia="Times New Roman" w:cs="Tahoma"/>
          <w:sz w:val="20"/>
          <w:szCs w:val="20"/>
          <w:bdr w:val="none" w:sz="0" w:space="0" w:color="auto" w:frame="1"/>
        </w:rPr>
        <w:t xml:space="preserve"> effective relief, including the review of his trial and sentence in accordance with the guarantees of fair trial and due process set forth in Articles </w:t>
      </w:r>
      <w:r w:rsidRPr="00224AA7">
        <w:rPr>
          <w:rFonts w:asciiTheme="majorHAnsi" w:hAnsiTheme="majorHAnsi"/>
          <w:color w:val="000000" w:themeColor="text1"/>
          <w:sz w:val="20"/>
          <w:szCs w:val="20"/>
        </w:rPr>
        <w:t xml:space="preserve">XVIII, XXV and XXVI </w:t>
      </w:r>
      <w:r w:rsidRPr="00224AA7">
        <w:rPr>
          <w:rFonts w:eastAsia="Times New Roman" w:cs="Tahoma"/>
          <w:sz w:val="20"/>
          <w:szCs w:val="20"/>
          <w:bdr w:val="none" w:sz="0" w:space="0" w:color="auto" w:frame="1"/>
        </w:rPr>
        <w:t xml:space="preserve">of the American Declaration, and the payment of pecuniary compensation. </w:t>
      </w:r>
      <w:r w:rsidRPr="00224AA7">
        <w:rPr>
          <w:rFonts w:cs="Arial"/>
          <w:color w:val="auto"/>
          <w:sz w:val="20"/>
          <w:szCs w:val="20"/>
        </w:rPr>
        <w:t xml:space="preserve">Taking into account the conclusions of the IACHR on the time </w:t>
      </w:r>
      <w:r w:rsidRPr="00224AA7">
        <w:rPr>
          <w:rFonts w:asciiTheme="majorHAnsi" w:hAnsiTheme="majorHAnsi"/>
          <w:color w:val="000000" w:themeColor="text1"/>
          <w:sz w:val="20"/>
          <w:szCs w:val="20"/>
        </w:rPr>
        <w:t>Pete Carl Rogovich</w:t>
      </w:r>
      <w:r w:rsidRPr="00224AA7">
        <w:rPr>
          <w:rFonts w:eastAsia="Times New Roman" w:cs="Tahoma"/>
          <w:sz w:val="20"/>
          <w:szCs w:val="20"/>
          <w:bdr w:val="none" w:sz="0" w:space="0" w:color="auto" w:frame="1"/>
        </w:rPr>
        <w:t xml:space="preserve"> </w:t>
      </w:r>
      <w:r w:rsidRPr="00224AA7">
        <w:rPr>
          <w:rFonts w:cs="Arial"/>
          <w:color w:val="auto"/>
          <w:sz w:val="20"/>
          <w:szCs w:val="20"/>
        </w:rPr>
        <w:t>has been held on death row, the Commission recommends that his sentence be commuted</w:t>
      </w:r>
      <w:r w:rsidRPr="00224AA7">
        <w:rPr>
          <w:rFonts w:eastAsia="Times New Roman" w:cs="Tahoma"/>
          <w:sz w:val="20"/>
          <w:szCs w:val="20"/>
          <w:bdr w:val="none" w:sz="0" w:space="0" w:color="auto" w:frame="1"/>
        </w:rPr>
        <w:t>.</w:t>
      </w:r>
    </w:p>
    <w:p w14:paraId="12DBAF42" w14:textId="77777777" w:rsidR="002237F3" w:rsidRPr="00224AA7" w:rsidRDefault="002237F3" w:rsidP="002237F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10DF3266" w14:textId="77777777" w:rsidR="002237F3" w:rsidRPr="00224AA7" w:rsidRDefault="00AA3C9F"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E8183A">
        <w:rPr>
          <w:rFonts w:eastAsia="Times New Roman" w:cs="Tahoma"/>
          <w:sz w:val="20"/>
          <w:szCs w:val="20"/>
          <w:bdr w:val="none" w:sz="0" w:space="0" w:color="auto" w:frame="1"/>
        </w:rPr>
        <w:t>Review</w:t>
      </w:r>
      <w:r w:rsidRPr="00224AA7">
        <w:rPr>
          <w:sz w:val="20"/>
        </w:rPr>
        <w:t xml:space="preserve"> its laws, procedures, and </w:t>
      </w:r>
      <w:r w:rsidRPr="002D52FA">
        <w:rPr>
          <w:sz w:val="20"/>
        </w:rPr>
        <w:t xml:space="preserve">practices </w:t>
      </w:r>
      <w:r w:rsidR="00E67CBA" w:rsidRPr="002D52FA">
        <w:rPr>
          <w:sz w:val="20"/>
        </w:rPr>
        <w:t xml:space="preserve">at the state, and if applicable, at the federal level </w:t>
      </w:r>
      <w:r w:rsidRPr="002D52FA">
        <w:rPr>
          <w:sz w:val="20"/>
        </w:rPr>
        <w:t>to ensure that persons accused of capital crimes are tried and, if convicted, sentenced in accordance with the rights</w:t>
      </w:r>
      <w:r w:rsidRPr="00224AA7">
        <w:rPr>
          <w:sz w:val="20"/>
        </w:rPr>
        <w:t xml:space="preserve"> established in the American Declaration, including Articles I, XVIII, XXV and XXVI thereof</w:t>
      </w:r>
      <w:bookmarkStart w:id="43" w:name="_ftn34"/>
      <w:bookmarkEnd w:id="43"/>
      <w:r w:rsidRPr="00224AA7">
        <w:rPr>
          <w:sz w:val="20"/>
        </w:rPr>
        <w:t>, and, in particular,</w:t>
      </w:r>
      <w:r w:rsidRPr="00224AA7">
        <w:rPr>
          <w:rFonts w:eastAsia="Times New Roman"/>
          <w:sz w:val="20"/>
          <w:szCs w:val="20"/>
          <w:bdr w:val="none" w:sz="0" w:space="0" w:color="auto" w:frame="1"/>
        </w:rPr>
        <w:t xml:space="preserve"> that </w:t>
      </w:r>
      <w:r w:rsidR="00FA773D" w:rsidRPr="00224AA7">
        <w:rPr>
          <w:rFonts w:eastAsia="Times New Roman"/>
          <w:sz w:val="20"/>
          <w:szCs w:val="20"/>
          <w:bdr w:val="none" w:sz="0" w:space="0" w:color="auto"/>
        </w:rPr>
        <w:t>no one with a mental disability at the time of the commission of the crime or execution of the death sentence receives the death penalty or is executed</w:t>
      </w:r>
      <w:r w:rsidR="00FA773D" w:rsidRPr="00224AA7">
        <w:rPr>
          <w:sz w:val="20"/>
        </w:rPr>
        <w:t>.</w:t>
      </w:r>
      <w:r w:rsidR="00FA773D" w:rsidRPr="00224AA7">
        <w:rPr>
          <w:rFonts w:eastAsia="Times New Roman" w:cs="Tahoma"/>
          <w:sz w:val="20"/>
          <w:szCs w:val="20"/>
          <w:bdr w:val="none" w:sz="0" w:space="0" w:color="auto"/>
        </w:rPr>
        <w:t xml:space="preserve"> </w:t>
      </w:r>
    </w:p>
    <w:p w14:paraId="5D9D281A" w14:textId="77777777" w:rsidR="002237F3" w:rsidRPr="00224AA7" w:rsidRDefault="002237F3" w:rsidP="002237F3">
      <w:pPr>
        <w:pStyle w:val="ListParagraph"/>
        <w:rPr>
          <w:sz w:val="20"/>
          <w:szCs w:val="20"/>
          <w:bdr w:val="none" w:sz="0" w:space="0" w:color="auto" w:frame="1"/>
        </w:rPr>
      </w:pPr>
    </w:p>
    <w:p w14:paraId="71185E5C" w14:textId="77777777" w:rsidR="002237F3" w:rsidRPr="00224AA7" w:rsidRDefault="002237F3"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E8183A">
        <w:rPr>
          <w:rFonts w:eastAsia="Times New Roman" w:cs="Tahoma"/>
          <w:sz w:val="20"/>
          <w:szCs w:val="20"/>
          <w:bdr w:val="none" w:sz="0" w:space="0" w:color="auto" w:frame="1"/>
        </w:rPr>
        <w:t>Ensure</w:t>
      </w:r>
      <w:r w:rsidRPr="00224AA7">
        <w:rPr>
          <w:sz w:val="20"/>
          <w:szCs w:val="20"/>
          <w:bdr w:val="none" w:sz="0" w:space="0" w:color="auto" w:frame="1"/>
        </w:rPr>
        <w:t xml:space="preserve"> that court-appointed appellate counsel provides adequate legal representation in death penalty cases. </w:t>
      </w:r>
    </w:p>
    <w:p w14:paraId="4EE8E55C" w14:textId="77777777" w:rsidR="002237F3" w:rsidRPr="00224AA7" w:rsidRDefault="002237F3" w:rsidP="002237F3">
      <w:pPr>
        <w:pStyle w:val="ListParagraph"/>
        <w:rPr>
          <w:rFonts w:eastAsia="Times New Roman" w:cs="Tahoma"/>
          <w:sz w:val="20"/>
          <w:szCs w:val="20"/>
          <w:bdr w:val="none" w:sz="0" w:space="0" w:color="auto" w:frame="1"/>
        </w:rPr>
      </w:pPr>
    </w:p>
    <w:p w14:paraId="57B3D0AA" w14:textId="77777777" w:rsidR="002237F3" w:rsidRPr="00224AA7" w:rsidRDefault="002237F3"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224AA7">
        <w:rPr>
          <w:rFonts w:eastAsia="Times New Roman" w:cs="Tahoma"/>
          <w:sz w:val="20"/>
          <w:szCs w:val="20"/>
          <w:bdr w:val="none" w:sz="0" w:space="0" w:color="auto" w:frame="1"/>
        </w:rPr>
        <w:t>Ensure that conditions on death row are compatible with international human rights standards and that solitary confinement is only used in exceptional circumstances, for the shortest period possible.</w:t>
      </w:r>
    </w:p>
    <w:p w14:paraId="2858E639" w14:textId="77777777" w:rsidR="002237F3" w:rsidRPr="00224AA7" w:rsidRDefault="002237F3" w:rsidP="002237F3">
      <w:pPr>
        <w:pStyle w:val="ListParagraph"/>
        <w:rPr>
          <w:rFonts w:eastAsia="Times New Roman" w:cs="Tahoma"/>
          <w:sz w:val="20"/>
          <w:szCs w:val="20"/>
          <w:bdr w:val="none" w:sz="0" w:space="0" w:color="auto"/>
        </w:rPr>
      </w:pPr>
    </w:p>
    <w:p w14:paraId="7584D1B9" w14:textId="77777777" w:rsidR="00FA773D" w:rsidRPr="00224AA7" w:rsidRDefault="00FA773D"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224AA7">
        <w:rPr>
          <w:rFonts w:eastAsia="Times New Roman" w:cs="Tahoma"/>
          <w:sz w:val="20"/>
          <w:szCs w:val="20"/>
          <w:bdr w:val="none" w:sz="0" w:space="0" w:color="auto"/>
        </w:rPr>
        <w:t>Review its laws, procedures, and practices to ensure that the persons sentenced to the death penalty have access to effective judicial remedies to challenge the possible impact of the method of execution on their fundamental rights in accordance with the standards set forth in this merits report.</w:t>
      </w:r>
    </w:p>
    <w:p w14:paraId="036EAF2E" w14:textId="77777777" w:rsidR="00AA3C9F" w:rsidRPr="00224AA7" w:rsidRDefault="00AA3C9F" w:rsidP="00AA3C9F">
      <w:pPr>
        <w:pStyle w:val="ListParagraph"/>
        <w:tabs>
          <w:tab w:val="left" w:pos="360"/>
        </w:tabs>
        <w:ind w:left="360" w:hanging="360"/>
        <w:jc w:val="both"/>
        <w:rPr>
          <w:rFonts w:eastAsia="Times New Roman" w:cs="Tahoma"/>
          <w:sz w:val="20"/>
          <w:szCs w:val="20"/>
          <w:bdr w:val="none" w:sz="0" w:space="0" w:color="auto" w:frame="1"/>
        </w:rPr>
      </w:pPr>
    </w:p>
    <w:p w14:paraId="48432CAF" w14:textId="77777777" w:rsidR="00AA3C9F" w:rsidRPr="00224AA7" w:rsidRDefault="00AA3C9F" w:rsidP="00E8183A">
      <w:pPr>
        <w:pStyle w:val="ListParagraph"/>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270" w:hanging="270"/>
        <w:jc w:val="both"/>
        <w:rPr>
          <w:rFonts w:eastAsia="Times New Roman" w:cs="Tahoma"/>
          <w:sz w:val="20"/>
          <w:szCs w:val="20"/>
          <w:bdr w:val="none" w:sz="0" w:space="0" w:color="auto" w:frame="1"/>
        </w:rPr>
      </w:pPr>
      <w:r w:rsidRPr="00224AA7">
        <w:rPr>
          <w:rFonts w:asciiTheme="majorHAnsi" w:hAnsiTheme="majorHAnsi"/>
          <w:sz w:val="20"/>
        </w:rPr>
        <w:lastRenderedPageBreak/>
        <w:t>Given the violations of the American Declaration the IACHR has established in the present</w:t>
      </w:r>
      <w:r w:rsidRPr="00224AA7">
        <w:rPr>
          <w:sz w:val="20"/>
        </w:rPr>
        <w:t xml:space="preserve"> case and in others involving application of the death penalty, the Inter-American Commission also recommends to the United States that it adopt a moratorium on executions of persons sentenced to death.</w:t>
      </w:r>
      <w:r w:rsidRPr="00224AA7">
        <w:rPr>
          <w:rStyle w:val="FootnoteReference"/>
          <w:sz w:val="20"/>
        </w:rPr>
        <w:footnoteReference w:id="113"/>
      </w:r>
    </w:p>
    <w:p w14:paraId="4B298E9E" w14:textId="77777777" w:rsidR="00445CCB" w:rsidRPr="00D2222C" w:rsidRDefault="00445CCB" w:rsidP="00445CCB">
      <w:pPr>
        <w:pStyle w:val="Heading1"/>
        <w:numPr>
          <w:ilvl w:val="0"/>
          <w:numId w:val="0"/>
        </w:numPr>
        <w:spacing w:before="0"/>
        <w:rPr>
          <w:color w:val="auto"/>
          <w:sz w:val="20"/>
          <w:szCs w:val="20"/>
        </w:rPr>
      </w:pPr>
    </w:p>
    <w:p w14:paraId="145118D2" w14:textId="77777777" w:rsidR="00445CCB" w:rsidRPr="00DB475B" w:rsidRDefault="00445CCB" w:rsidP="00445CCB">
      <w:pPr>
        <w:pStyle w:val="Heading1"/>
        <w:spacing w:before="0"/>
        <w:ind w:hanging="720"/>
        <w:rPr>
          <w:color w:val="auto"/>
          <w:sz w:val="20"/>
          <w:szCs w:val="20"/>
        </w:rPr>
      </w:pPr>
      <w:bookmarkStart w:id="44" w:name="_Toc26550945"/>
      <w:bookmarkStart w:id="45" w:name="_Toc87522018"/>
      <w:bookmarkStart w:id="46" w:name="_Toc90115138"/>
      <w:bookmarkStart w:id="47" w:name="_Toc90283317"/>
      <w:r w:rsidRPr="00DB475B">
        <w:rPr>
          <w:color w:val="auto"/>
          <w:sz w:val="20"/>
          <w:szCs w:val="20"/>
        </w:rPr>
        <w:t>PUBLICATION</w:t>
      </w:r>
      <w:bookmarkEnd w:id="44"/>
      <w:bookmarkEnd w:id="45"/>
      <w:bookmarkEnd w:id="46"/>
      <w:bookmarkEnd w:id="47"/>
    </w:p>
    <w:p w14:paraId="0631E677" w14:textId="77777777" w:rsidR="00445CCB" w:rsidRPr="00DB475B" w:rsidRDefault="00445CCB" w:rsidP="00445CCB">
      <w:pPr>
        <w:rPr>
          <w:rFonts w:asciiTheme="majorHAnsi" w:hAnsiTheme="majorHAnsi"/>
          <w:sz w:val="20"/>
          <w:szCs w:val="20"/>
        </w:rPr>
      </w:pPr>
    </w:p>
    <w:p w14:paraId="3EC7B1A5" w14:textId="1E6F28B6" w:rsidR="00FA75FF" w:rsidRPr="00DB475B" w:rsidRDefault="00445CCB" w:rsidP="007324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eastAsia="Times New Roman" w:hAnsi="Cambria"/>
          <w:sz w:val="20"/>
          <w:szCs w:val="20"/>
        </w:rPr>
      </w:pPr>
      <w:r w:rsidRPr="00DB475B">
        <w:rPr>
          <w:rFonts w:asciiTheme="majorHAnsi" w:hAnsiTheme="majorHAnsi"/>
          <w:color w:val="000000" w:themeColor="text1"/>
          <w:sz w:val="20"/>
          <w:szCs w:val="20"/>
        </w:rPr>
        <w:t>In</w:t>
      </w:r>
      <w:r w:rsidRPr="00DB475B">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6224885" w14:textId="70D64395" w:rsidR="00FA75FF" w:rsidRDefault="00FA75FF" w:rsidP="00780F53">
      <w:pPr>
        <w:ind w:firstLine="360"/>
        <w:jc w:val="both"/>
      </w:pPr>
    </w:p>
    <w:p w14:paraId="783B8317" w14:textId="77777777" w:rsidR="008D2CEA" w:rsidRPr="00A525CC" w:rsidRDefault="008D2CEA" w:rsidP="00E326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 xml:space="preserve">Antonia Urrejola </w:t>
      </w:r>
      <w:proofErr w:type="spellStart"/>
      <w:r w:rsidRPr="00A525CC">
        <w:rPr>
          <w:rFonts w:asciiTheme="majorHAnsi" w:eastAsia="Times New Roman" w:hAnsiTheme="majorHAnsi"/>
          <w:sz w:val="20"/>
          <w:szCs w:val="20"/>
        </w:rPr>
        <w:t>Noguera</w:t>
      </w:r>
      <w:proofErr w:type="spellEnd"/>
      <w:r w:rsidRPr="00A525CC">
        <w:rPr>
          <w:rFonts w:asciiTheme="majorHAnsi" w:eastAsia="Times New Roman" w:hAnsiTheme="majorHAnsi"/>
          <w:sz w:val="20"/>
          <w:szCs w:val="20"/>
        </w:rPr>
        <w:t>,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proofErr w:type="spellStart"/>
      <w:r w:rsidRPr="00A525CC">
        <w:rPr>
          <w:rFonts w:asciiTheme="majorHAnsi" w:eastAsia="Times New Roman" w:hAnsiTheme="majorHAnsi"/>
          <w:sz w:val="20"/>
          <w:szCs w:val="20"/>
        </w:rPr>
        <w:t>Flávia</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Piovesan</w:t>
      </w:r>
      <w:proofErr w:type="spellEnd"/>
      <w:r w:rsidRPr="00A525CC">
        <w:rPr>
          <w:rFonts w:asciiTheme="majorHAnsi" w:eastAsia="Times New Roman" w:hAnsiTheme="majorHAnsi"/>
          <w:sz w:val="20"/>
          <w:szCs w:val="20"/>
        </w:rPr>
        <w:t>,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 xml:space="preserve">Esmeralda E. </w:t>
      </w:r>
      <w:proofErr w:type="spellStart"/>
      <w:r w:rsidRPr="00A525CC">
        <w:rPr>
          <w:rFonts w:asciiTheme="majorHAnsi" w:eastAsia="Times New Roman" w:hAnsiTheme="majorHAnsi"/>
          <w:sz w:val="20"/>
          <w:szCs w:val="20"/>
        </w:rPr>
        <w:t>Arosemena</w:t>
      </w:r>
      <w:proofErr w:type="spellEnd"/>
      <w:r w:rsidRPr="00A525CC">
        <w:rPr>
          <w:rFonts w:asciiTheme="majorHAnsi" w:eastAsia="Times New Roman" w:hAnsiTheme="majorHAnsi"/>
          <w:sz w:val="20"/>
          <w:szCs w:val="20"/>
        </w:rPr>
        <w:t xml:space="preserve"> Bernal de </w:t>
      </w:r>
      <w:proofErr w:type="spellStart"/>
      <w:r w:rsidRPr="00A525CC">
        <w:rPr>
          <w:rFonts w:asciiTheme="majorHAnsi" w:eastAsia="Times New Roman" w:hAnsiTheme="majorHAnsi"/>
          <w:sz w:val="20"/>
          <w:szCs w:val="20"/>
        </w:rPr>
        <w:t>Troitiño</w:t>
      </w:r>
      <w:proofErr w:type="spellEnd"/>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 xml:space="preserve">Edgar </w:t>
      </w:r>
      <w:proofErr w:type="spellStart"/>
      <w:r w:rsidRPr="00A525CC">
        <w:rPr>
          <w:rFonts w:asciiTheme="majorHAnsi" w:eastAsia="Times New Roman" w:hAnsiTheme="majorHAnsi"/>
          <w:sz w:val="20"/>
          <w:szCs w:val="20"/>
        </w:rPr>
        <w:t>Stuardo</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Ralón</w:t>
      </w:r>
      <w:proofErr w:type="spellEnd"/>
      <w:r w:rsidRPr="00A525CC">
        <w:rPr>
          <w:rFonts w:asciiTheme="majorHAnsi" w:eastAsia="Times New Roman" w:hAnsiTheme="majorHAnsi"/>
          <w:sz w:val="20"/>
          <w:szCs w:val="20"/>
        </w:rPr>
        <w:t xml:space="preserve"> Orellana, Commissioners.</w:t>
      </w:r>
    </w:p>
    <w:p w14:paraId="1E2109A3" w14:textId="77777777" w:rsidR="008D2CEA" w:rsidRPr="00A525CC" w:rsidRDefault="008D2CEA" w:rsidP="008D2C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sectPr w:rsidR="008D2CEA" w:rsidRPr="00A525C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E372" w14:textId="77777777" w:rsidR="006447A2" w:rsidRDefault="006447A2" w:rsidP="00036A8A">
      <w:r>
        <w:separator/>
      </w:r>
    </w:p>
  </w:endnote>
  <w:endnote w:type="continuationSeparator" w:id="0">
    <w:p w14:paraId="039005D8" w14:textId="77777777" w:rsidR="006447A2" w:rsidRDefault="006447A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7CA0E8t00">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73EBA64" w14:textId="77777777" w:rsidR="00445CCB" w:rsidRPr="006311DA" w:rsidRDefault="00445CCB">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22</w:t>
        </w:r>
        <w:r>
          <w:rPr>
            <w:noProof/>
            <w:sz w:val="16"/>
          </w:rPr>
          <w:fldChar w:fldCharType="end"/>
        </w:r>
      </w:p>
    </w:sdtContent>
  </w:sdt>
  <w:p w14:paraId="5C814D31" w14:textId="77777777" w:rsidR="00445CCB" w:rsidRDefault="00445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2CFE" w14:textId="77777777" w:rsidR="00445CCB" w:rsidRDefault="00445CCB">
    <w:pPr>
      <w:pStyle w:val="Footer"/>
      <w:jc w:val="center"/>
    </w:pPr>
  </w:p>
  <w:p w14:paraId="7A361371" w14:textId="77777777" w:rsidR="00445CCB" w:rsidRDefault="00445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7214E291" w14:textId="77777777" w:rsidR="00445CCB" w:rsidRDefault="00445CCB">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644CCB6" w14:textId="77777777" w:rsidR="00445CCB" w:rsidRDefault="0044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2C51" w14:textId="77777777" w:rsidR="006447A2" w:rsidRPr="00036A8A" w:rsidRDefault="006447A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C319467" w14:textId="77777777" w:rsidR="006447A2" w:rsidRPr="00036A8A" w:rsidRDefault="006447A2" w:rsidP="00036A8A">
      <w:pPr>
        <w:rPr>
          <w:rFonts w:asciiTheme="majorHAnsi" w:hAnsiTheme="majorHAnsi"/>
          <w:sz w:val="16"/>
          <w:szCs w:val="16"/>
        </w:rPr>
      </w:pPr>
      <w:r w:rsidRPr="00036A8A">
        <w:rPr>
          <w:rFonts w:asciiTheme="majorHAnsi" w:hAnsiTheme="majorHAnsi"/>
          <w:sz w:val="16"/>
          <w:szCs w:val="16"/>
        </w:rPr>
        <w:separator/>
      </w:r>
    </w:p>
    <w:p w14:paraId="6516FABF" w14:textId="77777777" w:rsidR="006447A2" w:rsidRPr="00036A8A" w:rsidRDefault="006447A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20584B4" w14:textId="77777777" w:rsidR="006447A2" w:rsidRPr="0093441A" w:rsidRDefault="006447A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A4C116" w14:textId="77777777" w:rsidR="00445CCB" w:rsidRPr="00F61B4C" w:rsidRDefault="00445CCB" w:rsidP="00CD403E">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On March 4, 2014, the IACHR granted precautionary measures on behalf of Mr. Rogovich pursuant to Article 25(1) of its Rules of Procedure and requested the United States to take the measures necessary to preserve his life and physical integrity so as not to hinder the processing of his case before the Inter-American system.</w:t>
      </w:r>
    </w:p>
  </w:footnote>
  <w:footnote w:id="3">
    <w:p w14:paraId="389042C2" w14:textId="77777777" w:rsidR="00445CCB" w:rsidRPr="00F61B4C" w:rsidRDefault="00445CCB" w:rsidP="0076495F">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On </w:t>
      </w:r>
      <w:r>
        <w:rPr>
          <w:rFonts w:asciiTheme="majorHAnsi" w:hAnsiTheme="majorHAnsi"/>
          <w:sz w:val="16"/>
          <w:szCs w:val="16"/>
        </w:rPr>
        <w:t>February 25</w:t>
      </w:r>
      <w:r w:rsidRPr="00F61B4C">
        <w:rPr>
          <w:rFonts w:asciiTheme="majorHAnsi" w:hAnsiTheme="majorHAnsi"/>
          <w:sz w:val="16"/>
          <w:szCs w:val="16"/>
        </w:rPr>
        <w:t xml:space="preserve">, 2016, </w:t>
      </w:r>
      <w:r>
        <w:rPr>
          <w:rFonts w:asciiTheme="majorHAnsi" w:hAnsiTheme="majorHAnsi"/>
          <w:sz w:val="16"/>
          <w:szCs w:val="16"/>
        </w:rPr>
        <w:t xml:space="preserve">the petitioner informed that Ms. Sarah Stone left the office and that Mr. Rogovich would be represented by Ms. </w:t>
      </w:r>
      <w:r w:rsidRPr="00F61B4C">
        <w:rPr>
          <w:rFonts w:asciiTheme="majorHAnsi" w:hAnsiTheme="majorHAnsi"/>
          <w:sz w:val="16"/>
          <w:szCs w:val="16"/>
        </w:rPr>
        <w:t xml:space="preserve">Therese Michelle Day </w:t>
      </w:r>
      <w:r>
        <w:rPr>
          <w:rFonts w:asciiTheme="majorHAnsi" w:hAnsiTheme="majorHAnsi"/>
          <w:sz w:val="16"/>
          <w:szCs w:val="16"/>
        </w:rPr>
        <w:t xml:space="preserve">from the Arizona’s Federal Public Defender’s Office </w:t>
      </w:r>
      <w:r w:rsidRPr="00F61B4C">
        <w:rPr>
          <w:rFonts w:asciiTheme="majorHAnsi" w:hAnsiTheme="majorHAnsi"/>
          <w:sz w:val="16"/>
          <w:szCs w:val="16"/>
        </w:rPr>
        <w:t xml:space="preserve">and </w:t>
      </w:r>
      <w:r>
        <w:rPr>
          <w:rFonts w:asciiTheme="majorHAnsi" w:hAnsiTheme="majorHAnsi"/>
          <w:sz w:val="16"/>
          <w:szCs w:val="16"/>
        </w:rPr>
        <w:t xml:space="preserve">Ms. </w:t>
      </w:r>
      <w:r w:rsidRPr="00F61B4C">
        <w:rPr>
          <w:rFonts w:asciiTheme="majorHAnsi" w:hAnsiTheme="majorHAnsi"/>
          <w:sz w:val="16"/>
          <w:szCs w:val="16"/>
        </w:rPr>
        <w:t xml:space="preserve">Julianne Hill </w:t>
      </w:r>
      <w:r>
        <w:rPr>
          <w:rFonts w:asciiTheme="majorHAnsi" w:hAnsiTheme="majorHAnsi"/>
          <w:sz w:val="16"/>
          <w:szCs w:val="16"/>
        </w:rPr>
        <w:t>from Reprieve</w:t>
      </w:r>
      <w:r w:rsidRPr="00F61B4C">
        <w:rPr>
          <w:rFonts w:asciiTheme="majorHAnsi" w:hAnsiTheme="majorHAnsi"/>
          <w:sz w:val="16"/>
          <w:szCs w:val="16"/>
        </w:rPr>
        <w:t xml:space="preserve">. </w:t>
      </w:r>
    </w:p>
  </w:footnote>
  <w:footnote w:id="4">
    <w:p w14:paraId="115DD72F" w14:textId="77777777" w:rsidR="00445CCB" w:rsidRPr="00F61B4C" w:rsidRDefault="00445CCB" w:rsidP="00CD403E">
      <w:pPr>
        <w:pStyle w:val="FootnoteText"/>
        <w:jc w:val="both"/>
        <w:rPr>
          <w:rFonts w:asciiTheme="majorHAnsi" w:hAnsiTheme="majorHAnsi"/>
          <w:sz w:val="16"/>
          <w:szCs w:val="16"/>
        </w:rPr>
      </w:pPr>
      <w:r w:rsidRPr="00F61B4C">
        <w:rPr>
          <w:rStyle w:val="FootnoteReference"/>
          <w:rFonts w:asciiTheme="majorHAnsi" w:hAnsiTheme="majorHAnsi"/>
          <w:color w:val="auto"/>
          <w:sz w:val="16"/>
          <w:szCs w:val="16"/>
        </w:rPr>
        <w:footnoteRef/>
      </w:r>
      <w:r w:rsidRPr="00F61B4C">
        <w:rPr>
          <w:rStyle w:val="FootnoteReference"/>
          <w:rFonts w:asciiTheme="majorHAnsi" w:hAnsiTheme="majorHAnsi"/>
          <w:color w:val="auto"/>
          <w:sz w:val="16"/>
          <w:szCs w:val="16"/>
        </w:rPr>
        <w:t xml:space="preserve"> </w:t>
      </w:r>
      <w:r w:rsidRPr="00F61B4C">
        <w:rPr>
          <w:rFonts w:asciiTheme="majorHAnsi" w:hAnsiTheme="majorHAnsi"/>
          <w:color w:val="auto"/>
          <w:sz w:val="16"/>
          <w:szCs w:val="16"/>
        </w:rPr>
        <w:t>IACHR, Report No. 54/14, Petition 684-14. Admissibility. Russel Bucklew and Charles Warner. United States. July 21, 2014, para. 28.</w:t>
      </w:r>
    </w:p>
  </w:footnote>
  <w:footnote w:id="5">
    <w:p w14:paraId="5814DD38" w14:textId="77777777" w:rsidR="00445CCB" w:rsidRPr="00F61B4C" w:rsidRDefault="00445CCB" w:rsidP="00CD403E">
      <w:pPr>
        <w:pStyle w:val="FootnoteText"/>
        <w:jc w:val="both"/>
        <w:rPr>
          <w:rFonts w:asciiTheme="majorHAnsi" w:hAnsiTheme="majorHAnsi"/>
          <w:sz w:val="16"/>
          <w:szCs w:val="16"/>
        </w:rPr>
      </w:pPr>
      <w:r w:rsidRPr="00F61B4C">
        <w:rPr>
          <w:rStyle w:val="FootnoteReference"/>
          <w:rFonts w:asciiTheme="majorHAnsi" w:hAnsiTheme="majorHAnsi"/>
          <w:color w:val="auto"/>
          <w:sz w:val="16"/>
          <w:szCs w:val="16"/>
        </w:rPr>
        <w:footnoteRef/>
      </w:r>
      <w:r w:rsidRPr="00F61B4C">
        <w:rPr>
          <w:rStyle w:val="FootnoteReference"/>
          <w:rFonts w:asciiTheme="majorHAnsi" w:hAnsiTheme="majorHAnsi"/>
          <w:color w:val="auto"/>
          <w:sz w:val="16"/>
          <w:szCs w:val="16"/>
        </w:rPr>
        <w:t xml:space="preserve"> </w:t>
      </w:r>
      <w:r w:rsidRPr="00F61B4C">
        <w:rPr>
          <w:rFonts w:asciiTheme="majorHAnsi" w:hAnsiTheme="majorHAnsi"/>
          <w:color w:val="auto"/>
          <w:sz w:val="16"/>
          <w:szCs w:val="16"/>
        </w:rPr>
        <w:t>IACHR, Report No. 54/14, Petition 684-14. Admissibility. Russel Bucklew and Charles Warner. United States. July 21, 2014, para. 28.</w:t>
      </w:r>
    </w:p>
  </w:footnote>
  <w:footnote w:id="6">
    <w:p w14:paraId="3377A18F" w14:textId="77777777" w:rsidR="00445CCB" w:rsidRPr="00F61B4C" w:rsidRDefault="00445CCB" w:rsidP="00CD403E">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Report No. 108/00. Case 11.753. Admissibility. Ramón Martinez Villareal. United States. December 4, 2000. para 60.</w:t>
      </w:r>
    </w:p>
  </w:footnote>
  <w:footnote w:id="7">
    <w:p w14:paraId="0F7DBA3A"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cs="Arial"/>
          <w:sz w:val="16"/>
          <w:szCs w:val="16"/>
        </w:rPr>
        <w:footnoteRef/>
      </w:r>
      <w:r w:rsidRPr="00F61B4C">
        <w:rPr>
          <w:rStyle w:val="FootnoteReference"/>
          <w:rFonts w:asciiTheme="majorHAnsi" w:hAnsiTheme="majorHAnsi" w:cs="Arial"/>
          <w:sz w:val="16"/>
          <w:szCs w:val="16"/>
        </w:rPr>
        <w:t xml:space="preserve"> </w:t>
      </w:r>
      <w:r w:rsidRPr="00F61B4C">
        <w:rPr>
          <w:rFonts w:asciiTheme="majorHAnsi" w:hAnsiTheme="majorHAnsi"/>
          <w:sz w:val="16"/>
          <w:szCs w:val="16"/>
        </w:rPr>
        <w:t>Antiterrorism and Effective Death Penalty Act of 1996, Pub. L. No. 104-132, 110 Stat. 1214.</w:t>
      </w:r>
    </w:p>
  </w:footnote>
  <w:footnote w:id="8">
    <w:p w14:paraId="655DFD4A"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Arizona Administrative Code. Board of Executive Clemency. Title 5. Corrections. Available at: </w:t>
      </w:r>
      <w:hyperlink r:id="rId1" w:history="1">
        <w:r w:rsidRPr="00F61B4C">
          <w:rPr>
            <w:rStyle w:val="Hyperlink"/>
            <w:rFonts w:asciiTheme="majorHAnsi" w:hAnsiTheme="majorHAnsi"/>
            <w:sz w:val="16"/>
            <w:szCs w:val="16"/>
            <w:u w:val="none"/>
          </w:rPr>
          <w:t>https://apps.azsos.gov/public_services/Title_05/5-04.pdf</w:t>
        </w:r>
      </w:hyperlink>
      <w:r w:rsidRPr="00F61B4C">
        <w:rPr>
          <w:rFonts w:asciiTheme="majorHAnsi" w:hAnsiTheme="majorHAnsi"/>
          <w:sz w:val="16"/>
          <w:szCs w:val="16"/>
        </w:rPr>
        <w:t>. Last access: July 30, 2019.</w:t>
      </w:r>
    </w:p>
  </w:footnote>
  <w:footnote w:id="9">
    <w:p w14:paraId="61CADEE4"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Pr>
          <w:rFonts w:asciiTheme="majorHAnsi" w:hAnsiTheme="majorHAnsi"/>
          <w:sz w:val="16"/>
          <w:szCs w:val="16"/>
        </w:rPr>
        <w:t xml:space="preserve"> State v. Rogovich. Supreme Court of Arizona. No. CR-95-0288-AP. February 4, 1997.</w:t>
      </w:r>
    </w:p>
  </w:footnote>
  <w:footnote w:id="10">
    <w:p w14:paraId="3ED5B6F5"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8. Direct Examination of Deputy Sheriff William Prather. Appendix 1, submitted with petitioner’s original petition on February 19, 2014.</w:t>
      </w:r>
    </w:p>
  </w:footnote>
  <w:footnote w:id="11">
    <w:p w14:paraId="27D89E96"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8. Direct examination of Mr. Charles Hodges. Appendix 1, submitted with petitioner’s original petition on February 19, 2014. </w:t>
      </w:r>
    </w:p>
  </w:footnote>
  <w:footnote w:id="12">
    <w:p w14:paraId="3C48A234"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8. Direct examination of Mr. Charles Hodges. Appendix 1, submitted with petitioner’s original petition on February 19, 2014.</w:t>
      </w:r>
    </w:p>
  </w:footnote>
  <w:footnote w:id="13">
    <w:p w14:paraId="49838A32"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Further information regarding the petitioner’s place of detention. Incoming correspondence on February 20, 2014. </w:t>
      </w:r>
    </w:p>
  </w:footnote>
  <w:footnote w:id="14">
    <w:p w14:paraId="565969D1"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15">
    <w:p w14:paraId="3F3D65F8"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16">
    <w:p w14:paraId="317DBC47"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17">
    <w:p w14:paraId="3FACB9D3"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18">
    <w:p w14:paraId="606198CF"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19">
    <w:p w14:paraId="1B303024"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20">
    <w:p w14:paraId="22B3A0FC"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11. Cross-examination of Dr. Michael Brad Bayless. Appendix 1, submitted with petitioner’s original petition on February 19, 2014.</w:t>
      </w:r>
    </w:p>
  </w:footnote>
  <w:footnote w:id="21">
    <w:p w14:paraId="60339719"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Arizona v. Rogovich. Trial Tr. Vol 9. Direct examination of Dr. Marc Stuart Walter. Appendix 1, submitted with petitioner’s original petition on February 19, 2014.</w:t>
      </w:r>
    </w:p>
  </w:footnote>
  <w:footnote w:id="22">
    <w:p w14:paraId="363872B9"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Dr. Barry Morenz Psychiatric Evaluation Report of Pete Rogovich dated July 9, 2003, page 5. Appendix 3, submitted with petitioner’s additional observations on the merits on May 11, 2018.</w:t>
      </w:r>
    </w:p>
  </w:footnote>
  <w:footnote w:id="23">
    <w:p w14:paraId="2E95F87A"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Maricopa County Correctional Health Services, List of medication provided from February 20, 1994 to June 10, 1994. Appendix 7, submitted with additional observations on the merits on May 11, 2018.</w:t>
      </w:r>
    </w:p>
  </w:footnote>
  <w:footnote w:id="24">
    <w:p w14:paraId="4A6A2EEB"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Excerpts from First Amended Petition for Writ of Habeas Corpus before the United States District Court of Arizona in the matter of Rogovich v. Stewart et al. Appendix 6, submitted with petitioner’s additional observations on the merits on May 11, 2018.</w:t>
      </w:r>
    </w:p>
  </w:footnote>
  <w:footnote w:id="25">
    <w:p w14:paraId="6696DBF7"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Opening Brief of Petitioner-Appellant before the U.S. Court of Appeals for the Ninth Circuit. Appendix 3, submitted with petitioner’s original petition on February 19, 2014.</w:t>
      </w:r>
    </w:p>
  </w:footnote>
  <w:footnote w:id="26">
    <w:p w14:paraId="44817077"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Excerpts from First Amended Petition for Writ of Habeas Corpus before the United States District Court of Arizona in the matter of Rogovich v. Stewart et al. Appendix 6, submitted with petitioner’s additional observations on the merits on May 11, 2018.</w:t>
      </w:r>
    </w:p>
  </w:footnote>
  <w:footnote w:id="27">
    <w:p w14:paraId="34C467FD"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Response of the State from February 25, 2016. page 3.</w:t>
      </w:r>
    </w:p>
  </w:footnote>
  <w:footnote w:id="28">
    <w:p w14:paraId="6DD617D2"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Supreme Court of the United States. Rogovich v. Arizona. 522 U.S. 829. No. 96-9012. Available at: </w:t>
      </w:r>
      <w:hyperlink r:id="rId2" w:history="1">
        <w:r w:rsidRPr="00F61B4C">
          <w:rPr>
            <w:rStyle w:val="Hyperlink"/>
            <w:rFonts w:asciiTheme="majorHAnsi" w:hAnsiTheme="majorHAnsi"/>
            <w:sz w:val="16"/>
            <w:szCs w:val="16"/>
            <w:u w:val="none"/>
          </w:rPr>
          <w:t>https://cite.case.law/us/522/829/11491468/</w:t>
        </w:r>
      </w:hyperlink>
      <w:r w:rsidRPr="00F61B4C">
        <w:rPr>
          <w:rFonts w:asciiTheme="majorHAnsi" w:hAnsiTheme="majorHAnsi"/>
          <w:sz w:val="16"/>
          <w:szCs w:val="16"/>
        </w:rPr>
        <w:t>. Last access: July 30, 2019.</w:t>
      </w:r>
    </w:p>
  </w:footnote>
  <w:footnote w:id="29">
    <w:p w14:paraId="495CB4FF"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Opening Brief of Petitioner-Appellant before the U.S. Court of Appeals for the Ninth Circuit. Appendix 3, submitted with petitioner’s original petition on February 19, 2014.</w:t>
      </w:r>
    </w:p>
  </w:footnote>
  <w:footnote w:id="30">
    <w:p w14:paraId="04986F16"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Excerpts from First Amended Petition for Writ of Habeas Corpus before the United States District Court of Arizona in the matter Rogovich v. Stewart et al. Appendix 6, submitted with petitioner’s additional observations on the merits on May 11, 2018.</w:t>
      </w:r>
    </w:p>
  </w:footnote>
  <w:footnote w:id="31">
    <w:p w14:paraId="66EA474D"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Opening Brief of Petitioner-Appellant before the U.S. Court of Appeals for the Ninth Circuit. Appendix 3, submitted with petitioner’s original petition on February 19, 2014.</w:t>
      </w:r>
    </w:p>
  </w:footnote>
  <w:footnote w:id="32">
    <w:p w14:paraId="44BE4A89"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Transcript from June 9, 2003 Status Hearing regarding Medication in relation to First Amended Petition for Writ of Habeas Corpus (June 4, 2001). Appendix 4, submitted with petitioner’s original petition on February 19, 2014.</w:t>
      </w:r>
    </w:p>
  </w:footnote>
  <w:footnote w:id="33">
    <w:p w14:paraId="533E4362"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Opening Brief of Petitioner-Appellant before the U.S. Court of Appeals for the Ninth Circuit. Appendix 3, submitted with petitioner’s original petition on February 19, 2014.</w:t>
      </w:r>
    </w:p>
  </w:footnote>
  <w:footnote w:id="34">
    <w:p w14:paraId="16ABE9BC"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Dr. Barry Morenz Psychiatric Evaluation Report of Pete Rogovich dated July 9, 2003, page 5. Appendix 3, submitted with petitioner’s additional observations on the merits on May 11, 2018.</w:t>
      </w:r>
    </w:p>
  </w:footnote>
  <w:footnote w:id="35">
    <w:p w14:paraId="5C3290AF"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Memorandum in Suport of Petition for Post-Conviction Relief before the Superior Court of Arizona, Maricopa County in the matter of </w:t>
      </w:r>
      <w:r w:rsidRPr="00F61B4C">
        <w:rPr>
          <w:rFonts w:asciiTheme="majorHAnsi" w:hAnsiTheme="majorHAnsi"/>
          <w:i/>
          <w:sz w:val="16"/>
          <w:szCs w:val="16"/>
        </w:rPr>
        <w:t>State of Arizona</w:t>
      </w:r>
      <w:r w:rsidRPr="00F61B4C">
        <w:rPr>
          <w:rFonts w:asciiTheme="majorHAnsi" w:hAnsiTheme="majorHAnsi"/>
          <w:sz w:val="16"/>
          <w:szCs w:val="16"/>
        </w:rPr>
        <w:t xml:space="preserve"> v. Pete Carl Rogovich. Appendix 5, submitted with petitioner’s additional observations on the merits on May 11, 2018.</w:t>
      </w:r>
    </w:p>
  </w:footnote>
  <w:footnote w:id="36">
    <w:p w14:paraId="1AE57D0B"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Petitioner’s additional observations on the merits on May 11, 2018. pages 3-4.</w:t>
      </w:r>
    </w:p>
  </w:footnote>
  <w:footnote w:id="37">
    <w:p w14:paraId="70FABEF3"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Dr. Barry Morenz Psychiatric Evaluation Report of Pete Rogovich dated July 9, 2003, page 5. Appendix 3, submitted with petitioner’s additional observations on the merits on May 11, 2018.</w:t>
      </w:r>
    </w:p>
  </w:footnote>
  <w:footnote w:id="38">
    <w:p w14:paraId="5E7C53B5"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Petitioner’s original petition from February 19, 2014. page 9. Response of the State from February 25, 2016. page 4.</w:t>
      </w:r>
    </w:p>
  </w:footnote>
  <w:footnote w:id="39">
    <w:p w14:paraId="62A42217" w14:textId="77777777" w:rsidR="00445CCB" w:rsidRPr="00D065A9" w:rsidRDefault="00445CCB" w:rsidP="00D065A9">
      <w:pPr>
        <w:jc w:val="both"/>
        <w:rPr>
          <w:sz w:val="16"/>
          <w:szCs w:val="16"/>
        </w:rPr>
      </w:pPr>
      <w:r w:rsidRPr="00D065A9">
        <w:rPr>
          <w:rStyle w:val="FootnoteReference"/>
          <w:rFonts w:asciiTheme="majorHAnsi" w:eastAsia="Calibri" w:hAnsiTheme="majorHAnsi"/>
          <w:color w:val="000000"/>
          <w:sz w:val="16"/>
          <w:szCs w:val="16"/>
          <w:u w:color="000000"/>
          <w:lang w:eastAsia="es-ES"/>
        </w:rPr>
        <w:footnoteRef/>
      </w:r>
      <w:r w:rsidRPr="00D065A9">
        <w:rPr>
          <w:rStyle w:val="FootnoteReference"/>
          <w:rFonts w:asciiTheme="majorHAnsi" w:eastAsia="Calibri" w:hAnsiTheme="majorHAnsi"/>
          <w:color w:val="000000"/>
          <w:sz w:val="16"/>
          <w:szCs w:val="16"/>
          <w:u w:color="000000"/>
          <w:lang w:eastAsia="es-ES"/>
        </w:rPr>
        <w:t xml:space="preserve"> </w:t>
      </w:r>
      <w:r>
        <w:rPr>
          <w:rFonts w:ascii="Cambria" w:hAnsi="Cambria"/>
          <w:sz w:val="16"/>
          <w:szCs w:val="16"/>
        </w:rPr>
        <w:t>Complaint for Equitable, Injunctive, and Declaratory Relief. Appendix 5, submitted with petitioner’s original petition on February 19, 2014.</w:t>
      </w:r>
    </w:p>
  </w:footnote>
  <w:footnote w:id="40">
    <w:p w14:paraId="4DBCB64E"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Petitioner’s original petition from February 19, 2014. page 45.</w:t>
      </w:r>
    </w:p>
  </w:footnote>
  <w:footnote w:id="41">
    <w:p w14:paraId="5BAAA208"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Dr. Barry Morenz Addendum to Psychiatric Evaluation Report of Pete Rogovich, pages 3-4. Appendix 4, submitted with petitioner’s additional observations on the merits on May 11, 2018.</w:t>
      </w:r>
    </w:p>
  </w:footnote>
  <w:footnote w:id="42">
    <w:p w14:paraId="3C16E2A0"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Declaration of Todd R. Wilcox, 4/11/2016. Attachment E, submitted with petitioner’s observations on the Government’s reply on May 25, 2017. </w:t>
      </w:r>
    </w:p>
  </w:footnote>
  <w:footnote w:id="43">
    <w:p w14:paraId="5500E62C"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Declaration of Pablo Stewart, 4/11/2016. Attachment F, submitted with petitioner’s observations on the Government’s reply on May 25, 2017.</w:t>
      </w:r>
    </w:p>
  </w:footnote>
  <w:footnote w:id="44">
    <w:p w14:paraId="1E8AFBDB"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Declaration of Todd R. Wilcox, 4/11/2016. Attachment E, submitted with petitioner’s observations on the Government’s reply on May 25, 2017.</w:t>
      </w:r>
    </w:p>
  </w:footnote>
  <w:footnote w:id="45">
    <w:p w14:paraId="54ECBA2D"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Declaration of Pablo Stewart, 4/11/2016. Attachment F, submitted with petitioner’s observations on the Government’s reply on May 25, 2017. Page 249.</w:t>
      </w:r>
    </w:p>
  </w:footnote>
  <w:footnote w:id="46">
    <w:p w14:paraId="18AF4457" w14:textId="77777777" w:rsidR="00445CCB" w:rsidRPr="00F61B4C" w:rsidRDefault="00445CCB" w:rsidP="00021557">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w:t>
      </w:r>
      <w:hyperlink r:id="rId3" w:history="1">
        <w:r w:rsidRPr="00F61B4C">
          <w:rPr>
            <w:rStyle w:val="Hyperlink"/>
            <w:rFonts w:asciiTheme="majorHAnsi" w:hAnsiTheme="majorHAnsi"/>
            <w:sz w:val="16"/>
            <w:szCs w:val="16"/>
            <w:u w:val="none"/>
          </w:rPr>
          <w:t>Arizona Department of Corrections. Department Order Manual. June 13, 2017. Available at: https://files.deathpenaltyinfo.org/legacy/files/pdf/ExecutionProtocols/ArizonaProtocol_06.17.17.pdf</w:t>
        </w:r>
      </w:hyperlink>
      <w:r w:rsidRPr="00F61B4C">
        <w:rPr>
          <w:rFonts w:asciiTheme="majorHAnsi" w:hAnsiTheme="majorHAnsi"/>
          <w:sz w:val="16"/>
          <w:szCs w:val="16"/>
        </w:rPr>
        <w:t>. Last access: July 30, 2019.</w:t>
      </w:r>
    </w:p>
  </w:footnote>
  <w:footnote w:id="47">
    <w:p w14:paraId="16DD77FA" w14:textId="77777777" w:rsidR="00445CCB" w:rsidRPr="00A647EB" w:rsidRDefault="00445CCB" w:rsidP="00846B2C">
      <w:pPr>
        <w:pStyle w:val="FootnoteText"/>
        <w:jc w:val="both"/>
        <w:rPr>
          <w:rFonts w:asciiTheme="majorHAnsi" w:hAnsiTheme="majorHAnsi"/>
          <w:sz w:val="16"/>
          <w:szCs w:val="16"/>
        </w:rPr>
      </w:pPr>
      <w:r w:rsidRPr="00846B2C">
        <w:rPr>
          <w:rStyle w:val="FootnoteReference"/>
          <w:rFonts w:asciiTheme="majorHAnsi" w:hAnsiTheme="majorHAnsi"/>
          <w:sz w:val="16"/>
          <w:szCs w:val="16"/>
        </w:rPr>
        <w:footnoteRef/>
      </w:r>
      <w:r w:rsidRPr="00846B2C">
        <w:rPr>
          <w:rFonts w:asciiTheme="majorHAnsi" w:hAnsiTheme="majorHAnsi"/>
          <w:sz w:val="16"/>
          <w:szCs w:val="16"/>
        </w:rPr>
        <w:t xml:space="preserve"> Death Penalty Information Center. Arizona. Available at: </w:t>
      </w:r>
      <w:hyperlink r:id="rId4" w:history="1">
        <w:r w:rsidRPr="00846B2C">
          <w:rPr>
            <w:rStyle w:val="Hyperlink"/>
            <w:rFonts w:asciiTheme="majorHAnsi" w:hAnsiTheme="majorHAnsi"/>
            <w:sz w:val="16"/>
            <w:szCs w:val="16"/>
          </w:rPr>
          <w:t>https://deathpenaltyinfo.org/state-and-federal-info/state-by-state/arizona</w:t>
        </w:r>
      </w:hyperlink>
      <w:r w:rsidRPr="00846B2C">
        <w:rPr>
          <w:rFonts w:asciiTheme="majorHAnsi" w:hAnsiTheme="majorHAnsi"/>
          <w:sz w:val="16"/>
          <w:szCs w:val="16"/>
        </w:rPr>
        <w:t>. Last access: August 6, 2019.</w:t>
      </w:r>
      <w:r>
        <w:rPr>
          <w:rFonts w:asciiTheme="majorHAnsi" w:hAnsiTheme="majorHAnsi"/>
          <w:sz w:val="16"/>
          <w:szCs w:val="16"/>
        </w:rPr>
        <w:t xml:space="preserve"> CBS </w:t>
      </w:r>
      <w:r w:rsidRPr="00A647EB">
        <w:rPr>
          <w:rFonts w:asciiTheme="majorHAnsi" w:hAnsiTheme="majorHAnsi"/>
          <w:sz w:val="16"/>
          <w:szCs w:val="16"/>
        </w:rPr>
        <w:t xml:space="preserve">News. Arizona to resume executions for first time since 2014 lawsuit over alleged botched lethal injection. July 26, 2019. Available at: </w:t>
      </w:r>
      <w:hyperlink r:id="rId5" w:history="1">
        <w:r w:rsidRPr="00A647EB">
          <w:rPr>
            <w:rStyle w:val="Hyperlink"/>
            <w:rFonts w:asciiTheme="majorHAnsi" w:hAnsiTheme="majorHAnsi"/>
            <w:sz w:val="16"/>
            <w:szCs w:val="16"/>
          </w:rPr>
          <w:t>https://www.cbsnews.com/news/arizona-to-resume-executions-for-first-time-since-2014-lawsuit-announced-today-2019-07-26/</w:t>
        </w:r>
      </w:hyperlink>
      <w:r w:rsidRPr="00A647EB">
        <w:rPr>
          <w:rFonts w:asciiTheme="majorHAnsi" w:hAnsiTheme="majorHAnsi"/>
          <w:sz w:val="16"/>
          <w:szCs w:val="16"/>
        </w:rPr>
        <w:t>. Last access: August 6, 2019.</w:t>
      </w:r>
    </w:p>
  </w:footnote>
  <w:footnote w:id="48">
    <w:p w14:paraId="49507867" w14:textId="77777777" w:rsidR="00445CCB" w:rsidRPr="00F61B4C" w:rsidRDefault="00445CCB" w:rsidP="00E57AC6">
      <w:pPr>
        <w:pStyle w:val="FootnoteText"/>
        <w:jc w:val="both"/>
        <w:rPr>
          <w:rFonts w:asciiTheme="majorHAnsi" w:hAnsiTheme="majorHAnsi"/>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See, for example: I/A Court H. R., Advisory Opinion OC-16/99 (October 1, 1999), </w:t>
      </w:r>
      <w:r w:rsidRPr="00F61B4C">
        <w:rPr>
          <w:rFonts w:asciiTheme="majorHAnsi" w:hAnsiTheme="majorHAnsi"/>
          <w:i/>
          <w:iCs/>
          <w:color w:val="auto"/>
          <w:sz w:val="16"/>
          <w:szCs w:val="16"/>
        </w:rPr>
        <w:t>The Right to Information on Consular Assistance in the Framework of the Guarantees of the Due Process of Law</w:t>
      </w:r>
      <w:r w:rsidRPr="00F61B4C">
        <w:rPr>
          <w:rFonts w:asciiTheme="majorHAnsi" w:hAnsiTheme="majorHAnsi"/>
          <w:color w:val="auto"/>
          <w:sz w:val="16"/>
          <w:szCs w:val="16"/>
        </w:rPr>
        <w:t xml:space="preserve">, para. 136; United Nations Human Rights Committee, </w:t>
      </w:r>
      <w:r w:rsidRPr="00F61B4C">
        <w:rPr>
          <w:rFonts w:asciiTheme="majorHAnsi" w:hAnsiTheme="majorHAnsi"/>
          <w:i/>
          <w:iCs/>
          <w:color w:val="auto"/>
          <w:sz w:val="16"/>
          <w:szCs w:val="16"/>
        </w:rPr>
        <w:t>Baboheram-Adhin et al. v. Suriname</w:t>
      </w:r>
      <w:r w:rsidRPr="00F61B4C">
        <w:rPr>
          <w:rFonts w:asciiTheme="majorHAnsi" w:hAnsiTheme="majorHAnsi"/>
          <w:color w:val="auto"/>
          <w:sz w:val="16"/>
          <w:szCs w:val="16"/>
        </w:rPr>
        <w:t>,</w:t>
      </w:r>
      <w:r w:rsidRPr="00F61B4C">
        <w:rPr>
          <w:rFonts w:asciiTheme="majorHAnsi" w:hAnsiTheme="majorHAnsi"/>
          <w:i/>
          <w:iCs/>
          <w:color w:val="auto"/>
          <w:sz w:val="16"/>
          <w:szCs w:val="16"/>
        </w:rPr>
        <w:t xml:space="preserve"> </w:t>
      </w:r>
      <w:r w:rsidRPr="00F61B4C">
        <w:rPr>
          <w:rFonts w:asciiTheme="majorHAnsi" w:hAnsiTheme="majorHAnsi"/>
          <w:color w:val="auto"/>
          <w:sz w:val="16"/>
          <w:szCs w:val="16"/>
        </w:rPr>
        <w:t xml:space="preserve">Communications Nos. 148-154/1983, adopted on April 4, 1985, para. 14.3; </w:t>
      </w:r>
      <w:r w:rsidRPr="00F61B4C">
        <w:rPr>
          <w:rFonts w:asciiTheme="majorHAnsi" w:hAnsiTheme="majorHAnsi"/>
          <w:i/>
          <w:iCs/>
          <w:color w:val="auto"/>
          <w:sz w:val="16"/>
          <w:szCs w:val="16"/>
        </w:rPr>
        <w:t>Report of the United Nations Special Rapporteur on Extrajudicial Executions</w:t>
      </w:r>
      <w:r w:rsidRPr="00F61B4C">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49">
    <w:p w14:paraId="2F27E54E" w14:textId="77777777" w:rsidR="00445CCB" w:rsidRPr="00F61B4C" w:rsidRDefault="00445CCB" w:rsidP="00E57AC6">
      <w:pPr>
        <w:pStyle w:val="FootnoteText"/>
        <w:jc w:val="both"/>
        <w:rPr>
          <w:rFonts w:asciiTheme="majorHAnsi" w:hAnsiTheme="majorHAnsi"/>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IACHR,</w:t>
      </w:r>
      <w:r w:rsidRPr="00F61B4C">
        <w:rPr>
          <w:rFonts w:asciiTheme="majorHAnsi" w:hAnsiTheme="majorHAnsi"/>
          <w:i/>
          <w:iCs/>
          <w:color w:val="auto"/>
          <w:sz w:val="16"/>
          <w:szCs w:val="16"/>
        </w:rPr>
        <w:t xml:space="preserve"> </w:t>
      </w:r>
      <w:r w:rsidRPr="00F61B4C">
        <w:rPr>
          <w:rFonts w:asciiTheme="majorHAnsi" w:hAnsiTheme="majorHAnsi"/>
          <w:color w:val="auto"/>
          <w:sz w:val="16"/>
          <w:szCs w:val="16"/>
        </w:rPr>
        <w:t xml:space="preserve">Report No. 57/96, </w:t>
      </w:r>
      <w:r w:rsidRPr="00F61B4C">
        <w:rPr>
          <w:rFonts w:asciiTheme="majorHAnsi" w:hAnsiTheme="majorHAnsi"/>
          <w:iCs/>
          <w:color w:val="auto"/>
          <w:sz w:val="16"/>
          <w:szCs w:val="16"/>
        </w:rPr>
        <w:t>Andrews, United States</w:t>
      </w:r>
      <w:r w:rsidRPr="00F61B4C">
        <w:rPr>
          <w:rFonts w:asciiTheme="majorHAnsi" w:hAnsiTheme="majorHAnsi"/>
          <w:color w:val="auto"/>
          <w:sz w:val="16"/>
          <w:szCs w:val="16"/>
        </w:rPr>
        <w:t xml:space="preserve">, IACHR Annual Report 1997, para. 170-171; Report No. 38/00 Baptiste, Grenada, IACHR Annual Report 1999, paras. 64-66; Report No. 41/00, McKenzie </w:t>
      </w:r>
      <w:r w:rsidRPr="00F61B4C">
        <w:rPr>
          <w:rFonts w:asciiTheme="majorHAnsi" w:hAnsiTheme="majorHAnsi"/>
          <w:i/>
          <w:iCs/>
          <w:color w:val="auto"/>
          <w:sz w:val="16"/>
          <w:szCs w:val="16"/>
        </w:rPr>
        <w:t>et al.</w:t>
      </w:r>
      <w:r w:rsidRPr="00F61B4C">
        <w:rPr>
          <w:rFonts w:asciiTheme="majorHAnsi" w:hAnsiTheme="majorHAnsi"/>
          <w:iCs/>
          <w:color w:val="auto"/>
          <w:sz w:val="16"/>
          <w:szCs w:val="16"/>
        </w:rPr>
        <w:t>,</w:t>
      </w:r>
      <w:r w:rsidRPr="00F61B4C">
        <w:rPr>
          <w:rFonts w:asciiTheme="majorHAnsi" w:hAnsiTheme="majorHAnsi"/>
          <w:color w:val="auto"/>
          <w:sz w:val="16"/>
          <w:szCs w:val="16"/>
        </w:rPr>
        <w:t xml:space="preserve"> Jamaica, IACHR Annual Report 1999, paras. 169-171.</w:t>
      </w:r>
    </w:p>
  </w:footnote>
  <w:footnote w:id="50">
    <w:p w14:paraId="2894ABAB" w14:textId="77777777" w:rsidR="00445CCB" w:rsidRPr="00F61B4C" w:rsidRDefault="00445CCB" w:rsidP="00E57AC6">
      <w:pPr>
        <w:autoSpaceDE w:val="0"/>
        <w:autoSpaceDN w:val="0"/>
        <w:adjustRightInd w:val="0"/>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The death penalty in the Inter-American System of Human Rights: From restrictions to abolition, </w:t>
      </w:r>
      <w:r w:rsidRPr="00F61B4C">
        <w:rPr>
          <w:rFonts w:asciiTheme="majorHAnsi" w:hAnsiTheme="majorHAnsi" w:cs="Calibri"/>
          <w:sz w:val="16"/>
          <w:szCs w:val="16"/>
        </w:rPr>
        <w:t xml:space="preserve">OEA/Ser.L/V/II.Doc. 68, December 31, 2011, </w:t>
      </w:r>
      <w:r w:rsidRPr="00F61B4C">
        <w:rPr>
          <w:rFonts w:asciiTheme="majorHAnsi" w:hAnsiTheme="majorHAnsi"/>
          <w:sz w:val="16"/>
          <w:szCs w:val="16"/>
        </w:rPr>
        <w:t>para. 41.</w:t>
      </w:r>
    </w:p>
  </w:footnote>
  <w:footnote w:id="51">
    <w:p w14:paraId="6A8A79CA" w14:textId="77777777" w:rsidR="00445CCB" w:rsidRPr="00F61B4C" w:rsidRDefault="00445CCB" w:rsidP="00E57AC6">
      <w:pPr>
        <w:autoSpaceDE w:val="0"/>
        <w:autoSpaceDN w:val="0"/>
        <w:adjustRightInd w:val="0"/>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Report No. 78/07, Case 12.265, Merits (Publication), Chad Roger Goodman, The Bahamas, October 15, 2007, para. 34.</w:t>
      </w:r>
    </w:p>
  </w:footnote>
  <w:footnote w:id="52">
    <w:p w14:paraId="5D6F1CD6" w14:textId="77777777" w:rsidR="00445CCB" w:rsidRPr="00F61B4C" w:rsidRDefault="00445CCB" w:rsidP="00E57AC6">
      <w:pPr>
        <w:pStyle w:val="FootnoteText"/>
        <w:jc w:val="both"/>
        <w:rPr>
          <w:rFonts w:asciiTheme="majorHAnsi" w:hAnsiTheme="majorHAnsi" w:cs="Times New Roman"/>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IACHR, Report No. 44/14, Case 12,873, Report on Merits (Publication), Edgar Tamayo Arias, United States, July 17, 2014, para. 214.</w:t>
      </w:r>
    </w:p>
  </w:footnote>
  <w:footnote w:id="53">
    <w:p w14:paraId="0AB23183" w14:textId="77777777" w:rsidR="00445CCB" w:rsidRPr="00F61B4C" w:rsidRDefault="00445CCB" w:rsidP="00D12883">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w:t>
      </w:r>
      <w:r w:rsidRPr="00966854">
        <w:rPr>
          <w:rFonts w:asciiTheme="majorHAnsi" w:eastAsia="Arial Unicode MS" w:hAnsiTheme="majorHAnsi" w:cs="Times New Roman"/>
          <w:color w:val="auto"/>
          <w:sz w:val="16"/>
          <w:szCs w:val="16"/>
          <w:lang w:eastAsia="en-US"/>
        </w:rPr>
        <w:t xml:space="preserve">VIII of the American Declaration establishes: </w:t>
      </w:r>
      <w:r w:rsidRPr="00F61B4C">
        <w:rPr>
          <w:rFonts w:asciiTheme="majorHAnsi" w:hAnsiTheme="majorHAnsi"/>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54">
    <w:p w14:paraId="7122140D" w14:textId="77777777" w:rsidR="00445CCB" w:rsidRDefault="00445CCB" w:rsidP="009C03AE">
      <w:pPr>
        <w:pStyle w:val="FootnoteText"/>
        <w:jc w:val="both"/>
      </w:pPr>
      <w:r w:rsidRPr="002E3921">
        <w:rPr>
          <w:rStyle w:val="FootnoteReference"/>
          <w:rFonts w:asciiTheme="majorHAnsi" w:hAnsiTheme="majorHAnsi"/>
          <w:sz w:val="16"/>
          <w:szCs w:val="16"/>
        </w:rPr>
        <w:footnoteRef/>
      </w:r>
      <w:r w:rsidRPr="002E3921">
        <w:rPr>
          <w:rStyle w:val="FootnoteReference"/>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XXIV</w:t>
      </w:r>
      <w:r w:rsidRPr="00966854">
        <w:rPr>
          <w:rFonts w:asciiTheme="majorHAnsi" w:eastAsia="Arial Unicode MS" w:hAnsiTheme="majorHAnsi" w:cs="Times New Roman"/>
          <w:color w:val="auto"/>
          <w:sz w:val="16"/>
          <w:szCs w:val="16"/>
          <w:lang w:eastAsia="en-US"/>
        </w:rPr>
        <w:t xml:space="preserve"> of the American Declaration establishes:</w:t>
      </w:r>
      <w:r>
        <w:rPr>
          <w:rFonts w:asciiTheme="majorHAnsi" w:eastAsia="Arial Unicode MS" w:hAnsiTheme="majorHAnsi" w:cs="Times New Roman"/>
          <w:color w:val="auto"/>
          <w:sz w:val="16"/>
          <w:szCs w:val="16"/>
          <w:lang w:eastAsia="en-US"/>
        </w:rPr>
        <w:t xml:space="preserve"> </w:t>
      </w:r>
      <w:r w:rsidRPr="002E3921">
        <w:rPr>
          <w:rFonts w:asciiTheme="majorHAnsi" w:hAnsiTheme="majorHAnsi"/>
          <w:sz w:val="16"/>
          <w:szCs w:val="16"/>
        </w:rPr>
        <w:t>Every person has the right to submit respectful petitions to any competent authority, for reasons of either general or private interest, and the right to obtain a prompt decision thereon.</w:t>
      </w:r>
    </w:p>
  </w:footnote>
  <w:footnote w:id="55">
    <w:p w14:paraId="43683008" w14:textId="77777777" w:rsidR="00445CCB" w:rsidRPr="00F61B4C" w:rsidRDefault="00445CCB" w:rsidP="00D12883">
      <w:pPr>
        <w:pStyle w:val="FootnoteText"/>
        <w:jc w:val="both"/>
        <w:rPr>
          <w:rFonts w:asciiTheme="majorHAnsi" w:hAnsiTheme="majorHAnsi"/>
          <w:sz w:val="16"/>
          <w:szCs w:val="16"/>
        </w:rPr>
      </w:pPr>
      <w:r w:rsidRPr="00D12883">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XXVI</w:t>
      </w:r>
      <w:r w:rsidRPr="00966854">
        <w:rPr>
          <w:rFonts w:asciiTheme="majorHAnsi" w:eastAsia="Arial Unicode MS" w:hAnsiTheme="majorHAnsi" w:cs="Times New Roman"/>
          <w:color w:val="auto"/>
          <w:sz w:val="16"/>
          <w:szCs w:val="16"/>
          <w:lang w:eastAsia="en-US"/>
        </w:rPr>
        <w:t xml:space="preserve"> of the American Declaration establishes:</w:t>
      </w:r>
      <w:r w:rsidRPr="00D12883">
        <w:rPr>
          <w:rStyle w:val="FootnoteReference"/>
          <w:rFonts w:asciiTheme="majorHAnsi" w:hAnsiTheme="majorHAnsi"/>
          <w:sz w:val="16"/>
          <w:szCs w:val="16"/>
        </w:rPr>
        <w:t xml:space="preserve"> </w:t>
      </w:r>
      <w:r w:rsidRPr="00F61B4C">
        <w:rPr>
          <w:rFonts w:asciiTheme="majorHAnsi" w:hAnsiTheme="majorHAnsi"/>
          <w:sz w:val="16"/>
          <w:szCs w:val="16"/>
        </w:rPr>
        <w:t>Every accused person is presumed to be innocent until proved guilty.</w:t>
      </w:r>
    </w:p>
    <w:p w14:paraId="0F077FBF" w14:textId="77777777" w:rsidR="00445CCB" w:rsidRPr="00F61B4C" w:rsidRDefault="00445CCB" w:rsidP="00D12883">
      <w:pPr>
        <w:pStyle w:val="FootnoteText"/>
        <w:jc w:val="both"/>
      </w:pPr>
      <w:r w:rsidRPr="00F61B4C">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56">
    <w:p w14:paraId="2DBC77E3" w14:textId="77777777" w:rsidR="00445CCB" w:rsidRPr="008C5978" w:rsidRDefault="00445CCB" w:rsidP="00D12883">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57">
    <w:p w14:paraId="32500D77" w14:textId="77777777" w:rsidR="00445CCB" w:rsidRPr="008C5978" w:rsidRDefault="00445CCB" w:rsidP="00D12883">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58">
    <w:p w14:paraId="44216B71" w14:textId="77777777" w:rsidR="00445CCB" w:rsidRPr="008C5978" w:rsidRDefault="00445CCB" w:rsidP="00D12883">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Cambria" w:hAnsi="Cambria" w:cs="Arial"/>
          <w:sz w:val="16"/>
          <w:szCs w:val="16"/>
        </w:rPr>
        <w:t xml:space="preserve">IACHR, </w:t>
      </w:r>
      <w:r w:rsidRPr="008C5978">
        <w:rPr>
          <w:rFonts w:ascii="Cambria" w:hAnsi="Cambria" w:cs="Arial"/>
          <w:bCs/>
          <w:sz w:val="16"/>
          <w:szCs w:val="16"/>
        </w:rPr>
        <w:t>Report No. 79/15</w:t>
      </w:r>
      <w:r w:rsidRPr="008C5978">
        <w:rPr>
          <w:rFonts w:ascii="Cambria" w:hAnsi="Cambria" w:cs="Arial"/>
          <w:sz w:val="16"/>
          <w:szCs w:val="16"/>
        </w:rPr>
        <w:t>, Case 12.994. Merits (Publication). Bernardo Aban Tercero. United States. October 28, 2015, para. 111.</w:t>
      </w:r>
    </w:p>
  </w:footnote>
  <w:footnote w:id="59">
    <w:p w14:paraId="5123A664" w14:textId="77777777" w:rsidR="00445CCB" w:rsidRPr="008C5978" w:rsidRDefault="00445CCB" w:rsidP="00D12883">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60">
    <w:p w14:paraId="5FB32A16" w14:textId="77777777" w:rsidR="00445CCB" w:rsidRPr="008C5978" w:rsidRDefault="00445CCB" w:rsidP="00D12883">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 </w:t>
      </w:r>
    </w:p>
  </w:footnote>
  <w:footnote w:id="61">
    <w:p w14:paraId="77626D13" w14:textId="77777777" w:rsidR="00445CCB" w:rsidRPr="008C5978" w:rsidRDefault="00445CCB" w:rsidP="00D12883">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Available at: </w:t>
      </w:r>
      <w:hyperlink r:id="rId6" w:history="1">
        <w:r w:rsidRPr="008C5978">
          <w:rPr>
            <w:rStyle w:val="Hyperlink"/>
            <w:rFonts w:asciiTheme="majorHAnsi" w:hAnsiTheme="majorHAnsi" w:cs="Arial"/>
            <w:color w:val="auto"/>
            <w:sz w:val="16"/>
            <w:szCs w:val="16"/>
          </w:rPr>
          <w:t>http://www.abanet.org/legalservices/downloads/ sclaid/deathpenaltyguidelines.pdf</w:t>
        </w:r>
      </w:hyperlink>
      <w:r w:rsidRPr="008C5978">
        <w:rPr>
          <w:rFonts w:asciiTheme="majorHAnsi" w:hAnsiTheme="majorHAnsi" w:cs="Arial"/>
          <w:color w:val="auto"/>
          <w:sz w:val="16"/>
          <w:szCs w:val="16"/>
        </w:rPr>
        <w:t xml:space="preserve">. </w:t>
      </w:r>
    </w:p>
  </w:footnote>
  <w:footnote w:id="62">
    <w:p w14:paraId="15FF5F00" w14:textId="77777777" w:rsidR="00445CCB" w:rsidRPr="008C5978" w:rsidRDefault="00445CCB" w:rsidP="00D12883">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at 82.</w:t>
      </w:r>
    </w:p>
  </w:footnote>
  <w:footnote w:id="63">
    <w:p w14:paraId="00EC4876" w14:textId="77777777" w:rsidR="00445CCB" w:rsidRPr="00D70778" w:rsidRDefault="00445CCB" w:rsidP="00D12883">
      <w:pPr>
        <w:pStyle w:val="FootnoteText"/>
        <w:jc w:val="both"/>
        <w:rPr>
          <w:rFonts w:asciiTheme="majorHAnsi" w:hAnsiTheme="majorHAnsi" w:cs="Arial"/>
          <w:color w:val="auto"/>
          <w:sz w:val="16"/>
          <w:szCs w:val="16"/>
        </w:rPr>
      </w:pPr>
      <w:r w:rsidRPr="00D70778">
        <w:rPr>
          <w:rStyle w:val="FootnoteReference"/>
          <w:rFonts w:asciiTheme="majorHAnsi" w:hAnsiTheme="majorHAnsi" w:cs="Arial"/>
          <w:color w:val="auto"/>
          <w:sz w:val="16"/>
          <w:szCs w:val="16"/>
        </w:rPr>
        <w:footnoteRef/>
      </w:r>
      <w:r w:rsidRPr="00D70778">
        <w:rPr>
          <w:rFonts w:asciiTheme="majorHAnsi" w:hAnsiTheme="majorHAnsi" w:cs="Arial"/>
          <w:color w:val="auto"/>
          <w:sz w:val="16"/>
          <w:szCs w:val="16"/>
        </w:rPr>
        <w:t xml:space="preserve"> American Bar Association, </w:t>
      </w:r>
      <w:r w:rsidRPr="00D70778">
        <w:rPr>
          <w:rFonts w:asciiTheme="majorHAnsi" w:hAnsiTheme="majorHAnsi" w:cs="Arial"/>
          <w:i/>
          <w:iCs/>
          <w:color w:val="auto"/>
          <w:sz w:val="16"/>
          <w:szCs w:val="16"/>
        </w:rPr>
        <w:t>Guidelines for the Appointment and Performance of Defense Counsel in Death Penalty Cases</w:t>
      </w:r>
      <w:r w:rsidRPr="00D70778">
        <w:rPr>
          <w:rFonts w:asciiTheme="majorHAnsi" w:hAnsiTheme="majorHAnsi" w:cs="Arial"/>
          <w:color w:val="auto"/>
          <w:sz w:val="16"/>
          <w:szCs w:val="16"/>
        </w:rPr>
        <w:t xml:space="preserve"> (Revised editions) (February 2003), Guideline 10.7 – Investigation, at 83.</w:t>
      </w:r>
    </w:p>
  </w:footnote>
  <w:footnote w:id="64">
    <w:p w14:paraId="03A498F5" w14:textId="77777777" w:rsidR="00445CCB" w:rsidRPr="00E56125" w:rsidRDefault="00445CCB" w:rsidP="00D70778">
      <w:pPr>
        <w:pStyle w:val="FootnoteText"/>
        <w:jc w:val="both"/>
        <w:rPr>
          <w:rFonts w:asciiTheme="majorHAnsi" w:hAnsiTheme="majorHAnsi"/>
          <w:sz w:val="16"/>
          <w:szCs w:val="16"/>
        </w:rPr>
      </w:pPr>
      <w:r w:rsidRPr="00D70778">
        <w:rPr>
          <w:rStyle w:val="FootnoteReference"/>
          <w:rFonts w:asciiTheme="majorHAnsi" w:hAnsiTheme="majorHAnsi"/>
          <w:sz w:val="16"/>
          <w:szCs w:val="16"/>
        </w:rPr>
        <w:footnoteRef/>
      </w:r>
      <w:r w:rsidRPr="00D70778">
        <w:rPr>
          <w:rFonts w:asciiTheme="majorHAnsi" w:hAnsiTheme="majorHAnsi"/>
          <w:sz w:val="16"/>
          <w:szCs w:val="16"/>
        </w:rPr>
        <w:t xml:space="preserve"> Opening</w:t>
      </w:r>
      <w:r w:rsidRPr="009741B8">
        <w:rPr>
          <w:rFonts w:asciiTheme="majorHAnsi" w:hAnsiTheme="majorHAnsi"/>
          <w:sz w:val="16"/>
          <w:szCs w:val="16"/>
        </w:rPr>
        <w:t xml:space="preserve"> Brief of Petitioner-Appellant before the U.S. Court of Appeals for the Ninth Circuit. Appendix 3, submitted with petitioner’s original petition on February 19, 2014. p. 34</w:t>
      </w:r>
    </w:p>
  </w:footnote>
  <w:footnote w:id="65">
    <w:p w14:paraId="5C8CAA6C" w14:textId="77777777" w:rsidR="00445CCB" w:rsidRPr="000C2C82" w:rsidRDefault="00445CCB" w:rsidP="000C2C82">
      <w:pPr>
        <w:pStyle w:val="FootnoteText"/>
        <w:jc w:val="both"/>
        <w:rPr>
          <w:rFonts w:asciiTheme="majorHAnsi" w:hAnsiTheme="majorHAnsi"/>
          <w:sz w:val="16"/>
          <w:szCs w:val="16"/>
        </w:rPr>
      </w:pPr>
      <w:r w:rsidRPr="000C2C82">
        <w:rPr>
          <w:rStyle w:val="FootnoteReference"/>
          <w:rFonts w:asciiTheme="majorHAnsi" w:hAnsiTheme="majorHAnsi"/>
          <w:sz w:val="16"/>
          <w:szCs w:val="16"/>
        </w:rPr>
        <w:footnoteRef/>
      </w:r>
      <w:r w:rsidRPr="000C2C82">
        <w:rPr>
          <w:rFonts w:asciiTheme="majorHAnsi" w:hAnsiTheme="majorHAnsi"/>
          <w:sz w:val="16"/>
          <w:szCs w:val="16"/>
        </w:rPr>
        <w:t xml:space="preserve"> </w:t>
      </w:r>
      <w:r w:rsidRPr="000C2C82">
        <w:rPr>
          <w:rFonts w:asciiTheme="majorHAnsi" w:hAnsiTheme="majorHAnsi" w:cs="Arial"/>
          <w:sz w:val="16"/>
          <w:szCs w:val="16"/>
          <w:lang w:val="en-GB"/>
        </w:rPr>
        <w:t xml:space="preserve">IACHR, Report No. 48/01, Case 12.067 and others, Michael Edwards </w:t>
      </w:r>
      <w:r w:rsidRPr="000C2C82">
        <w:rPr>
          <w:rFonts w:asciiTheme="majorHAnsi" w:hAnsiTheme="majorHAnsi" w:cs="Arial"/>
          <w:i/>
          <w:iCs/>
          <w:sz w:val="16"/>
          <w:szCs w:val="16"/>
          <w:lang w:val="en-GB"/>
        </w:rPr>
        <w:t>et al.</w:t>
      </w:r>
      <w:r w:rsidRPr="000C2C82">
        <w:rPr>
          <w:rFonts w:asciiTheme="majorHAnsi" w:hAnsiTheme="majorHAnsi" w:cs="Arial"/>
          <w:sz w:val="16"/>
          <w:szCs w:val="16"/>
          <w:lang w:val="en-GB"/>
        </w:rPr>
        <w:t xml:space="preserve">, The Bahamas, April 4, 2001, </w:t>
      </w:r>
      <w:r w:rsidRPr="000C2C82">
        <w:rPr>
          <w:rFonts w:asciiTheme="majorHAnsi" w:hAnsiTheme="majorHAnsi" w:cs="Arial"/>
          <w:sz w:val="16"/>
          <w:szCs w:val="16"/>
        </w:rPr>
        <w:t>para. 149.</w:t>
      </w:r>
    </w:p>
  </w:footnote>
  <w:footnote w:id="66">
    <w:p w14:paraId="1B72D825" w14:textId="77777777" w:rsidR="00445CCB" w:rsidRPr="000C2C82" w:rsidRDefault="00445CCB" w:rsidP="000C2C82">
      <w:pPr>
        <w:autoSpaceDE w:val="0"/>
        <w:autoSpaceDN w:val="0"/>
        <w:adjustRightInd w:val="0"/>
        <w:jc w:val="both"/>
        <w:rPr>
          <w:rFonts w:asciiTheme="majorHAnsi" w:hAnsiTheme="majorHAnsi"/>
          <w:sz w:val="16"/>
          <w:szCs w:val="16"/>
        </w:rPr>
      </w:pPr>
      <w:r w:rsidRPr="000C2C82">
        <w:rPr>
          <w:rStyle w:val="FootnoteReference"/>
          <w:rFonts w:asciiTheme="majorHAnsi" w:hAnsiTheme="majorHAnsi"/>
          <w:sz w:val="16"/>
          <w:szCs w:val="16"/>
        </w:rPr>
        <w:footnoteRef/>
      </w:r>
      <w:r>
        <w:rPr>
          <w:rFonts w:asciiTheme="majorHAnsi" w:hAnsiTheme="majorHAnsi"/>
          <w:sz w:val="16"/>
          <w:szCs w:val="16"/>
        </w:rPr>
        <w:t xml:space="preserve"> IACHR, Report No. 53/13, Case 12.864</w:t>
      </w:r>
      <w:r w:rsidRPr="000C2C82">
        <w:rPr>
          <w:rFonts w:asciiTheme="majorHAnsi" w:hAnsiTheme="majorHAnsi"/>
          <w:sz w:val="16"/>
          <w:szCs w:val="16"/>
        </w:rPr>
        <w:t xml:space="preserve">, </w:t>
      </w:r>
      <w:r>
        <w:rPr>
          <w:rFonts w:asciiTheme="majorHAnsi" w:hAnsiTheme="majorHAnsi"/>
          <w:sz w:val="16"/>
          <w:szCs w:val="16"/>
        </w:rPr>
        <w:t xml:space="preserve">Ivan Teleguz, United States, July 15, 2013, </w:t>
      </w:r>
      <w:r w:rsidRPr="000C2C82">
        <w:rPr>
          <w:rFonts w:asciiTheme="majorHAnsi" w:hAnsiTheme="majorHAnsi"/>
          <w:sz w:val="16"/>
          <w:szCs w:val="16"/>
        </w:rPr>
        <w:t>para. 1</w:t>
      </w:r>
      <w:r>
        <w:rPr>
          <w:rFonts w:asciiTheme="majorHAnsi" w:hAnsiTheme="majorHAnsi"/>
          <w:sz w:val="16"/>
          <w:szCs w:val="16"/>
        </w:rPr>
        <w:t>01</w:t>
      </w:r>
      <w:r w:rsidRPr="000C2C82">
        <w:rPr>
          <w:rFonts w:asciiTheme="majorHAnsi" w:hAnsiTheme="majorHAnsi"/>
          <w:sz w:val="16"/>
          <w:szCs w:val="16"/>
        </w:rPr>
        <w:t>.</w:t>
      </w:r>
    </w:p>
  </w:footnote>
  <w:footnote w:id="67">
    <w:p w14:paraId="1FDAD50A" w14:textId="77777777" w:rsidR="00445CCB" w:rsidRPr="000C2C82" w:rsidRDefault="00445CCB" w:rsidP="000C2C82">
      <w:pPr>
        <w:pStyle w:val="FootnoteText"/>
        <w:jc w:val="both"/>
        <w:rPr>
          <w:rFonts w:asciiTheme="majorHAnsi" w:hAnsiTheme="majorHAnsi"/>
          <w:sz w:val="16"/>
          <w:szCs w:val="16"/>
        </w:rPr>
      </w:pPr>
      <w:r w:rsidRPr="000C2C82">
        <w:rPr>
          <w:rStyle w:val="FootnoteReference"/>
          <w:rFonts w:asciiTheme="majorHAnsi" w:hAnsiTheme="majorHAnsi"/>
          <w:sz w:val="16"/>
          <w:szCs w:val="16"/>
        </w:rPr>
        <w:footnoteRef/>
      </w:r>
      <w:r w:rsidRPr="000C2C82">
        <w:rPr>
          <w:rFonts w:asciiTheme="majorHAnsi" w:hAnsiTheme="majorHAnsi"/>
          <w:sz w:val="16"/>
          <w:szCs w:val="16"/>
        </w:rPr>
        <w:t xml:space="preserve"> </w:t>
      </w:r>
      <w:r>
        <w:rPr>
          <w:rFonts w:asciiTheme="majorHAnsi" w:hAnsiTheme="majorHAnsi"/>
          <w:sz w:val="16"/>
          <w:szCs w:val="16"/>
        </w:rPr>
        <w:t>IACHR, Report No. 53/13, Case 12.864</w:t>
      </w:r>
      <w:r w:rsidRPr="000C2C82">
        <w:rPr>
          <w:rFonts w:asciiTheme="majorHAnsi" w:hAnsiTheme="majorHAnsi"/>
          <w:sz w:val="16"/>
          <w:szCs w:val="16"/>
        </w:rPr>
        <w:t xml:space="preserve">, </w:t>
      </w:r>
      <w:r>
        <w:rPr>
          <w:rFonts w:asciiTheme="majorHAnsi" w:hAnsiTheme="majorHAnsi"/>
          <w:sz w:val="16"/>
          <w:szCs w:val="16"/>
        </w:rPr>
        <w:t xml:space="preserve">Ivan Teleguz, United States, July 15, 2013, </w:t>
      </w:r>
      <w:r w:rsidRPr="000C2C82">
        <w:rPr>
          <w:rFonts w:asciiTheme="majorHAnsi" w:hAnsiTheme="majorHAnsi"/>
          <w:sz w:val="16"/>
          <w:szCs w:val="16"/>
        </w:rPr>
        <w:t>para. 1</w:t>
      </w:r>
      <w:r>
        <w:rPr>
          <w:rFonts w:asciiTheme="majorHAnsi" w:hAnsiTheme="majorHAnsi"/>
          <w:sz w:val="16"/>
          <w:szCs w:val="16"/>
        </w:rPr>
        <w:t>02</w:t>
      </w:r>
      <w:r w:rsidRPr="000C2C82">
        <w:rPr>
          <w:rFonts w:asciiTheme="majorHAnsi" w:hAnsiTheme="majorHAnsi"/>
          <w:sz w:val="16"/>
          <w:szCs w:val="16"/>
        </w:rPr>
        <w:t>.</w:t>
      </w:r>
    </w:p>
  </w:footnote>
  <w:footnote w:id="68">
    <w:p w14:paraId="292BB30E" w14:textId="77777777" w:rsidR="00445CCB" w:rsidRPr="00516035" w:rsidRDefault="00445CCB" w:rsidP="00516035">
      <w:pPr>
        <w:pStyle w:val="FootnoteText"/>
        <w:jc w:val="both"/>
        <w:rPr>
          <w:rFonts w:asciiTheme="majorHAnsi" w:hAnsiTheme="majorHAnsi"/>
          <w:sz w:val="16"/>
          <w:szCs w:val="16"/>
        </w:rPr>
      </w:pPr>
      <w:r w:rsidRPr="00516035">
        <w:rPr>
          <w:rStyle w:val="FootnoteReference"/>
          <w:rFonts w:asciiTheme="majorHAnsi" w:hAnsiTheme="majorHAnsi"/>
          <w:sz w:val="16"/>
          <w:szCs w:val="16"/>
        </w:rPr>
        <w:footnoteRef/>
      </w:r>
      <w:r w:rsidRPr="00516035">
        <w:rPr>
          <w:rFonts w:asciiTheme="majorHAnsi" w:hAnsiTheme="majorHAnsi"/>
          <w:sz w:val="16"/>
          <w:szCs w:val="16"/>
        </w:rPr>
        <w:t xml:space="preserve"> </w:t>
      </w:r>
      <w:r w:rsidRPr="00516035">
        <w:rPr>
          <w:rFonts w:asciiTheme="majorHAnsi" w:hAnsiTheme="majorHAnsi" w:cs="Arial"/>
          <w:sz w:val="16"/>
          <w:szCs w:val="16"/>
        </w:rPr>
        <w:t xml:space="preserve">Antiterrorism and Effective Death Penalty Act of 1996: A Summary, Charles Doyle, Senior Specialist, American Law Division. June 3, 1996. Available at: </w:t>
      </w:r>
      <w:hyperlink r:id="rId7" w:history="1">
        <w:r w:rsidRPr="00516035">
          <w:rPr>
            <w:rStyle w:val="Hyperlink"/>
            <w:rFonts w:asciiTheme="majorHAnsi" w:hAnsiTheme="majorHAnsi" w:cs="Arial"/>
            <w:sz w:val="16"/>
            <w:szCs w:val="16"/>
          </w:rPr>
          <w:t>http://www.fas.org/irp/crs/96-499.htm</w:t>
        </w:r>
      </w:hyperlink>
      <w:r w:rsidRPr="00516035">
        <w:rPr>
          <w:rFonts w:asciiTheme="majorHAnsi" w:hAnsiTheme="majorHAnsi" w:cs="Arial"/>
          <w:sz w:val="16"/>
          <w:szCs w:val="16"/>
        </w:rPr>
        <w:t>.</w:t>
      </w:r>
    </w:p>
  </w:footnote>
  <w:footnote w:id="69">
    <w:p w14:paraId="0C80F270" w14:textId="77777777" w:rsidR="00445CCB" w:rsidRPr="00516035" w:rsidRDefault="00445CCB" w:rsidP="00516035">
      <w:pPr>
        <w:pStyle w:val="NormalWeb"/>
        <w:spacing w:before="0" w:beforeAutospacing="0" w:after="0" w:afterAutospacing="0"/>
        <w:jc w:val="both"/>
        <w:rPr>
          <w:rFonts w:asciiTheme="majorHAnsi" w:hAnsiTheme="majorHAnsi" w:cs="Arial"/>
          <w:sz w:val="16"/>
          <w:szCs w:val="16"/>
        </w:rPr>
      </w:pPr>
      <w:r w:rsidRPr="00516035">
        <w:rPr>
          <w:rStyle w:val="FootnoteReference"/>
          <w:rFonts w:asciiTheme="majorHAnsi" w:hAnsiTheme="majorHAnsi"/>
          <w:sz w:val="16"/>
          <w:szCs w:val="16"/>
        </w:rPr>
        <w:footnoteRef/>
      </w:r>
      <w:r w:rsidRPr="00516035">
        <w:rPr>
          <w:rFonts w:asciiTheme="majorHAnsi" w:hAnsiTheme="majorHAnsi"/>
          <w:sz w:val="16"/>
          <w:szCs w:val="16"/>
        </w:rPr>
        <w:t xml:space="preserve"> </w:t>
      </w:r>
      <w:r w:rsidRPr="00516035">
        <w:rPr>
          <w:rFonts w:asciiTheme="majorHAnsi" w:hAnsiTheme="majorHAnsi" w:cs="Arial"/>
          <w:sz w:val="16"/>
          <w:szCs w:val="16"/>
        </w:rPr>
        <w:t xml:space="preserve">Antiterrorism and Effective Death Penalty Act of 1996: A Summary, Charles Doyle, Senior Specialist, American Law Division. June 3, 1996. Available at: </w:t>
      </w:r>
      <w:hyperlink r:id="rId8" w:history="1">
        <w:r w:rsidRPr="00516035">
          <w:rPr>
            <w:rStyle w:val="Hyperlink"/>
            <w:rFonts w:asciiTheme="majorHAnsi" w:hAnsiTheme="majorHAnsi" w:cs="Arial"/>
            <w:sz w:val="16"/>
            <w:szCs w:val="16"/>
          </w:rPr>
          <w:t>http://www.fas.org/irp/crs/96-499.htm</w:t>
        </w:r>
      </w:hyperlink>
      <w:r w:rsidRPr="00516035">
        <w:rPr>
          <w:rFonts w:asciiTheme="majorHAnsi" w:hAnsiTheme="majorHAnsi" w:cs="Arial"/>
          <w:sz w:val="16"/>
          <w:szCs w:val="16"/>
        </w:rPr>
        <w:t xml:space="preserve">. </w:t>
      </w:r>
    </w:p>
  </w:footnote>
  <w:footnote w:id="70">
    <w:p w14:paraId="49E157B4" w14:textId="77777777" w:rsidR="00445CCB" w:rsidRDefault="00445CCB">
      <w:pPr>
        <w:pStyle w:val="FootnoteText"/>
      </w:pPr>
      <w:r w:rsidRPr="00FC13F0">
        <w:rPr>
          <w:rStyle w:val="FootnoteReference"/>
          <w:rFonts w:asciiTheme="majorHAnsi" w:eastAsia="Times New Roman" w:hAnsiTheme="majorHAnsi"/>
          <w:color w:val="auto"/>
          <w:sz w:val="16"/>
          <w:szCs w:val="16"/>
          <w:bdr w:val="none" w:sz="0" w:space="0" w:color="auto"/>
          <w:lang w:eastAsia="en-US"/>
        </w:rPr>
        <w:footnoteRef/>
      </w:r>
      <w:r w:rsidRPr="00FC13F0">
        <w:rPr>
          <w:rStyle w:val="FootnoteReference"/>
          <w:rFonts w:asciiTheme="majorHAnsi" w:eastAsia="Times New Roman" w:hAnsiTheme="majorHAnsi"/>
          <w:color w:val="auto"/>
          <w:sz w:val="16"/>
          <w:szCs w:val="16"/>
          <w:bdr w:val="none" w:sz="0" w:space="0" w:color="auto"/>
          <w:lang w:eastAsia="en-US"/>
        </w:rPr>
        <w:t xml:space="preserve"> </w:t>
      </w:r>
      <w:r w:rsidRPr="00516035">
        <w:rPr>
          <w:rFonts w:asciiTheme="majorHAnsi" w:hAnsiTheme="majorHAnsi"/>
          <w:sz w:val="16"/>
          <w:szCs w:val="16"/>
        </w:rPr>
        <w:t>IACHR, Report No. 53/13, Case 12.864, Ivan Teleguz, United States, July 15, 2013, para</w:t>
      </w:r>
      <w:r>
        <w:rPr>
          <w:rFonts w:asciiTheme="majorHAnsi" w:hAnsiTheme="majorHAnsi"/>
          <w:sz w:val="16"/>
          <w:szCs w:val="16"/>
        </w:rPr>
        <w:t>s</w:t>
      </w:r>
      <w:r w:rsidRPr="00516035">
        <w:rPr>
          <w:rFonts w:asciiTheme="majorHAnsi" w:hAnsiTheme="majorHAnsi"/>
          <w:sz w:val="16"/>
          <w:szCs w:val="16"/>
        </w:rPr>
        <w:t>. 1</w:t>
      </w:r>
      <w:r>
        <w:rPr>
          <w:rFonts w:asciiTheme="majorHAnsi" w:hAnsiTheme="majorHAnsi"/>
          <w:sz w:val="16"/>
          <w:szCs w:val="16"/>
        </w:rPr>
        <w:t>09 and 110</w:t>
      </w:r>
      <w:r w:rsidRPr="00516035">
        <w:rPr>
          <w:rFonts w:asciiTheme="majorHAnsi" w:hAnsiTheme="majorHAnsi"/>
          <w:sz w:val="16"/>
          <w:szCs w:val="16"/>
        </w:rPr>
        <w:t>.</w:t>
      </w:r>
    </w:p>
  </w:footnote>
  <w:footnote w:id="71">
    <w:p w14:paraId="64EE63E3" w14:textId="77777777" w:rsidR="00445CCB" w:rsidRPr="00516035" w:rsidRDefault="00445CCB" w:rsidP="008245AD">
      <w:pPr>
        <w:pStyle w:val="FootnoteText"/>
        <w:rPr>
          <w:rFonts w:asciiTheme="majorHAnsi" w:hAnsiTheme="majorHAnsi"/>
          <w:sz w:val="16"/>
          <w:szCs w:val="16"/>
        </w:rPr>
      </w:pPr>
      <w:r w:rsidRPr="00516035">
        <w:rPr>
          <w:rStyle w:val="FootnoteReference"/>
          <w:rFonts w:asciiTheme="majorHAnsi" w:hAnsiTheme="majorHAnsi"/>
          <w:sz w:val="16"/>
          <w:szCs w:val="16"/>
        </w:rPr>
        <w:footnoteRef/>
      </w:r>
      <w:r w:rsidRPr="00516035">
        <w:rPr>
          <w:rFonts w:asciiTheme="majorHAnsi" w:hAnsiTheme="majorHAnsi"/>
          <w:sz w:val="16"/>
          <w:szCs w:val="16"/>
        </w:rPr>
        <w:t xml:space="preserve"> IACHR, Report No. 53/13, Case 12.864, Ivan Teleguz, United States, July 15, 2013, para</w:t>
      </w:r>
      <w:r>
        <w:rPr>
          <w:rFonts w:asciiTheme="majorHAnsi" w:hAnsiTheme="majorHAnsi"/>
          <w:sz w:val="16"/>
          <w:szCs w:val="16"/>
        </w:rPr>
        <w:t>s</w:t>
      </w:r>
      <w:r w:rsidRPr="00516035">
        <w:rPr>
          <w:rFonts w:asciiTheme="majorHAnsi" w:hAnsiTheme="majorHAnsi"/>
          <w:sz w:val="16"/>
          <w:szCs w:val="16"/>
        </w:rPr>
        <w:t>. 112</w:t>
      </w:r>
      <w:r>
        <w:rPr>
          <w:rFonts w:asciiTheme="majorHAnsi" w:hAnsiTheme="majorHAnsi"/>
          <w:sz w:val="16"/>
          <w:szCs w:val="16"/>
        </w:rPr>
        <w:t xml:space="preserve"> and 113</w:t>
      </w:r>
      <w:r w:rsidRPr="00516035">
        <w:rPr>
          <w:rFonts w:asciiTheme="majorHAnsi" w:hAnsiTheme="majorHAnsi"/>
          <w:sz w:val="16"/>
          <w:szCs w:val="16"/>
        </w:rPr>
        <w:t>.</w:t>
      </w:r>
    </w:p>
  </w:footnote>
  <w:footnote w:id="72">
    <w:p w14:paraId="287AF0F4" w14:textId="77777777" w:rsidR="00445CCB" w:rsidRDefault="00445CCB">
      <w:pPr>
        <w:pStyle w:val="FootnoteText"/>
      </w:pPr>
      <w:r w:rsidRPr="009E41B3">
        <w:rPr>
          <w:rStyle w:val="FootnoteReference"/>
          <w:rFonts w:asciiTheme="majorHAnsi" w:hAnsiTheme="majorHAnsi"/>
          <w:sz w:val="16"/>
          <w:szCs w:val="16"/>
        </w:rPr>
        <w:footnoteRef/>
      </w:r>
      <w:r w:rsidRPr="009E41B3">
        <w:rPr>
          <w:rStyle w:val="FootnoteReference"/>
          <w:rFonts w:asciiTheme="majorHAnsi" w:hAnsiTheme="majorHAnsi"/>
          <w:sz w:val="16"/>
          <w:szCs w:val="16"/>
        </w:rPr>
        <w:t xml:space="preserve"> </w:t>
      </w:r>
      <w:r w:rsidRPr="009E41B3">
        <w:rPr>
          <w:rFonts w:asciiTheme="majorHAnsi" w:hAnsiTheme="majorHAnsi"/>
          <w:sz w:val="16"/>
          <w:szCs w:val="16"/>
        </w:rPr>
        <w:t>IACHR, Report No. 24/17, Case 12.254. Merits. Victor Saldaño. United States. March 18, 2017, para. 227.</w:t>
      </w:r>
    </w:p>
  </w:footnote>
  <w:footnote w:id="73">
    <w:p w14:paraId="0F7A934A" w14:textId="77777777" w:rsidR="00445CCB" w:rsidRPr="00BE66B0" w:rsidRDefault="00445CCB" w:rsidP="00625585">
      <w:pPr>
        <w:pStyle w:val="FootnoteText"/>
        <w:jc w:val="both"/>
        <w:rPr>
          <w:rFonts w:asciiTheme="majorHAnsi" w:hAnsiTheme="majorHAnsi"/>
          <w:sz w:val="16"/>
          <w:szCs w:val="16"/>
        </w:rPr>
      </w:pPr>
      <w:r w:rsidRPr="00BE66B0">
        <w:rPr>
          <w:rStyle w:val="FootnoteReference"/>
          <w:rFonts w:asciiTheme="majorHAnsi" w:hAnsiTheme="majorHAnsi"/>
          <w:color w:val="auto"/>
          <w:sz w:val="16"/>
          <w:szCs w:val="16"/>
        </w:rPr>
        <w:footnoteRef/>
      </w:r>
      <w:r w:rsidRPr="00BE66B0">
        <w:rPr>
          <w:rStyle w:val="FootnoteReference"/>
          <w:rFonts w:asciiTheme="majorHAnsi" w:hAnsiTheme="majorHAnsi"/>
          <w:color w:val="auto"/>
          <w:sz w:val="16"/>
          <w:szCs w:val="16"/>
        </w:rPr>
        <w:t xml:space="preserve"> </w:t>
      </w:r>
      <w:r w:rsidRPr="00BE66B0">
        <w:rPr>
          <w:rFonts w:asciiTheme="majorHAnsi" w:hAnsiTheme="majorHAnsi"/>
          <w:color w:val="auto"/>
          <w:sz w:val="16"/>
          <w:szCs w:val="16"/>
        </w:rPr>
        <w:t>IACHR. Application of the Inter-American Commission on Human Rights before the Inter-American Court of Human Rights in the Case of Hilaire v. Trinidad and Tobago. May 25, 1999, p. 45; and IACHR, Report No. 130/17, Case 13.044. Merits. Gustavo Francisco Petro Urrego. Colombia. October 25, 2017, para. 138.</w:t>
      </w:r>
    </w:p>
  </w:footnote>
  <w:footnote w:id="74">
    <w:p w14:paraId="6C713EC5" w14:textId="77777777" w:rsidR="00445CCB" w:rsidRPr="00BE66B0" w:rsidRDefault="00445CCB" w:rsidP="00615B67">
      <w:pPr>
        <w:pStyle w:val="FootnoteText"/>
        <w:jc w:val="both"/>
        <w:rPr>
          <w:rFonts w:asciiTheme="majorHAnsi" w:hAnsiTheme="majorHAnsi"/>
          <w:sz w:val="16"/>
          <w:szCs w:val="16"/>
        </w:rPr>
      </w:pPr>
      <w:r w:rsidRPr="00BE66B0">
        <w:rPr>
          <w:rStyle w:val="FootnoteReference"/>
          <w:rFonts w:asciiTheme="majorHAnsi" w:hAnsiTheme="majorHAnsi"/>
          <w:sz w:val="16"/>
          <w:szCs w:val="16"/>
        </w:rPr>
        <w:footnoteRef/>
      </w:r>
      <w:r w:rsidRPr="00BE66B0">
        <w:rPr>
          <w:rFonts w:asciiTheme="majorHAnsi" w:hAnsiTheme="majorHAnsi"/>
          <w:sz w:val="16"/>
          <w:szCs w:val="16"/>
        </w:rPr>
        <w:t xml:space="preserve"> IACHR,</w:t>
      </w:r>
      <w:r w:rsidRPr="00BE66B0">
        <w:rPr>
          <w:rFonts w:asciiTheme="majorHAnsi" w:hAnsiTheme="majorHAnsi" w:cs="Arial"/>
          <w:bCs/>
          <w:sz w:val="16"/>
          <w:szCs w:val="16"/>
        </w:rPr>
        <w:t xml:space="preserve"> </w:t>
      </w:r>
      <w:r w:rsidRPr="00ED56AB">
        <w:rPr>
          <w:rFonts w:asciiTheme="majorHAnsi" w:hAnsiTheme="majorHAnsi"/>
          <w:color w:val="auto"/>
          <w:sz w:val="16"/>
          <w:szCs w:val="16"/>
        </w:rPr>
        <w:t>Report No. 53/13, Case 12.864, Merits (Publication), Ivan Teleguz, United States, July 15, 2013</w:t>
      </w:r>
      <w:r w:rsidRPr="00BE66B0">
        <w:rPr>
          <w:rFonts w:asciiTheme="majorHAnsi" w:hAnsiTheme="majorHAnsi" w:cs="Arial"/>
          <w:sz w:val="16"/>
          <w:szCs w:val="16"/>
        </w:rPr>
        <w:t>, para. 1</w:t>
      </w:r>
      <w:r>
        <w:rPr>
          <w:rFonts w:asciiTheme="majorHAnsi" w:hAnsiTheme="majorHAnsi" w:cs="Arial"/>
          <w:sz w:val="16"/>
          <w:szCs w:val="16"/>
        </w:rPr>
        <w:t>16</w:t>
      </w:r>
      <w:r w:rsidRPr="00BE66B0">
        <w:rPr>
          <w:rFonts w:asciiTheme="majorHAnsi" w:hAnsiTheme="majorHAnsi" w:cs="Arial"/>
          <w:sz w:val="16"/>
          <w:szCs w:val="16"/>
        </w:rPr>
        <w:t>.</w:t>
      </w:r>
    </w:p>
  </w:footnote>
  <w:footnote w:id="75">
    <w:p w14:paraId="4F81F0F2" w14:textId="77777777" w:rsidR="00445CCB" w:rsidRDefault="00445CCB" w:rsidP="009C03AE">
      <w:pPr>
        <w:pStyle w:val="FootnoteText"/>
        <w:jc w:val="both"/>
        <w:rPr>
          <w:rFonts w:asciiTheme="majorHAnsi" w:hAnsiTheme="majorHAnsi"/>
          <w:color w:val="auto"/>
          <w:sz w:val="16"/>
          <w:szCs w:val="16"/>
        </w:rPr>
      </w:pPr>
      <w:r w:rsidRPr="009C03AE">
        <w:rPr>
          <w:rStyle w:val="FootnoteReference"/>
          <w:rFonts w:asciiTheme="majorHAnsi" w:hAnsiTheme="majorHAnsi"/>
          <w:sz w:val="16"/>
          <w:szCs w:val="16"/>
        </w:rPr>
        <w:footnoteRef/>
      </w:r>
      <w:r w:rsidRPr="009C03AE">
        <w:rPr>
          <w:rStyle w:val="FootnoteReference"/>
          <w:rFonts w:asciiTheme="majorHAnsi" w:hAnsiTheme="majorHAnsi"/>
          <w:sz w:val="16"/>
          <w:szCs w:val="16"/>
        </w:rPr>
        <w:t xml:space="preserve"> </w:t>
      </w:r>
      <w:r>
        <w:rPr>
          <w:rFonts w:asciiTheme="majorHAnsi" w:hAnsiTheme="majorHAnsi"/>
          <w:color w:val="auto"/>
          <w:sz w:val="16"/>
          <w:szCs w:val="16"/>
        </w:rPr>
        <w:t>Article I of the American Declaration establishes: Every human being has the right to life, liberty and the security of his person.</w:t>
      </w:r>
    </w:p>
    <w:p w14:paraId="4705449D" w14:textId="77777777" w:rsidR="00445CCB" w:rsidRDefault="00445CCB" w:rsidP="009C03AE">
      <w:pPr>
        <w:pStyle w:val="FootnoteText"/>
        <w:jc w:val="both"/>
      </w:pPr>
      <w:r w:rsidRPr="00AD7A33">
        <w:rPr>
          <w:rFonts w:asciiTheme="majorHAnsi" w:hAnsiTheme="majorHAnsi"/>
          <w:color w:val="auto"/>
          <w:sz w:val="16"/>
          <w:szCs w:val="16"/>
        </w:rPr>
        <w:t>Article XXV of the American Declaration provides: “[…] Every individual who has been deprived of his liberty has the right […] to humane treatment during the time he is in custody.”</w:t>
      </w:r>
    </w:p>
  </w:footnote>
  <w:footnote w:id="76">
    <w:p w14:paraId="30260690" w14:textId="77777777" w:rsidR="00445CCB" w:rsidRDefault="00445CCB" w:rsidP="00D62F66">
      <w:pPr>
        <w:pStyle w:val="FootnoteText"/>
        <w:jc w:val="both"/>
      </w:pPr>
      <w:r w:rsidRPr="00D62F66">
        <w:rPr>
          <w:rStyle w:val="FootnoteReference"/>
          <w:rFonts w:asciiTheme="majorHAnsi" w:eastAsia="Arial Unicode MS" w:hAnsiTheme="majorHAnsi"/>
          <w:color w:val="auto"/>
          <w:sz w:val="16"/>
          <w:szCs w:val="16"/>
          <w:lang w:eastAsia="en-US"/>
        </w:rPr>
        <w:footnoteRef/>
      </w:r>
      <w:r w:rsidRPr="00D62F66">
        <w:rPr>
          <w:rStyle w:val="FootnoteReference"/>
          <w:rFonts w:asciiTheme="majorHAnsi" w:eastAsia="Arial Unicode MS" w:hAnsiTheme="majorHAnsi"/>
          <w:color w:val="auto"/>
          <w:sz w:val="16"/>
          <w:szCs w:val="16"/>
          <w:lang w:eastAsia="en-US"/>
        </w:rPr>
        <w:t xml:space="preserve"> </w:t>
      </w:r>
      <w:r w:rsidRPr="00D62F66">
        <w:rPr>
          <w:rFonts w:asciiTheme="majorHAnsi" w:hAnsiTheme="majorHAnsi"/>
          <w:color w:val="auto"/>
          <w:sz w:val="16"/>
          <w:szCs w:val="16"/>
        </w:rPr>
        <w:t>Article XI of the American Declaration establishes: “Every person has the right to the preservation of his health through sanitary and social measures relating to food, clothing, housing and medical care, to the extent permitted by public and community resources.</w:t>
      </w:r>
    </w:p>
  </w:footnote>
  <w:footnote w:id="77">
    <w:p w14:paraId="3DD69FC0" w14:textId="77777777" w:rsidR="00445CCB" w:rsidRPr="00BE66B0" w:rsidRDefault="00445CCB" w:rsidP="00615B67">
      <w:pPr>
        <w:pStyle w:val="FootnoteText"/>
        <w:rPr>
          <w:rFonts w:asciiTheme="majorHAnsi" w:hAnsiTheme="majorHAnsi"/>
          <w:sz w:val="16"/>
          <w:szCs w:val="16"/>
          <w:bdr w:val="none" w:sz="0" w:space="0" w:color="auto"/>
        </w:rPr>
      </w:pPr>
      <w:r w:rsidRPr="00BE66B0">
        <w:rPr>
          <w:rStyle w:val="FootnoteReference"/>
          <w:rFonts w:asciiTheme="majorHAnsi" w:eastAsia="Arial Unicode MS" w:hAnsiTheme="majorHAnsi"/>
          <w:color w:val="auto"/>
          <w:sz w:val="16"/>
          <w:szCs w:val="16"/>
          <w:lang w:eastAsia="en-US"/>
        </w:rPr>
        <w:footnoteRef/>
      </w:r>
      <w:r w:rsidRPr="00BE66B0">
        <w:rPr>
          <w:rStyle w:val="FootnoteReference"/>
          <w:rFonts w:asciiTheme="majorHAnsi" w:eastAsia="Arial Unicode MS" w:hAnsiTheme="majorHAnsi"/>
          <w:color w:val="auto"/>
          <w:sz w:val="16"/>
          <w:szCs w:val="16"/>
          <w:lang w:eastAsia="en-US"/>
        </w:rPr>
        <w:t xml:space="preserve"> </w:t>
      </w:r>
      <w:r w:rsidRPr="00BE66B0">
        <w:rPr>
          <w:rFonts w:asciiTheme="majorHAnsi" w:hAnsiTheme="majorHAnsi"/>
          <w:color w:val="auto"/>
          <w:sz w:val="16"/>
          <w:szCs w:val="16"/>
        </w:rPr>
        <w:t>IACHR, Report No. 44/14, Case 12,873. Merits (Publication). Edgar Tamayo Arias. United States, July 17, 2014, para. 152.</w:t>
      </w:r>
    </w:p>
  </w:footnote>
  <w:footnote w:id="78">
    <w:p w14:paraId="6DBB4FA1" w14:textId="77777777" w:rsidR="00445CCB" w:rsidRPr="00BE66B0" w:rsidRDefault="00445CCB" w:rsidP="00615B67">
      <w:pPr>
        <w:pStyle w:val="FootnoteText"/>
        <w:jc w:val="both"/>
        <w:rPr>
          <w:rFonts w:asciiTheme="majorHAnsi" w:hAnsiTheme="majorHAnsi"/>
          <w:sz w:val="16"/>
          <w:szCs w:val="16"/>
        </w:rPr>
      </w:pPr>
      <w:r w:rsidRPr="00BE66B0">
        <w:rPr>
          <w:rStyle w:val="FootnoteReference"/>
          <w:rFonts w:asciiTheme="majorHAnsi" w:hAnsiTheme="majorHAnsi"/>
          <w:sz w:val="16"/>
          <w:szCs w:val="16"/>
        </w:rPr>
        <w:footnoteRef/>
      </w:r>
      <w:r w:rsidRPr="00BE66B0">
        <w:rPr>
          <w:rFonts w:asciiTheme="majorHAnsi" w:hAnsiTheme="majorHAnsi"/>
          <w:sz w:val="16"/>
          <w:szCs w:val="16"/>
        </w:rPr>
        <w:t xml:space="preserve"> </w:t>
      </w:r>
      <w:r w:rsidRPr="00BE66B0">
        <w:rPr>
          <w:rFonts w:asciiTheme="majorHAnsi" w:hAnsiTheme="majorHAnsi"/>
          <w:color w:val="auto"/>
          <w:sz w:val="16"/>
          <w:szCs w:val="16"/>
        </w:rPr>
        <w:t>IACHR, Report No. 44/14, Case 12,873. Merits (Publication). Edgar Tamayo Arias. United States, July 17, 2014, para. 109.</w:t>
      </w:r>
    </w:p>
  </w:footnote>
  <w:footnote w:id="79">
    <w:p w14:paraId="45EACD3F" w14:textId="77777777" w:rsidR="00445CCB" w:rsidRDefault="00445CCB" w:rsidP="00615B67">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Human Rights Committee, Sahadath v. Trinidad and Tobago, Communication No. 684/1996, April 2, 2002, </w:t>
      </w:r>
      <w:r>
        <w:rPr>
          <w:rFonts w:ascii="Cambria" w:hAnsi="Cambria" w:cs="TTE27CA0E8t00"/>
          <w:sz w:val="16"/>
          <w:szCs w:val="16"/>
        </w:rPr>
        <w:t>CCPR/C/74/D/684/1996, para. 7.2.</w:t>
      </w:r>
    </w:p>
  </w:footnote>
  <w:footnote w:id="80">
    <w:p w14:paraId="5BD0CA2B" w14:textId="77777777" w:rsidR="00445CCB" w:rsidRDefault="00445CCB" w:rsidP="00E855B5">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Safeguards Guaranteeing Protection of the Rights of Those Facing the Death Penalty, E.S.C. res. 1984/50, annex, 1984 U.N. ESCOR Supp. (No. 1) at 33, U.N. Doc. E/1984/84 (1984).</w:t>
      </w:r>
    </w:p>
  </w:footnote>
  <w:footnote w:id="81">
    <w:p w14:paraId="73E8BD1E" w14:textId="77777777" w:rsidR="00445CCB" w:rsidRDefault="00445CCB" w:rsidP="00E855B5">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United Nations Commission on Human Rights, Promotion and Protection of Human Rights, The question of the death penalty, E/CN4/2005/L.77, April 14, 2005, paragraph 7(c). </w:t>
      </w:r>
    </w:p>
  </w:footnote>
  <w:footnote w:id="82">
    <w:p w14:paraId="42AC1E83" w14:textId="77777777" w:rsidR="00445CCB" w:rsidRDefault="00445CCB" w:rsidP="00E855B5">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Interim report of the Special Rapporteur on torture and other cruel, inhuman or degrading treatment or punishment, A/67/279, August 9, 2012, para. 58. </w:t>
      </w:r>
    </w:p>
  </w:footnote>
  <w:footnote w:id="83">
    <w:p w14:paraId="601B4FBF" w14:textId="77777777" w:rsidR="00445CCB" w:rsidRDefault="00445CCB" w:rsidP="00E855B5">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Office of the High Commissioner for Human Rights, “Death row: U.N. expert urges U.S. authorities to stop execution of two persons with psychosocial disabilities,” July 17, 2012. </w:t>
      </w:r>
    </w:p>
  </w:footnote>
  <w:footnote w:id="84">
    <w:p w14:paraId="12CF2928" w14:textId="77777777" w:rsidR="00445CCB" w:rsidRDefault="00445CCB" w:rsidP="00E855B5">
      <w:pPr>
        <w:autoSpaceDE w:val="0"/>
        <w:autoSpaceDN w:val="0"/>
        <w:adjustRightInd w:val="0"/>
        <w:jc w:val="both"/>
        <w:rPr>
          <w:rFonts w:ascii="Cambria" w:hAnsi="Cambria" w:cs="Arial"/>
          <w:sz w:val="16"/>
          <w:szCs w:val="16"/>
        </w:rPr>
      </w:pPr>
      <w:r>
        <w:rPr>
          <w:rStyle w:val="FootnoteReference"/>
          <w:rFonts w:ascii="Cambria" w:hAnsi="Cambria" w:cs="Arial"/>
          <w:sz w:val="16"/>
          <w:szCs w:val="16"/>
        </w:rPr>
        <w:footnoteRef/>
      </w:r>
      <w:r>
        <w:rPr>
          <w:rFonts w:ascii="Cambria" w:hAnsi="Cambria" w:cs="Arial"/>
          <w:sz w:val="16"/>
          <w:szCs w:val="16"/>
        </w:rPr>
        <w:t xml:space="preserve"> </w:t>
      </w:r>
      <w:r>
        <w:rPr>
          <w:rFonts w:ascii="Cambria" w:hAnsi="Cambria" w:cs="Arial"/>
          <w:i/>
          <w:iCs/>
          <w:sz w:val="16"/>
          <w:szCs w:val="16"/>
        </w:rPr>
        <w:t>Atkins v. Virginia</w:t>
      </w:r>
      <w:r>
        <w:rPr>
          <w:rFonts w:ascii="Cambria" w:hAnsi="Cambria" w:cs="Arial"/>
          <w:sz w:val="16"/>
          <w:szCs w:val="16"/>
        </w:rPr>
        <w:t>, 536 U.S. 304 (2002).</w:t>
      </w:r>
    </w:p>
  </w:footnote>
  <w:footnote w:id="85">
    <w:p w14:paraId="306AA40C" w14:textId="77777777" w:rsidR="00445CCB" w:rsidRDefault="00445CCB" w:rsidP="00E855B5">
      <w:pPr>
        <w:pStyle w:val="FootnoteText"/>
        <w:jc w:val="both"/>
        <w:rPr>
          <w:rFonts w:ascii="Cambria" w:hAnsi="Cambria"/>
          <w:sz w:val="16"/>
          <w:szCs w:val="16"/>
        </w:rPr>
      </w:pPr>
      <w:r>
        <w:rPr>
          <w:rStyle w:val="FootnoteReference"/>
          <w:rFonts w:ascii="Cambria" w:hAnsi="Cambria" w:cs="Arial"/>
          <w:sz w:val="16"/>
          <w:szCs w:val="16"/>
        </w:rPr>
        <w:footnoteRef/>
      </w:r>
      <w:r>
        <w:rPr>
          <w:rFonts w:ascii="Cambria" w:hAnsi="Cambria" w:cs="Arial"/>
          <w:sz w:val="16"/>
          <w:szCs w:val="16"/>
        </w:rPr>
        <w:t xml:space="preserve"> </w:t>
      </w:r>
      <w:r>
        <w:rPr>
          <w:rFonts w:ascii="Cambria" w:hAnsi="Cambria" w:cs="Arial"/>
          <w:i/>
          <w:iCs/>
          <w:sz w:val="16"/>
          <w:szCs w:val="16"/>
        </w:rPr>
        <w:t>Atkins v. Virginia</w:t>
      </w:r>
      <w:r>
        <w:rPr>
          <w:rFonts w:ascii="Cambria" w:hAnsi="Cambria" w:cs="Arial"/>
          <w:sz w:val="16"/>
          <w:szCs w:val="16"/>
        </w:rPr>
        <w:t>, 536 U.S. 304 (2002) at 311-317.</w:t>
      </w:r>
    </w:p>
  </w:footnote>
  <w:footnote w:id="86">
    <w:p w14:paraId="062422E6" w14:textId="77777777" w:rsidR="00445CCB" w:rsidRPr="00612350" w:rsidRDefault="00445CCB" w:rsidP="00A03222">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9733AC">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paragraph 517.</w:t>
      </w:r>
    </w:p>
  </w:footnote>
  <w:footnote w:id="87">
    <w:p w14:paraId="335B906C" w14:textId="77777777" w:rsidR="00445CCB" w:rsidRPr="00612350" w:rsidRDefault="00445CCB" w:rsidP="00A03222">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9733AC">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paragraph 411.</w:t>
      </w:r>
    </w:p>
  </w:footnote>
  <w:footnote w:id="88">
    <w:p w14:paraId="5AC041EB" w14:textId="77777777" w:rsidR="00445CCB" w:rsidRPr="00612350" w:rsidRDefault="00445CCB" w:rsidP="000C556C">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Resolution 1/08, Principles and Best Practices on the Protection of Persons Deprived of Liberty in the Americas, Principle XXII (3).</w:t>
      </w:r>
    </w:p>
  </w:footnote>
  <w:footnote w:id="89">
    <w:p w14:paraId="1CADC78A" w14:textId="77777777" w:rsidR="00445CCB" w:rsidRPr="00612350" w:rsidRDefault="00445CCB" w:rsidP="000C556C">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European Commission of Human Rights, Dhoest v Belgium, Application No. 10448/83, May 14, 1987, par</w:t>
      </w:r>
      <w:r>
        <w:rPr>
          <w:rFonts w:ascii="Cambria" w:hAnsi="Cambria"/>
          <w:sz w:val="16"/>
          <w:szCs w:val="16"/>
        </w:rPr>
        <w:t>a</w:t>
      </w:r>
      <w:r w:rsidRPr="00612350">
        <w:rPr>
          <w:rFonts w:ascii="Cambria" w:hAnsi="Cambria"/>
          <w:sz w:val="16"/>
          <w:szCs w:val="16"/>
        </w:rPr>
        <w:t>. 118.</w:t>
      </w:r>
    </w:p>
  </w:footnote>
  <w:footnote w:id="90">
    <w:p w14:paraId="51CCB393" w14:textId="77777777" w:rsidR="00445CCB" w:rsidRPr="00612350" w:rsidRDefault="00445CCB" w:rsidP="000C556C">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Torture in International Law: a guide to jurisprudence, APT and CEJIL, 2008, p. 81.</w:t>
      </w:r>
    </w:p>
  </w:footnote>
  <w:footnote w:id="91">
    <w:p w14:paraId="35120251" w14:textId="77777777" w:rsidR="00445CCB" w:rsidRPr="00612350" w:rsidRDefault="00445CCB" w:rsidP="000C556C">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Human Rights Committee, Concluding Observations on Denmark, UN Doc. CCPR/CO/70/DNK, 2000, par</w:t>
      </w:r>
      <w:r>
        <w:rPr>
          <w:rFonts w:ascii="Cambria" w:hAnsi="Cambria"/>
          <w:sz w:val="16"/>
          <w:szCs w:val="16"/>
        </w:rPr>
        <w:t>a</w:t>
      </w:r>
      <w:r w:rsidRPr="00612350">
        <w:rPr>
          <w:rFonts w:ascii="Cambria" w:hAnsi="Cambria"/>
          <w:sz w:val="16"/>
          <w:szCs w:val="16"/>
        </w:rPr>
        <w:t>. 12.</w:t>
      </w:r>
    </w:p>
  </w:footnote>
  <w:footnote w:id="92">
    <w:p w14:paraId="0EEFB731" w14:textId="77777777" w:rsidR="00445CCB" w:rsidRPr="00612350" w:rsidRDefault="00445CCB" w:rsidP="000C556C">
      <w:pPr>
        <w:pStyle w:val="Default"/>
        <w:jc w:val="both"/>
        <w:rPr>
          <w:rFonts w:ascii="Cambria" w:hAnsi="Cambria"/>
          <w:color w:val="auto"/>
          <w:sz w:val="16"/>
          <w:szCs w:val="16"/>
        </w:rPr>
      </w:pPr>
      <w:r w:rsidRPr="00612350">
        <w:rPr>
          <w:rStyle w:val="FootnoteReference"/>
          <w:rFonts w:ascii="Cambria" w:hAnsi="Cambria"/>
          <w:color w:val="auto"/>
          <w:sz w:val="16"/>
          <w:szCs w:val="16"/>
        </w:rPr>
        <w:footnoteRef/>
      </w:r>
      <w:r w:rsidRPr="00612350">
        <w:rPr>
          <w:rFonts w:ascii="Cambria" w:hAnsi="Cambria"/>
          <w:color w:val="auto"/>
          <w:sz w:val="16"/>
          <w:szCs w:val="16"/>
        </w:rPr>
        <w:t xml:space="preserve"> Report of the Special Rapporteur on torture and other cruel, inhuman or degrading treatment or punishment, Juan E. Méndez, January 18, 2010, A/HRC/19/61, para. </w:t>
      </w:r>
      <w:r>
        <w:rPr>
          <w:rFonts w:ascii="Cambria" w:hAnsi="Cambria"/>
          <w:color w:val="auto"/>
          <w:sz w:val="16"/>
          <w:szCs w:val="16"/>
        </w:rPr>
        <w:t>26</w:t>
      </w:r>
      <w:r w:rsidRPr="00612350">
        <w:rPr>
          <w:rFonts w:ascii="Cambria" w:hAnsi="Cambria"/>
          <w:color w:val="auto"/>
          <w:sz w:val="16"/>
          <w:szCs w:val="16"/>
        </w:rPr>
        <w:t>.</w:t>
      </w:r>
    </w:p>
  </w:footnote>
  <w:footnote w:id="93">
    <w:p w14:paraId="1D539D82" w14:textId="77777777" w:rsidR="00445CCB" w:rsidRPr="00612350" w:rsidRDefault="00445CCB" w:rsidP="000C556C">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General Assembly, Torture and other cruel, inhuman or degrading treatment or punishment, August 5, 2011, A/66/268, paragraphs 26 and 55.</w:t>
      </w:r>
    </w:p>
  </w:footnote>
  <w:footnote w:id="94">
    <w:p w14:paraId="2BCE3B60" w14:textId="77777777" w:rsidR="00445CCB" w:rsidRPr="00612350" w:rsidRDefault="00445CCB" w:rsidP="000C556C">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Interim report of the Special Rapporteur on torture and other cruel, inhuman or degrading treatment or punishment, August 9, 2013, A/68/295, para. 61.</w:t>
      </w:r>
    </w:p>
  </w:footnote>
  <w:footnote w:id="95">
    <w:p w14:paraId="21C89FBA" w14:textId="77777777" w:rsidR="00445CCB" w:rsidRPr="00612350" w:rsidRDefault="00445CCB" w:rsidP="000C556C">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General Assembly, Torture and other cruel, inhuman or degrading treatment or punishment, August 5, 2011, A/66/268, para. 49.</w:t>
      </w:r>
    </w:p>
  </w:footnote>
  <w:footnote w:id="96">
    <w:p w14:paraId="28A471D9" w14:textId="77777777" w:rsidR="00445CCB" w:rsidRPr="00612350" w:rsidRDefault="00445CCB" w:rsidP="000C556C">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Shalev, Sharon, </w:t>
      </w:r>
      <w:r w:rsidRPr="00612350">
        <w:rPr>
          <w:rFonts w:ascii="Cambria" w:hAnsi="Cambria" w:cs="Calibri-Italic"/>
          <w:i/>
          <w:iCs/>
          <w:sz w:val="16"/>
          <w:szCs w:val="16"/>
        </w:rPr>
        <w:t>A sourcebook on solitary confinement</w:t>
      </w:r>
      <w:r w:rsidRPr="00612350">
        <w:rPr>
          <w:rFonts w:ascii="Cambria" w:hAnsi="Cambria"/>
          <w:sz w:val="16"/>
          <w:szCs w:val="16"/>
        </w:rPr>
        <w:t xml:space="preserve">, Mannheim Centre for Criminology, LSE, 2008, pp. 15 and 16. Available at: </w:t>
      </w:r>
      <w:hyperlink r:id="rId9" w:history="1">
        <w:r w:rsidRPr="00612350">
          <w:rPr>
            <w:rStyle w:val="Hyperlink"/>
            <w:rFonts w:ascii="Cambria" w:hAnsi="Cambria"/>
            <w:sz w:val="16"/>
            <w:szCs w:val="16"/>
          </w:rPr>
          <w:t>http://solitaryconfinement.org/uploads/sourcebook_web.pdf</w:t>
        </w:r>
      </w:hyperlink>
      <w:r w:rsidRPr="00612350">
        <w:rPr>
          <w:rFonts w:ascii="Cambria" w:hAnsi="Cambria"/>
          <w:sz w:val="16"/>
          <w:szCs w:val="16"/>
        </w:rPr>
        <w:t>, cited in IACHR, Report on the human rights of persons deprived of liberty in the Americas, OEA/Ser.L/V/II.Doc.64., December 31, 2011, para. 492.</w:t>
      </w:r>
    </w:p>
  </w:footnote>
  <w:footnote w:id="97">
    <w:p w14:paraId="47B04C0D" w14:textId="77777777" w:rsidR="00445CCB" w:rsidRPr="00612350" w:rsidRDefault="00445CCB" w:rsidP="00A03222">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w:t>
      </w:r>
      <w:r w:rsidRPr="00612350">
        <w:rPr>
          <w:rFonts w:ascii="Cambria" w:hAnsi="Cambria"/>
          <w:i/>
          <w:sz w:val="16"/>
          <w:szCs w:val="16"/>
        </w:rPr>
        <w:t xml:space="preserve">European Court of Human Rights, </w:t>
      </w:r>
      <w:r w:rsidRPr="00612350">
        <w:rPr>
          <w:rFonts w:ascii="Cambria" w:hAnsi="Cambria" w:cs="Calibri-Italic"/>
          <w:i/>
          <w:iCs/>
          <w:sz w:val="16"/>
          <w:szCs w:val="16"/>
        </w:rPr>
        <w:t>Case of Ramírez Sánchez v. France</w:t>
      </w:r>
      <w:r w:rsidRPr="00612350">
        <w:rPr>
          <w:rFonts w:ascii="Cambria" w:hAnsi="Cambria"/>
          <w:i/>
          <w:sz w:val="16"/>
          <w:szCs w:val="16"/>
        </w:rPr>
        <w:t>, (Application no. 59450/00), Judgment of July 4, 2006, Grand Chamber</w:t>
      </w:r>
      <w:r w:rsidRPr="00612350">
        <w:rPr>
          <w:rFonts w:ascii="Cambria" w:hAnsi="Cambria"/>
          <w:sz w:val="16"/>
          <w:szCs w:val="16"/>
        </w:rPr>
        <w:t>, para</w:t>
      </w:r>
      <w:r>
        <w:rPr>
          <w:rFonts w:ascii="Cambria" w:hAnsi="Cambria"/>
          <w:sz w:val="16"/>
          <w:szCs w:val="16"/>
        </w:rPr>
        <w:t>.</w:t>
      </w:r>
      <w:r w:rsidRPr="00612350">
        <w:rPr>
          <w:rFonts w:ascii="Cambria" w:hAnsi="Cambria"/>
          <w:sz w:val="16"/>
          <w:szCs w:val="16"/>
        </w:rPr>
        <w:t xml:space="preserve"> 120‐123.</w:t>
      </w:r>
    </w:p>
  </w:footnote>
  <w:footnote w:id="98">
    <w:p w14:paraId="51626DBB" w14:textId="77777777" w:rsidR="00445CCB" w:rsidRPr="00612350" w:rsidRDefault="00445CCB" w:rsidP="00A03222">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Human Rights Committee, CCPR/C/USA/CO/3, September 15, 2006, para</w:t>
      </w:r>
      <w:r>
        <w:rPr>
          <w:rFonts w:ascii="Cambria" w:hAnsi="Cambria"/>
          <w:sz w:val="16"/>
          <w:szCs w:val="16"/>
        </w:rPr>
        <w:t>.</w:t>
      </w:r>
      <w:r w:rsidRPr="00612350">
        <w:rPr>
          <w:rFonts w:ascii="Cambria" w:hAnsi="Cambria"/>
          <w:sz w:val="16"/>
          <w:szCs w:val="16"/>
        </w:rPr>
        <w:t xml:space="preserve"> 32. </w:t>
      </w:r>
    </w:p>
  </w:footnote>
  <w:footnote w:id="99">
    <w:p w14:paraId="48188510" w14:textId="77777777" w:rsidR="00445CCB" w:rsidRPr="00612350" w:rsidRDefault="00445CCB" w:rsidP="00F91540">
      <w:pPr>
        <w:pStyle w:val="FootnoteText"/>
        <w:jc w:val="both"/>
        <w:rPr>
          <w:rFonts w:ascii="Cambria" w:hAnsi="Cambria" w:cs="Arial"/>
          <w:sz w:val="16"/>
          <w:szCs w:val="16"/>
        </w:rPr>
      </w:pPr>
      <w:r w:rsidRPr="00612350">
        <w:rPr>
          <w:rStyle w:val="FootnoteReference"/>
          <w:rFonts w:ascii="Cambria" w:hAnsi="Cambria" w:cs="Arial"/>
          <w:sz w:val="16"/>
          <w:szCs w:val="16"/>
        </w:rPr>
        <w:footnoteRef/>
      </w:r>
      <w:r w:rsidRPr="00612350">
        <w:rPr>
          <w:rFonts w:ascii="Cambria" w:hAnsi="Cambria" w:cs="Arial"/>
          <w:sz w:val="16"/>
          <w:szCs w:val="16"/>
        </w:rPr>
        <w:t xml:space="preserve"> I/A Court H.R., </w:t>
      </w:r>
      <w:r w:rsidRPr="00612350">
        <w:rPr>
          <w:rFonts w:ascii="Cambria" w:hAnsi="Cambria" w:cs="Arial"/>
          <w:i/>
          <w:sz w:val="16"/>
          <w:szCs w:val="16"/>
        </w:rPr>
        <w:t>Hilaire, Constantine and Benjamin et al. v. Trinidad and Tobago</w:t>
      </w:r>
      <w:r>
        <w:rPr>
          <w:rFonts w:ascii="Cambria" w:hAnsi="Cambria" w:cs="Arial"/>
          <w:i/>
          <w:sz w:val="16"/>
          <w:szCs w:val="16"/>
        </w:rPr>
        <w:t xml:space="preserve"> Case.</w:t>
      </w:r>
      <w:r w:rsidRPr="00612350">
        <w:rPr>
          <w:rFonts w:ascii="Cambria" w:hAnsi="Cambria" w:cs="Arial"/>
          <w:i/>
          <w:sz w:val="16"/>
          <w:szCs w:val="16"/>
        </w:rPr>
        <w:t xml:space="preserve"> </w:t>
      </w:r>
      <w:r w:rsidRPr="00612350">
        <w:rPr>
          <w:rFonts w:ascii="Cambria" w:hAnsi="Cambria" w:cs="Arial"/>
          <w:sz w:val="16"/>
          <w:szCs w:val="16"/>
        </w:rPr>
        <w:t>Judgment of June 21, 2002. Series C No. 94, paragraphs 154-156.</w:t>
      </w:r>
    </w:p>
  </w:footnote>
  <w:footnote w:id="100">
    <w:p w14:paraId="6FB58064" w14:textId="77777777" w:rsidR="00445CCB" w:rsidRPr="00612350" w:rsidRDefault="00445CCB"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871D01">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 513.</w:t>
      </w:r>
    </w:p>
  </w:footnote>
  <w:footnote w:id="101">
    <w:p w14:paraId="210B6468" w14:textId="77777777" w:rsidR="00445CCB" w:rsidRPr="00612350" w:rsidRDefault="00445CCB"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 Merits (Publication). Edgar Tamayo Arias. United States. July 17, 2014</w:t>
      </w:r>
      <w:r w:rsidRPr="00612350">
        <w:rPr>
          <w:rFonts w:ascii="Cambria" w:hAnsi="Cambria"/>
          <w:sz w:val="16"/>
          <w:szCs w:val="16"/>
        </w:rPr>
        <w:t>, para. 1</w:t>
      </w:r>
      <w:r>
        <w:rPr>
          <w:rFonts w:ascii="Cambria" w:hAnsi="Cambria"/>
          <w:sz w:val="16"/>
          <w:szCs w:val="16"/>
        </w:rPr>
        <w:t>89</w:t>
      </w:r>
      <w:r w:rsidRPr="00612350">
        <w:rPr>
          <w:rFonts w:ascii="Cambria" w:hAnsi="Cambria"/>
          <w:sz w:val="16"/>
          <w:szCs w:val="16"/>
        </w:rPr>
        <w:t>.</w:t>
      </w:r>
    </w:p>
  </w:footnote>
  <w:footnote w:id="102">
    <w:p w14:paraId="4D17A8CC" w14:textId="77777777" w:rsidR="00445CCB" w:rsidRPr="00612350" w:rsidRDefault="00445CCB"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 Merits (Publication). Edgar Tamayo Arias. United States. July 17, 2014</w:t>
      </w:r>
      <w:r w:rsidRPr="00612350">
        <w:rPr>
          <w:rFonts w:ascii="Cambria" w:hAnsi="Cambria"/>
          <w:sz w:val="16"/>
          <w:szCs w:val="16"/>
        </w:rPr>
        <w:t>, para. 1</w:t>
      </w:r>
      <w:r>
        <w:rPr>
          <w:rFonts w:ascii="Cambria" w:hAnsi="Cambria"/>
          <w:sz w:val="16"/>
          <w:szCs w:val="16"/>
        </w:rPr>
        <w:t>90</w:t>
      </w:r>
      <w:r w:rsidRPr="00612350">
        <w:rPr>
          <w:rFonts w:ascii="Cambria" w:hAnsi="Cambria"/>
          <w:sz w:val="16"/>
          <w:szCs w:val="16"/>
        </w:rPr>
        <w:t>.</w:t>
      </w:r>
    </w:p>
  </w:footnote>
  <w:footnote w:id="103">
    <w:p w14:paraId="1FB36ABC" w14:textId="77777777" w:rsidR="00445CCB" w:rsidRPr="00612350" w:rsidRDefault="00445CCB"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The death penalty and the absolute prohibition of Torture and Cruel, Inhuman, and Degrading Treatment or Punishment, Juan E. Mendez, Human Right Brief, Volume 20, Issue 1, Article 1, p. 3. </w:t>
      </w:r>
    </w:p>
  </w:footnote>
  <w:footnote w:id="104">
    <w:p w14:paraId="411272DB" w14:textId="77777777" w:rsidR="00445CCB" w:rsidRPr="00612350" w:rsidRDefault="00445CCB"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Committee Against Torture, Considerations of Reports submitted by State Parties under Article 19 of the Convention, United States, CAT</w:t>
      </w:r>
      <w:r>
        <w:rPr>
          <w:rFonts w:ascii="Cambria" w:hAnsi="Cambria"/>
          <w:sz w:val="16"/>
          <w:szCs w:val="16"/>
        </w:rPr>
        <w:t>/C/USA/CO/2, July 25, 2006, para</w:t>
      </w:r>
      <w:r w:rsidRPr="00612350">
        <w:rPr>
          <w:rFonts w:ascii="Cambria" w:hAnsi="Cambria"/>
          <w:sz w:val="16"/>
          <w:szCs w:val="16"/>
        </w:rPr>
        <w:t>. 31.</w:t>
      </w:r>
    </w:p>
  </w:footnote>
  <w:footnote w:id="105">
    <w:p w14:paraId="7BCD1D1D" w14:textId="77777777" w:rsidR="00445CCB" w:rsidRPr="008C5978" w:rsidRDefault="00445CCB" w:rsidP="00F91540">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12.958. Merits. Russell Bucklew. United States, May 10, 2018, paras. 86-90. In this report the Commission has cited a number of developments in the inter-American and other protections systems, including the regional and United Nations systems.</w:t>
      </w:r>
    </w:p>
  </w:footnote>
  <w:footnote w:id="106">
    <w:p w14:paraId="06E2CE69" w14:textId="77777777" w:rsidR="00445CCB" w:rsidRPr="00376462" w:rsidRDefault="00445CCB" w:rsidP="003A5E9B">
      <w:pPr>
        <w:pStyle w:val="FootnoteText"/>
        <w:tabs>
          <w:tab w:val="left" w:pos="0"/>
        </w:tabs>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w:t>
      </w:r>
      <w:r w:rsidRPr="00376462">
        <w:rPr>
          <w:rFonts w:asciiTheme="majorHAnsi" w:hAnsiTheme="majorHAnsi"/>
          <w:color w:val="auto"/>
          <w:sz w:val="16"/>
          <w:szCs w:val="16"/>
        </w:rPr>
        <w:t>958. Merits. Russell Bucklew. United States, May 10, 2018, para. 83.</w:t>
      </w:r>
    </w:p>
  </w:footnote>
  <w:footnote w:id="107">
    <w:p w14:paraId="461542C6" w14:textId="77777777" w:rsidR="00445CCB" w:rsidRPr="00376462" w:rsidRDefault="00445CCB" w:rsidP="003A5E9B">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rPr>
      </w:pPr>
      <w:r w:rsidRPr="00376462">
        <w:rPr>
          <w:rStyle w:val="FootnoteReference"/>
          <w:rFonts w:asciiTheme="majorHAnsi" w:hAnsiTheme="majorHAnsi"/>
          <w:color w:val="auto"/>
          <w:sz w:val="16"/>
          <w:szCs w:val="16"/>
        </w:rPr>
        <w:footnoteRef/>
      </w:r>
      <w:r w:rsidRPr="00376462">
        <w:rPr>
          <w:rStyle w:val="FootnoteReference"/>
          <w:rFonts w:asciiTheme="majorHAnsi" w:hAnsiTheme="majorHAnsi"/>
          <w:color w:val="auto"/>
          <w:sz w:val="16"/>
          <w:szCs w:val="16"/>
        </w:rPr>
        <w:t xml:space="preserve"> </w:t>
      </w:r>
      <w:r w:rsidRPr="00376462">
        <w:rPr>
          <w:rFonts w:asciiTheme="majorHAnsi" w:hAnsiTheme="majorHAnsi"/>
          <w:color w:val="auto"/>
          <w:sz w:val="16"/>
          <w:szCs w:val="16"/>
        </w:rPr>
        <w:t>IACHR, Report No. 24/17, Case 12.254. Merits. Victor Saldaño. United States. March 18, 2017, para. 246, citing IACHR, Report No. 58/02. Merits. Case 12.275. Denton Aitken. Jamaica. October 21, 2002, paras. 133 and 134.</w:t>
      </w:r>
    </w:p>
  </w:footnote>
  <w:footnote w:id="108">
    <w:p w14:paraId="38AF7B59" w14:textId="77777777" w:rsidR="00445CCB" w:rsidRPr="00590D73" w:rsidRDefault="00445CCB" w:rsidP="003A5E9B">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rPr>
      </w:pPr>
      <w:r w:rsidRPr="00376462">
        <w:rPr>
          <w:rStyle w:val="FootnoteReference"/>
          <w:rFonts w:ascii="Cambria" w:hAnsi="Cambria"/>
          <w:color w:val="auto"/>
          <w:sz w:val="16"/>
          <w:szCs w:val="16"/>
        </w:rPr>
        <w:footnoteRef/>
      </w:r>
      <w:r w:rsidRPr="00376462">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109">
    <w:p w14:paraId="3F1BE1DE" w14:textId="77777777" w:rsidR="00445CCB" w:rsidRDefault="00445CCB">
      <w:pPr>
        <w:pStyle w:val="FootnoteText"/>
      </w:pPr>
      <w:r w:rsidRPr="00C535F1">
        <w:rPr>
          <w:rStyle w:val="FootnoteReference"/>
          <w:rFonts w:ascii="Cambria" w:hAnsi="Cambria"/>
          <w:color w:val="auto"/>
          <w:sz w:val="16"/>
          <w:szCs w:val="16"/>
        </w:rPr>
        <w:footnoteRef/>
      </w:r>
      <w:r w:rsidRPr="00C535F1">
        <w:rPr>
          <w:rStyle w:val="FootnoteReference"/>
          <w:rFonts w:ascii="Cambria" w:hAnsi="Cambria"/>
          <w:color w:val="auto"/>
          <w:sz w:val="16"/>
          <w:szCs w:val="16"/>
        </w:rPr>
        <w:t xml:space="preserve"> </w:t>
      </w:r>
      <w:r>
        <w:rPr>
          <w:rFonts w:asciiTheme="majorHAnsi" w:hAnsiTheme="majorHAnsi"/>
          <w:color w:val="auto"/>
          <w:sz w:val="16"/>
          <w:szCs w:val="16"/>
        </w:rPr>
        <w:t>Article I of the American Declaration establishes: Every human being has the right to life, liberty and the security of his person.</w:t>
      </w:r>
    </w:p>
  </w:footnote>
  <w:footnote w:id="110">
    <w:p w14:paraId="2BB4E801" w14:textId="77777777" w:rsidR="00445CCB" w:rsidRPr="00ED56AB" w:rsidRDefault="00445CCB" w:rsidP="00BE356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Teleguz, United States, July 15, 2013, para. 129.</w:t>
      </w:r>
    </w:p>
  </w:footnote>
  <w:footnote w:id="111">
    <w:p w14:paraId="5635267C" w14:textId="77777777" w:rsidR="00445CCB" w:rsidRPr="00700471" w:rsidRDefault="00445CCB" w:rsidP="00BE3560">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112">
    <w:p w14:paraId="4BE0282C" w14:textId="77777777" w:rsidR="00445CCB" w:rsidRDefault="00445CCB" w:rsidP="00C712F7">
      <w:pPr>
        <w:pStyle w:val="FootnoteText"/>
        <w:jc w:val="both"/>
        <w:rPr>
          <w:rFonts w:asciiTheme="majorHAnsi" w:hAnsiTheme="majorHAnsi"/>
          <w:color w:val="auto"/>
          <w:sz w:val="16"/>
          <w:szCs w:val="16"/>
          <w:bdr w:val="none" w:sz="0" w:space="0" w:color="auto"/>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113">
    <w:p w14:paraId="50123EC2" w14:textId="77777777" w:rsidR="00445CCB" w:rsidRDefault="00445CCB" w:rsidP="00AA3C9F">
      <w:pPr>
        <w:pStyle w:val="FootnoteText"/>
        <w:jc w:val="both"/>
        <w:rPr>
          <w:rFonts w:asciiTheme="majorHAnsi" w:hAnsiTheme="majorHAnsi"/>
          <w:color w:val="auto"/>
          <w:sz w:val="16"/>
          <w:szCs w:val="16"/>
          <w:bdr w:val="none" w:sz="0" w:space="0" w:color="auto"/>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AC73" w14:textId="77777777" w:rsidR="00445CCB" w:rsidRDefault="00445CCB"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1EC9909" w14:textId="77777777" w:rsidR="00445CCB" w:rsidRDefault="00445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B1C" w14:textId="77777777" w:rsidR="00445CCB" w:rsidRDefault="00445CCB" w:rsidP="002C1641">
    <w:pPr>
      <w:pStyle w:val="Header"/>
      <w:tabs>
        <w:tab w:val="clear" w:pos="4320"/>
        <w:tab w:val="clear" w:pos="8640"/>
      </w:tabs>
      <w:jc w:val="center"/>
      <w:rPr>
        <w:sz w:val="22"/>
        <w:szCs w:val="22"/>
      </w:rPr>
    </w:pPr>
    <w:r>
      <w:rPr>
        <w:noProof/>
        <w:sz w:val="22"/>
        <w:szCs w:val="22"/>
      </w:rPr>
      <w:drawing>
        <wp:inline distT="0" distB="0" distL="0" distR="0" wp14:anchorId="5256D9AC" wp14:editId="68E98EA6">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54C87C4" w14:textId="77777777" w:rsidR="00445CCB" w:rsidRPr="00EC7D62" w:rsidRDefault="006447A2" w:rsidP="002C1641">
    <w:pPr>
      <w:pStyle w:val="Header"/>
      <w:tabs>
        <w:tab w:val="clear" w:pos="4320"/>
        <w:tab w:val="clear" w:pos="8640"/>
      </w:tabs>
      <w:jc w:val="center"/>
      <w:rPr>
        <w:sz w:val="22"/>
        <w:szCs w:val="22"/>
      </w:rPr>
    </w:pPr>
    <w:r>
      <w:rPr>
        <w:noProof/>
        <w:sz w:val="22"/>
        <w:szCs w:val="22"/>
        <w:bdr w:val="nil"/>
      </w:rPr>
      <w:pict w14:anchorId="5B39F0A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413084"/>
    <w:multiLevelType w:val="hybridMultilevel"/>
    <w:tmpl w:val="9BC4313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48"/>
  </w:num>
  <w:num w:numId="6">
    <w:abstractNumId w:val="25"/>
  </w:num>
  <w:num w:numId="7">
    <w:abstractNumId w:val="6"/>
  </w:num>
  <w:num w:numId="8">
    <w:abstractNumId w:val="16"/>
  </w:num>
  <w:num w:numId="9">
    <w:abstractNumId w:val="42"/>
  </w:num>
  <w:num w:numId="10">
    <w:abstractNumId w:val="0"/>
  </w:num>
  <w:num w:numId="11">
    <w:abstractNumId w:val="34"/>
  </w:num>
  <w:num w:numId="12">
    <w:abstractNumId w:val="35"/>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7"/>
  </w:num>
  <w:num w:numId="42">
    <w:abstractNumId w:val="50"/>
  </w:num>
  <w:num w:numId="43">
    <w:abstractNumId w:val="51"/>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9"/>
  </w:num>
  <w:num w:numId="52">
    <w:abstractNumId w:val="38"/>
  </w:num>
  <w:num w:numId="53">
    <w:abstractNumId w:val="52"/>
  </w:num>
  <w:num w:numId="54">
    <w:abstractNumId w:val="45"/>
  </w:num>
  <w:num w:numId="55">
    <w:abstractNumId w:val="46"/>
  </w:num>
  <w:num w:numId="56">
    <w:abstractNumId w:val="49"/>
  </w:num>
  <w:num w:numId="57">
    <w:abstractNumId w:val="40"/>
  </w:num>
  <w:num w:numId="58">
    <w:abstractNumId w:val="55"/>
  </w:num>
  <w:num w:numId="59">
    <w:abstractNumId w:val="53"/>
    <w:lvlOverride w:ilvl="0">
      <w:startOverride w:val="1"/>
    </w:lvlOverride>
  </w:num>
  <w:num w:numId="60">
    <w:abstractNumId w:val="53"/>
  </w:num>
  <w:num w:numId="61">
    <w:abstractNumId w:val="39"/>
  </w:num>
  <w:num w:numId="62">
    <w:abstractNumId w:val="41"/>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4013"/>
    <w:rsid w:val="000050CC"/>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E4F"/>
    <w:rsid w:val="00013BDD"/>
    <w:rsid w:val="00013F78"/>
    <w:rsid w:val="00014FBC"/>
    <w:rsid w:val="00015F42"/>
    <w:rsid w:val="00017552"/>
    <w:rsid w:val="0001788C"/>
    <w:rsid w:val="00021201"/>
    <w:rsid w:val="00021557"/>
    <w:rsid w:val="00022424"/>
    <w:rsid w:val="00022F55"/>
    <w:rsid w:val="0002357A"/>
    <w:rsid w:val="00024428"/>
    <w:rsid w:val="00024730"/>
    <w:rsid w:val="00024BB7"/>
    <w:rsid w:val="000265CB"/>
    <w:rsid w:val="0002681D"/>
    <w:rsid w:val="0003022F"/>
    <w:rsid w:val="00030834"/>
    <w:rsid w:val="00031189"/>
    <w:rsid w:val="00031A82"/>
    <w:rsid w:val="0003262C"/>
    <w:rsid w:val="00032BDA"/>
    <w:rsid w:val="0003324D"/>
    <w:rsid w:val="000332F4"/>
    <w:rsid w:val="00035616"/>
    <w:rsid w:val="00036A8A"/>
    <w:rsid w:val="00037633"/>
    <w:rsid w:val="000378D5"/>
    <w:rsid w:val="00040A05"/>
    <w:rsid w:val="00040C3A"/>
    <w:rsid w:val="000414D2"/>
    <w:rsid w:val="000427EE"/>
    <w:rsid w:val="00042A17"/>
    <w:rsid w:val="0004390C"/>
    <w:rsid w:val="00045601"/>
    <w:rsid w:val="000459E0"/>
    <w:rsid w:val="0004681B"/>
    <w:rsid w:val="00046D40"/>
    <w:rsid w:val="0004761C"/>
    <w:rsid w:val="00047DA5"/>
    <w:rsid w:val="00047F35"/>
    <w:rsid w:val="000516F4"/>
    <w:rsid w:val="000517B2"/>
    <w:rsid w:val="00051EB4"/>
    <w:rsid w:val="000520FB"/>
    <w:rsid w:val="00052D20"/>
    <w:rsid w:val="00053172"/>
    <w:rsid w:val="00054E1B"/>
    <w:rsid w:val="000550C0"/>
    <w:rsid w:val="000564E1"/>
    <w:rsid w:val="00056C0E"/>
    <w:rsid w:val="000576AA"/>
    <w:rsid w:val="00057D4F"/>
    <w:rsid w:val="00057EDB"/>
    <w:rsid w:val="00060666"/>
    <w:rsid w:val="0006097A"/>
    <w:rsid w:val="0006100F"/>
    <w:rsid w:val="00062269"/>
    <w:rsid w:val="00062C0F"/>
    <w:rsid w:val="00062FEC"/>
    <w:rsid w:val="000630E1"/>
    <w:rsid w:val="000639C0"/>
    <w:rsid w:val="000657E1"/>
    <w:rsid w:val="00065FBA"/>
    <w:rsid w:val="00066108"/>
    <w:rsid w:val="00066378"/>
    <w:rsid w:val="000679BC"/>
    <w:rsid w:val="00070B9D"/>
    <w:rsid w:val="00070F3A"/>
    <w:rsid w:val="0007127E"/>
    <w:rsid w:val="000716C5"/>
    <w:rsid w:val="00071A9D"/>
    <w:rsid w:val="00071E45"/>
    <w:rsid w:val="0007276C"/>
    <w:rsid w:val="000728CA"/>
    <w:rsid w:val="00072B03"/>
    <w:rsid w:val="00074669"/>
    <w:rsid w:val="000756B4"/>
    <w:rsid w:val="00075E23"/>
    <w:rsid w:val="000764E3"/>
    <w:rsid w:val="0007716F"/>
    <w:rsid w:val="00077A87"/>
    <w:rsid w:val="00080249"/>
    <w:rsid w:val="00080357"/>
    <w:rsid w:val="00081EC3"/>
    <w:rsid w:val="000823DA"/>
    <w:rsid w:val="00082CBB"/>
    <w:rsid w:val="000830D5"/>
    <w:rsid w:val="0008366A"/>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A0BA7"/>
    <w:rsid w:val="000A0EF3"/>
    <w:rsid w:val="000A16DB"/>
    <w:rsid w:val="000A1E84"/>
    <w:rsid w:val="000A2085"/>
    <w:rsid w:val="000A254B"/>
    <w:rsid w:val="000A25B1"/>
    <w:rsid w:val="000A3276"/>
    <w:rsid w:val="000A393C"/>
    <w:rsid w:val="000A3E84"/>
    <w:rsid w:val="000A4138"/>
    <w:rsid w:val="000A4DDD"/>
    <w:rsid w:val="000A5152"/>
    <w:rsid w:val="000A51D4"/>
    <w:rsid w:val="000A575F"/>
    <w:rsid w:val="000A584B"/>
    <w:rsid w:val="000A5B0F"/>
    <w:rsid w:val="000A62C0"/>
    <w:rsid w:val="000A650D"/>
    <w:rsid w:val="000A68B6"/>
    <w:rsid w:val="000A6C50"/>
    <w:rsid w:val="000A7A76"/>
    <w:rsid w:val="000A7DBA"/>
    <w:rsid w:val="000B040F"/>
    <w:rsid w:val="000B06AC"/>
    <w:rsid w:val="000B094A"/>
    <w:rsid w:val="000B25B8"/>
    <w:rsid w:val="000B25FC"/>
    <w:rsid w:val="000B276D"/>
    <w:rsid w:val="000B2EF7"/>
    <w:rsid w:val="000B39B4"/>
    <w:rsid w:val="000B418A"/>
    <w:rsid w:val="000B478D"/>
    <w:rsid w:val="000B4DAF"/>
    <w:rsid w:val="000B4EAA"/>
    <w:rsid w:val="000B50C3"/>
    <w:rsid w:val="000C0092"/>
    <w:rsid w:val="000C0149"/>
    <w:rsid w:val="000C04CF"/>
    <w:rsid w:val="000C1094"/>
    <w:rsid w:val="000C1B5A"/>
    <w:rsid w:val="000C1C2F"/>
    <w:rsid w:val="000C1E67"/>
    <w:rsid w:val="000C2C82"/>
    <w:rsid w:val="000C45C3"/>
    <w:rsid w:val="000C5219"/>
    <w:rsid w:val="000C556C"/>
    <w:rsid w:val="000C5DEE"/>
    <w:rsid w:val="000C6FFD"/>
    <w:rsid w:val="000C7F55"/>
    <w:rsid w:val="000D0BD2"/>
    <w:rsid w:val="000D10DB"/>
    <w:rsid w:val="000D1FC7"/>
    <w:rsid w:val="000D3921"/>
    <w:rsid w:val="000D3B27"/>
    <w:rsid w:val="000D3ED4"/>
    <w:rsid w:val="000D43E0"/>
    <w:rsid w:val="000D5691"/>
    <w:rsid w:val="000D600D"/>
    <w:rsid w:val="000D6817"/>
    <w:rsid w:val="000D68F4"/>
    <w:rsid w:val="000D6EEF"/>
    <w:rsid w:val="000E0392"/>
    <w:rsid w:val="000E07F7"/>
    <w:rsid w:val="000E0F8F"/>
    <w:rsid w:val="000E11B3"/>
    <w:rsid w:val="000E1356"/>
    <w:rsid w:val="000E24D2"/>
    <w:rsid w:val="000E3937"/>
    <w:rsid w:val="000E44C7"/>
    <w:rsid w:val="000E56C3"/>
    <w:rsid w:val="000E69B3"/>
    <w:rsid w:val="000E6A5E"/>
    <w:rsid w:val="000E6EDD"/>
    <w:rsid w:val="000E7140"/>
    <w:rsid w:val="000E7636"/>
    <w:rsid w:val="000E7ED0"/>
    <w:rsid w:val="000E7F69"/>
    <w:rsid w:val="000F0A25"/>
    <w:rsid w:val="000F0EEC"/>
    <w:rsid w:val="000F4547"/>
    <w:rsid w:val="000F4D36"/>
    <w:rsid w:val="000F5D64"/>
    <w:rsid w:val="000F7409"/>
    <w:rsid w:val="00100FB7"/>
    <w:rsid w:val="00101553"/>
    <w:rsid w:val="001024E3"/>
    <w:rsid w:val="001025B1"/>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2617"/>
    <w:rsid w:val="001126EB"/>
    <w:rsid w:val="00113149"/>
    <w:rsid w:val="001131EC"/>
    <w:rsid w:val="00113ACF"/>
    <w:rsid w:val="00114527"/>
    <w:rsid w:val="00115009"/>
    <w:rsid w:val="00115CB1"/>
    <w:rsid w:val="00122DF4"/>
    <w:rsid w:val="00123ECD"/>
    <w:rsid w:val="00125D3B"/>
    <w:rsid w:val="0012610A"/>
    <w:rsid w:val="001267FB"/>
    <w:rsid w:val="00126F3B"/>
    <w:rsid w:val="00130A27"/>
    <w:rsid w:val="00130DE9"/>
    <w:rsid w:val="00131042"/>
    <w:rsid w:val="0013104F"/>
    <w:rsid w:val="0013178F"/>
    <w:rsid w:val="00131B01"/>
    <w:rsid w:val="00131B9D"/>
    <w:rsid w:val="00133465"/>
    <w:rsid w:val="0013403C"/>
    <w:rsid w:val="00134FF0"/>
    <w:rsid w:val="001357AD"/>
    <w:rsid w:val="001365B6"/>
    <w:rsid w:val="00136CB7"/>
    <w:rsid w:val="00137EBA"/>
    <w:rsid w:val="00140380"/>
    <w:rsid w:val="0014051C"/>
    <w:rsid w:val="00140921"/>
    <w:rsid w:val="00141DEA"/>
    <w:rsid w:val="00142AE8"/>
    <w:rsid w:val="00143E4B"/>
    <w:rsid w:val="00143EB9"/>
    <w:rsid w:val="0014445A"/>
    <w:rsid w:val="00145EDC"/>
    <w:rsid w:val="00147723"/>
    <w:rsid w:val="00147DC5"/>
    <w:rsid w:val="001503E0"/>
    <w:rsid w:val="00150DD0"/>
    <w:rsid w:val="00152085"/>
    <w:rsid w:val="00152829"/>
    <w:rsid w:val="00152944"/>
    <w:rsid w:val="0015335C"/>
    <w:rsid w:val="00154179"/>
    <w:rsid w:val="0015592F"/>
    <w:rsid w:val="00155EEE"/>
    <w:rsid w:val="00155F1D"/>
    <w:rsid w:val="00157341"/>
    <w:rsid w:val="001577B2"/>
    <w:rsid w:val="00157A9F"/>
    <w:rsid w:val="00157CE4"/>
    <w:rsid w:val="001600A4"/>
    <w:rsid w:val="001603B5"/>
    <w:rsid w:val="0016108B"/>
    <w:rsid w:val="00161150"/>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D1"/>
    <w:rsid w:val="00171725"/>
    <w:rsid w:val="0017269A"/>
    <w:rsid w:val="00172A98"/>
    <w:rsid w:val="001733D5"/>
    <w:rsid w:val="0017348C"/>
    <w:rsid w:val="001739DA"/>
    <w:rsid w:val="001739F5"/>
    <w:rsid w:val="001747B4"/>
    <w:rsid w:val="00174911"/>
    <w:rsid w:val="00174F72"/>
    <w:rsid w:val="00175827"/>
    <w:rsid w:val="0017642E"/>
    <w:rsid w:val="00180064"/>
    <w:rsid w:val="0018037F"/>
    <w:rsid w:val="001805B4"/>
    <w:rsid w:val="00180D3C"/>
    <w:rsid w:val="00180E3B"/>
    <w:rsid w:val="001819A8"/>
    <w:rsid w:val="00182F27"/>
    <w:rsid w:val="00184083"/>
    <w:rsid w:val="00184C6F"/>
    <w:rsid w:val="00187268"/>
    <w:rsid w:val="00190214"/>
    <w:rsid w:val="00190E99"/>
    <w:rsid w:val="00190F48"/>
    <w:rsid w:val="001917D9"/>
    <w:rsid w:val="00192FD4"/>
    <w:rsid w:val="0019332D"/>
    <w:rsid w:val="001937A5"/>
    <w:rsid w:val="00196280"/>
    <w:rsid w:val="001965CC"/>
    <w:rsid w:val="001970F2"/>
    <w:rsid w:val="0019748D"/>
    <w:rsid w:val="001A0782"/>
    <w:rsid w:val="001A0B42"/>
    <w:rsid w:val="001A1B32"/>
    <w:rsid w:val="001A2434"/>
    <w:rsid w:val="001A39CF"/>
    <w:rsid w:val="001A4221"/>
    <w:rsid w:val="001A5F27"/>
    <w:rsid w:val="001A6423"/>
    <w:rsid w:val="001A64EB"/>
    <w:rsid w:val="001A7439"/>
    <w:rsid w:val="001A7870"/>
    <w:rsid w:val="001A7D5B"/>
    <w:rsid w:val="001A7EDC"/>
    <w:rsid w:val="001B17B9"/>
    <w:rsid w:val="001B3279"/>
    <w:rsid w:val="001B4593"/>
    <w:rsid w:val="001B4974"/>
    <w:rsid w:val="001B4E52"/>
    <w:rsid w:val="001B56BC"/>
    <w:rsid w:val="001B5F45"/>
    <w:rsid w:val="001B60FE"/>
    <w:rsid w:val="001B63D3"/>
    <w:rsid w:val="001B7BA1"/>
    <w:rsid w:val="001C04BF"/>
    <w:rsid w:val="001C0710"/>
    <w:rsid w:val="001C1B41"/>
    <w:rsid w:val="001C2003"/>
    <w:rsid w:val="001C2173"/>
    <w:rsid w:val="001C217B"/>
    <w:rsid w:val="001C2F45"/>
    <w:rsid w:val="001C3032"/>
    <w:rsid w:val="001C38BC"/>
    <w:rsid w:val="001C3B2D"/>
    <w:rsid w:val="001C4006"/>
    <w:rsid w:val="001C48AF"/>
    <w:rsid w:val="001C4ADD"/>
    <w:rsid w:val="001C50DC"/>
    <w:rsid w:val="001C6025"/>
    <w:rsid w:val="001C68E7"/>
    <w:rsid w:val="001C6E0E"/>
    <w:rsid w:val="001C6F52"/>
    <w:rsid w:val="001D1343"/>
    <w:rsid w:val="001D1A17"/>
    <w:rsid w:val="001D1FC1"/>
    <w:rsid w:val="001D42A6"/>
    <w:rsid w:val="001D4D75"/>
    <w:rsid w:val="001D59B1"/>
    <w:rsid w:val="001D652F"/>
    <w:rsid w:val="001D6BA1"/>
    <w:rsid w:val="001D75F2"/>
    <w:rsid w:val="001D7B45"/>
    <w:rsid w:val="001E0270"/>
    <w:rsid w:val="001E0808"/>
    <w:rsid w:val="001E1061"/>
    <w:rsid w:val="001E10CA"/>
    <w:rsid w:val="001E2867"/>
    <w:rsid w:val="001E3060"/>
    <w:rsid w:val="001E31D4"/>
    <w:rsid w:val="001E3F3E"/>
    <w:rsid w:val="001E477E"/>
    <w:rsid w:val="001E4D7D"/>
    <w:rsid w:val="001E53FB"/>
    <w:rsid w:val="001E59A9"/>
    <w:rsid w:val="001E5A1A"/>
    <w:rsid w:val="001E5F04"/>
    <w:rsid w:val="001E699E"/>
    <w:rsid w:val="001E6C37"/>
    <w:rsid w:val="001F094C"/>
    <w:rsid w:val="001F0B72"/>
    <w:rsid w:val="001F3B00"/>
    <w:rsid w:val="001F4A4B"/>
    <w:rsid w:val="001F4DB8"/>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E0E"/>
    <w:rsid w:val="00211891"/>
    <w:rsid w:val="00211F3B"/>
    <w:rsid w:val="00213A2F"/>
    <w:rsid w:val="00214962"/>
    <w:rsid w:val="0021591D"/>
    <w:rsid w:val="00215CE2"/>
    <w:rsid w:val="00217D6A"/>
    <w:rsid w:val="0022169F"/>
    <w:rsid w:val="002218FD"/>
    <w:rsid w:val="00222050"/>
    <w:rsid w:val="00222647"/>
    <w:rsid w:val="002226AA"/>
    <w:rsid w:val="00223245"/>
    <w:rsid w:val="002237F3"/>
    <w:rsid w:val="00224AA7"/>
    <w:rsid w:val="00224E5F"/>
    <w:rsid w:val="00225375"/>
    <w:rsid w:val="002256AE"/>
    <w:rsid w:val="002277C3"/>
    <w:rsid w:val="0023061B"/>
    <w:rsid w:val="00231242"/>
    <w:rsid w:val="00231CD1"/>
    <w:rsid w:val="00232A3C"/>
    <w:rsid w:val="00233353"/>
    <w:rsid w:val="002351E7"/>
    <w:rsid w:val="002368C5"/>
    <w:rsid w:val="00236FA5"/>
    <w:rsid w:val="0024070A"/>
    <w:rsid w:val="00241B9E"/>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EF0"/>
    <w:rsid w:val="0027004C"/>
    <w:rsid w:val="002701A7"/>
    <w:rsid w:val="002704DB"/>
    <w:rsid w:val="002704E0"/>
    <w:rsid w:val="002706E4"/>
    <w:rsid w:val="00270C7A"/>
    <w:rsid w:val="00271175"/>
    <w:rsid w:val="00272596"/>
    <w:rsid w:val="00272854"/>
    <w:rsid w:val="00272A02"/>
    <w:rsid w:val="00272DEF"/>
    <w:rsid w:val="00272F7D"/>
    <w:rsid w:val="00273032"/>
    <w:rsid w:val="002730F6"/>
    <w:rsid w:val="00274F86"/>
    <w:rsid w:val="00275FC9"/>
    <w:rsid w:val="0027671E"/>
    <w:rsid w:val="00276728"/>
    <w:rsid w:val="00276C31"/>
    <w:rsid w:val="002772E3"/>
    <w:rsid w:val="002809AC"/>
    <w:rsid w:val="0028111A"/>
    <w:rsid w:val="00283909"/>
    <w:rsid w:val="0028392E"/>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715B"/>
    <w:rsid w:val="00297288"/>
    <w:rsid w:val="0029754B"/>
    <w:rsid w:val="002A00C2"/>
    <w:rsid w:val="002A036F"/>
    <w:rsid w:val="002A05B1"/>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110C"/>
    <w:rsid w:val="002B1184"/>
    <w:rsid w:val="002B1D55"/>
    <w:rsid w:val="002B2AB5"/>
    <w:rsid w:val="002B30E6"/>
    <w:rsid w:val="002B3A2B"/>
    <w:rsid w:val="002B4417"/>
    <w:rsid w:val="002B4B61"/>
    <w:rsid w:val="002B5F8A"/>
    <w:rsid w:val="002B78B3"/>
    <w:rsid w:val="002C0B64"/>
    <w:rsid w:val="002C10D7"/>
    <w:rsid w:val="002C1641"/>
    <w:rsid w:val="002C1EB3"/>
    <w:rsid w:val="002C1F13"/>
    <w:rsid w:val="002C2792"/>
    <w:rsid w:val="002C3312"/>
    <w:rsid w:val="002C3671"/>
    <w:rsid w:val="002C3D66"/>
    <w:rsid w:val="002C4070"/>
    <w:rsid w:val="002C58D2"/>
    <w:rsid w:val="002C5A89"/>
    <w:rsid w:val="002C5BCE"/>
    <w:rsid w:val="002C5EC4"/>
    <w:rsid w:val="002C6C33"/>
    <w:rsid w:val="002D033F"/>
    <w:rsid w:val="002D064D"/>
    <w:rsid w:val="002D12CF"/>
    <w:rsid w:val="002D1CFA"/>
    <w:rsid w:val="002D33B3"/>
    <w:rsid w:val="002D40D8"/>
    <w:rsid w:val="002D45C2"/>
    <w:rsid w:val="002D4CA0"/>
    <w:rsid w:val="002D52FA"/>
    <w:rsid w:val="002D5D4E"/>
    <w:rsid w:val="002D628F"/>
    <w:rsid w:val="002D6E69"/>
    <w:rsid w:val="002D7DC4"/>
    <w:rsid w:val="002D7EA2"/>
    <w:rsid w:val="002E03A4"/>
    <w:rsid w:val="002E10CD"/>
    <w:rsid w:val="002E10DC"/>
    <w:rsid w:val="002E15DF"/>
    <w:rsid w:val="002E16E8"/>
    <w:rsid w:val="002E187C"/>
    <w:rsid w:val="002E18E3"/>
    <w:rsid w:val="002E1CDE"/>
    <w:rsid w:val="002E349E"/>
    <w:rsid w:val="002E35D7"/>
    <w:rsid w:val="002E3921"/>
    <w:rsid w:val="002E3C15"/>
    <w:rsid w:val="002E432F"/>
    <w:rsid w:val="002E4F0A"/>
    <w:rsid w:val="002E5A58"/>
    <w:rsid w:val="002E61E7"/>
    <w:rsid w:val="002E620F"/>
    <w:rsid w:val="002E6267"/>
    <w:rsid w:val="002E6663"/>
    <w:rsid w:val="002E6B47"/>
    <w:rsid w:val="002E6E57"/>
    <w:rsid w:val="002E755E"/>
    <w:rsid w:val="002E78C1"/>
    <w:rsid w:val="002E7E79"/>
    <w:rsid w:val="002F097A"/>
    <w:rsid w:val="002F17C9"/>
    <w:rsid w:val="002F1B00"/>
    <w:rsid w:val="002F1B4A"/>
    <w:rsid w:val="002F2D41"/>
    <w:rsid w:val="002F2FCB"/>
    <w:rsid w:val="002F3202"/>
    <w:rsid w:val="002F3554"/>
    <w:rsid w:val="002F3598"/>
    <w:rsid w:val="002F35CB"/>
    <w:rsid w:val="002F3D27"/>
    <w:rsid w:val="002F414B"/>
    <w:rsid w:val="002F443F"/>
    <w:rsid w:val="002F503E"/>
    <w:rsid w:val="002F5686"/>
    <w:rsid w:val="002F5941"/>
    <w:rsid w:val="002F5E45"/>
    <w:rsid w:val="002F6201"/>
    <w:rsid w:val="002F63D9"/>
    <w:rsid w:val="002F6C1E"/>
    <w:rsid w:val="002F6ECD"/>
    <w:rsid w:val="002F7B0F"/>
    <w:rsid w:val="00301075"/>
    <w:rsid w:val="00301B3D"/>
    <w:rsid w:val="00301F71"/>
    <w:rsid w:val="00302733"/>
    <w:rsid w:val="003035DD"/>
    <w:rsid w:val="00303B04"/>
    <w:rsid w:val="00304182"/>
    <w:rsid w:val="0030446B"/>
    <w:rsid w:val="00304EED"/>
    <w:rsid w:val="003058E3"/>
    <w:rsid w:val="0030600F"/>
    <w:rsid w:val="00306C30"/>
    <w:rsid w:val="00306D2A"/>
    <w:rsid w:val="00307577"/>
    <w:rsid w:val="00307C8D"/>
    <w:rsid w:val="00307DF7"/>
    <w:rsid w:val="003112C6"/>
    <w:rsid w:val="00311A4F"/>
    <w:rsid w:val="00313332"/>
    <w:rsid w:val="00314078"/>
    <w:rsid w:val="00315905"/>
    <w:rsid w:val="00316026"/>
    <w:rsid w:val="00316559"/>
    <w:rsid w:val="0031724D"/>
    <w:rsid w:val="00317255"/>
    <w:rsid w:val="00317E8A"/>
    <w:rsid w:val="00317FC6"/>
    <w:rsid w:val="00320402"/>
    <w:rsid w:val="00320A64"/>
    <w:rsid w:val="00320D26"/>
    <w:rsid w:val="003215F2"/>
    <w:rsid w:val="003218DF"/>
    <w:rsid w:val="00321A96"/>
    <w:rsid w:val="00322398"/>
    <w:rsid w:val="00322450"/>
    <w:rsid w:val="003241CF"/>
    <w:rsid w:val="003245A7"/>
    <w:rsid w:val="003246B5"/>
    <w:rsid w:val="00324882"/>
    <w:rsid w:val="003249CF"/>
    <w:rsid w:val="003267B5"/>
    <w:rsid w:val="00327501"/>
    <w:rsid w:val="00330196"/>
    <w:rsid w:val="0033054B"/>
    <w:rsid w:val="00330E0E"/>
    <w:rsid w:val="0033161A"/>
    <w:rsid w:val="00331687"/>
    <w:rsid w:val="0033169F"/>
    <w:rsid w:val="00331F29"/>
    <w:rsid w:val="00332152"/>
    <w:rsid w:val="00332999"/>
    <w:rsid w:val="00332A4D"/>
    <w:rsid w:val="003330D2"/>
    <w:rsid w:val="00333FDB"/>
    <w:rsid w:val="003343F1"/>
    <w:rsid w:val="00336085"/>
    <w:rsid w:val="00337546"/>
    <w:rsid w:val="003378E0"/>
    <w:rsid w:val="00337961"/>
    <w:rsid w:val="00337C43"/>
    <w:rsid w:val="003407E0"/>
    <w:rsid w:val="00340A95"/>
    <w:rsid w:val="003410A6"/>
    <w:rsid w:val="003414AC"/>
    <w:rsid w:val="003414E6"/>
    <w:rsid w:val="00342070"/>
    <w:rsid w:val="003447BB"/>
    <w:rsid w:val="003447DA"/>
    <w:rsid w:val="00344B38"/>
    <w:rsid w:val="0034569F"/>
    <w:rsid w:val="00346D16"/>
    <w:rsid w:val="00347742"/>
    <w:rsid w:val="00351655"/>
    <w:rsid w:val="003520F3"/>
    <w:rsid w:val="0035485A"/>
    <w:rsid w:val="00355779"/>
    <w:rsid w:val="00356185"/>
    <w:rsid w:val="003567C7"/>
    <w:rsid w:val="00357206"/>
    <w:rsid w:val="00357961"/>
    <w:rsid w:val="00357C4D"/>
    <w:rsid w:val="00357D78"/>
    <w:rsid w:val="00360380"/>
    <w:rsid w:val="0036056F"/>
    <w:rsid w:val="00360674"/>
    <w:rsid w:val="0036137D"/>
    <w:rsid w:val="00361EB7"/>
    <w:rsid w:val="00362FE0"/>
    <w:rsid w:val="0036346A"/>
    <w:rsid w:val="00363954"/>
    <w:rsid w:val="00365D52"/>
    <w:rsid w:val="00366182"/>
    <w:rsid w:val="00366DBE"/>
    <w:rsid w:val="00367444"/>
    <w:rsid w:val="003675B8"/>
    <w:rsid w:val="003676F1"/>
    <w:rsid w:val="0036775E"/>
    <w:rsid w:val="00367EDD"/>
    <w:rsid w:val="00370DD4"/>
    <w:rsid w:val="003712A0"/>
    <w:rsid w:val="003712A7"/>
    <w:rsid w:val="00371EFD"/>
    <w:rsid w:val="00372B13"/>
    <w:rsid w:val="00372F8E"/>
    <w:rsid w:val="00373790"/>
    <w:rsid w:val="003741EF"/>
    <w:rsid w:val="003745F9"/>
    <w:rsid w:val="00374940"/>
    <w:rsid w:val="003750C8"/>
    <w:rsid w:val="003759D2"/>
    <w:rsid w:val="00375D88"/>
    <w:rsid w:val="00376244"/>
    <w:rsid w:val="00376462"/>
    <w:rsid w:val="00376CCB"/>
    <w:rsid w:val="00377AD8"/>
    <w:rsid w:val="00380645"/>
    <w:rsid w:val="00380A1D"/>
    <w:rsid w:val="00380B68"/>
    <w:rsid w:val="00380ECF"/>
    <w:rsid w:val="0038209A"/>
    <w:rsid w:val="00382598"/>
    <w:rsid w:val="00382CE7"/>
    <w:rsid w:val="003832D9"/>
    <w:rsid w:val="0038330F"/>
    <w:rsid w:val="00384072"/>
    <w:rsid w:val="0038421B"/>
    <w:rsid w:val="00384BAF"/>
    <w:rsid w:val="0038559B"/>
    <w:rsid w:val="00385B08"/>
    <w:rsid w:val="00386CF0"/>
    <w:rsid w:val="00386FEA"/>
    <w:rsid w:val="003902B2"/>
    <w:rsid w:val="0039061F"/>
    <w:rsid w:val="00390D19"/>
    <w:rsid w:val="00391B88"/>
    <w:rsid w:val="00391CD8"/>
    <w:rsid w:val="00393C8E"/>
    <w:rsid w:val="00394608"/>
    <w:rsid w:val="0039471C"/>
    <w:rsid w:val="00394A5D"/>
    <w:rsid w:val="00396106"/>
    <w:rsid w:val="003964BF"/>
    <w:rsid w:val="003A187E"/>
    <w:rsid w:val="003A18F4"/>
    <w:rsid w:val="003A1AE3"/>
    <w:rsid w:val="003A27F4"/>
    <w:rsid w:val="003A2DC1"/>
    <w:rsid w:val="003A348D"/>
    <w:rsid w:val="003A3C43"/>
    <w:rsid w:val="003A430F"/>
    <w:rsid w:val="003A4790"/>
    <w:rsid w:val="003A485E"/>
    <w:rsid w:val="003A4B42"/>
    <w:rsid w:val="003A527A"/>
    <w:rsid w:val="003A54CE"/>
    <w:rsid w:val="003A5E9B"/>
    <w:rsid w:val="003A6019"/>
    <w:rsid w:val="003A632E"/>
    <w:rsid w:val="003A7118"/>
    <w:rsid w:val="003A71F1"/>
    <w:rsid w:val="003A7BFE"/>
    <w:rsid w:val="003B1BD7"/>
    <w:rsid w:val="003B1D61"/>
    <w:rsid w:val="003B27EA"/>
    <w:rsid w:val="003B2C86"/>
    <w:rsid w:val="003B349D"/>
    <w:rsid w:val="003B3E94"/>
    <w:rsid w:val="003B5191"/>
    <w:rsid w:val="003B5C8C"/>
    <w:rsid w:val="003B63A0"/>
    <w:rsid w:val="003B640E"/>
    <w:rsid w:val="003B6423"/>
    <w:rsid w:val="003B66DC"/>
    <w:rsid w:val="003B6950"/>
    <w:rsid w:val="003C21BD"/>
    <w:rsid w:val="003C269F"/>
    <w:rsid w:val="003C32BC"/>
    <w:rsid w:val="003C3722"/>
    <w:rsid w:val="003C4BC0"/>
    <w:rsid w:val="003C4F69"/>
    <w:rsid w:val="003C54AD"/>
    <w:rsid w:val="003C6480"/>
    <w:rsid w:val="003C7061"/>
    <w:rsid w:val="003D007D"/>
    <w:rsid w:val="003D0C05"/>
    <w:rsid w:val="003D0D3E"/>
    <w:rsid w:val="003D1E49"/>
    <w:rsid w:val="003D2871"/>
    <w:rsid w:val="003D2C7F"/>
    <w:rsid w:val="003D3279"/>
    <w:rsid w:val="003D3435"/>
    <w:rsid w:val="003D3507"/>
    <w:rsid w:val="003D3CAC"/>
    <w:rsid w:val="003D3E1C"/>
    <w:rsid w:val="003D40A7"/>
    <w:rsid w:val="003D45DE"/>
    <w:rsid w:val="003D4A67"/>
    <w:rsid w:val="003D51A2"/>
    <w:rsid w:val="003D5A38"/>
    <w:rsid w:val="003D5C6C"/>
    <w:rsid w:val="003D5CD7"/>
    <w:rsid w:val="003D5F18"/>
    <w:rsid w:val="003D79BC"/>
    <w:rsid w:val="003E06A3"/>
    <w:rsid w:val="003E0852"/>
    <w:rsid w:val="003E14B0"/>
    <w:rsid w:val="003E1FEC"/>
    <w:rsid w:val="003E2564"/>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1230"/>
    <w:rsid w:val="003F1BBF"/>
    <w:rsid w:val="003F27C0"/>
    <w:rsid w:val="003F2D46"/>
    <w:rsid w:val="003F57C9"/>
    <w:rsid w:val="003F6707"/>
    <w:rsid w:val="003F7001"/>
    <w:rsid w:val="003F7161"/>
    <w:rsid w:val="00400C14"/>
    <w:rsid w:val="00400E6B"/>
    <w:rsid w:val="00400EA4"/>
    <w:rsid w:val="00400FF0"/>
    <w:rsid w:val="004010E9"/>
    <w:rsid w:val="004011E6"/>
    <w:rsid w:val="0040128B"/>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2AF2"/>
    <w:rsid w:val="00413779"/>
    <w:rsid w:val="00413B37"/>
    <w:rsid w:val="004142F6"/>
    <w:rsid w:val="00414A54"/>
    <w:rsid w:val="00414D3F"/>
    <w:rsid w:val="00415BAE"/>
    <w:rsid w:val="004165C2"/>
    <w:rsid w:val="00416BC5"/>
    <w:rsid w:val="00417263"/>
    <w:rsid w:val="00417356"/>
    <w:rsid w:val="0041797E"/>
    <w:rsid w:val="00420486"/>
    <w:rsid w:val="00421966"/>
    <w:rsid w:val="00421D29"/>
    <w:rsid w:val="00422536"/>
    <w:rsid w:val="00423909"/>
    <w:rsid w:val="00423E69"/>
    <w:rsid w:val="004262BB"/>
    <w:rsid w:val="004264FA"/>
    <w:rsid w:val="00426A93"/>
    <w:rsid w:val="00426DB7"/>
    <w:rsid w:val="00427406"/>
    <w:rsid w:val="0042749C"/>
    <w:rsid w:val="00427737"/>
    <w:rsid w:val="00432731"/>
    <w:rsid w:val="004332C3"/>
    <w:rsid w:val="004343C8"/>
    <w:rsid w:val="004357A1"/>
    <w:rsid w:val="00436482"/>
    <w:rsid w:val="00436C66"/>
    <w:rsid w:val="004375C9"/>
    <w:rsid w:val="00440CD9"/>
    <w:rsid w:val="00440E90"/>
    <w:rsid w:val="004413C0"/>
    <w:rsid w:val="00441D48"/>
    <w:rsid w:val="00443C71"/>
    <w:rsid w:val="00444596"/>
    <w:rsid w:val="00445C74"/>
    <w:rsid w:val="00445CCB"/>
    <w:rsid w:val="0044650B"/>
    <w:rsid w:val="004467BD"/>
    <w:rsid w:val="00446F15"/>
    <w:rsid w:val="0044706E"/>
    <w:rsid w:val="00447468"/>
    <w:rsid w:val="00447B8F"/>
    <w:rsid w:val="00450A4A"/>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781"/>
    <w:rsid w:val="00462F9A"/>
    <w:rsid w:val="004642EF"/>
    <w:rsid w:val="0046488C"/>
    <w:rsid w:val="0046574C"/>
    <w:rsid w:val="004662B0"/>
    <w:rsid w:val="004666FB"/>
    <w:rsid w:val="00467542"/>
    <w:rsid w:val="00467B7E"/>
    <w:rsid w:val="00467CF1"/>
    <w:rsid w:val="0047006D"/>
    <w:rsid w:val="004702E9"/>
    <w:rsid w:val="004715B7"/>
    <w:rsid w:val="00471BC8"/>
    <w:rsid w:val="00471ED1"/>
    <w:rsid w:val="00472B0E"/>
    <w:rsid w:val="004730AF"/>
    <w:rsid w:val="00473197"/>
    <w:rsid w:val="00476B10"/>
    <w:rsid w:val="00477BE3"/>
    <w:rsid w:val="00477D29"/>
    <w:rsid w:val="0048006B"/>
    <w:rsid w:val="00480B24"/>
    <w:rsid w:val="004810B3"/>
    <w:rsid w:val="0048119E"/>
    <w:rsid w:val="004817BD"/>
    <w:rsid w:val="00481C1F"/>
    <w:rsid w:val="00482208"/>
    <w:rsid w:val="00482528"/>
    <w:rsid w:val="00482644"/>
    <w:rsid w:val="00483146"/>
    <w:rsid w:val="00483697"/>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A1D"/>
    <w:rsid w:val="004A6298"/>
    <w:rsid w:val="004B23FB"/>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99D"/>
    <w:rsid w:val="004C68B8"/>
    <w:rsid w:val="004C7257"/>
    <w:rsid w:val="004C758F"/>
    <w:rsid w:val="004C77DC"/>
    <w:rsid w:val="004C7EE2"/>
    <w:rsid w:val="004D0229"/>
    <w:rsid w:val="004D15C2"/>
    <w:rsid w:val="004D37B1"/>
    <w:rsid w:val="004D46A5"/>
    <w:rsid w:val="004D4782"/>
    <w:rsid w:val="004D4A6A"/>
    <w:rsid w:val="004D4D1B"/>
    <w:rsid w:val="004D4E01"/>
    <w:rsid w:val="004D6025"/>
    <w:rsid w:val="004D61E8"/>
    <w:rsid w:val="004D657F"/>
    <w:rsid w:val="004D6A97"/>
    <w:rsid w:val="004D72BC"/>
    <w:rsid w:val="004D78B4"/>
    <w:rsid w:val="004E13F5"/>
    <w:rsid w:val="004E2452"/>
    <w:rsid w:val="004E2FE2"/>
    <w:rsid w:val="004E3A16"/>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D6B"/>
    <w:rsid w:val="00501DFB"/>
    <w:rsid w:val="00502E35"/>
    <w:rsid w:val="00503C4C"/>
    <w:rsid w:val="0050536C"/>
    <w:rsid w:val="00505B63"/>
    <w:rsid w:val="005066A4"/>
    <w:rsid w:val="005068B0"/>
    <w:rsid w:val="00507534"/>
    <w:rsid w:val="00507BC4"/>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560"/>
    <w:rsid w:val="00525C32"/>
    <w:rsid w:val="00525F05"/>
    <w:rsid w:val="00526204"/>
    <w:rsid w:val="005267AC"/>
    <w:rsid w:val="00526EF8"/>
    <w:rsid w:val="00527461"/>
    <w:rsid w:val="00527E0A"/>
    <w:rsid w:val="00530295"/>
    <w:rsid w:val="00530B2B"/>
    <w:rsid w:val="00531008"/>
    <w:rsid w:val="0053134C"/>
    <w:rsid w:val="00531517"/>
    <w:rsid w:val="0053187E"/>
    <w:rsid w:val="005325F6"/>
    <w:rsid w:val="005343C0"/>
    <w:rsid w:val="005346E1"/>
    <w:rsid w:val="00535135"/>
    <w:rsid w:val="005357A6"/>
    <w:rsid w:val="0053592E"/>
    <w:rsid w:val="00535FF9"/>
    <w:rsid w:val="005366E5"/>
    <w:rsid w:val="005367D0"/>
    <w:rsid w:val="00536848"/>
    <w:rsid w:val="005369AE"/>
    <w:rsid w:val="00536B9E"/>
    <w:rsid w:val="005401F2"/>
    <w:rsid w:val="00540AEC"/>
    <w:rsid w:val="00541B01"/>
    <w:rsid w:val="005422EF"/>
    <w:rsid w:val="00542375"/>
    <w:rsid w:val="005430A6"/>
    <w:rsid w:val="00543705"/>
    <w:rsid w:val="005439C3"/>
    <w:rsid w:val="00544C49"/>
    <w:rsid w:val="0054561F"/>
    <w:rsid w:val="005456B2"/>
    <w:rsid w:val="005458F3"/>
    <w:rsid w:val="0054591A"/>
    <w:rsid w:val="00547EB7"/>
    <w:rsid w:val="00550141"/>
    <w:rsid w:val="00550FAA"/>
    <w:rsid w:val="0055160C"/>
    <w:rsid w:val="005531BB"/>
    <w:rsid w:val="00553EC6"/>
    <w:rsid w:val="00554BAB"/>
    <w:rsid w:val="00555492"/>
    <w:rsid w:val="005557F2"/>
    <w:rsid w:val="00555A6E"/>
    <w:rsid w:val="00555C6B"/>
    <w:rsid w:val="00557C07"/>
    <w:rsid w:val="00560563"/>
    <w:rsid w:val="005627FD"/>
    <w:rsid w:val="00562E4A"/>
    <w:rsid w:val="00563167"/>
    <w:rsid w:val="00563314"/>
    <w:rsid w:val="005633E7"/>
    <w:rsid w:val="00563F04"/>
    <w:rsid w:val="0056432A"/>
    <w:rsid w:val="005656C4"/>
    <w:rsid w:val="00565B4B"/>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766"/>
    <w:rsid w:val="00596514"/>
    <w:rsid w:val="0059670F"/>
    <w:rsid w:val="00596ABE"/>
    <w:rsid w:val="00596AD3"/>
    <w:rsid w:val="00596B97"/>
    <w:rsid w:val="00596F42"/>
    <w:rsid w:val="00597162"/>
    <w:rsid w:val="0059770B"/>
    <w:rsid w:val="00597C8A"/>
    <w:rsid w:val="005A0410"/>
    <w:rsid w:val="005A10C2"/>
    <w:rsid w:val="005A1234"/>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F9"/>
    <w:rsid w:val="005C05FA"/>
    <w:rsid w:val="005C164F"/>
    <w:rsid w:val="005C1853"/>
    <w:rsid w:val="005C1A8D"/>
    <w:rsid w:val="005C1D8E"/>
    <w:rsid w:val="005C207A"/>
    <w:rsid w:val="005C23BD"/>
    <w:rsid w:val="005C2B10"/>
    <w:rsid w:val="005C2BA2"/>
    <w:rsid w:val="005C2E02"/>
    <w:rsid w:val="005C3149"/>
    <w:rsid w:val="005C34BB"/>
    <w:rsid w:val="005C3944"/>
    <w:rsid w:val="005C3E22"/>
    <w:rsid w:val="005C4011"/>
    <w:rsid w:val="005C4225"/>
    <w:rsid w:val="005C456D"/>
    <w:rsid w:val="005C4AF4"/>
    <w:rsid w:val="005C5870"/>
    <w:rsid w:val="005C5F93"/>
    <w:rsid w:val="005D0AC5"/>
    <w:rsid w:val="005D0FBF"/>
    <w:rsid w:val="005D1076"/>
    <w:rsid w:val="005D1128"/>
    <w:rsid w:val="005D1D34"/>
    <w:rsid w:val="005D2E13"/>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1D4B"/>
    <w:rsid w:val="005E2BDE"/>
    <w:rsid w:val="005E4A95"/>
    <w:rsid w:val="005E4CF1"/>
    <w:rsid w:val="005E5196"/>
    <w:rsid w:val="005E5258"/>
    <w:rsid w:val="005E5419"/>
    <w:rsid w:val="005E6C0C"/>
    <w:rsid w:val="005E6EE3"/>
    <w:rsid w:val="005E74C5"/>
    <w:rsid w:val="005E7642"/>
    <w:rsid w:val="005F0F33"/>
    <w:rsid w:val="005F1C54"/>
    <w:rsid w:val="005F1F31"/>
    <w:rsid w:val="005F2A0D"/>
    <w:rsid w:val="005F32A0"/>
    <w:rsid w:val="005F3F11"/>
    <w:rsid w:val="005F5456"/>
    <w:rsid w:val="005F55DC"/>
    <w:rsid w:val="005F57C1"/>
    <w:rsid w:val="005F7C35"/>
    <w:rsid w:val="0060040E"/>
    <w:rsid w:val="006005C1"/>
    <w:rsid w:val="00600A96"/>
    <w:rsid w:val="00600DEB"/>
    <w:rsid w:val="00600EE3"/>
    <w:rsid w:val="00602146"/>
    <w:rsid w:val="006021D4"/>
    <w:rsid w:val="0060270A"/>
    <w:rsid w:val="00602B9B"/>
    <w:rsid w:val="00603D6F"/>
    <w:rsid w:val="00604B83"/>
    <w:rsid w:val="006059FA"/>
    <w:rsid w:val="00607325"/>
    <w:rsid w:val="00607F83"/>
    <w:rsid w:val="006104FA"/>
    <w:rsid w:val="006112EF"/>
    <w:rsid w:val="00612B39"/>
    <w:rsid w:val="00613027"/>
    <w:rsid w:val="00613120"/>
    <w:rsid w:val="00613A08"/>
    <w:rsid w:val="00613C01"/>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54CD"/>
    <w:rsid w:val="00636406"/>
    <w:rsid w:val="00636E0C"/>
    <w:rsid w:val="00636F4A"/>
    <w:rsid w:val="00637539"/>
    <w:rsid w:val="00637B7B"/>
    <w:rsid w:val="00637E84"/>
    <w:rsid w:val="00640173"/>
    <w:rsid w:val="0064172A"/>
    <w:rsid w:val="006418C1"/>
    <w:rsid w:val="006420B7"/>
    <w:rsid w:val="00642810"/>
    <w:rsid w:val="00643F66"/>
    <w:rsid w:val="006447A2"/>
    <w:rsid w:val="006458AD"/>
    <w:rsid w:val="00647033"/>
    <w:rsid w:val="0064712F"/>
    <w:rsid w:val="0064793C"/>
    <w:rsid w:val="006504D5"/>
    <w:rsid w:val="00650FA3"/>
    <w:rsid w:val="0065154E"/>
    <w:rsid w:val="006516A4"/>
    <w:rsid w:val="006516FE"/>
    <w:rsid w:val="00651D1D"/>
    <w:rsid w:val="00652333"/>
    <w:rsid w:val="00653FB1"/>
    <w:rsid w:val="006549A4"/>
    <w:rsid w:val="00656085"/>
    <w:rsid w:val="00656FE7"/>
    <w:rsid w:val="0065765B"/>
    <w:rsid w:val="006605AC"/>
    <w:rsid w:val="006609DD"/>
    <w:rsid w:val="006615FD"/>
    <w:rsid w:val="00662F5D"/>
    <w:rsid w:val="006634C1"/>
    <w:rsid w:val="006635A6"/>
    <w:rsid w:val="00663FCB"/>
    <w:rsid w:val="00664C08"/>
    <w:rsid w:val="00664DDE"/>
    <w:rsid w:val="0066584C"/>
    <w:rsid w:val="00666382"/>
    <w:rsid w:val="006663C5"/>
    <w:rsid w:val="00666536"/>
    <w:rsid w:val="0066666B"/>
    <w:rsid w:val="00666AEF"/>
    <w:rsid w:val="006705A7"/>
    <w:rsid w:val="00670B3D"/>
    <w:rsid w:val="006716B8"/>
    <w:rsid w:val="0067329C"/>
    <w:rsid w:val="00674465"/>
    <w:rsid w:val="0067472A"/>
    <w:rsid w:val="00674C6A"/>
    <w:rsid w:val="00676ED0"/>
    <w:rsid w:val="00677938"/>
    <w:rsid w:val="00677DA7"/>
    <w:rsid w:val="0068009E"/>
    <w:rsid w:val="00680A71"/>
    <w:rsid w:val="00680AC6"/>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DE4"/>
    <w:rsid w:val="0069244C"/>
    <w:rsid w:val="00692996"/>
    <w:rsid w:val="00692A55"/>
    <w:rsid w:val="006951BB"/>
    <w:rsid w:val="0069578C"/>
    <w:rsid w:val="00695EAA"/>
    <w:rsid w:val="00696944"/>
    <w:rsid w:val="006972FB"/>
    <w:rsid w:val="00697B2C"/>
    <w:rsid w:val="006A0548"/>
    <w:rsid w:val="006A0F00"/>
    <w:rsid w:val="006A0F77"/>
    <w:rsid w:val="006A11FD"/>
    <w:rsid w:val="006A17D2"/>
    <w:rsid w:val="006A2490"/>
    <w:rsid w:val="006A3B33"/>
    <w:rsid w:val="006A3EE1"/>
    <w:rsid w:val="006A4B8C"/>
    <w:rsid w:val="006A508B"/>
    <w:rsid w:val="006A538E"/>
    <w:rsid w:val="006A58D1"/>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7DA"/>
    <w:rsid w:val="006B4324"/>
    <w:rsid w:val="006B544B"/>
    <w:rsid w:val="006B5C2E"/>
    <w:rsid w:val="006B5FBA"/>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1A3C"/>
    <w:rsid w:val="006D2C28"/>
    <w:rsid w:val="006D2CC2"/>
    <w:rsid w:val="006D2D13"/>
    <w:rsid w:val="006D48BB"/>
    <w:rsid w:val="006D52FC"/>
    <w:rsid w:val="006D5D5D"/>
    <w:rsid w:val="006D6E36"/>
    <w:rsid w:val="006D7976"/>
    <w:rsid w:val="006E00AB"/>
    <w:rsid w:val="006E0166"/>
    <w:rsid w:val="006E0D3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C78"/>
    <w:rsid w:val="006E6F1E"/>
    <w:rsid w:val="006E7B34"/>
    <w:rsid w:val="006E7EA4"/>
    <w:rsid w:val="006F157C"/>
    <w:rsid w:val="006F1601"/>
    <w:rsid w:val="006F1716"/>
    <w:rsid w:val="006F3590"/>
    <w:rsid w:val="006F3597"/>
    <w:rsid w:val="006F374D"/>
    <w:rsid w:val="006F41F1"/>
    <w:rsid w:val="006F5723"/>
    <w:rsid w:val="006F672E"/>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E8E"/>
    <w:rsid w:val="00710376"/>
    <w:rsid w:val="00710ED5"/>
    <w:rsid w:val="00711137"/>
    <w:rsid w:val="007140C0"/>
    <w:rsid w:val="00715928"/>
    <w:rsid w:val="00716BEC"/>
    <w:rsid w:val="00716D62"/>
    <w:rsid w:val="00717B70"/>
    <w:rsid w:val="0072003B"/>
    <w:rsid w:val="0072130B"/>
    <w:rsid w:val="00722293"/>
    <w:rsid w:val="0072335A"/>
    <w:rsid w:val="007237C3"/>
    <w:rsid w:val="0072472F"/>
    <w:rsid w:val="007247E2"/>
    <w:rsid w:val="007258C2"/>
    <w:rsid w:val="00727D80"/>
    <w:rsid w:val="00730731"/>
    <w:rsid w:val="00731457"/>
    <w:rsid w:val="00731DA0"/>
    <w:rsid w:val="0073241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A2A"/>
    <w:rsid w:val="00754E95"/>
    <w:rsid w:val="00755F05"/>
    <w:rsid w:val="007561AD"/>
    <w:rsid w:val="007570FA"/>
    <w:rsid w:val="00757F66"/>
    <w:rsid w:val="007607C4"/>
    <w:rsid w:val="007607EC"/>
    <w:rsid w:val="00761A58"/>
    <w:rsid w:val="00761FA1"/>
    <w:rsid w:val="00762A2F"/>
    <w:rsid w:val="00764470"/>
    <w:rsid w:val="0076495F"/>
    <w:rsid w:val="007649AF"/>
    <w:rsid w:val="00765584"/>
    <w:rsid w:val="00765CB7"/>
    <w:rsid w:val="0076643F"/>
    <w:rsid w:val="007676F5"/>
    <w:rsid w:val="00771045"/>
    <w:rsid w:val="0077118F"/>
    <w:rsid w:val="00771205"/>
    <w:rsid w:val="00773C5A"/>
    <w:rsid w:val="00774375"/>
    <w:rsid w:val="007744CC"/>
    <w:rsid w:val="00774C36"/>
    <w:rsid w:val="007769BE"/>
    <w:rsid w:val="007771C5"/>
    <w:rsid w:val="007776FF"/>
    <w:rsid w:val="0078069F"/>
    <w:rsid w:val="007809DA"/>
    <w:rsid w:val="00780BCB"/>
    <w:rsid w:val="00780ED7"/>
    <w:rsid w:val="00780F53"/>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90499"/>
    <w:rsid w:val="00791124"/>
    <w:rsid w:val="007928DA"/>
    <w:rsid w:val="00792EA6"/>
    <w:rsid w:val="00793A12"/>
    <w:rsid w:val="00794E14"/>
    <w:rsid w:val="00795940"/>
    <w:rsid w:val="00795B5E"/>
    <w:rsid w:val="00795E01"/>
    <w:rsid w:val="00796E7A"/>
    <w:rsid w:val="007977A5"/>
    <w:rsid w:val="00797AE7"/>
    <w:rsid w:val="007A13D7"/>
    <w:rsid w:val="007A17C8"/>
    <w:rsid w:val="007A18EB"/>
    <w:rsid w:val="007A2423"/>
    <w:rsid w:val="007A281C"/>
    <w:rsid w:val="007A2BD9"/>
    <w:rsid w:val="007A2EC7"/>
    <w:rsid w:val="007A2F70"/>
    <w:rsid w:val="007A3293"/>
    <w:rsid w:val="007A3478"/>
    <w:rsid w:val="007A4240"/>
    <w:rsid w:val="007A4980"/>
    <w:rsid w:val="007A57A6"/>
    <w:rsid w:val="007A5893"/>
    <w:rsid w:val="007A636F"/>
    <w:rsid w:val="007A6474"/>
    <w:rsid w:val="007A6C01"/>
    <w:rsid w:val="007A7F31"/>
    <w:rsid w:val="007B0226"/>
    <w:rsid w:val="007B04BF"/>
    <w:rsid w:val="007B0DBB"/>
    <w:rsid w:val="007B1494"/>
    <w:rsid w:val="007B186C"/>
    <w:rsid w:val="007B19A1"/>
    <w:rsid w:val="007B19FE"/>
    <w:rsid w:val="007B1B6A"/>
    <w:rsid w:val="007B2769"/>
    <w:rsid w:val="007B3C72"/>
    <w:rsid w:val="007B430B"/>
    <w:rsid w:val="007B4826"/>
    <w:rsid w:val="007B4C00"/>
    <w:rsid w:val="007B5867"/>
    <w:rsid w:val="007B6279"/>
    <w:rsid w:val="007B6C22"/>
    <w:rsid w:val="007B6EC4"/>
    <w:rsid w:val="007B762A"/>
    <w:rsid w:val="007C10AC"/>
    <w:rsid w:val="007C16AB"/>
    <w:rsid w:val="007C1BDE"/>
    <w:rsid w:val="007C22DF"/>
    <w:rsid w:val="007C2B7D"/>
    <w:rsid w:val="007C3334"/>
    <w:rsid w:val="007C3481"/>
    <w:rsid w:val="007C3734"/>
    <w:rsid w:val="007C4F1C"/>
    <w:rsid w:val="007C50F6"/>
    <w:rsid w:val="007C52BB"/>
    <w:rsid w:val="007C5476"/>
    <w:rsid w:val="007C58E8"/>
    <w:rsid w:val="007C6594"/>
    <w:rsid w:val="007C6630"/>
    <w:rsid w:val="007C7402"/>
    <w:rsid w:val="007C757E"/>
    <w:rsid w:val="007C769E"/>
    <w:rsid w:val="007C798F"/>
    <w:rsid w:val="007C7B95"/>
    <w:rsid w:val="007D0207"/>
    <w:rsid w:val="007D0309"/>
    <w:rsid w:val="007D06CB"/>
    <w:rsid w:val="007D278F"/>
    <w:rsid w:val="007D2B98"/>
    <w:rsid w:val="007D2FEE"/>
    <w:rsid w:val="007D362A"/>
    <w:rsid w:val="007D3E9B"/>
    <w:rsid w:val="007D4C93"/>
    <w:rsid w:val="007D4FA5"/>
    <w:rsid w:val="007D69AC"/>
    <w:rsid w:val="007E13CE"/>
    <w:rsid w:val="007E1856"/>
    <w:rsid w:val="007E2C05"/>
    <w:rsid w:val="007E33C3"/>
    <w:rsid w:val="007E42C4"/>
    <w:rsid w:val="007E5338"/>
    <w:rsid w:val="007E5CC7"/>
    <w:rsid w:val="007E6DAC"/>
    <w:rsid w:val="007E715E"/>
    <w:rsid w:val="007E783F"/>
    <w:rsid w:val="007F05E6"/>
    <w:rsid w:val="007F074A"/>
    <w:rsid w:val="007F1641"/>
    <w:rsid w:val="007F210C"/>
    <w:rsid w:val="007F39A0"/>
    <w:rsid w:val="007F410D"/>
    <w:rsid w:val="007F42BF"/>
    <w:rsid w:val="007F4652"/>
    <w:rsid w:val="007F4A54"/>
    <w:rsid w:val="007F4B82"/>
    <w:rsid w:val="007F4F2C"/>
    <w:rsid w:val="007F4FE2"/>
    <w:rsid w:val="007F6BB0"/>
    <w:rsid w:val="00800983"/>
    <w:rsid w:val="00800E57"/>
    <w:rsid w:val="00801B96"/>
    <w:rsid w:val="00801C7F"/>
    <w:rsid w:val="00802A23"/>
    <w:rsid w:val="0080393B"/>
    <w:rsid w:val="00803F1C"/>
    <w:rsid w:val="0080600E"/>
    <w:rsid w:val="0080677A"/>
    <w:rsid w:val="0081181A"/>
    <w:rsid w:val="00812C8D"/>
    <w:rsid w:val="00812EAF"/>
    <w:rsid w:val="0081365E"/>
    <w:rsid w:val="008150B2"/>
    <w:rsid w:val="00816E06"/>
    <w:rsid w:val="00817612"/>
    <w:rsid w:val="00817884"/>
    <w:rsid w:val="00817967"/>
    <w:rsid w:val="00817D2F"/>
    <w:rsid w:val="008204AE"/>
    <w:rsid w:val="00820D73"/>
    <w:rsid w:val="008215C0"/>
    <w:rsid w:val="008218A2"/>
    <w:rsid w:val="00823A91"/>
    <w:rsid w:val="008245AD"/>
    <w:rsid w:val="00825952"/>
    <w:rsid w:val="00825B7F"/>
    <w:rsid w:val="00827DB7"/>
    <w:rsid w:val="00830E88"/>
    <w:rsid w:val="008315C5"/>
    <w:rsid w:val="008316A7"/>
    <w:rsid w:val="00834426"/>
    <w:rsid w:val="00835F5A"/>
    <w:rsid w:val="0083716D"/>
    <w:rsid w:val="008373B6"/>
    <w:rsid w:val="00837C45"/>
    <w:rsid w:val="00837EDD"/>
    <w:rsid w:val="0084043E"/>
    <w:rsid w:val="00840923"/>
    <w:rsid w:val="008414A3"/>
    <w:rsid w:val="008422DA"/>
    <w:rsid w:val="008426FE"/>
    <w:rsid w:val="0084302E"/>
    <w:rsid w:val="00843C1B"/>
    <w:rsid w:val="008456F3"/>
    <w:rsid w:val="00845C1A"/>
    <w:rsid w:val="00846865"/>
    <w:rsid w:val="00846B2C"/>
    <w:rsid w:val="00846D39"/>
    <w:rsid w:val="008472FB"/>
    <w:rsid w:val="008473B2"/>
    <w:rsid w:val="00847A8B"/>
    <w:rsid w:val="00847B26"/>
    <w:rsid w:val="008509CC"/>
    <w:rsid w:val="0085268D"/>
    <w:rsid w:val="0085323F"/>
    <w:rsid w:val="00853419"/>
    <w:rsid w:val="00853A23"/>
    <w:rsid w:val="00854FE3"/>
    <w:rsid w:val="00855876"/>
    <w:rsid w:val="008560E1"/>
    <w:rsid w:val="008573A3"/>
    <w:rsid w:val="00860233"/>
    <w:rsid w:val="00860A02"/>
    <w:rsid w:val="00860C50"/>
    <w:rsid w:val="00861437"/>
    <w:rsid w:val="0086147D"/>
    <w:rsid w:val="00861972"/>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BEE"/>
    <w:rsid w:val="00875ABB"/>
    <w:rsid w:val="00875EC6"/>
    <w:rsid w:val="00876085"/>
    <w:rsid w:val="00877E1B"/>
    <w:rsid w:val="00880B21"/>
    <w:rsid w:val="00880F95"/>
    <w:rsid w:val="0088253F"/>
    <w:rsid w:val="00882952"/>
    <w:rsid w:val="00882C32"/>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69D3"/>
    <w:rsid w:val="00896EC2"/>
    <w:rsid w:val="008971D8"/>
    <w:rsid w:val="00897A3D"/>
    <w:rsid w:val="00897E12"/>
    <w:rsid w:val="008A065A"/>
    <w:rsid w:val="008A1C4B"/>
    <w:rsid w:val="008A2C74"/>
    <w:rsid w:val="008A3434"/>
    <w:rsid w:val="008A36FA"/>
    <w:rsid w:val="008A4FAC"/>
    <w:rsid w:val="008A5A80"/>
    <w:rsid w:val="008A5BF4"/>
    <w:rsid w:val="008A6043"/>
    <w:rsid w:val="008A67CF"/>
    <w:rsid w:val="008A6DA2"/>
    <w:rsid w:val="008A7E83"/>
    <w:rsid w:val="008A7F97"/>
    <w:rsid w:val="008A7FC7"/>
    <w:rsid w:val="008B0E6D"/>
    <w:rsid w:val="008B0EE7"/>
    <w:rsid w:val="008B14CB"/>
    <w:rsid w:val="008B1CA7"/>
    <w:rsid w:val="008B24D5"/>
    <w:rsid w:val="008B25FC"/>
    <w:rsid w:val="008B2DA9"/>
    <w:rsid w:val="008B3466"/>
    <w:rsid w:val="008B44C5"/>
    <w:rsid w:val="008B5124"/>
    <w:rsid w:val="008B7B3C"/>
    <w:rsid w:val="008C00EE"/>
    <w:rsid w:val="008C067C"/>
    <w:rsid w:val="008C2789"/>
    <w:rsid w:val="008C2DF6"/>
    <w:rsid w:val="008C5978"/>
    <w:rsid w:val="008C606A"/>
    <w:rsid w:val="008C698C"/>
    <w:rsid w:val="008C6F82"/>
    <w:rsid w:val="008C6FC4"/>
    <w:rsid w:val="008C7564"/>
    <w:rsid w:val="008D02D4"/>
    <w:rsid w:val="008D0556"/>
    <w:rsid w:val="008D2272"/>
    <w:rsid w:val="008D2CEA"/>
    <w:rsid w:val="008D2EA5"/>
    <w:rsid w:val="008D307A"/>
    <w:rsid w:val="008D33C9"/>
    <w:rsid w:val="008D3D6F"/>
    <w:rsid w:val="008D43BA"/>
    <w:rsid w:val="008D6086"/>
    <w:rsid w:val="008D6249"/>
    <w:rsid w:val="008D7317"/>
    <w:rsid w:val="008D7DF4"/>
    <w:rsid w:val="008E0A77"/>
    <w:rsid w:val="008E10AE"/>
    <w:rsid w:val="008E164D"/>
    <w:rsid w:val="008E33FB"/>
    <w:rsid w:val="008E3759"/>
    <w:rsid w:val="008E3EE8"/>
    <w:rsid w:val="008E53E4"/>
    <w:rsid w:val="008E5615"/>
    <w:rsid w:val="008E71E6"/>
    <w:rsid w:val="008F166D"/>
    <w:rsid w:val="008F298E"/>
    <w:rsid w:val="008F2A35"/>
    <w:rsid w:val="008F2A73"/>
    <w:rsid w:val="008F2E03"/>
    <w:rsid w:val="008F2E1C"/>
    <w:rsid w:val="008F3BF9"/>
    <w:rsid w:val="008F3C7F"/>
    <w:rsid w:val="008F3E4A"/>
    <w:rsid w:val="008F4101"/>
    <w:rsid w:val="008F4522"/>
    <w:rsid w:val="008F49E6"/>
    <w:rsid w:val="008F559D"/>
    <w:rsid w:val="008F7B4C"/>
    <w:rsid w:val="008F7F3F"/>
    <w:rsid w:val="00900D01"/>
    <w:rsid w:val="009021D6"/>
    <w:rsid w:val="00902D58"/>
    <w:rsid w:val="009041DC"/>
    <w:rsid w:val="009047EE"/>
    <w:rsid w:val="00904B4B"/>
    <w:rsid w:val="009062C5"/>
    <w:rsid w:val="0090668D"/>
    <w:rsid w:val="009104B4"/>
    <w:rsid w:val="009111FF"/>
    <w:rsid w:val="00912171"/>
    <w:rsid w:val="00912642"/>
    <w:rsid w:val="00913B6D"/>
    <w:rsid w:val="00915CDE"/>
    <w:rsid w:val="00915FDE"/>
    <w:rsid w:val="0091677E"/>
    <w:rsid w:val="0091728F"/>
    <w:rsid w:val="0091789D"/>
    <w:rsid w:val="00917F4B"/>
    <w:rsid w:val="0092035E"/>
    <w:rsid w:val="00920A6E"/>
    <w:rsid w:val="00921023"/>
    <w:rsid w:val="009214A7"/>
    <w:rsid w:val="009214C8"/>
    <w:rsid w:val="00922A9F"/>
    <w:rsid w:val="00922B74"/>
    <w:rsid w:val="00922E4D"/>
    <w:rsid w:val="00923920"/>
    <w:rsid w:val="00923E54"/>
    <w:rsid w:val="00923EA6"/>
    <w:rsid w:val="00924F0A"/>
    <w:rsid w:val="00925FCD"/>
    <w:rsid w:val="009267B0"/>
    <w:rsid w:val="00927B0B"/>
    <w:rsid w:val="009300A7"/>
    <w:rsid w:val="0093035E"/>
    <w:rsid w:val="00930ED0"/>
    <w:rsid w:val="009320F5"/>
    <w:rsid w:val="009322FE"/>
    <w:rsid w:val="00933621"/>
    <w:rsid w:val="0093441A"/>
    <w:rsid w:val="00934829"/>
    <w:rsid w:val="009356F2"/>
    <w:rsid w:val="00935735"/>
    <w:rsid w:val="009359E3"/>
    <w:rsid w:val="00935A29"/>
    <w:rsid w:val="00936C4F"/>
    <w:rsid w:val="00940D0A"/>
    <w:rsid w:val="009412E0"/>
    <w:rsid w:val="00941393"/>
    <w:rsid w:val="0094199B"/>
    <w:rsid w:val="009424BD"/>
    <w:rsid w:val="0094253B"/>
    <w:rsid w:val="00942AA6"/>
    <w:rsid w:val="00942BBC"/>
    <w:rsid w:val="009435DC"/>
    <w:rsid w:val="00945F51"/>
    <w:rsid w:val="00946729"/>
    <w:rsid w:val="0094702E"/>
    <w:rsid w:val="00947215"/>
    <w:rsid w:val="00947B86"/>
    <w:rsid w:val="00950D77"/>
    <w:rsid w:val="00951A16"/>
    <w:rsid w:val="00952CAA"/>
    <w:rsid w:val="00952DC4"/>
    <w:rsid w:val="009544AF"/>
    <w:rsid w:val="0095466D"/>
    <w:rsid w:val="00954BF7"/>
    <w:rsid w:val="00955093"/>
    <w:rsid w:val="009552DA"/>
    <w:rsid w:val="009554F0"/>
    <w:rsid w:val="00955C06"/>
    <w:rsid w:val="00955CB9"/>
    <w:rsid w:val="00955EA3"/>
    <w:rsid w:val="0095641C"/>
    <w:rsid w:val="00956868"/>
    <w:rsid w:val="0095713F"/>
    <w:rsid w:val="009579D8"/>
    <w:rsid w:val="00957A32"/>
    <w:rsid w:val="00960555"/>
    <w:rsid w:val="00963233"/>
    <w:rsid w:val="009653A0"/>
    <w:rsid w:val="00965F42"/>
    <w:rsid w:val="009661DF"/>
    <w:rsid w:val="009668D9"/>
    <w:rsid w:val="009668E5"/>
    <w:rsid w:val="0096706E"/>
    <w:rsid w:val="00967987"/>
    <w:rsid w:val="00967ECF"/>
    <w:rsid w:val="00970813"/>
    <w:rsid w:val="00970FD7"/>
    <w:rsid w:val="009714F6"/>
    <w:rsid w:val="009724C3"/>
    <w:rsid w:val="0097261D"/>
    <w:rsid w:val="00973675"/>
    <w:rsid w:val="00973798"/>
    <w:rsid w:val="00973E1D"/>
    <w:rsid w:val="009753D7"/>
    <w:rsid w:val="00976295"/>
    <w:rsid w:val="0097691D"/>
    <w:rsid w:val="00976E74"/>
    <w:rsid w:val="00981FBA"/>
    <w:rsid w:val="00982E24"/>
    <w:rsid w:val="00983AF6"/>
    <w:rsid w:val="00983D6A"/>
    <w:rsid w:val="009843A2"/>
    <w:rsid w:val="009856D7"/>
    <w:rsid w:val="00985A4B"/>
    <w:rsid w:val="00986129"/>
    <w:rsid w:val="009863DB"/>
    <w:rsid w:val="00986662"/>
    <w:rsid w:val="00986AEE"/>
    <w:rsid w:val="009879D3"/>
    <w:rsid w:val="009937A7"/>
    <w:rsid w:val="00994ECF"/>
    <w:rsid w:val="0099538C"/>
    <w:rsid w:val="009967AF"/>
    <w:rsid w:val="0099714E"/>
    <w:rsid w:val="009978F5"/>
    <w:rsid w:val="00997E99"/>
    <w:rsid w:val="009A01D8"/>
    <w:rsid w:val="009A03E7"/>
    <w:rsid w:val="009A0816"/>
    <w:rsid w:val="009A0B09"/>
    <w:rsid w:val="009A0F04"/>
    <w:rsid w:val="009A1A5D"/>
    <w:rsid w:val="009A1D2A"/>
    <w:rsid w:val="009A28FA"/>
    <w:rsid w:val="009A6130"/>
    <w:rsid w:val="009A700D"/>
    <w:rsid w:val="009A7953"/>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4A4"/>
    <w:rsid w:val="009C03AE"/>
    <w:rsid w:val="009C047F"/>
    <w:rsid w:val="009C14DA"/>
    <w:rsid w:val="009C1615"/>
    <w:rsid w:val="009C1691"/>
    <w:rsid w:val="009C1877"/>
    <w:rsid w:val="009C1D8B"/>
    <w:rsid w:val="009C2F75"/>
    <w:rsid w:val="009C2F9F"/>
    <w:rsid w:val="009C458A"/>
    <w:rsid w:val="009C4893"/>
    <w:rsid w:val="009C4D68"/>
    <w:rsid w:val="009C59D3"/>
    <w:rsid w:val="009C6457"/>
    <w:rsid w:val="009D0012"/>
    <w:rsid w:val="009D0946"/>
    <w:rsid w:val="009D0DEE"/>
    <w:rsid w:val="009D15C7"/>
    <w:rsid w:val="009D16D3"/>
    <w:rsid w:val="009D173B"/>
    <w:rsid w:val="009D2342"/>
    <w:rsid w:val="009D241E"/>
    <w:rsid w:val="009D280B"/>
    <w:rsid w:val="009D3728"/>
    <w:rsid w:val="009D561E"/>
    <w:rsid w:val="009D6116"/>
    <w:rsid w:val="009D7611"/>
    <w:rsid w:val="009E075C"/>
    <w:rsid w:val="009E27A9"/>
    <w:rsid w:val="009E3488"/>
    <w:rsid w:val="009E374A"/>
    <w:rsid w:val="009E3A41"/>
    <w:rsid w:val="009E3ABD"/>
    <w:rsid w:val="009E3C23"/>
    <w:rsid w:val="009E3F7C"/>
    <w:rsid w:val="009E41B3"/>
    <w:rsid w:val="009E4906"/>
    <w:rsid w:val="009E53DE"/>
    <w:rsid w:val="009E6FD9"/>
    <w:rsid w:val="009F0AED"/>
    <w:rsid w:val="009F114F"/>
    <w:rsid w:val="009F1ED5"/>
    <w:rsid w:val="009F229C"/>
    <w:rsid w:val="009F2349"/>
    <w:rsid w:val="009F24AF"/>
    <w:rsid w:val="009F24FF"/>
    <w:rsid w:val="009F297A"/>
    <w:rsid w:val="009F2CC4"/>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FEB"/>
    <w:rsid w:val="00A07134"/>
    <w:rsid w:val="00A10246"/>
    <w:rsid w:val="00A10403"/>
    <w:rsid w:val="00A10450"/>
    <w:rsid w:val="00A10B8B"/>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9C8"/>
    <w:rsid w:val="00A27314"/>
    <w:rsid w:val="00A27C5A"/>
    <w:rsid w:val="00A3014C"/>
    <w:rsid w:val="00A31451"/>
    <w:rsid w:val="00A31CB0"/>
    <w:rsid w:val="00A321C2"/>
    <w:rsid w:val="00A3286C"/>
    <w:rsid w:val="00A32D38"/>
    <w:rsid w:val="00A33219"/>
    <w:rsid w:val="00A34273"/>
    <w:rsid w:val="00A36168"/>
    <w:rsid w:val="00A36E16"/>
    <w:rsid w:val="00A37DA9"/>
    <w:rsid w:val="00A40463"/>
    <w:rsid w:val="00A40C4A"/>
    <w:rsid w:val="00A40CED"/>
    <w:rsid w:val="00A42803"/>
    <w:rsid w:val="00A43458"/>
    <w:rsid w:val="00A438C4"/>
    <w:rsid w:val="00A438F6"/>
    <w:rsid w:val="00A43E87"/>
    <w:rsid w:val="00A444C4"/>
    <w:rsid w:val="00A445B3"/>
    <w:rsid w:val="00A447CD"/>
    <w:rsid w:val="00A46E1D"/>
    <w:rsid w:val="00A47174"/>
    <w:rsid w:val="00A473E3"/>
    <w:rsid w:val="00A47406"/>
    <w:rsid w:val="00A47D0B"/>
    <w:rsid w:val="00A500DA"/>
    <w:rsid w:val="00A50201"/>
    <w:rsid w:val="00A5028C"/>
    <w:rsid w:val="00A50CF2"/>
    <w:rsid w:val="00A51D32"/>
    <w:rsid w:val="00A52375"/>
    <w:rsid w:val="00A5251F"/>
    <w:rsid w:val="00A527E1"/>
    <w:rsid w:val="00A528D1"/>
    <w:rsid w:val="00A52D39"/>
    <w:rsid w:val="00A53D23"/>
    <w:rsid w:val="00A542D1"/>
    <w:rsid w:val="00A547A8"/>
    <w:rsid w:val="00A54E22"/>
    <w:rsid w:val="00A55776"/>
    <w:rsid w:val="00A60093"/>
    <w:rsid w:val="00A6269C"/>
    <w:rsid w:val="00A6287A"/>
    <w:rsid w:val="00A6386E"/>
    <w:rsid w:val="00A63958"/>
    <w:rsid w:val="00A642B6"/>
    <w:rsid w:val="00A647EB"/>
    <w:rsid w:val="00A649AE"/>
    <w:rsid w:val="00A64DA8"/>
    <w:rsid w:val="00A64EE8"/>
    <w:rsid w:val="00A64F5F"/>
    <w:rsid w:val="00A650D1"/>
    <w:rsid w:val="00A6588A"/>
    <w:rsid w:val="00A669C6"/>
    <w:rsid w:val="00A66BE5"/>
    <w:rsid w:val="00A67461"/>
    <w:rsid w:val="00A709DB"/>
    <w:rsid w:val="00A70FA6"/>
    <w:rsid w:val="00A71D99"/>
    <w:rsid w:val="00A734B2"/>
    <w:rsid w:val="00A73772"/>
    <w:rsid w:val="00A7605D"/>
    <w:rsid w:val="00A774E2"/>
    <w:rsid w:val="00A77E82"/>
    <w:rsid w:val="00A80079"/>
    <w:rsid w:val="00A80C1E"/>
    <w:rsid w:val="00A8162B"/>
    <w:rsid w:val="00A81D28"/>
    <w:rsid w:val="00A8335C"/>
    <w:rsid w:val="00A83588"/>
    <w:rsid w:val="00A845BE"/>
    <w:rsid w:val="00A84A45"/>
    <w:rsid w:val="00A84A53"/>
    <w:rsid w:val="00A84B01"/>
    <w:rsid w:val="00A871CA"/>
    <w:rsid w:val="00A87FF5"/>
    <w:rsid w:val="00A91C87"/>
    <w:rsid w:val="00A91ED0"/>
    <w:rsid w:val="00A91F89"/>
    <w:rsid w:val="00A92714"/>
    <w:rsid w:val="00A92DCA"/>
    <w:rsid w:val="00A947C6"/>
    <w:rsid w:val="00A94BBB"/>
    <w:rsid w:val="00A95F1A"/>
    <w:rsid w:val="00A9641B"/>
    <w:rsid w:val="00A96D18"/>
    <w:rsid w:val="00A97366"/>
    <w:rsid w:val="00A978E7"/>
    <w:rsid w:val="00A979CE"/>
    <w:rsid w:val="00A97CDE"/>
    <w:rsid w:val="00AA23D3"/>
    <w:rsid w:val="00AA33AF"/>
    <w:rsid w:val="00AA3C9F"/>
    <w:rsid w:val="00AA4746"/>
    <w:rsid w:val="00AA4DF0"/>
    <w:rsid w:val="00AA5C88"/>
    <w:rsid w:val="00AA792C"/>
    <w:rsid w:val="00AA7A2C"/>
    <w:rsid w:val="00AA7E8A"/>
    <w:rsid w:val="00AB0745"/>
    <w:rsid w:val="00AB097B"/>
    <w:rsid w:val="00AB2ECE"/>
    <w:rsid w:val="00AB3118"/>
    <w:rsid w:val="00AB3712"/>
    <w:rsid w:val="00AB55B8"/>
    <w:rsid w:val="00AB6166"/>
    <w:rsid w:val="00AB6D53"/>
    <w:rsid w:val="00AB6F62"/>
    <w:rsid w:val="00AB7EE1"/>
    <w:rsid w:val="00AC0531"/>
    <w:rsid w:val="00AC0F5B"/>
    <w:rsid w:val="00AC30C7"/>
    <w:rsid w:val="00AC313B"/>
    <w:rsid w:val="00AC388E"/>
    <w:rsid w:val="00AC4106"/>
    <w:rsid w:val="00AC4350"/>
    <w:rsid w:val="00AC4E50"/>
    <w:rsid w:val="00AC4F7C"/>
    <w:rsid w:val="00AC6AE6"/>
    <w:rsid w:val="00AC740E"/>
    <w:rsid w:val="00AC7AC6"/>
    <w:rsid w:val="00AC7F4D"/>
    <w:rsid w:val="00AD08D1"/>
    <w:rsid w:val="00AD0D8F"/>
    <w:rsid w:val="00AD1E27"/>
    <w:rsid w:val="00AD29F5"/>
    <w:rsid w:val="00AD34D9"/>
    <w:rsid w:val="00AD37C1"/>
    <w:rsid w:val="00AD38E9"/>
    <w:rsid w:val="00AD4435"/>
    <w:rsid w:val="00AD452E"/>
    <w:rsid w:val="00AD4A7C"/>
    <w:rsid w:val="00AD4C43"/>
    <w:rsid w:val="00AD4CD7"/>
    <w:rsid w:val="00AD4E05"/>
    <w:rsid w:val="00AD5EB5"/>
    <w:rsid w:val="00AD72AC"/>
    <w:rsid w:val="00AD7A33"/>
    <w:rsid w:val="00AE0DEC"/>
    <w:rsid w:val="00AE15A9"/>
    <w:rsid w:val="00AE1852"/>
    <w:rsid w:val="00AE1F0C"/>
    <w:rsid w:val="00AE3F3C"/>
    <w:rsid w:val="00AE4C05"/>
    <w:rsid w:val="00AE4C43"/>
    <w:rsid w:val="00AE6271"/>
    <w:rsid w:val="00AE66EC"/>
    <w:rsid w:val="00AE6AE5"/>
    <w:rsid w:val="00AE6F91"/>
    <w:rsid w:val="00AF010B"/>
    <w:rsid w:val="00AF0440"/>
    <w:rsid w:val="00AF14A6"/>
    <w:rsid w:val="00AF22CE"/>
    <w:rsid w:val="00AF2782"/>
    <w:rsid w:val="00AF3344"/>
    <w:rsid w:val="00AF5571"/>
    <w:rsid w:val="00AF5B3F"/>
    <w:rsid w:val="00AF5D02"/>
    <w:rsid w:val="00AF7526"/>
    <w:rsid w:val="00AF79FA"/>
    <w:rsid w:val="00B00CBD"/>
    <w:rsid w:val="00B016BF"/>
    <w:rsid w:val="00B016EF"/>
    <w:rsid w:val="00B018F6"/>
    <w:rsid w:val="00B01D8D"/>
    <w:rsid w:val="00B0207D"/>
    <w:rsid w:val="00B033E8"/>
    <w:rsid w:val="00B05B2D"/>
    <w:rsid w:val="00B0667E"/>
    <w:rsid w:val="00B06BF4"/>
    <w:rsid w:val="00B07033"/>
    <w:rsid w:val="00B11C6F"/>
    <w:rsid w:val="00B11E55"/>
    <w:rsid w:val="00B124E6"/>
    <w:rsid w:val="00B12638"/>
    <w:rsid w:val="00B13ABA"/>
    <w:rsid w:val="00B14837"/>
    <w:rsid w:val="00B160A4"/>
    <w:rsid w:val="00B167E9"/>
    <w:rsid w:val="00B16FF4"/>
    <w:rsid w:val="00B1724A"/>
    <w:rsid w:val="00B207F5"/>
    <w:rsid w:val="00B20B83"/>
    <w:rsid w:val="00B21064"/>
    <w:rsid w:val="00B21BC5"/>
    <w:rsid w:val="00B22C40"/>
    <w:rsid w:val="00B23A86"/>
    <w:rsid w:val="00B24749"/>
    <w:rsid w:val="00B24A00"/>
    <w:rsid w:val="00B270C2"/>
    <w:rsid w:val="00B27127"/>
    <w:rsid w:val="00B2728E"/>
    <w:rsid w:val="00B301E8"/>
    <w:rsid w:val="00B30278"/>
    <w:rsid w:val="00B314DB"/>
    <w:rsid w:val="00B316A7"/>
    <w:rsid w:val="00B31EBE"/>
    <w:rsid w:val="00B324F0"/>
    <w:rsid w:val="00B3401D"/>
    <w:rsid w:val="00B34D82"/>
    <w:rsid w:val="00B34E2B"/>
    <w:rsid w:val="00B367B1"/>
    <w:rsid w:val="00B36E37"/>
    <w:rsid w:val="00B3718B"/>
    <w:rsid w:val="00B37584"/>
    <w:rsid w:val="00B37C3B"/>
    <w:rsid w:val="00B41A5F"/>
    <w:rsid w:val="00B41AAC"/>
    <w:rsid w:val="00B424CD"/>
    <w:rsid w:val="00B42ABC"/>
    <w:rsid w:val="00B432D6"/>
    <w:rsid w:val="00B441B9"/>
    <w:rsid w:val="00B44448"/>
    <w:rsid w:val="00B44F4C"/>
    <w:rsid w:val="00B45BE7"/>
    <w:rsid w:val="00B45ECD"/>
    <w:rsid w:val="00B46033"/>
    <w:rsid w:val="00B46313"/>
    <w:rsid w:val="00B4632A"/>
    <w:rsid w:val="00B478B1"/>
    <w:rsid w:val="00B478C4"/>
    <w:rsid w:val="00B506F8"/>
    <w:rsid w:val="00B5149E"/>
    <w:rsid w:val="00B515A8"/>
    <w:rsid w:val="00B52BB8"/>
    <w:rsid w:val="00B540E8"/>
    <w:rsid w:val="00B54DF4"/>
    <w:rsid w:val="00B552E7"/>
    <w:rsid w:val="00B55402"/>
    <w:rsid w:val="00B55E95"/>
    <w:rsid w:val="00B55F23"/>
    <w:rsid w:val="00B5746F"/>
    <w:rsid w:val="00B574A0"/>
    <w:rsid w:val="00B574EE"/>
    <w:rsid w:val="00B575D6"/>
    <w:rsid w:val="00B57C17"/>
    <w:rsid w:val="00B57C7D"/>
    <w:rsid w:val="00B60E25"/>
    <w:rsid w:val="00B62894"/>
    <w:rsid w:val="00B62BC0"/>
    <w:rsid w:val="00B6341F"/>
    <w:rsid w:val="00B63572"/>
    <w:rsid w:val="00B63577"/>
    <w:rsid w:val="00B66B51"/>
    <w:rsid w:val="00B67053"/>
    <w:rsid w:val="00B673F4"/>
    <w:rsid w:val="00B67B19"/>
    <w:rsid w:val="00B70462"/>
    <w:rsid w:val="00B72E00"/>
    <w:rsid w:val="00B72F71"/>
    <w:rsid w:val="00B74DAF"/>
    <w:rsid w:val="00B75D57"/>
    <w:rsid w:val="00B765F1"/>
    <w:rsid w:val="00B766A1"/>
    <w:rsid w:val="00B76BE8"/>
    <w:rsid w:val="00B777B0"/>
    <w:rsid w:val="00B77B09"/>
    <w:rsid w:val="00B801CB"/>
    <w:rsid w:val="00B84FC7"/>
    <w:rsid w:val="00B8596A"/>
    <w:rsid w:val="00B85B6B"/>
    <w:rsid w:val="00B8646F"/>
    <w:rsid w:val="00B86577"/>
    <w:rsid w:val="00B8664E"/>
    <w:rsid w:val="00B868A4"/>
    <w:rsid w:val="00B8786D"/>
    <w:rsid w:val="00B90178"/>
    <w:rsid w:val="00B90496"/>
    <w:rsid w:val="00B920B7"/>
    <w:rsid w:val="00B926B1"/>
    <w:rsid w:val="00B92DC9"/>
    <w:rsid w:val="00B933E4"/>
    <w:rsid w:val="00B96FE9"/>
    <w:rsid w:val="00B97838"/>
    <w:rsid w:val="00BA0E3E"/>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35EB"/>
    <w:rsid w:val="00BC397C"/>
    <w:rsid w:val="00BC5766"/>
    <w:rsid w:val="00BC68ED"/>
    <w:rsid w:val="00BC6DA1"/>
    <w:rsid w:val="00BC6FB1"/>
    <w:rsid w:val="00BC73B5"/>
    <w:rsid w:val="00BD05BA"/>
    <w:rsid w:val="00BD10AC"/>
    <w:rsid w:val="00BD232B"/>
    <w:rsid w:val="00BD2C5B"/>
    <w:rsid w:val="00BD3469"/>
    <w:rsid w:val="00BD393F"/>
    <w:rsid w:val="00BD4B89"/>
    <w:rsid w:val="00BD5B66"/>
    <w:rsid w:val="00BD7F14"/>
    <w:rsid w:val="00BE0098"/>
    <w:rsid w:val="00BE014C"/>
    <w:rsid w:val="00BE118B"/>
    <w:rsid w:val="00BE1438"/>
    <w:rsid w:val="00BE1B74"/>
    <w:rsid w:val="00BE201A"/>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1F10"/>
    <w:rsid w:val="00BF2523"/>
    <w:rsid w:val="00BF2939"/>
    <w:rsid w:val="00BF2EA8"/>
    <w:rsid w:val="00BF40C6"/>
    <w:rsid w:val="00BF4600"/>
    <w:rsid w:val="00BF4865"/>
    <w:rsid w:val="00BF4871"/>
    <w:rsid w:val="00BF4AF7"/>
    <w:rsid w:val="00BF65BD"/>
    <w:rsid w:val="00BF6BED"/>
    <w:rsid w:val="00BF7C42"/>
    <w:rsid w:val="00C0028D"/>
    <w:rsid w:val="00C01451"/>
    <w:rsid w:val="00C01882"/>
    <w:rsid w:val="00C02A78"/>
    <w:rsid w:val="00C03059"/>
    <w:rsid w:val="00C0391B"/>
    <w:rsid w:val="00C03A29"/>
    <w:rsid w:val="00C04473"/>
    <w:rsid w:val="00C0546D"/>
    <w:rsid w:val="00C05820"/>
    <w:rsid w:val="00C070BA"/>
    <w:rsid w:val="00C07884"/>
    <w:rsid w:val="00C101BC"/>
    <w:rsid w:val="00C10EA4"/>
    <w:rsid w:val="00C144E7"/>
    <w:rsid w:val="00C14557"/>
    <w:rsid w:val="00C14701"/>
    <w:rsid w:val="00C14A51"/>
    <w:rsid w:val="00C14CE0"/>
    <w:rsid w:val="00C1525C"/>
    <w:rsid w:val="00C153DE"/>
    <w:rsid w:val="00C16D95"/>
    <w:rsid w:val="00C17BAA"/>
    <w:rsid w:val="00C2142B"/>
    <w:rsid w:val="00C21762"/>
    <w:rsid w:val="00C21EFD"/>
    <w:rsid w:val="00C224DF"/>
    <w:rsid w:val="00C22DD6"/>
    <w:rsid w:val="00C23BA8"/>
    <w:rsid w:val="00C24049"/>
    <w:rsid w:val="00C24543"/>
    <w:rsid w:val="00C256A2"/>
    <w:rsid w:val="00C25808"/>
    <w:rsid w:val="00C26350"/>
    <w:rsid w:val="00C26A69"/>
    <w:rsid w:val="00C31770"/>
    <w:rsid w:val="00C3238A"/>
    <w:rsid w:val="00C32415"/>
    <w:rsid w:val="00C32A61"/>
    <w:rsid w:val="00C338B0"/>
    <w:rsid w:val="00C33EB0"/>
    <w:rsid w:val="00C340DC"/>
    <w:rsid w:val="00C344B0"/>
    <w:rsid w:val="00C3492D"/>
    <w:rsid w:val="00C34973"/>
    <w:rsid w:val="00C34F68"/>
    <w:rsid w:val="00C3629F"/>
    <w:rsid w:val="00C36E35"/>
    <w:rsid w:val="00C4068A"/>
    <w:rsid w:val="00C41AB9"/>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E39"/>
    <w:rsid w:val="00C506EB"/>
    <w:rsid w:val="00C50C1E"/>
    <w:rsid w:val="00C51C98"/>
    <w:rsid w:val="00C535F1"/>
    <w:rsid w:val="00C53F60"/>
    <w:rsid w:val="00C546AB"/>
    <w:rsid w:val="00C5474E"/>
    <w:rsid w:val="00C548FA"/>
    <w:rsid w:val="00C55378"/>
    <w:rsid w:val="00C55560"/>
    <w:rsid w:val="00C60644"/>
    <w:rsid w:val="00C61956"/>
    <w:rsid w:val="00C61997"/>
    <w:rsid w:val="00C62393"/>
    <w:rsid w:val="00C62BF4"/>
    <w:rsid w:val="00C65998"/>
    <w:rsid w:val="00C669C1"/>
    <w:rsid w:val="00C66B72"/>
    <w:rsid w:val="00C674CD"/>
    <w:rsid w:val="00C67F18"/>
    <w:rsid w:val="00C712F7"/>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CF7"/>
    <w:rsid w:val="00C936C3"/>
    <w:rsid w:val="00C93DCE"/>
    <w:rsid w:val="00C949E2"/>
    <w:rsid w:val="00C94BF5"/>
    <w:rsid w:val="00C9567A"/>
    <w:rsid w:val="00C957E5"/>
    <w:rsid w:val="00C95BF6"/>
    <w:rsid w:val="00C9670F"/>
    <w:rsid w:val="00C96AF3"/>
    <w:rsid w:val="00C96BFF"/>
    <w:rsid w:val="00CA0730"/>
    <w:rsid w:val="00CA0E2F"/>
    <w:rsid w:val="00CA1D19"/>
    <w:rsid w:val="00CA249C"/>
    <w:rsid w:val="00CA28C5"/>
    <w:rsid w:val="00CA3B1D"/>
    <w:rsid w:val="00CA44E8"/>
    <w:rsid w:val="00CA53D1"/>
    <w:rsid w:val="00CA61E3"/>
    <w:rsid w:val="00CA65F1"/>
    <w:rsid w:val="00CA6E49"/>
    <w:rsid w:val="00CA6EE1"/>
    <w:rsid w:val="00CB08A1"/>
    <w:rsid w:val="00CB13BC"/>
    <w:rsid w:val="00CB17C1"/>
    <w:rsid w:val="00CB2422"/>
    <w:rsid w:val="00CB2660"/>
    <w:rsid w:val="00CB2A1A"/>
    <w:rsid w:val="00CB320F"/>
    <w:rsid w:val="00CB3418"/>
    <w:rsid w:val="00CB3738"/>
    <w:rsid w:val="00CB3827"/>
    <w:rsid w:val="00CB3A1A"/>
    <w:rsid w:val="00CB4965"/>
    <w:rsid w:val="00CB4C01"/>
    <w:rsid w:val="00CB712B"/>
    <w:rsid w:val="00CB7A42"/>
    <w:rsid w:val="00CB7D6F"/>
    <w:rsid w:val="00CC0E8C"/>
    <w:rsid w:val="00CC232B"/>
    <w:rsid w:val="00CC25A6"/>
    <w:rsid w:val="00CC30E5"/>
    <w:rsid w:val="00CC44ED"/>
    <w:rsid w:val="00CC5639"/>
    <w:rsid w:val="00CC5E13"/>
    <w:rsid w:val="00CC5E90"/>
    <w:rsid w:val="00CC72FB"/>
    <w:rsid w:val="00CD046C"/>
    <w:rsid w:val="00CD0979"/>
    <w:rsid w:val="00CD36BA"/>
    <w:rsid w:val="00CD38C8"/>
    <w:rsid w:val="00CD403E"/>
    <w:rsid w:val="00CD6BCF"/>
    <w:rsid w:val="00CD7BBE"/>
    <w:rsid w:val="00CE0052"/>
    <w:rsid w:val="00CE1390"/>
    <w:rsid w:val="00CE1E71"/>
    <w:rsid w:val="00CE2A6C"/>
    <w:rsid w:val="00CE4868"/>
    <w:rsid w:val="00CE4999"/>
    <w:rsid w:val="00CE5199"/>
    <w:rsid w:val="00CE66D5"/>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883"/>
    <w:rsid w:val="00D12D6C"/>
    <w:rsid w:val="00D12F97"/>
    <w:rsid w:val="00D14582"/>
    <w:rsid w:val="00D14B21"/>
    <w:rsid w:val="00D1539E"/>
    <w:rsid w:val="00D15ABB"/>
    <w:rsid w:val="00D15E54"/>
    <w:rsid w:val="00D16299"/>
    <w:rsid w:val="00D162B0"/>
    <w:rsid w:val="00D16C41"/>
    <w:rsid w:val="00D2095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75B4"/>
    <w:rsid w:val="00D27FBF"/>
    <w:rsid w:val="00D31472"/>
    <w:rsid w:val="00D31A13"/>
    <w:rsid w:val="00D32BCF"/>
    <w:rsid w:val="00D32D94"/>
    <w:rsid w:val="00D3350E"/>
    <w:rsid w:val="00D340AA"/>
    <w:rsid w:val="00D34786"/>
    <w:rsid w:val="00D35609"/>
    <w:rsid w:val="00D36696"/>
    <w:rsid w:val="00D36A2C"/>
    <w:rsid w:val="00D37539"/>
    <w:rsid w:val="00D37557"/>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FD9"/>
    <w:rsid w:val="00D558C4"/>
    <w:rsid w:val="00D55D01"/>
    <w:rsid w:val="00D568A0"/>
    <w:rsid w:val="00D57019"/>
    <w:rsid w:val="00D57833"/>
    <w:rsid w:val="00D6092C"/>
    <w:rsid w:val="00D60BBD"/>
    <w:rsid w:val="00D60D42"/>
    <w:rsid w:val="00D61163"/>
    <w:rsid w:val="00D6144B"/>
    <w:rsid w:val="00D62BD0"/>
    <w:rsid w:val="00D62F66"/>
    <w:rsid w:val="00D62FB8"/>
    <w:rsid w:val="00D63033"/>
    <w:rsid w:val="00D63233"/>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32"/>
    <w:rsid w:val="00D7649A"/>
    <w:rsid w:val="00D77A99"/>
    <w:rsid w:val="00D77B2C"/>
    <w:rsid w:val="00D77BCE"/>
    <w:rsid w:val="00D80440"/>
    <w:rsid w:val="00D80C85"/>
    <w:rsid w:val="00D811FF"/>
    <w:rsid w:val="00D81C90"/>
    <w:rsid w:val="00D81D92"/>
    <w:rsid w:val="00D826A0"/>
    <w:rsid w:val="00D82876"/>
    <w:rsid w:val="00D82EA8"/>
    <w:rsid w:val="00D838BE"/>
    <w:rsid w:val="00D83DD3"/>
    <w:rsid w:val="00D83FFE"/>
    <w:rsid w:val="00D84464"/>
    <w:rsid w:val="00D86402"/>
    <w:rsid w:val="00D86569"/>
    <w:rsid w:val="00D865A2"/>
    <w:rsid w:val="00D87416"/>
    <w:rsid w:val="00D8763F"/>
    <w:rsid w:val="00D878CA"/>
    <w:rsid w:val="00D9040B"/>
    <w:rsid w:val="00D9087A"/>
    <w:rsid w:val="00D91047"/>
    <w:rsid w:val="00D912A6"/>
    <w:rsid w:val="00D915AB"/>
    <w:rsid w:val="00D91B1E"/>
    <w:rsid w:val="00D91D59"/>
    <w:rsid w:val="00D92374"/>
    <w:rsid w:val="00D93446"/>
    <w:rsid w:val="00D9382D"/>
    <w:rsid w:val="00D946AA"/>
    <w:rsid w:val="00D94D1C"/>
    <w:rsid w:val="00D94F44"/>
    <w:rsid w:val="00D9539C"/>
    <w:rsid w:val="00D95402"/>
    <w:rsid w:val="00D96245"/>
    <w:rsid w:val="00D978E5"/>
    <w:rsid w:val="00DA1520"/>
    <w:rsid w:val="00DA2A7C"/>
    <w:rsid w:val="00DA3005"/>
    <w:rsid w:val="00DA300A"/>
    <w:rsid w:val="00DA36AE"/>
    <w:rsid w:val="00DA40CF"/>
    <w:rsid w:val="00DA4E4E"/>
    <w:rsid w:val="00DA5ECF"/>
    <w:rsid w:val="00DA6AB3"/>
    <w:rsid w:val="00DA7151"/>
    <w:rsid w:val="00DA77AA"/>
    <w:rsid w:val="00DA7982"/>
    <w:rsid w:val="00DA79D0"/>
    <w:rsid w:val="00DA7B5F"/>
    <w:rsid w:val="00DB18A8"/>
    <w:rsid w:val="00DB1D14"/>
    <w:rsid w:val="00DB3050"/>
    <w:rsid w:val="00DB30EC"/>
    <w:rsid w:val="00DB3374"/>
    <w:rsid w:val="00DB475B"/>
    <w:rsid w:val="00DB4A1E"/>
    <w:rsid w:val="00DB4D80"/>
    <w:rsid w:val="00DB5C3C"/>
    <w:rsid w:val="00DC07A4"/>
    <w:rsid w:val="00DC174D"/>
    <w:rsid w:val="00DC2858"/>
    <w:rsid w:val="00DC28C0"/>
    <w:rsid w:val="00DC2FF2"/>
    <w:rsid w:val="00DC3121"/>
    <w:rsid w:val="00DC4839"/>
    <w:rsid w:val="00DC6453"/>
    <w:rsid w:val="00DC6D2C"/>
    <w:rsid w:val="00DC7597"/>
    <w:rsid w:val="00DC7693"/>
    <w:rsid w:val="00DD045E"/>
    <w:rsid w:val="00DD1E65"/>
    <w:rsid w:val="00DD2635"/>
    <w:rsid w:val="00DD2BE4"/>
    <w:rsid w:val="00DD2C54"/>
    <w:rsid w:val="00DD5501"/>
    <w:rsid w:val="00DD68ED"/>
    <w:rsid w:val="00DD6D8F"/>
    <w:rsid w:val="00DD6DEF"/>
    <w:rsid w:val="00DD6F04"/>
    <w:rsid w:val="00DD759E"/>
    <w:rsid w:val="00DE01CB"/>
    <w:rsid w:val="00DE0266"/>
    <w:rsid w:val="00DE16C3"/>
    <w:rsid w:val="00DE181C"/>
    <w:rsid w:val="00DE26A2"/>
    <w:rsid w:val="00DE3E14"/>
    <w:rsid w:val="00DE6249"/>
    <w:rsid w:val="00DE62F2"/>
    <w:rsid w:val="00DE735D"/>
    <w:rsid w:val="00DE7417"/>
    <w:rsid w:val="00DE783D"/>
    <w:rsid w:val="00DE7D2E"/>
    <w:rsid w:val="00DF1CDD"/>
    <w:rsid w:val="00DF1DF9"/>
    <w:rsid w:val="00DF2FDC"/>
    <w:rsid w:val="00DF3130"/>
    <w:rsid w:val="00DF3A3C"/>
    <w:rsid w:val="00DF42A0"/>
    <w:rsid w:val="00DF472F"/>
    <w:rsid w:val="00DF4BDE"/>
    <w:rsid w:val="00DF5077"/>
    <w:rsid w:val="00DF56EC"/>
    <w:rsid w:val="00DF7793"/>
    <w:rsid w:val="00E0059C"/>
    <w:rsid w:val="00E01798"/>
    <w:rsid w:val="00E01B40"/>
    <w:rsid w:val="00E02360"/>
    <w:rsid w:val="00E023DF"/>
    <w:rsid w:val="00E052B0"/>
    <w:rsid w:val="00E067A6"/>
    <w:rsid w:val="00E06DDE"/>
    <w:rsid w:val="00E0702F"/>
    <w:rsid w:val="00E07187"/>
    <w:rsid w:val="00E0734B"/>
    <w:rsid w:val="00E0740A"/>
    <w:rsid w:val="00E11392"/>
    <w:rsid w:val="00E114A7"/>
    <w:rsid w:val="00E13D70"/>
    <w:rsid w:val="00E1451D"/>
    <w:rsid w:val="00E15130"/>
    <w:rsid w:val="00E15217"/>
    <w:rsid w:val="00E1542D"/>
    <w:rsid w:val="00E1578C"/>
    <w:rsid w:val="00E15F82"/>
    <w:rsid w:val="00E15FBA"/>
    <w:rsid w:val="00E16F9D"/>
    <w:rsid w:val="00E17683"/>
    <w:rsid w:val="00E2121C"/>
    <w:rsid w:val="00E22278"/>
    <w:rsid w:val="00E2284A"/>
    <w:rsid w:val="00E230FD"/>
    <w:rsid w:val="00E236F1"/>
    <w:rsid w:val="00E2398E"/>
    <w:rsid w:val="00E23A98"/>
    <w:rsid w:val="00E25A41"/>
    <w:rsid w:val="00E25BE4"/>
    <w:rsid w:val="00E2673A"/>
    <w:rsid w:val="00E26F97"/>
    <w:rsid w:val="00E26FCD"/>
    <w:rsid w:val="00E27AA4"/>
    <w:rsid w:val="00E30281"/>
    <w:rsid w:val="00E30994"/>
    <w:rsid w:val="00E314FA"/>
    <w:rsid w:val="00E32626"/>
    <w:rsid w:val="00E3317B"/>
    <w:rsid w:val="00E337D9"/>
    <w:rsid w:val="00E3386F"/>
    <w:rsid w:val="00E33E64"/>
    <w:rsid w:val="00E3533B"/>
    <w:rsid w:val="00E3622A"/>
    <w:rsid w:val="00E364C4"/>
    <w:rsid w:val="00E37292"/>
    <w:rsid w:val="00E3757F"/>
    <w:rsid w:val="00E37980"/>
    <w:rsid w:val="00E41133"/>
    <w:rsid w:val="00E41E9F"/>
    <w:rsid w:val="00E42994"/>
    <w:rsid w:val="00E42C74"/>
    <w:rsid w:val="00E43157"/>
    <w:rsid w:val="00E43212"/>
    <w:rsid w:val="00E4390D"/>
    <w:rsid w:val="00E43C54"/>
    <w:rsid w:val="00E43C96"/>
    <w:rsid w:val="00E44961"/>
    <w:rsid w:val="00E45D29"/>
    <w:rsid w:val="00E461F9"/>
    <w:rsid w:val="00E46307"/>
    <w:rsid w:val="00E46DCE"/>
    <w:rsid w:val="00E4781D"/>
    <w:rsid w:val="00E50136"/>
    <w:rsid w:val="00E51067"/>
    <w:rsid w:val="00E533FF"/>
    <w:rsid w:val="00E53BD8"/>
    <w:rsid w:val="00E53DC6"/>
    <w:rsid w:val="00E53E5E"/>
    <w:rsid w:val="00E54100"/>
    <w:rsid w:val="00E54EF8"/>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54A2"/>
    <w:rsid w:val="00E65CB4"/>
    <w:rsid w:val="00E6703B"/>
    <w:rsid w:val="00E67CBA"/>
    <w:rsid w:val="00E709B3"/>
    <w:rsid w:val="00E70B54"/>
    <w:rsid w:val="00E711AB"/>
    <w:rsid w:val="00E7126F"/>
    <w:rsid w:val="00E71410"/>
    <w:rsid w:val="00E71E57"/>
    <w:rsid w:val="00E71FD7"/>
    <w:rsid w:val="00E72FFF"/>
    <w:rsid w:val="00E74123"/>
    <w:rsid w:val="00E74177"/>
    <w:rsid w:val="00E753FA"/>
    <w:rsid w:val="00E75440"/>
    <w:rsid w:val="00E7676B"/>
    <w:rsid w:val="00E767BD"/>
    <w:rsid w:val="00E76C84"/>
    <w:rsid w:val="00E76CBC"/>
    <w:rsid w:val="00E7739E"/>
    <w:rsid w:val="00E774E4"/>
    <w:rsid w:val="00E807AA"/>
    <w:rsid w:val="00E80E83"/>
    <w:rsid w:val="00E81771"/>
    <w:rsid w:val="00E8183A"/>
    <w:rsid w:val="00E81A3E"/>
    <w:rsid w:val="00E82CCD"/>
    <w:rsid w:val="00E82F32"/>
    <w:rsid w:val="00E830CC"/>
    <w:rsid w:val="00E83848"/>
    <w:rsid w:val="00E855B5"/>
    <w:rsid w:val="00E8617F"/>
    <w:rsid w:val="00E86ABD"/>
    <w:rsid w:val="00E86E84"/>
    <w:rsid w:val="00E86EAF"/>
    <w:rsid w:val="00E87515"/>
    <w:rsid w:val="00E8789F"/>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A01E7"/>
    <w:rsid w:val="00EA077D"/>
    <w:rsid w:val="00EA1283"/>
    <w:rsid w:val="00EA26BA"/>
    <w:rsid w:val="00EA48EC"/>
    <w:rsid w:val="00EA4EB1"/>
    <w:rsid w:val="00EA4F82"/>
    <w:rsid w:val="00EA5A04"/>
    <w:rsid w:val="00EA5FE2"/>
    <w:rsid w:val="00EA603E"/>
    <w:rsid w:val="00EA6A6E"/>
    <w:rsid w:val="00EA70E0"/>
    <w:rsid w:val="00EA7F95"/>
    <w:rsid w:val="00EB01F4"/>
    <w:rsid w:val="00EB0252"/>
    <w:rsid w:val="00EB15FF"/>
    <w:rsid w:val="00EB18F6"/>
    <w:rsid w:val="00EB1D83"/>
    <w:rsid w:val="00EB24D7"/>
    <w:rsid w:val="00EB2ED9"/>
    <w:rsid w:val="00EB394F"/>
    <w:rsid w:val="00EB4080"/>
    <w:rsid w:val="00EB4249"/>
    <w:rsid w:val="00EB454D"/>
    <w:rsid w:val="00EB454F"/>
    <w:rsid w:val="00EB4B7E"/>
    <w:rsid w:val="00EB51DC"/>
    <w:rsid w:val="00EB51EA"/>
    <w:rsid w:val="00EB55C1"/>
    <w:rsid w:val="00EB6170"/>
    <w:rsid w:val="00EB62D9"/>
    <w:rsid w:val="00EB6B06"/>
    <w:rsid w:val="00EB7A72"/>
    <w:rsid w:val="00EB7F0A"/>
    <w:rsid w:val="00EC0BA4"/>
    <w:rsid w:val="00EC112E"/>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4F8"/>
    <w:rsid w:val="00ED0E31"/>
    <w:rsid w:val="00ED0F40"/>
    <w:rsid w:val="00ED1405"/>
    <w:rsid w:val="00ED147C"/>
    <w:rsid w:val="00ED18FD"/>
    <w:rsid w:val="00ED19E9"/>
    <w:rsid w:val="00ED2D1D"/>
    <w:rsid w:val="00ED3A8E"/>
    <w:rsid w:val="00ED3AB2"/>
    <w:rsid w:val="00ED52B0"/>
    <w:rsid w:val="00ED56AB"/>
    <w:rsid w:val="00ED5BE1"/>
    <w:rsid w:val="00ED64A7"/>
    <w:rsid w:val="00EE04C1"/>
    <w:rsid w:val="00EE0BA9"/>
    <w:rsid w:val="00EE0D3E"/>
    <w:rsid w:val="00EE140F"/>
    <w:rsid w:val="00EE1DBA"/>
    <w:rsid w:val="00EE2931"/>
    <w:rsid w:val="00EE2BD2"/>
    <w:rsid w:val="00EE3522"/>
    <w:rsid w:val="00EE36D7"/>
    <w:rsid w:val="00EE39AD"/>
    <w:rsid w:val="00EE4E4B"/>
    <w:rsid w:val="00EE5C5E"/>
    <w:rsid w:val="00EE5D7E"/>
    <w:rsid w:val="00EE5E5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4AFE"/>
    <w:rsid w:val="00F059CF"/>
    <w:rsid w:val="00F06961"/>
    <w:rsid w:val="00F1005F"/>
    <w:rsid w:val="00F10CE6"/>
    <w:rsid w:val="00F11242"/>
    <w:rsid w:val="00F1188B"/>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328B"/>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379A"/>
    <w:rsid w:val="00F34265"/>
    <w:rsid w:val="00F345AF"/>
    <w:rsid w:val="00F35C2A"/>
    <w:rsid w:val="00F35E2A"/>
    <w:rsid w:val="00F3633B"/>
    <w:rsid w:val="00F36C33"/>
    <w:rsid w:val="00F36D40"/>
    <w:rsid w:val="00F36F27"/>
    <w:rsid w:val="00F37481"/>
    <w:rsid w:val="00F377BE"/>
    <w:rsid w:val="00F37F99"/>
    <w:rsid w:val="00F40B92"/>
    <w:rsid w:val="00F4139C"/>
    <w:rsid w:val="00F41A44"/>
    <w:rsid w:val="00F427E6"/>
    <w:rsid w:val="00F434F9"/>
    <w:rsid w:val="00F438CD"/>
    <w:rsid w:val="00F441B9"/>
    <w:rsid w:val="00F45EBF"/>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6CA"/>
    <w:rsid w:val="00F74B0B"/>
    <w:rsid w:val="00F769C7"/>
    <w:rsid w:val="00F7730A"/>
    <w:rsid w:val="00F7784C"/>
    <w:rsid w:val="00F77995"/>
    <w:rsid w:val="00F77BFA"/>
    <w:rsid w:val="00F77E6F"/>
    <w:rsid w:val="00F77EB5"/>
    <w:rsid w:val="00F820EF"/>
    <w:rsid w:val="00F8244B"/>
    <w:rsid w:val="00F82683"/>
    <w:rsid w:val="00F83D11"/>
    <w:rsid w:val="00F849BF"/>
    <w:rsid w:val="00F857F6"/>
    <w:rsid w:val="00F86E36"/>
    <w:rsid w:val="00F86EE8"/>
    <w:rsid w:val="00F87A9A"/>
    <w:rsid w:val="00F902BF"/>
    <w:rsid w:val="00F91540"/>
    <w:rsid w:val="00F916AC"/>
    <w:rsid w:val="00F929C3"/>
    <w:rsid w:val="00F92CA1"/>
    <w:rsid w:val="00F93826"/>
    <w:rsid w:val="00F9653B"/>
    <w:rsid w:val="00F97B89"/>
    <w:rsid w:val="00F97D53"/>
    <w:rsid w:val="00FA01C8"/>
    <w:rsid w:val="00FA081A"/>
    <w:rsid w:val="00FA116D"/>
    <w:rsid w:val="00FA1759"/>
    <w:rsid w:val="00FA1ADA"/>
    <w:rsid w:val="00FA21FC"/>
    <w:rsid w:val="00FA2245"/>
    <w:rsid w:val="00FA2C02"/>
    <w:rsid w:val="00FA2C1D"/>
    <w:rsid w:val="00FA310E"/>
    <w:rsid w:val="00FA33B5"/>
    <w:rsid w:val="00FA359A"/>
    <w:rsid w:val="00FA3BDF"/>
    <w:rsid w:val="00FA5E83"/>
    <w:rsid w:val="00FA63CD"/>
    <w:rsid w:val="00FA73EB"/>
    <w:rsid w:val="00FA75FF"/>
    <w:rsid w:val="00FA773D"/>
    <w:rsid w:val="00FA7982"/>
    <w:rsid w:val="00FA7CCD"/>
    <w:rsid w:val="00FB0135"/>
    <w:rsid w:val="00FB0E27"/>
    <w:rsid w:val="00FB0F94"/>
    <w:rsid w:val="00FB1A16"/>
    <w:rsid w:val="00FB1A3C"/>
    <w:rsid w:val="00FB2597"/>
    <w:rsid w:val="00FB3C92"/>
    <w:rsid w:val="00FB49E0"/>
    <w:rsid w:val="00FB4EE9"/>
    <w:rsid w:val="00FB62CF"/>
    <w:rsid w:val="00FB74A8"/>
    <w:rsid w:val="00FC052E"/>
    <w:rsid w:val="00FC084F"/>
    <w:rsid w:val="00FC13F0"/>
    <w:rsid w:val="00FC1E3D"/>
    <w:rsid w:val="00FC3262"/>
    <w:rsid w:val="00FC3283"/>
    <w:rsid w:val="00FC3E0A"/>
    <w:rsid w:val="00FC3EB4"/>
    <w:rsid w:val="00FC4AB2"/>
    <w:rsid w:val="00FC544A"/>
    <w:rsid w:val="00FC5458"/>
    <w:rsid w:val="00FC6C58"/>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144F"/>
    <w:rsid w:val="00FE157F"/>
    <w:rsid w:val="00FE1EAD"/>
    <w:rsid w:val="00FE21AB"/>
    <w:rsid w:val="00FE25F4"/>
    <w:rsid w:val="00FE3036"/>
    <w:rsid w:val="00FE3CEC"/>
    <w:rsid w:val="00FE40DE"/>
    <w:rsid w:val="00FE4DAB"/>
    <w:rsid w:val="00FE6A5A"/>
    <w:rsid w:val="00FE6B45"/>
    <w:rsid w:val="00FE6B58"/>
    <w:rsid w:val="00FE6EBC"/>
    <w:rsid w:val="00FE6F98"/>
    <w:rsid w:val="00FE769E"/>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A36AE"/>
    <w:rPr>
      <w:rFonts w:ascii="Cambria" w:eastAsia="Cambria" w:hAnsi="Cambria" w:cs="Cambria"/>
      <w:color w:val="000000"/>
      <w:sz w:val="24"/>
      <w:szCs w:val="24"/>
      <w:u w:color="000000"/>
    </w:rPr>
  </w:style>
  <w:style w:type="paragraph" w:styleId="BodyTextIndent">
    <w:name w:val="Body Text Indent"/>
    <w:rsid w:val="00DA36AE"/>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436482"/>
    <w:pPr>
      <w:tabs>
        <w:tab w:val="left" w:pos="880"/>
        <w:tab w:val="left" w:pos="1800"/>
        <w:tab w:val="right" w:leader="dot" w:pos="9350"/>
      </w:tabs>
      <w:spacing w:after="100"/>
      <w:ind w:left="2160" w:hanging="720"/>
    </w:pPr>
    <w:rPr>
      <w:rFonts w:asciiTheme="majorHAnsi" w:hAnsiTheme="majorHAnsi"/>
      <w:noProof/>
      <w:sz w:val="20"/>
      <w:szCs w:val="20"/>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as.org/irp/crs/96-499.htm" TargetMode="External"/><Relationship Id="rId3" Type="http://schemas.openxmlformats.org/officeDocument/2006/relationships/hyperlink" Target="file://C:\Users\abanfi\AppData\Local\Microsoft\Windows\Temporary%20Internet%20Files\Content.Outlook\L18L06J7\Arizona%20Department%20of%20Corrections.%20Department%20Order%20Manual.%20June%2013,%202017.%20Available%20at:%20https:\files.deathpenaltyinfo.org\legacy\files\pdf\ExecutionProtocols\ArizonaProtocol_06.17.17.pdf" TargetMode="External"/><Relationship Id="rId7" Type="http://schemas.openxmlformats.org/officeDocument/2006/relationships/hyperlink" Target="http://www.fas.org/irp/crs/96-499.htm" TargetMode="External"/><Relationship Id="rId2" Type="http://schemas.openxmlformats.org/officeDocument/2006/relationships/hyperlink" Target="https://cite.case.law/us/522/829/11491468/" TargetMode="External"/><Relationship Id="rId1" Type="http://schemas.openxmlformats.org/officeDocument/2006/relationships/hyperlink" Target="https://apps.azsos.gov/public_services/Title_05/5-04.pdf" TargetMode="External"/><Relationship Id="rId6" Type="http://schemas.openxmlformats.org/officeDocument/2006/relationships/hyperlink" Target="http://www.abanet.org/legalservices/downloads/%20sclaid/deathpenaltyguidelines.pdf" TargetMode="External"/><Relationship Id="rId5" Type="http://schemas.openxmlformats.org/officeDocument/2006/relationships/hyperlink" Target="https://www.cbsnews.com/news/arizona-to-resume-executions-for-first-time-since-2014-lawsuit-announced-today-2019-07-26/" TargetMode="External"/><Relationship Id="rId4" Type="http://schemas.openxmlformats.org/officeDocument/2006/relationships/hyperlink" Target="https://deathpenaltyinfo.org/state-and-federal-info/state-by-state/arizona" TargetMode="External"/><Relationship Id="rId9" Type="http://schemas.openxmlformats.org/officeDocument/2006/relationships/hyperlink" Target="http://solitaryconfinement.org/uploads/sourcebook_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BB15-CA53-E44E-88CA-5E0AD7CE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13247</Words>
  <Characters>67563</Characters>
  <Application>Microsoft Office Word</Application>
  <DocSecurity>0</DocSecurity>
  <Lines>1164</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461/21</dc:title>
  <dc:creator/>
  <cp:lastModifiedBy/>
  <cp:revision>1</cp:revision>
  <dcterms:created xsi:type="dcterms:W3CDTF">2022-04-04T17:30:00Z</dcterms:created>
  <dcterms:modified xsi:type="dcterms:W3CDTF">2022-04-04T17:30:00Z</dcterms:modified>
</cp:coreProperties>
</file>