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ECDF" w14:textId="77777777" w:rsidR="00040C3A" w:rsidRPr="005C0994" w:rsidRDefault="007B1494" w:rsidP="001E4D7D">
      <w:pPr>
        <w:jc w:val="both"/>
        <w:rPr>
          <w:rFonts w:asciiTheme="majorHAnsi" w:hAnsiTheme="majorHAnsi" w:cs="Univers"/>
          <w:b/>
          <w:bCs/>
          <w:sz w:val="20"/>
          <w:szCs w:val="20"/>
          <w:lang w:val="es-ES_tradnl"/>
        </w:rPr>
      </w:pPr>
      <w:r w:rsidRPr="005C099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1F64C09" wp14:editId="20CFD80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859C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" fillcolor="#67ae3c" stroked="f" strokeweight="2pt"/>
            </w:pict>
          </mc:Fallback>
        </mc:AlternateContent>
      </w:r>
      <w:r w:rsidRPr="005C099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09F4774" wp14:editId="59850ED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2834D" w14:textId="77777777" w:rsidR="00B56F13" w:rsidRDefault="00B56F13">
                            <w:r>
                              <w:rPr>
                                <w:noProof/>
                              </w:rPr>
                              <w:drawing>
                                <wp:inline distT="0" distB="0" distL="0" distR="0" wp14:anchorId="73371C38" wp14:editId="24427F3D">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F4774"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" filled="f" stroked="f" strokeweight=".5pt">
                <v:textbox>
                  <w:txbxContent>
                    <w:p w14:paraId="54C2834D" w14:textId="77777777" w:rsidR="00B56F13" w:rsidRDefault="00B56F13">
                      <w:r>
                        <w:rPr>
                          <w:noProof/>
                        </w:rPr>
                        <w:drawing>
                          <wp:inline distT="0" distB="0" distL="0" distR="0" wp14:anchorId="73371C38" wp14:editId="24427F3D">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542F04B" w14:textId="77777777" w:rsidR="00040C3A" w:rsidRPr="005C0994" w:rsidRDefault="00040C3A" w:rsidP="00040C3A">
      <w:pPr>
        <w:tabs>
          <w:tab w:val="center" w:pos="5400"/>
        </w:tabs>
        <w:suppressAutoHyphens/>
        <w:jc w:val="both"/>
        <w:rPr>
          <w:rFonts w:asciiTheme="majorHAnsi" w:hAnsiTheme="majorHAnsi"/>
          <w:sz w:val="20"/>
          <w:szCs w:val="20"/>
          <w:lang w:val="es-ES"/>
        </w:rPr>
      </w:pPr>
    </w:p>
    <w:p w14:paraId="64093972" w14:textId="77777777" w:rsidR="00040C3A" w:rsidRPr="005C0994" w:rsidRDefault="00040C3A" w:rsidP="00040C3A">
      <w:pPr>
        <w:tabs>
          <w:tab w:val="center" w:pos="5400"/>
        </w:tabs>
        <w:suppressAutoHyphens/>
        <w:jc w:val="both"/>
        <w:rPr>
          <w:rFonts w:asciiTheme="majorHAnsi" w:hAnsiTheme="majorHAnsi"/>
          <w:sz w:val="20"/>
          <w:szCs w:val="20"/>
          <w:lang w:val="es-ES"/>
        </w:rPr>
      </w:pPr>
    </w:p>
    <w:p w14:paraId="50EDC033" w14:textId="77777777" w:rsidR="005128E4" w:rsidRPr="005C0994" w:rsidRDefault="005128E4" w:rsidP="00040C3A">
      <w:pPr>
        <w:tabs>
          <w:tab w:val="center" w:pos="5400"/>
        </w:tabs>
        <w:suppressAutoHyphens/>
        <w:rPr>
          <w:rFonts w:asciiTheme="majorHAnsi" w:hAnsiTheme="majorHAnsi"/>
          <w:sz w:val="20"/>
          <w:szCs w:val="20"/>
          <w:lang w:val="es-ES_tradnl"/>
        </w:rPr>
      </w:pPr>
    </w:p>
    <w:p w14:paraId="4BF3530C" w14:textId="77777777" w:rsidR="005128E4" w:rsidRPr="005C0994" w:rsidRDefault="005128E4" w:rsidP="00040C3A">
      <w:pPr>
        <w:tabs>
          <w:tab w:val="center" w:pos="5400"/>
        </w:tabs>
        <w:suppressAutoHyphens/>
        <w:rPr>
          <w:rFonts w:asciiTheme="majorHAnsi" w:hAnsiTheme="majorHAnsi"/>
          <w:sz w:val="20"/>
          <w:szCs w:val="20"/>
          <w:lang w:val="es-ES_tradnl"/>
        </w:rPr>
      </w:pPr>
    </w:p>
    <w:p w14:paraId="50C5CA20" w14:textId="77777777" w:rsidR="005128E4" w:rsidRPr="005C0994" w:rsidRDefault="005128E4" w:rsidP="00040C3A">
      <w:pPr>
        <w:tabs>
          <w:tab w:val="center" w:pos="5400"/>
        </w:tabs>
        <w:suppressAutoHyphens/>
        <w:rPr>
          <w:rFonts w:asciiTheme="majorHAnsi" w:hAnsiTheme="majorHAnsi"/>
          <w:sz w:val="20"/>
          <w:szCs w:val="20"/>
          <w:lang w:val="es-ES_tradnl"/>
        </w:rPr>
      </w:pPr>
    </w:p>
    <w:p w14:paraId="4EE81480" w14:textId="77777777" w:rsidR="00040C3A" w:rsidRPr="005C0994" w:rsidRDefault="00040C3A" w:rsidP="005128E4">
      <w:pPr>
        <w:tabs>
          <w:tab w:val="center" w:pos="5400"/>
        </w:tabs>
        <w:suppressAutoHyphens/>
        <w:jc w:val="center"/>
        <w:rPr>
          <w:rFonts w:asciiTheme="majorHAnsi" w:hAnsiTheme="majorHAnsi"/>
          <w:sz w:val="20"/>
          <w:szCs w:val="20"/>
          <w:lang w:val="es-ES_tradnl"/>
        </w:rPr>
      </w:pPr>
    </w:p>
    <w:p w14:paraId="38675B67" w14:textId="77777777" w:rsidR="00040C3A" w:rsidRPr="005C0994" w:rsidRDefault="007B1494" w:rsidP="005128E4">
      <w:pPr>
        <w:tabs>
          <w:tab w:val="center" w:pos="5400"/>
        </w:tabs>
        <w:suppressAutoHyphens/>
        <w:jc w:val="center"/>
        <w:rPr>
          <w:rFonts w:asciiTheme="majorHAnsi" w:hAnsiTheme="majorHAnsi"/>
          <w:sz w:val="20"/>
          <w:szCs w:val="20"/>
          <w:lang w:val="es-ES_tradnl"/>
        </w:rPr>
      </w:pPr>
      <w:r w:rsidRPr="005C0994">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60976F46" wp14:editId="2C94C578">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00533" w14:textId="77777777" w:rsidR="00B56F13" w:rsidRDefault="00B56F13" w:rsidP="004B7EB6">
                            <w:pPr>
                              <w:spacing w:line="276" w:lineRule="auto"/>
                              <w:rPr>
                                <w:rFonts w:asciiTheme="majorHAnsi" w:hAnsiTheme="majorHAnsi" w:cs="Arial"/>
                                <w:b/>
                                <w:bCs/>
                                <w:color w:val="0D0D0D" w:themeColor="text1" w:themeTint="F2"/>
                                <w:sz w:val="36"/>
                                <w:szCs w:val="40"/>
                              </w:rPr>
                            </w:pPr>
                          </w:p>
                          <w:p w14:paraId="3C6478A7" w14:textId="77777777" w:rsidR="00B56F13" w:rsidRDefault="00B56F13" w:rsidP="004B7EB6">
                            <w:pPr>
                              <w:spacing w:line="276" w:lineRule="auto"/>
                              <w:rPr>
                                <w:rFonts w:asciiTheme="majorHAnsi" w:hAnsiTheme="majorHAnsi" w:cs="Arial"/>
                                <w:b/>
                                <w:bCs/>
                                <w:color w:val="0D0D0D" w:themeColor="text1" w:themeTint="F2"/>
                                <w:sz w:val="36"/>
                                <w:szCs w:val="40"/>
                              </w:rPr>
                            </w:pPr>
                          </w:p>
                          <w:p w14:paraId="757573B5" w14:textId="77777777" w:rsidR="00B56F13" w:rsidRDefault="00B56F13" w:rsidP="004B7EB6">
                            <w:pPr>
                              <w:spacing w:line="276" w:lineRule="auto"/>
                              <w:rPr>
                                <w:rFonts w:asciiTheme="majorHAnsi" w:hAnsiTheme="majorHAnsi" w:cs="Arial"/>
                                <w:b/>
                                <w:bCs/>
                                <w:color w:val="0D0D0D" w:themeColor="text1" w:themeTint="F2"/>
                                <w:sz w:val="36"/>
                                <w:szCs w:val="40"/>
                              </w:rPr>
                            </w:pPr>
                          </w:p>
                          <w:p w14:paraId="35E4ED2D" w14:textId="77777777" w:rsidR="00B56F13" w:rsidRDefault="00B56F13" w:rsidP="004B7EB6">
                            <w:pPr>
                              <w:spacing w:line="276" w:lineRule="auto"/>
                              <w:rPr>
                                <w:rFonts w:asciiTheme="majorHAnsi" w:hAnsiTheme="majorHAnsi" w:cs="Arial"/>
                                <w:b/>
                                <w:bCs/>
                                <w:color w:val="0D0D0D" w:themeColor="text1" w:themeTint="F2"/>
                                <w:sz w:val="36"/>
                                <w:szCs w:val="40"/>
                              </w:rPr>
                            </w:pPr>
                          </w:p>
                          <w:p w14:paraId="2A6BAC18" w14:textId="469FB0BB" w:rsidR="00B56F13" w:rsidRPr="004B7EB6" w:rsidRDefault="00B56F1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444FB">
                              <w:rPr>
                                <w:rFonts w:asciiTheme="majorHAnsi" w:hAnsiTheme="majorHAnsi" w:cs="Arial"/>
                                <w:b/>
                                <w:bCs/>
                                <w:color w:val="0D0D0D" w:themeColor="text1" w:themeTint="F2"/>
                                <w:sz w:val="36"/>
                                <w:szCs w:val="40"/>
                              </w:rPr>
                              <w:t>454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7FB5D8E6" w14:textId="77777777" w:rsidR="00B56F13" w:rsidRPr="004B7EB6" w:rsidRDefault="00B56F1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13.478</w:t>
                            </w:r>
                          </w:p>
                          <w:p w14:paraId="7E4EFAFE" w14:textId="0F38B013" w:rsidR="00B56F13" w:rsidRPr="004B7EB6" w:rsidRDefault="00B56F13" w:rsidP="00F45EBF">
                            <w:pPr>
                              <w:spacing w:line="276" w:lineRule="auto"/>
                              <w:rPr>
                                <w:rFonts w:asciiTheme="majorHAnsi" w:hAnsiTheme="majorHAnsi" w:cs="Arial"/>
                                <w:color w:val="0D0D0D" w:themeColor="text1" w:themeTint="F2"/>
                                <w:szCs w:val="22"/>
                              </w:rPr>
                            </w:pPr>
                            <w:r w:rsidRPr="003A4337">
                              <w:rPr>
                                <w:rFonts w:asciiTheme="majorHAnsi" w:hAnsiTheme="majorHAnsi" w:cs="Arial"/>
                                <w:color w:val="0D0D0D" w:themeColor="text1" w:themeTint="F2"/>
                                <w:szCs w:val="22"/>
                              </w:rPr>
                              <w:t>REPORT ON ADMISSIBILITY AND MERITS</w:t>
                            </w:r>
                            <w:r w:rsidRPr="004B7EB6">
                              <w:rPr>
                                <w:rFonts w:asciiTheme="majorHAnsi" w:hAnsiTheme="majorHAnsi" w:cs="Arial"/>
                                <w:color w:val="0D0D0D" w:themeColor="text1" w:themeTint="F2"/>
                                <w:szCs w:val="22"/>
                              </w:rPr>
                              <w:t xml:space="preserve"> </w:t>
                            </w:r>
                            <w:r w:rsidRPr="00B444FB">
                              <w:rPr>
                                <w:rFonts w:asciiTheme="majorHAnsi" w:hAnsiTheme="majorHAnsi" w:cs="Arial"/>
                                <w:color w:val="0D0D0D" w:themeColor="text1" w:themeTint="F2"/>
                                <w:szCs w:val="22"/>
                              </w:rPr>
                              <w:t>(PUBLICATION)</w:t>
                            </w:r>
                          </w:p>
                          <w:p w14:paraId="36FFE3D3" w14:textId="77777777" w:rsidR="00B56F13" w:rsidRPr="004B7EB6" w:rsidRDefault="00B56F13" w:rsidP="004B7EB6">
                            <w:pPr>
                              <w:spacing w:line="276" w:lineRule="auto"/>
                              <w:rPr>
                                <w:rFonts w:asciiTheme="majorHAnsi" w:hAnsiTheme="majorHAnsi" w:cs="Arial"/>
                                <w:color w:val="0D0D0D" w:themeColor="text1" w:themeTint="F2"/>
                                <w:szCs w:val="22"/>
                              </w:rPr>
                            </w:pPr>
                          </w:p>
                          <w:p w14:paraId="11D3F1BE" w14:textId="77777777" w:rsidR="00B56F13" w:rsidRPr="00444596" w:rsidRDefault="00B56F1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JOSÉ TRINIDAD LOZA VENTURA</w:t>
                            </w:r>
                          </w:p>
                          <w:p w14:paraId="0AEDC292" w14:textId="77777777" w:rsidR="00B56F13" w:rsidRDefault="00B56F1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5E4E0586" w14:textId="77777777" w:rsidR="00B56F13" w:rsidRPr="00E57833" w:rsidRDefault="00B56F13" w:rsidP="008D2EA5">
                            <w:pPr>
                              <w:spacing w:line="276" w:lineRule="auto"/>
                              <w:jc w:val="both"/>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76F46" id="_x0000_t202" coordsize="21600,21600" o:spt="202" path="m,l,21600r21600,l21600,xe">
                <v:stroke joinstyle="miter"/>
                <v:path gradientshapeok="t" o:connecttype="rect"/>
              </v:shapetype>
              <v:shape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" filled="f" stroked="f" strokeweight=".5pt">
                <v:textbox>
                  <w:txbxContent>
                    <w:p w14:paraId="79D00533" w14:textId="77777777" w:rsidR="00B56F13" w:rsidRDefault="00B56F13" w:rsidP="004B7EB6">
                      <w:pPr>
                        <w:spacing w:line="276" w:lineRule="auto"/>
                        <w:rPr>
                          <w:rFonts w:asciiTheme="majorHAnsi" w:hAnsiTheme="majorHAnsi" w:cs="Arial"/>
                          <w:b/>
                          <w:bCs/>
                          <w:color w:val="0D0D0D" w:themeColor="text1" w:themeTint="F2"/>
                          <w:sz w:val="36"/>
                          <w:szCs w:val="40"/>
                        </w:rPr>
                      </w:pPr>
                    </w:p>
                    <w:p w14:paraId="3C6478A7" w14:textId="77777777" w:rsidR="00B56F13" w:rsidRDefault="00B56F13" w:rsidP="004B7EB6">
                      <w:pPr>
                        <w:spacing w:line="276" w:lineRule="auto"/>
                        <w:rPr>
                          <w:rFonts w:asciiTheme="majorHAnsi" w:hAnsiTheme="majorHAnsi" w:cs="Arial"/>
                          <w:b/>
                          <w:bCs/>
                          <w:color w:val="0D0D0D" w:themeColor="text1" w:themeTint="F2"/>
                          <w:sz w:val="36"/>
                          <w:szCs w:val="40"/>
                        </w:rPr>
                      </w:pPr>
                    </w:p>
                    <w:p w14:paraId="757573B5" w14:textId="77777777" w:rsidR="00B56F13" w:rsidRDefault="00B56F13" w:rsidP="004B7EB6">
                      <w:pPr>
                        <w:spacing w:line="276" w:lineRule="auto"/>
                        <w:rPr>
                          <w:rFonts w:asciiTheme="majorHAnsi" w:hAnsiTheme="majorHAnsi" w:cs="Arial"/>
                          <w:b/>
                          <w:bCs/>
                          <w:color w:val="0D0D0D" w:themeColor="text1" w:themeTint="F2"/>
                          <w:sz w:val="36"/>
                          <w:szCs w:val="40"/>
                        </w:rPr>
                      </w:pPr>
                    </w:p>
                    <w:p w14:paraId="35E4ED2D" w14:textId="77777777" w:rsidR="00B56F13" w:rsidRDefault="00B56F13" w:rsidP="004B7EB6">
                      <w:pPr>
                        <w:spacing w:line="276" w:lineRule="auto"/>
                        <w:rPr>
                          <w:rFonts w:asciiTheme="majorHAnsi" w:hAnsiTheme="majorHAnsi" w:cs="Arial"/>
                          <w:b/>
                          <w:bCs/>
                          <w:color w:val="0D0D0D" w:themeColor="text1" w:themeTint="F2"/>
                          <w:sz w:val="36"/>
                          <w:szCs w:val="40"/>
                        </w:rPr>
                      </w:pPr>
                    </w:p>
                    <w:p w14:paraId="2A6BAC18" w14:textId="469FB0BB" w:rsidR="00B56F13" w:rsidRPr="004B7EB6" w:rsidRDefault="00B56F1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444FB">
                        <w:rPr>
                          <w:rFonts w:asciiTheme="majorHAnsi" w:hAnsiTheme="majorHAnsi" w:cs="Arial"/>
                          <w:b/>
                          <w:bCs/>
                          <w:color w:val="0D0D0D" w:themeColor="text1" w:themeTint="F2"/>
                          <w:sz w:val="36"/>
                          <w:szCs w:val="40"/>
                        </w:rPr>
                        <w:t>454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7FB5D8E6" w14:textId="77777777" w:rsidR="00B56F13" w:rsidRPr="004B7EB6" w:rsidRDefault="00B56F13"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13.478</w:t>
                      </w:r>
                    </w:p>
                    <w:p w14:paraId="7E4EFAFE" w14:textId="0F38B013" w:rsidR="00B56F13" w:rsidRPr="004B7EB6" w:rsidRDefault="00B56F13" w:rsidP="00F45EBF">
                      <w:pPr>
                        <w:spacing w:line="276" w:lineRule="auto"/>
                        <w:rPr>
                          <w:rFonts w:asciiTheme="majorHAnsi" w:hAnsiTheme="majorHAnsi" w:cs="Arial"/>
                          <w:color w:val="0D0D0D" w:themeColor="text1" w:themeTint="F2"/>
                          <w:szCs w:val="22"/>
                        </w:rPr>
                      </w:pPr>
                      <w:r w:rsidRPr="003A4337">
                        <w:rPr>
                          <w:rFonts w:asciiTheme="majorHAnsi" w:hAnsiTheme="majorHAnsi" w:cs="Arial"/>
                          <w:color w:val="0D0D0D" w:themeColor="text1" w:themeTint="F2"/>
                          <w:szCs w:val="22"/>
                        </w:rPr>
                        <w:t>REPORT ON ADMISSIBILITY AND MERITS</w:t>
                      </w:r>
                      <w:r w:rsidRPr="004B7EB6">
                        <w:rPr>
                          <w:rFonts w:asciiTheme="majorHAnsi" w:hAnsiTheme="majorHAnsi" w:cs="Arial"/>
                          <w:color w:val="0D0D0D" w:themeColor="text1" w:themeTint="F2"/>
                          <w:szCs w:val="22"/>
                        </w:rPr>
                        <w:t xml:space="preserve"> </w:t>
                      </w:r>
                      <w:r w:rsidRPr="00B444FB">
                        <w:rPr>
                          <w:rFonts w:asciiTheme="majorHAnsi" w:hAnsiTheme="majorHAnsi" w:cs="Arial"/>
                          <w:color w:val="0D0D0D" w:themeColor="text1" w:themeTint="F2"/>
                          <w:szCs w:val="22"/>
                        </w:rPr>
                        <w:t>(PUBLICATION)</w:t>
                      </w:r>
                    </w:p>
                    <w:p w14:paraId="36FFE3D3" w14:textId="77777777" w:rsidR="00B56F13" w:rsidRPr="004B7EB6" w:rsidRDefault="00B56F13" w:rsidP="004B7EB6">
                      <w:pPr>
                        <w:spacing w:line="276" w:lineRule="auto"/>
                        <w:rPr>
                          <w:rFonts w:asciiTheme="majorHAnsi" w:hAnsiTheme="majorHAnsi" w:cs="Arial"/>
                          <w:color w:val="0D0D0D" w:themeColor="text1" w:themeTint="F2"/>
                          <w:szCs w:val="22"/>
                        </w:rPr>
                      </w:pPr>
                    </w:p>
                    <w:p w14:paraId="11D3F1BE" w14:textId="77777777" w:rsidR="00B56F13" w:rsidRPr="00444596" w:rsidRDefault="00B56F1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JOSÉ TRINIDAD LOZA VENTURA</w:t>
                      </w:r>
                    </w:p>
                    <w:p w14:paraId="0AEDC292" w14:textId="77777777" w:rsidR="00B56F13" w:rsidRDefault="00B56F1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5E4E0586" w14:textId="77777777" w:rsidR="00B56F13" w:rsidRPr="00E57833" w:rsidRDefault="00B56F13" w:rsidP="008D2EA5">
                      <w:pPr>
                        <w:spacing w:line="276" w:lineRule="auto"/>
                        <w:jc w:val="both"/>
                        <w:rPr>
                          <w:rFonts w:asciiTheme="majorHAnsi" w:hAnsiTheme="majorHAnsi"/>
                          <w:color w:val="0D0D0D" w:themeColor="text1" w:themeTint="F2"/>
                        </w:rPr>
                      </w:pPr>
                    </w:p>
                  </w:txbxContent>
                </v:textbox>
              </v:shape>
            </w:pict>
          </mc:Fallback>
        </mc:AlternateContent>
      </w:r>
    </w:p>
    <w:p w14:paraId="702A3D48" w14:textId="77777777" w:rsidR="005B52B0" w:rsidRPr="005C0994" w:rsidRDefault="005B52B0" w:rsidP="005128E4">
      <w:pPr>
        <w:tabs>
          <w:tab w:val="center" w:pos="5400"/>
        </w:tabs>
        <w:suppressAutoHyphens/>
        <w:jc w:val="center"/>
        <w:rPr>
          <w:rFonts w:asciiTheme="majorHAnsi" w:hAnsiTheme="majorHAnsi"/>
          <w:sz w:val="20"/>
          <w:szCs w:val="20"/>
          <w:lang w:val="es-ES_tradnl"/>
        </w:rPr>
      </w:pPr>
    </w:p>
    <w:p w14:paraId="1F7DDC35" w14:textId="77777777" w:rsidR="005B52B0" w:rsidRPr="005C0994" w:rsidRDefault="005B52B0" w:rsidP="005128E4">
      <w:pPr>
        <w:tabs>
          <w:tab w:val="center" w:pos="5400"/>
        </w:tabs>
        <w:suppressAutoHyphens/>
        <w:jc w:val="center"/>
        <w:rPr>
          <w:rFonts w:asciiTheme="majorHAnsi" w:hAnsiTheme="majorHAnsi"/>
          <w:sz w:val="20"/>
          <w:szCs w:val="20"/>
          <w:lang w:val="es-ES_tradnl"/>
        </w:rPr>
      </w:pPr>
    </w:p>
    <w:p w14:paraId="3A75AA35" w14:textId="77777777" w:rsidR="005B52B0" w:rsidRPr="005C0994" w:rsidRDefault="005B52B0" w:rsidP="005128E4">
      <w:pPr>
        <w:tabs>
          <w:tab w:val="center" w:pos="5400"/>
        </w:tabs>
        <w:suppressAutoHyphens/>
        <w:jc w:val="center"/>
        <w:rPr>
          <w:rFonts w:asciiTheme="majorHAnsi" w:hAnsiTheme="majorHAnsi"/>
          <w:sz w:val="20"/>
          <w:szCs w:val="20"/>
          <w:lang w:val="es-ES_tradnl"/>
        </w:rPr>
      </w:pPr>
    </w:p>
    <w:p w14:paraId="4F0F7BA2"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2006E187"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4306AC31"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7208BDD2"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54672251" w14:textId="77777777" w:rsidR="00040C3A" w:rsidRPr="005C0994" w:rsidRDefault="007B1494" w:rsidP="00040C3A">
      <w:pPr>
        <w:tabs>
          <w:tab w:val="center" w:pos="5400"/>
        </w:tabs>
        <w:suppressAutoHyphens/>
        <w:jc w:val="center"/>
        <w:rPr>
          <w:rFonts w:asciiTheme="majorHAnsi" w:hAnsiTheme="majorHAnsi"/>
          <w:sz w:val="20"/>
          <w:szCs w:val="20"/>
          <w:lang w:val="es-ES_tradnl"/>
        </w:rPr>
      </w:pPr>
      <w:r w:rsidRPr="005C099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2685BCB" wp14:editId="5896545C">
                <wp:simplePos x="0" y="0"/>
                <wp:positionH relativeFrom="column">
                  <wp:posOffset>-370205</wp:posOffset>
                </wp:positionH>
                <wp:positionV relativeFrom="paragraph">
                  <wp:posOffset>43180</wp:posOffset>
                </wp:positionV>
                <wp:extent cx="1334135" cy="8350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FC3A3" w14:textId="77777777" w:rsidR="00B56F13" w:rsidRPr="001D5FE4" w:rsidRDefault="00B56F13" w:rsidP="002C1641">
                            <w:pPr>
                              <w:jc w:val="right"/>
                              <w:rPr>
                                <w:rFonts w:asciiTheme="minorHAnsi" w:hAnsiTheme="minorHAnsi"/>
                                <w:color w:val="FFFFFF" w:themeColor="background1"/>
                                <w:sz w:val="22"/>
                                <w:lang w:val="es-US"/>
                              </w:rPr>
                            </w:pPr>
                            <w:r w:rsidRPr="001D5FE4">
                              <w:rPr>
                                <w:rFonts w:asciiTheme="minorHAnsi" w:hAnsiTheme="minorHAnsi"/>
                                <w:color w:val="FFFFFF" w:themeColor="background1"/>
                                <w:sz w:val="22"/>
                                <w:lang w:val="es-US"/>
                              </w:rPr>
                              <w:t>OEA/</w:t>
                            </w:r>
                            <w:proofErr w:type="spellStart"/>
                            <w:r w:rsidRPr="001D5FE4">
                              <w:rPr>
                                <w:rFonts w:asciiTheme="minorHAnsi" w:hAnsiTheme="minorHAnsi"/>
                                <w:color w:val="FFFFFF" w:themeColor="background1"/>
                                <w:sz w:val="22"/>
                                <w:lang w:val="es-US"/>
                              </w:rPr>
                              <w:t>Ser.L</w:t>
                            </w:r>
                            <w:proofErr w:type="spellEnd"/>
                            <w:r w:rsidRPr="001D5FE4">
                              <w:rPr>
                                <w:rFonts w:asciiTheme="minorHAnsi" w:hAnsiTheme="minorHAnsi"/>
                                <w:color w:val="FFFFFF" w:themeColor="background1"/>
                                <w:sz w:val="22"/>
                                <w:lang w:val="es-US"/>
                              </w:rPr>
                              <w:t>/V/II.</w:t>
                            </w:r>
                          </w:p>
                          <w:p w14:paraId="44110BEC" w14:textId="73BA8957" w:rsidR="00B56F13" w:rsidRPr="00B56F13" w:rsidRDefault="00B56F13" w:rsidP="002C1641">
                            <w:pPr>
                              <w:jc w:val="right"/>
                              <w:rPr>
                                <w:rFonts w:asciiTheme="minorHAnsi" w:hAnsiTheme="minorHAnsi"/>
                                <w:color w:val="FFFFFF" w:themeColor="background1"/>
                                <w:sz w:val="22"/>
                              </w:rPr>
                            </w:pPr>
                            <w:r w:rsidRPr="00B56F13">
                              <w:rPr>
                                <w:rFonts w:asciiTheme="minorHAnsi" w:hAnsiTheme="minorHAnsi"/>
                                <w:color w:val="FFFFFF" w:themeColor="background1"/>
                                <w:sz w:val="22"/>
                              </w:rPr>
                              <w:t xml:space="preserve">Doc. </w:t>
                            </w:r>
                            <w:r w:rsidR="00B444FB">
                              <w:rPr>
                                <w:rFonts w:asciiTheme="minorHAnsi" w:hAnsiTheme="minorHAnsi"/>
                                <w:color w:val="FFFFFF" w:themeColor="background1"/>
                                <w:sz w:val="22"/>
                              </w:rPr>
                              <w:t>468</w:t>
                            </w:r>
                          </w:p>
                          <w:p w14:paraId="5D03300E" w14:textId="78DF667C" w:rsidR="00B56F13" w:rsidRPr="00B56F13" w:rsidRDefault="00B444FB"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B56F13" w:rsidRPr="00B56F13">
                              <w:rPr>
                                <w:rFonts w:asciiTheme="minorHAnsi" w:hAnsiTheme="minorHAnsi"/>
                                <w:color w:val="FFFFFF" w:themeColor="background1"/>
                                <w:sz w:val="22"/>
                              </w:rPr>
                              <w:t xml:space="preserve"> </w:t>
                            </w:r>
                            <w:r w:rsidR="00B56F13">
                              <w:rPr>
                                <w:rFonts w:asciiTheme="minorHAnsi" w:hAnsiTheme="minorHAnsi"/>
                                <w:color w:val="FFFFFF" w:themeColor="background1"/>
                                <w:sz w:val="22"/>
                              </w:rPr>
                              <w:t>D</w:t>
                            </w:r>
                            <w:r w:rsidR="00B56F13" w:rsidRPr="00B56F13">
                              <w:rPr>
                                <w:rFonts w:asciiTheme="minorHAnsi" w:hAnsiTheme="minorHAnsi"/>
                                <w:color w:val="FFFFFF" w:themeColor="background1"/>
                                <w:sz w:val="22"/>
                              </w:rPr>
                              <w:t xml:space="preserve">ecember </w:t>
                            </w:r>
                            <w:r w:rsidR="001D5FE4">
                              <w:rPr>
                                <w:rFonts w:asciiTheme="minorHAnsi" w:hAnsiTheme="minorHAnsi"/>
                                <w:color w:val="FFFFFF" w:themeColor="background1"/>
                                <w:sz w:val="22"/>
                              </w:rPr>
                              <w:t>20</w:t>
                            </w:r>
                            <w:r w:rsidR="00B56F13" w:rsidRPr="00B56F13">
                              <w:rPr>
                                <w:rFonts w:asciiTheme="minorHAnsi" w:hAnsiTheme="minorHAnsi"/>
                                <w:color w:val="FFFFFF" w:themeColor="background1"/>
                                <w:sz w:val="22"/>
                              </w:rPr>
                              <w:t>21</w:t>
                            </w:r>
                          </w:p>
                          <w:p w14:paraId="5E576253" w14:textId="77777777" w:rsidR="00B56F13" w:rsidRPr="00B56F13" w:rsidRDefault="00B56F13" w:rsidP="002C1641">
                            <w:pPr>
                              <w:jc w:val="right"/>
                              <w:rPr>
                                <w:rFonts w:asciiTheme="minorHAnsi" w:hAnsiTheme="minorHAnsi"/>
                                <w:color w:val="FFFFFF" w:themeColor="background1"/>
                                <w:sz w:val="22"/>
                              </w:rPr>
                            </w:pPr>
                            <w:r w:rsidRPr="00B56F13">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85BCB" id="_x0000_t202" coordsize="21600,21600" o:spt="202" path="m,l,21600r21600,l21600,xe">
                <v:stroke joinstyle="miter"/>
                <v:path gradientshapeok="t" o:connecttype="rect"/>
              </v:shapetype>
              <v:shape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" filled="f" stroked="f" strokeweight=".5pt">
                <v:textbox>
                  <w:txbxContent>
                    <w:p w14:paraId="394FC3A3" w14:textId="77777777" w:rsidR="00B56F13" w:rsidRPr="001D5FE4" w:rsidRDefault="00B56F13" w:rsidP="002C1641">
                      <w:pPr>
                        <w:jc w:val="right"/>
                        <w:rPr>
                          <w:rFonts w:asciiTheme="minorHAnsi" w:hAnsiTheme="minorHAnsi"/>
                          <w:color w:val="FFFFFF" w:themeColor="background1"/>
                          <w:sz w:val="22"/>
                          <w:lang w:val="es-US"/>
                        </w:rPr>
                      </w:pPr>
                      <w:r w:rsidRPr="001D5FE4">
                        <w:rPr>
                          <w:rFonts w:asciiTheme="minorHAnsi" w:hAnsiTheme="minorHAnsi"/>
                          <w:color w:val="FFFFFF" w:themeColor="background1"/>
                          <w:sz w:val="22"/>
                          <w:lang w:val="es-US"/>
                        </w:rPr>
                        <w:t>OEA/</w:t>
                      </w:r>
                      <w:proofErr w:type="spellStart"/>
                      <w:r w:rsidRPr="001D5FE4">
                        <w:rPr>
                          <w:rFonts w:asciiTheme="minorHAnsi" w:hAnsiTheme="minorHAnsi"/>
                          <w:color w:val="FFFFFF" w:themeColor="background1"/>
                          <w:sz w:val="22"/>
                          <w:lang w:val="es-US"/>
                        </w:rPr>
                        <w:t>Ser.L</w:t>
                      </w:r>
                      <w:proofErr w:type="spellEnd"/>
                      <w:r w:rsidRPr="001D5FE4">
                        <w:rPr>
                          <w:rFonts w:asciiTheme="minorHAnsi" w:hAnsiTheme="minorHAnsi"/>
                          <w:color w:val="FFFFFF" w:themeColor="background1"/>
                          <w:sz w:val="22"/>
                          <w:lang w:val="es-US"/>
                        </w:rPr>
                        <w:t>/V/II.</w:t>
                      </w:r>
                    </w:p>
                    <w:p w14:paraId="44110BEC" w14:textId="73BA8957" w:rsidR="00B56F13" w:rsidRPr="00B56F13" w:rsidRDefault="00B56F13" w:rsidP="002C1641">
                      <w:pPr>
                        <w:jc w:val="right"/>
                        <w:rPr>
                          <w:rFonts w:asciiTheme="minorHAnsi" w:hAnsiTheme="minorHAnsi"/>
                          <w:color w:val="FFFFFF" w:themeColor="background1"/>
                          <w:sz w:val="22"/>
                        </w:rPr>
                      </w:pPr>
                      <w:r w:rsidRPr="00B56F13">
                        <w:rPr>
                          <w:rFonts w:asciiTheme="minorHAnsi" w:hAnsiTheme="minorHAnsi"/>
                          <w:color w:val="FFFFFF" w:themeColor="background1"/>
                          <w:sz w:val="22"/>
                        </w:rPr>
                        <w:t xml:space="preserve">Doc. </w:t>
                      </w:r>
                      <w:r w:rsidR="00B444FB">
                        <w:rPr>
                          <w:rFonts w:asciiTheme="minorHAnsi" w:hAnsiTheme="minorHAnsi"/>
                          <w:color w:val="FFFFFF" w:themeColor="background1"/>
                          <w:sz w:val="22"/>
                        </w:rPr>
                        <w:t>468</w:t>
                      </w:r>
                    </w:p>
                    <w:p w14:paraId="5D03300E" w14:textId="78DF667C" w:rsidR="00B56F13" w:rsidRPr="00B56F13" w:rsidRDefault="00B444FB"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B56F13" w:rsidRPr="00B56F13">
                        <w:rPr>
                          <w:rFonts w:asciiTheme="minorHAnsi" w:hAnsiTheme="minorHAnsi"/>
                          <w:color w:val="FFFFFF" w:themeColor="background1"/>
                          <w:sz w:val="22"/>
                        </w:rPr>
                        <w:t xml:space="preserve"> </w:t>
                      </w:r>
                      <w:r w:rsidR="00B56F13">
                        <w:rPr>
                          <w:rFonts w:asciiTheme="minorHAnsi" w:hAnsiTheme="minorHAnsi"/>
                          <w:color w:val="FFFFFF" w:themeColor="background1"/>
                          <w:sz w:val="22"/>
                        </w:rPr>
                        <w:t>D</w:t>
                      </w:r>
                      <w:r w:rsidR="00B56F13" w:rsidRPr="00B56F13">
                        <w:rPr>
                          <w:rFonts w:asciiTheme="minorHAnsi" w:hAnsiTheme="minorHAnsi"/>
                          <w:color w:val="FFFFFF" w:themeColor="background1"/>
                          <w:sz w:val="22"/>
                        </w:rPr>
                        <w:t xml:space="preserve">ecember </w:t>
                      </w:r>
                      <w:r w:rsidR="001D5FE4">
                        <w:rPr>
                          <w:rFonts w:asciiTheme="minorHAnsi" w:hAnsiTheme="minorHAnsi"/>
                          <w:color w:val="FFFFFF" w:themeColor="background1"/>
                          <w:sz w:val="22"/>
                        </w:rPr>
                        <w:t>20</w:t>
                      </w:r>
                      <w:r w:rsidR="00B56F13" w:rsidRPr="00B56F13">
                        <w:rPr>
                          <w:rFonts w:asciiTheme="minorHAnsi" w:hAnsiTheme="minorHAnsi"/>
                          <w:color w:val="FFFFFF" w:themeColor="background1"/>
                          <w:sz w:val="22"/>
                        </w:rPr>
                        <w:t>21</w:t>
                      </w:r>
                    </w:p>
                    <w:p w14:paraId="5E576253" w14:textId="77777777" w:rsidR="00B56F13" w:rsidRPr="00B56F13" w:rsidRDefault="00B56F13" w:rsidP="002C1641">
                      <w:pPr>
                        <w:jc w:val="right"/>
                        <w:rPr>
                          <w:rFonts w:asciiTheme="minorHAnsi" w:hAnsiTheme="minorHAnsi"/>
                          <w:color w:val="FFFFFF" w:themeColor="background1"/>
                          <w:sz w:val="22"/>
                        </w:rPr>
                      </w:pPr>
                      <w:r w:rsidRPr="00B56F13">
                        <w:rPr>
                          <w:rFonts w:asciiTheme="minorHAnsi" w:hAnsiTheme="minorHAnsi"/>
                          <w:color w:val="FFFFFF" w:themeColor="background1"/>
                          <w:sz w:val="22"/>
                        </w:rPr>
                        <w:t>Original: English</w:t>
                      </w:r>
                    </w:p>
                  </w:txbxContent>
                </v:textbox>
              </v:shape>
            </w:pict>
          </mc:Fallback>
        </mc:AlternateContent>
      </w:r>
    </w:p>
    <w:p w14:paraId="139C4F2D" w14:textId="77777777" w:rsidR="00040C3A" w:rsidRPr="005C0994" w:rsidRDefault="00040C3A" w:rsidP="00040C3A">
      <w:pPr>
        <w:tabs>
          <w:tab w:val="center" w:pos="5400"/>
        </w:tabs>
        <w:suppressAutoHyphens/>
        <w:jc w:val="center"/>
        <w:rPr>
          <w:rFonts w:asciiTheme="majorHAnsi" w:hAnsiTheme="majorHAnsi" w:cs="Arial"/>
          <w:sz w:val="20"/>
          <w:szCs w:val="20"/>
          <w:lang w:val="es-ES_tradnl"/>
        </w:rPr>
      </w:pPr>
    </w:p>
    <w:p w14:paraId="6E962B57"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12099913"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15423A1B"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28BBED3C"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4C88DEF4" w14:textId="77777777" w:rsidR="005128E4" w:rsidRPr="005C0994" w:rsidRDefault="005128E4" w:rsidP="00040C3A">
      <w:pPr>
        <w:tabs>
          <w:tab w:val="center" w:pos="5400"/>
        </w:tabs>
        <w:suppressAutoHyphens/>
        <w:jc w:val="center"/>
        <w:rPr>
          <w:rFonts w:asciiTheme="majorHAnsi" w:hAnsiTheme="majorHAnsi"/>
          <w:sz w:val="20"/>
          <w:szCs w:val="20"/>
          <w:lang w:val="es-ES_tradnl"/>
        </w:rPr>
      </w:pPr>
    </w:p>
    <w:p w14:paraId="39DE0D69"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16B535A9" w14:textId="77777777" w:rsidR="005128E4" w:rsidRPr="005C0994" w:rsidRDefault="005128E4" w:rsidP="00040C3A">
      <w:pPr>
        <w:tabs>
          <w:tab w:val="center" w:pos="5400"/>
        </w:tabs>
        <w:suppressAutoHyphens/>
        <w:jc w:val="center"/>
        <w:rPr>
          <w:rFonts w:asciiTheme="majorHAnsi" w:hAnsiTheme="majorHAnsi"/>
          <w:sz w:val="20"/>
          <w:szCs w:val="20"/>
          <w:lang w:val="es-ES_tradnl"/>
        </w:rPr>
      </w:pPr>
    </w:p>
    <w:p w14:paraId="40D856EE" w14:textId="77777777" w:rsidR="005128E4" w:rsidRPr="005C0994" w:rsidRDefault="005128E4" w:rsidP="00040C3A">
      <w:pPr>
        <w:tabs>
          <w:tab w:val="center" w:pos="5400"/>
        </w:tabs>
        <w:suppressAutoHyphens/>
        <w:jc w:val="center"/>
        <w:rPr>
          <w:rFonts w:asciiTheme="majorHAnsi" w:hAnsiTheme="majorHAnsi"/>
          <w:sz w:val="20"/>
          <w:szCs w:val="20"/>
          <w:lang w:val="es-ES_tradnl"/>
        </w:rPr>
      </w:pPr>
    </w:p>
    <w:p w14:paraId="468BCDB0" w14:textId="77777777" w:rsidR="005128E4" w:rsidRPr="005C0994" w:rsidRDefault="005128E4" w:rsidP="00040C3A">
      <w:pPr>
        <w:tabs>
          <w:tab w:val="center" w:pos="5400"/>
        </w:tabs>
        <w:suppressAutoHyphens/>
        <w:jc w:val="center"/>
        <w:rPr>
          <w:rFonts w:asciiTheme="majorHAnsi" w:hAnsiTheme="majorHAnsi"/>
          <w:sz w:val="20"/>
          <w:szCs w:val="20"/>
          <w:lang w:val="es-ES_tradnl"/>
        </w:rPr>
      </w:pPr>
    </w:p>
    <w:p w14:paraId="7C5EC1FC"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5A44D3B6" w14:textId="77777777" w:rsidR="00040C3A" w:rsidRPr="005C0994" w:rsidRDefault="00040C3A" w:rsidP="00040C3A">
      <w:pPr>
        <w:tabs>
          <w:tab w:val="center" w:pos="5400"/>
        </w:tabs>
        <w:suppressAutoHyphens/>
        <w:jc w:val="center"/>
        <w:rPr>
          <w:rFonts w:asciiTheme="majorHAnsi" w:hAnsiTheme="majorHAnsi"/>
          <w:sz w:val="20"/>
          <w:szCs w:val="20"/>
          <w:lang w:val="es-ES_tradnl"/>
        </w:rPr>
      </w:pPr>
    </w:p>
    <w:p w14:paraId="1D7ACE00"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0B3DAA86"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57C385F5"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02F6F973"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57CC6467"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5734A307"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195F2BB2"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731C1192"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16DAF9F0"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69B3353E"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1B0E6930"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12E60BDD"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1E61E452" w14:textId="77777777" w:rsidR="002C1641" w:rsidRPr="005C0994" w:rsidRDefault="007B1494" w:rsidP="00040C3A">
      <w:pPr>
        <w:tabs>
          <w:tab w:val="center" w:pos="5400"/>
        </w:tabs>
        <w:suppressAutoHyphens/>
        <w:jc w:val="center"/>
        <w:rPr>
          <w:rFonts w:asciiTheme="majorHAnsi" w:hAnsiTheme="majorHAnsi"/>
          <w:sz w:val="20"/>
          <w:szCs w:val="20"/>
          <w:lang w:val="es-ES_tradnl"/>
        </w:rPr>
      </w:pPr>
      <w:r w:rsidRPr="005C099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A2F308E" wp14:editId="1F6676F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9E2D4" w14:textId="2D6B9996" w:rsidR="00B56F13" w:rsidRDefault="00B56F13" w:rsidP="007D5D0A">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Pr>
                                <w:rFonts w:asciiTheme="majorHAnsi" w:hAnsiTheme="majorHAnsi"/>
                                <w:color w:val="0D0D0D" w:themeColor="text1" w:themeTint="F2"/>
                                <w:sz w:val="18"/>
                                <w:szCs w:val="20"/>
                              </w:rPr>
                              <w:t xml:space="preserve">December </w:t>
                            </w:r>
                            <w:r w:rsidR="00B444FB">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r w:rsidR="001D5FE4">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F308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6A19E2D4" w14:textId="2D6B9996" w:rsidR="00B56F13" w:rsidRDefault="00B56F13" w:rsidP="007D5D0A">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Pr>
                          <w:rFonts w:asciiTheme="majorHAnsi" w:hAnsiTheme="majorHAnsi"/>
                          <w:color w:val="0D0D0D" w:themeColor="text1" w:themeTint="F2"/>
                          <w:sz w:val="18"/>
                          <w:szCs w:val="20"/>
                        </w:rPr>
                        <w:t xml:space="preserve">December </w:t>
                      </w:r>
                      <w:r w:rsidR="00B444FB">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r w:rsidR="001D5FE4">
                        <w:rPr>
                          <w:rFonts w:asciiTheme="majorHAnsi" w:hAnsiTheme="majorHAnsi"/>
                          <w:color w:val="0D0D0D" w:themeColor="text1" w:themeTint="F2"/>
                          <w:sz w:val="18"/>
                          <w:szCs w:val="20"/>
                        </w:rPr>
                        <w:t>.</w:t>
                      </w:r>
                    </w:p>
                  </w:txbxContent>
                </v:textbox>
              </v:shape>
            </w:pict>
          </mc:Fallback>
        </mc:AlternateContent>
      </w:r>
    </w:p>
    <w:p w14:paraId="2C80D8C2"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66086271"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6AB56C54"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4D09C634"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0B05A41E" w14:textId="77777777" w:rsidR="002C1641" w:rsidRPr="005C0994" w:rsidRDefault="007B1494" w:rsidP="00040C3A">
      <w:pPr>
        <w:tabs>
          <w:tab w:val="center" w:pos="5400"/>
        </w:tabs>
        <w:suppressAutoHyphens/>
        <w:jc w:val="center"/>
        <w:rPr>
          <w:rFonts w:asciiTheme="majorHAnsi" w:hAnsiTheme="majorHAnsi"/>
          <w:sz w:val="20"/>
          <w:szCs w:val="20"/>
          <w:lang w:val="es-ES_tradnl"/>
        </w:rPr>
      </w:pPr>
      <w:r w:rsidRPr="005C0994">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38EF21EC" wp14:editId="48F5310D">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2B23C" w14:textId="7245BC1D" w:rsidR="00B56F13" w:rsidRPr="003C32BC" w:rsidRDefault="00B56F13"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444FB">
                              <w:rPr>
                                <w:rFonts w:asciiTheme="majorHAnsi" w:hAnsiTheme="majorHAnsi"/>
                                <w:color w:val="595959" w:themeColor="text1" w:themeTint="A6"/>
                                <w:sz w:val="18"/>
                              </w:rPr>
                              <w:t>454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13.478</w:t>
                            </w:r>
                            <w:r w:rsidRPr="009424BD">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Admissibility </w:t>
                            </w:r>
                            <w:r w:rsidRPr="00682CC9">
                              <w:rPr>
                                <w:rFonts w:asciiTheme="majorHAnsi" w:hAnsiTheme="majorHAnsi"/>
                                <w:color w:val="595959" w:themeColor="text1" w:themeTint="A6"/>
                                <w:sz w:val="18"/>
                              </w:rPr>
                              <w:t>and Merits</w:t>
                            </w:r>
                            <w:r>
                              <w:rPr>
                                <w:rFonts w:asciiTheme="majorHAnsi" w:hAnsiTheme="majorHAnsi"/>
                                <w:color w:val="595959" w:themeColor="text1" w:themeTint="A6"/>
                                <w:sz w:val="18"/>
                              </w:rPr>
                              <w:t xml:space="preserve"> </w:t>
                            </w:r>
                            <w:r w:rsidRPr="00B444FB">
                              <w:rPr>
                                <w:rFonts w:asciiTheme="majorHAnsi" w:hAnsiTheme="majorHAnsi"/>
                                <w:color w:val="595959" w:themeColor="text1" w:themeTint="A6"/>
                                <w:sz w:val="18"/>
                              </w:rPr>
                              <w:t>(Publication).</w:t>
                            </w:r>
                            <w:r w:rsidRPr="00682CC9">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José Trinidad </w:t>
                            </w:r>
                            <w:proofErr w:type="spellStart"/>
                            <w:r>
                              <w:rPr>
                                <w:rFonts w:asciiTheme="majorHAnsi" w:hAnsiTheme="majorHAnsi"/>
                                <w:color w:val="595959" w:themeColor="text1" w:themeTint="A6"/>
                                <w:sz w:val="18"/>
                              </w:rPr>
                              <w:t>Loza</w:t>
                            </w:r>
                            <w:proofErr w:type="spellEnd"/>
                            <w:r>
                              <w:rPr>
                                <w:rFonts w:asciiTheme="majorHAnsi" w:hAnsiTheme="majorHAnsi"/>
                                <w:color w:val="595959" w:themeColor="text1" w:themeTint="A6"/>
                                <w:sz w:val="18"/>
                              </w:rPr>
                              <w:t xml:space="preserve"> Ventura. United States of America. December </w:t>
                            </w:r>
                            <w:r w:rsidR="00B444FB">
                              <w:rPr>
                                <w:rFonts w:asciiTheme="majorHAnsi" w:hAnsiTheme="majorHAnsi"/>
                                <w:color w:val="595959" w:themeColor="text1" w:themeTint="A6"/>
                                <w:sz w:val="18"/>
                              </w:rPr>
                              <w:t>31</w:t>
                            </w:r>
                            <w:r w:rsidRPr="00682CC9">
                              <w:rPr>
                                <w:rFonts w:asciiTheme="majorHAnsi" w:hAnsiTheme="majorHAnsi"/>
                                <w:color w:val="595959" w:themeColor="text1" w:themeTint="A6"/>
                                <w:sz w:val="18"/>
                              </w:rPr>
                              <w:t>, 20</w:t>
                            </w:r>
                            <w:r>
                              <w:rPr>
                                <w:rFonts w:asciiTheme="majorHAnsi" w:hAnsiTheme="majorHAnsi"/>
                                <w:color w:val="595959" w:themeColor="text1" w:themeTint="A6"/>
                                <w:sz w:val="18"/>
                              </w:rPr>
                              <w:t>21</w:t>
                            </w:r>
                            <w:r w:rsidRPr="00682CC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F21E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" filled="f" stroked="f" strokeweight=".5pt">
                <v:textbox>
                  <w:txbxContent>
                    <w:p w14:paraId="2592B23C" w14:textId="7245BC1D" w:rsidR="00B56F13" w:rsidRPr="003C32BC" w:rsidRDefault="00B56F13"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444FB">
                        <w:rPr>
                          <w:rFonts w:asciiTheme="majorHAnsi" w:hAnsiTheme="majorHAnsi"/>
                          <w:color w:val="595959" w:themeColor="text1" w:themeTint="A6"/>
                          <w:sz w:val="18"/>
                        </w:rPr>
                        <w:t>454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13.478</w:t>
                      </w:r>
                      <w:r w:rsidRPr="009424BD">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Admissibility </w:t>
                      </w:r>
                      <w:r w:rsidRPr="00682CC9">
                        <w:rPr>
                          <w:rFonts w:asciiTheme="majorHAnsi" w:hAnsiTheme="majorHAnsi"/>
                          <w:color w:val="595959" w:themeColor="text1" w:themeTint="A6"/>
                          <w:sz w:val="18"/>
                        </w:rPr>
                        <w:t>and Merits</w:t>
                      </w:r>
                      <w:r>
                        <w:rPr>
                          <w:rFonts w:asciiTheme="majorHAnsi" w:hAnsiTheme="majorHAnsi"/>
                          <w:color w:val="595959" w:themeColor="text1" w:themeTint="A6"/>
                          <w:sz w:val="18"/>
                        </w:rPr>
                        <w:t xml:space="preserve"> </w:t>
                      </w:r>
                      <w:r w:rsidRPr="00B444FB">
                        <w:rPr>
                          <w:rFonts w:asciiTheme="majorHAnsi" w:hAnsiTheme="majorHAnsi"/>
                          <w:color w:val="595959" w:themeColor="text1" w:themeTint="A6"/>
                          <w:sz w:val="18"/>
                        </w:rPr>
                        <w:t>(Publication).</w:t>
                      </w:r>
                      <w:r w:rsidRPr="00682CC9">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José Trinidad </w:t>
                      </w:r>
                      <w:proofErr w:type="spellStart"/>
                      <w:r>
                        <w:rPr>
                          <w:rFonts w:asciiTheme="majorHAnsi" w:hAnsiTheme="majorHAnsi"/>
                          <w:color w:val="595959" w:themeColor="text1" w:themeTint="A6"/>
                          <w:sz w:val="18"/>
                        </w:rPr>
                        <w:t>Loza</w:t>
                      </w:r>
                      <w:proofErr w:type="spellEnd"/>
                      <w:r>
                        <w:rPr>
                          <w:rFonts w:asciiTheme="majorHAnsi" w:hAnsiTheme="majorHAnsi"/>
                          <w:color w:val="595959" w:themeColor="text1" w:themeTint="A6"/>
                          <w:sz w:val="18"/>
                        </w:rPr>
                        <w:t xml:space="preserve"> Ventura. United States of America. December </w:t>
                      </w:r>
                      <w:r w:rsidR="00B444FB">
                        <w:rPr>
                          <w:rFonts w:asciiTheme="majorHAnsi" w:hAnsiTheme="majorHAnsi"/>
                          <w:color w:val="595959" w:themeColor="text1" w:themeTint="A6"/>
                          <w:sz w:val="18"/>
                        </w:rPr>
                        <w:t>31</w:t>
                      </w:r>
                      <w:r w:rsidRPr="00682CC9">
                        <w:rPr>
                          <w:rFonts w:asciiTheme="majorHAnsi" w:hAnsiTheme="majorHAnsi"/>
                          <w:color w:val="595959" w:themeColor="text1" w:themeTint="A6"/>
                          <w:sz w:val="18"/>
                        </w:rPr>
                        <w:t>, 20</w:t>
                      </w:r>
                      <w:r>
                        <w:rPr>
                          <w:rFonts w:asciiTheme="majorHAnsi" w:hAnsiTheme="majorHAnsi"/>
                          <w:color w:val="595959" w:themeColor="text1" w:themeTint="A6"/>
                          <w:sz w:val="18"/>
                        </w:rPr>
                        <w:t>21</w:t>
                      </w:r>
                      <w:r w:rsidRPr="00682CC9">
                        <w:rPr>
                          <w:rFonts w:asciiTheme="majorHAnsi" w:hAnsiTheme="majorHAnsi"/>
                          <w:color w:val="595959" w:themeColor="text1" w:themeTint="A6"/>
                          <w:sz w:val="18"/>
                        </w:rPr>
                        <w:t>.</w:t>
                      </w:r>
                    </w:p>
                  </w:txbxContent>
                </v:textbox>
              </v:shape>
            </w:pict>
          </mc:Fallback>
        </mc:AlternateContent>
      </w:r>
    </w:p>
    <w:p w14:paraId="7275C399"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2ADDC755" w14:textId="77777777" w:rsidR="002C1641" w:rsidRPr="005C0994" w:rsidRDefault="002C1641" w:rsidP="00040C3A">
      <w:pPr>
        <w:tabs>
          <w:tab w:val="center" w:pos="5400"/>
        </w:tabs>
        <w:suppressAutoHyphens/>
        <w:jc w:val="center"/>
        <w:rPr>
          <w:rFonts w:asciiTheme="majorHAnsi" w:hAnsiTheme="majorHAnsi"/>
          <w:sz w:val="20"/>
          <w:szCs w:val="20"/>
          <w:lang w:val="es-ES_tradnl"/>
        </w:rPr>
      </w:pPr>
    </w:p>
    <w:p w14:paraId="1934E05F" w14:textId="77777777" w:rsidR="003C32BC" w:rsidRPr="005C0994" w:rsidRDefault="003C32BC" w:rsidP="003C32BC">
      <w:pPr>
        <w:tabs>
          <w:tab w:val="center" w:pos="5400"/>
        </w:tabs>
        <w:suppressAutoHyphens/>
        <w:jc w:val="center"/>
        <w:rPr>
          <w:rFonts w:asciiTheme="majorHAnsi" w:hAnsiTheme="majorHAnsi"/>
          <w:sz w:val="20"/>
          <w:szCs w:val="20"/>
        </w:rPr>
      </w:pPr>
    </w:p>
    <w:p w14:paraId="1C9063D9" w14:textId="77777777" w:rsidR="003C32BC" w:rsidRPr="005C0994" w:rsidRDefault="007B1494" w:rsidP="003C32BC">
      <w:pPr>
        <w:tabs>
          <w:tab w:val="center" w:pos="5400"/>
        </w:tabs>
        <w:suppressAutoHyphens/>
        <w:jc w:val="center"/>
        <w:rPr>
          <w:rFonts w:asciiTheme="majorHAnsi" w:hAnsiTheme="majorHAnsi"/>
          <w:sz w:val="20"/>
          <w:szCs w:val="20"/>
        </w:rPr>
      </w:pPr>
      <w:r w:rsidRPr="005C0994">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0167A328" wp14:editId="7FEAEA6D">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A2006" w14:textId="77777777" w:rsidR="00B56F13" w:rsidRPr="004B7EB6" w:rsidRDefault="00B56F1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7A328"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" filled="f" stroked="f" strokeweight=".5pt">
                <v:textbox>
                  <w:txbxContent>
                    <w:p w14:paraId="4B3A2006" w14:textId="77777777" w:rsidR="00B56F13" w:rsidRPr="004B7EB6" w:rsidRDefault="00B56F1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C0994">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723060F1" wp14:editId="59D81546">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2154B" w14:textId="11A9D57A" w:rsidR="00B56F13" w:rsidRDefault="001D5FE4">
                            <w:r>
                              <w:rPr>
                                <w:noProof/>
                              </w:rPr>
                              <w:drawing>
                                <wp:inline distT="0" distB="0" distL="0" distR="0" wp14:anchorId="3B6F6FD4" wp14:editId="2343509C">
                                  <wp:extent cx="1519555" cy="387985"/>
                                  <wp:effectExtent l="0" t="0" r="444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60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5642154B" w14:textId="11A9D57A" w:rsidR="00B56F13" w:rsidRDefault="001D5FE4">
                      <w:r>
                        <w:rPr>
                          <w:noProof/>
                        </w:rPr>
                        <w:drawing>
                          <wp:inline distT="0" distB="0" distL="0" distR="0" wp14:anchorId="3B6F6FD4" wp14:editId="2343509C">
                            <wp:extent cx="1519555" cy="387985"/>
                            <wp:effectExtent l="0" t="0" r="444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6A532C4F" w14:textId="77777777" w:rsidR="007607C4" w:rsidRPr="005C0994" w:rsidRDefault="007607C4" w:rsidP="003C32BC">
      <w:pPr>
        <w:tabs>
          <w:tab w:val="center" w:pos="5400"/>
        </w:tabs>
        <w:suppressAutoHyphens/>
        <w:jc w:val="center"/>
        <w:rPr>
          <w:rFonts w:asciiTheme="majorHAnsi" w:hAnsiTheme="majorHAnsi"/>
          <w:sz w:val="20"/>
          <w:szCs w:val="20"/>
        </w:rPr>
        <w:sectPr w:rsidR="007607C4" w:rsidRPr="005C0994">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13D7C08C" w14:textId="77777777" w:rsidR="00FC3EB4" w:rsidRPr="005C0994" w:rsidRDefault="00FC3EB4" w:rsidP="00FC3EB4">
      <w:pPr>
        <w:tabs>
          <w:tab w:val="center" w:pos="5400"/>
        </w:tabs>
        <w:suppressAutoHyphens/>
        <w:spacing w:line="276" w:lineRule="auto"/>
        <w:jc w:val="center"/>
        <w:rPr>
          <w:rFonts w:asciiTheme="majorHAnsi" w:hAnsiTheme="majorHAnsi"/>
          <w:b/>
          <w:sz w:val="20"/>
          <w:szCs w:val="20"/>
        </w:rPr>
      </w:pPr>
      <w:r w:rsidRPr="005C0994">
        <w:rPr>
          <w:rFonts w:asciiTheme="majorHAnsi" w:hAnsiTheme="majorHAnsi"/>
          <w:b/>
          <w:sz w:val="20"/>
          <w:szCs w:val="20"/>
        </w:rPr>
        <w:lastRenderedPageBreak/>
        <w:t>INDEX</w:t>
      </w:r>
    </w:p>
    <w:p w14:paraId="57027946" w14:textId="77777777" w:rsidR="007607C4" w:rsidRPr="009E5A64" w:rsidRDefault="007607C4" w:rsidP="00145EDC">
      <w:pPr>
        <w:tabs>
          <w:tab w:val="center" w:pos="5400"/>
        </w:tabs>
        <w:suppressAutoHyphens/>
        <w:spacing w:line="276" w:lineRule="auto"/>
        <w:rPr>
          <w:rFonts w:ascii="Cambria" w:hAnsi="Cambria"/>
          <w:sz w:val="20"/>
          <w:szCs w:val="20"/>
        </w:rPr>
      </w:pPr>
    </w:p>
    <w:p w14:paraId="6250C835" w14:textId="336DCD90" w:rsidR="009E5A64" w:rsidRPr="00B444FB" w:rsidRDefault="00DA36AE">
      <w:pPr>
        <w:pStyle w:val="TOC1"/>
        <w:rPr>
          <w:rFonts w:ascii="Cambria" w:eastAsiaTheme="minorEastAsia" w:hAnsi="Cambria" w:cstheme="minorBidi"/>
          <w:b w:val="0"/>
          <w:bdr w:val="none" w:sz="0" w:space="0" w:color="auto"/>
          <w:lang w:val="es-US" w:eastAsia="zh-CN"/>
        </w:rPr>
      </w:pPr>
      <w:r w:rsidRPr="00B444FB">
        <w:rPr>
          <w:rFonts w:ascii="Cambria" w:hAnsi="Cambria"/>
          <w:b w:val="0"/>
        </w:rPr>
        <w:fldChar w:fldCharType="begin"/>
      </w:r>
      <w:r w:rsidR="00864785" w:rsidRPr="00B444FB">
        <w:rPr>
          <w:rFonts w:ascii="Cambria" w:hAnsi="Cambria"/>
          <w:b w:val="0"/>
        </w:rPr>
        <w:instrText xml:space="preserve"> TOC \o "1-3" \h \z \u </w:instrText>
      </w:r>
      <w:r w:rsidRPr="00B444FB">
        <w:rPr>
          <w:rFonts w:ascii="Cambria" w:hAnsi="Cambria"/>
          <w:b w:val="0"/>
        </w:rPr>
        <w:fldChar w:fldCharType="separate"/>
      </w:r>
      <w:hyperlink w:anchor="_Toc90297859" w:history="1">
        <w:r w:rsidR="009E5A64" w:rsidRPr="00B444FB">
          <w:rPr>
            <w:rStyle w:val="Hyperlink"/>
            <w:rFonts w:ascii="Cambria" w:hAnsi="Cambria"/>
          </w:rPr>
          <w:t>I.</w:t>
        </w:r>
        <w:r w:rsidR="009E5A64" w:rsidRPr="00B444FB">
          <w:rPr>
            <w:rFonts w:ascii="Cambria" w:eastAsiaTheme="minorEastAsia" w:hAnsi="Cambria" w:cstheme="minorBidi"/>
            <w:b w:val="0"/>
            <w:bdr w:val="none" w:sz="0" w:space="0" w:color="auto"/>
            <w:lang w:val="es-US" w:eastAsia="zh-CN"/>
          </w:rPr>
          <w:tab/>
        </w:r>
        <w:r w:rsidR="009E5A64" w:rsidRPr="00B444FB">
          <w:rPr>
            <w:rStyle w:val="Hyperlink"/>
            <w:rFonts w:ascii="Cambria" w:hAnsi="Cambria"/>
          </w:rPr>
          <w:t>INTRODUCTION</w:t>
        </w:r>
        <w:r w:rsidR="009E5A64" w:rsidRPr="00B444FB">
          <w:rPr>
            <w:rFonts w:ascii="Cambria" w:hAnsi="Cambria"/>
            <w:webHidden/>
          </w:rPr>
          <w:tab/>
        </w:r>
        <w:r w:rsidR="009E5A64" w:rsidRPr="00B444FB">
          <w:rPr>
            <w:rFonts w:ascii="Cambria" w:hAnsi="Cambria"/>
            <w:webHidden/>
          </w:rPr>
          <w:fldChar w:fldCharType="begin"/>
        </w:r>
        <w:r w:rsidR="009E5A64" w:rsidRPr="00B444FB">
          <w:rPr>
            <w:rFonts w:ascii="Cambria" w:hAnsi="Cambria"/>
            <w:webHidden/>
          </w:rPr>
          <w:instrText xml:space="preserve"> PAGEREF _Toc90297859 \h </w:instrText>
        </w:r>
        <w:r w:rsidR="009E5A64" w:rsidRPr="00B444FB">
          <w:rPr>
            <w:rFonts w:ascii="Cambria" w:hAnsi="Cambria"/>
            <w:webHidden/>
          </w:rPr>
        </w:r>
        <w:r w:rsidR="009E5A64" w:rsidRPr="00B444FB">
          <w:rPr>
            <w:rFonts w:ascii="Cambria" w:hAnsi="Cambria"/>
            <w:webHidden/>
          </w:rPr>
          <w:fldChar w:fldCharType="separate"/>
        </w:r>
        <w:r w:rsidR="009E5A64" w:rsidRPr="00B444FB">
          <w:rPr>
            <w:rFonts w:ascii="Cambria" w:hAnsi="Cambria"/>
            <w:webHidden/>
          </w:rPr>
          <w:t>3</w:t>
        </w:r>
        <w:r w:rsidR="009E5A64" w:rsidRPr="00B444FB">
          <w:rPr>
            <w:rFonts w:ascii="Cambria" w:hAnsi="Cambria"/>
            <w:webHidden/>
          </w:rPr>
          <w:fldChar w:fldCharType="end"/>
        </w:r>
      </w:hyperlink>
    </w:p>
    <w:p w14:paraId="501D9350" w14:textId="1F31134E" w:rsidR="009E5A64" w:rsidRPr="00B444FB" w:rsidRDefault="00AB074C">
      <w:pPr>
        <w:pStyle w:val="TOC1"/>
        <w:rPr>
          <w:rFonts w:ascii="Cambria" w:eastAsiaTheme="minorEastAsia" w:hAnsi="Cambria" w:cstheme="minorBidi"/>
          <w:b w:val="0"/>
          <w:bdr w:val="none" w:sz="0" w:space="0" w:color="auto"/>
          <w:lang w:val="es-US" w:eastAsia="zh-CN"/>
        </w:rPr>
      </w:pPr>
      <w:hyperlink w:anchor="_Toc90297860" w:history="1">
        <w:r w:rsidR="009E5A64" w:rsidRPr="00B444FB">
          <w:rPr>
            <w:rStyle w:val="Hyperlink"/>
            <w:rFonts w:ascii="Cambria" w:hAnsi="Cambria"/>
          </w:rPr>
          <w:t>II.</w:t>
        </w:r>
        <w:r w:rsidR="009E5A64" w:rsidRPr="00B444FB">
          <w:rPr>
            <w:rFonts w:ascii="Cambria" w:eastAsiaTheme="minorEastAsia" w:hAnsi="Cambria" w:cstheme="minorBidi"/>
            <w:b w:val="0"/>
            <w:bdr w:val="none" w:sz="0" w:space="0" w:color="auto"/>
            <w:lang w:val="es-US" w:eastAsia="zh-CN"/>
          </w:rPr>
          <w:tab/>
        </w:r>
        <w:r w:rsidR="009E5A64" w:rsidRPr="00B444FB">
          <w:rPr>
            <w:rStyle w:val="Hyperlink"/>
            <w:rFonts w:ascii="Cambria" w:hAnsi="Cambria"/>
          </w:rPr>
          <w:t>POSITIONS OF THE PARTIES</w:t>
        </w:r>
        <w:r w:rsidR="009E5A64" w:rsidRPr="00B444FB">
          <w:rPr>
            <w:rFonts w:ascii="Cambria" w:hAnsi="Cambria"/>
            <w:webHidden/>
          </w:rPr>
          <w:tab/>
        </w:r>
        <w:r w:rsidR="009E5A64" w:rsidRPr="00B444FB">
          <w:rPr>
            <w:rFonts w:ascii="Cambria" w:hAnsi="Cambria"/>
            <w:webHidden/>
          </w:rPr>
          <w:fldChar w:fldCharType="begin"/>
        </w:r>
        <w:r w:rsidR="009E5A64" w:rsidRPr="00B444FB">
          <w:rPr>
            <w:rFonts w:ascii="Cambria" w:hAnsi="Cambria"/>
            <w:webHidden/>
          </w:rPr>
          <w:instrText xml:space="preserve"> PAGEREF _Toc90297860 \h </w:instrText>
        </w:r>
        <w:r w:rsidR="009E5A64" w:rsidRPr="00B444FB">
          <w:rPr>
            <w:rFonts w:ascii="Cambria" w:hAnsi="Cambria"/>
            <w:webHidden/>
          </w:rPr>
        </w:r>
        <w:r w:rsidR="009E5A64" w:rsidRPr="00B444FB">
          <w:rPr>
            <w:rFonts w:ascii="Cambria" w:hAnsi="Cambria"/>
            <w:webHidden/>
          </w:rPr>
          <w:fldChar w:fldCharType="separate"/>
        </w:r>
        <w:r w:rsidR="009E5A64" w:rsidRPr="00B444FB">
          <w:rPr>
            <w:rFonts w:ascii="Cambria" w:hAnsi="Cambria"/>
            <w:webHidden/>
          </w:rPr>
          <w:t>3</w:t>
        </w:r>
        <w:r w:rsidR="009E5A64" w:rsidRPr="00B444FB">
          <w:rPr>
            <w:rFonts w:ascii="Cambria" w:hAnsi="Cambria"/>
            <w:webHidden/>
          </w:rPr>
          <w:fldChar w:fldCharType="end"/>
        </w:r>
      </w:hyperlink>
    </w:p>
    <w:p w14:paraId="19A939C8" w14:textId="0AB9208F"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61" w:history="1">
        <w:r w:rsidR="009E5A64" w:rsidRPr="00B444FB">
          <w:rPr>
            <w:rStyle w:val="Hyperlink"/>
            <w:rFonts w:ascii="Cambria" w:hAnsi="Cambria"/>
            <w:sz w:val="20"/>
            <w:szCs w:val="20"/>
          </w:rPr>
          <w:t>A.</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Petitioners</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_Toc90297861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3</w:t>
        </w:r>
        <w:r w:rsidR="009E5A64" w:rsidRPr="00B444FB">
          <w:rPr>
            <w:rFonts w:ascii="Cambria" w:hAnsi="Cambria"/>
            <w:webHidden/>
            <w:sz w:val="20"/>
            <w:szCs w:val="20"/>
          </w:rPr>
          <w:fldChar w:fldCharType="end"/>
        </w:r>
      </w:hyperlink>
    </w:p>
    <w:p w14:paraId="0C1A7FB5" w14:textId="5985D277"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62" w:history="1">
        <w:r w:rsidR="009E5A64" w:rsidRPr="00B444FB">
          <w:rPr>
            <w:rStyle w:val="Hyperlink"/>
            <w:rFonts w:ascii="Cambria" w:hAnsi="Cambria"/>
            <w:sz w:val="20"/>
            <w:szCs w:val="20"/>
          </w:rPr>
          <w:t>B.</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State</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_Toc90297862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5</w:t>
        </w:r>
        <w:r w:rsidR="009E5A64" w:rsidRPr="00B444FB">
          <w:rPr>
            <w:rFonts w:ascii="Cambria" w:hAnsi="Cambria"/>
            <w:webHidden/>
            <w:sz w:val="20"/>
            <w:szCs w:val="20"/>
          </w:rPr>
          <w:fldChar w:fldCharType="end"/>
        </w:r>
      </w:hyperlink>
    </w:p>
    <w:p w14:paraId="6FA1F242" w14:textId="18C50103" w:rsidR="009E5A64" w:rsidRPr="00B444FB" w:rsidRDefault="00AB074C">
      <w:pPr>
        <w:pStyle w:val="TOC1"/>
        <w:rPr>
          <w:rFonts w:ascii="Cambria" w:eastAsiaTheme="minorEastAsia" w:hAnsi="Cambria" w:cstheme="minorBidi"/>
          <w:b w:val="0"/>
          <w:bdr w:val="none" w:sz="0" w:space="0" w:color="auto"/>
          <w:lang w:val="es-US" w:eastAsia="zh-CN"/>
        </w:rPr>
      </w:pPr>
      <w:hyperlink w:anchor="_Toc90297863" w:history="1">
        <w:r w:rsidR="009E5A64" w:rsidRPr="00B444FB">
          <w:rPr>
            <w:rStyle w:val="Hyperlink"/>
            <w:rFonts w:ascii="Cambria" w:hAnsi="Cambria"/>
          </w:rPr>
          <w:t>III.</w:t>
        </w:r>
        <w:r w:rsidR="009E5A64" w:rsidRPr="00B444FB">
          <w:rPr>
            <w:rFonts w:ascii="Cambria" w:eastAsiaTheme="minorEastAsia" w:hAnsi="Cambria" w:cstheme="minorBidi"/>
            <w:b w:val="0"/>
            <w:bdr w:val="none" w:sz="0" w:space="0" w:color="auto"/>
            <w:lang w:val="es-US" w:eastAsia="zh-CN"/>
          </w:rPr>
          <w:tab/>
        </w:r>
        <w:r w:rsidR="009E5A64" w:rsidRPr="00B444FB">
          <w:rPr>
            <w:rStyle w:val="Hyperlink"/>
            <w:rFonts w:ascii="Cambria" w:hAnsi="Cambria"/>
          </w:rPr>
          <w:t>ADMISSIBILITY</w:t>
        </w:r>
        <w:r w:rsidR="009E5A64" w:rsidRPr="00B444FB">
          <w:rPr>
            <w:rFonts w:ascii="Cambria" w:hAnsi="Cambria"/>
            <w:webHidden/>
          </w:rPr>
          <w:tab/>
        </w:r>
        <w:r w:rsidR="009E5A64" w:rsidRPr="00B444FB">
          <w:rPr>
            <w:rFonts w:ascii="Cambria" w:hAnsi="Cambria"/>
            <w:webHidden/>
          </w:rPr>
          <w:fldChar w:fldCharType="begin"/>
        </w:r>
        <w:r w:rsidR="009E5A64" w:rsidRPr="00B444FB">
          <w:rPr>
            <w:rFonts w:ascii="Cambria" w:hAnsi="Cambria"/>
            <w:webHidden/>
          </w:rPr>
          <w:instrText xml:space="preserve"> PAGEREF _Toc90297863 \h </w:instrText>
        </w:r>
        <w:r w:rsidR="009E5A64" w:rsidRPr="00B444FB">
          <w:rPr>
            <w:rFonts w:ascii="Cambria" w:hAnsi="Cambria"/>
            <w:webHidden/>
          </w:rPr>
        </w:r>
        <w:r w:rsidR="009E5A64" w:rsidRPr="00B444FB">
          <w:rPr>
            <w:rFonts w:ascii="Cambria" w:hAnsi="Cambria"/>
            <w:webHidden/>
          </w:rPr>
          <w:fldChar w:fldCharType="separate"/>
        </w:r>
        <w:r w:rsidR="009E5A64" w:rsidRPr="00B444FB">
          <w:rPr>
            <w:rFonts w:ascii="Cambria" w:hAnsi="Cambria"/>
            <w:webHidden/>
          </w:rPr>
          <w:t>6</w:t>
        </w:r>
        <w:r w:rsidR="009E5A64" w:rsidRPr="00B444FB">
          <w:rPr>
            <w:rFonts w:ascii="Cambria" w:hAnsi="Cambria"/>
            <w:webHidden/>
          </w:rPr>
          <w:fldChar w:fldCharType="end"/>
        </w:r>
      </w:hyperlink>
    </w:p>
    <w:p w14:paraId="32D7ADF6" w14:textId="57A392AD"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64" w:history="1">
        <w:r w:rsidR="009E5A64" w:rsidRPr="00B444FB">
          <w:rPr>
            <w:rStyle w:val="Hyperlink"/>
            <w:rFonts w:ascii="Cambria" w:hAnsi="Cambria"/>
            <w:sz w:val="20"/>
            <w:szCs w:val="20"/>
          </w:rPr>
          <w:t>A.</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 xml:space="preserve">Competence, duplication of procedures and international </w:t>
        </w:r>
        <w:r w:rsidR="009E5A64" w:rsidRPr="00B444FB">
          <w:rPr>
            <w:rStyle w:val="Hyperlink"/>
            <w:rFonts w:ascii="Cambria" w:hAnsi="Cambria"/>
            <w:i/>
            <w:sz w:val="20"/>
            <w:szCs w:val="20"/>
          </w:rPr>
          <w:t>res judicata</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_Toc90297864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6</w:t>
        </w:r>
        <w:r w:rsidR="009E5A64" w:rsidRPr="00B444FB">
          <w:rPr>
            <w:rFonts w:ascii="Cambria" w:hAnsi="Cambria"/>
            <w:webHidden/>
            <w:sz w:val="20"/>
            <w:szCs w:val="20"/>
          </w:rPr>
          <w:fldChar w:fldCharType="end"/>
        </w:r>
      </w:hyperlink>
    </w:p>
    <w:p w14:paraId="17398412" w14:textId="5F3C0002"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65" w:history="1">
        <w:r w:rsidR="009E5A64" w:rsidRPr="00B444FB">
          <w:rPr>
            <w:rStyle w:val="Hyperlink"/>
            <w:rFonts w:ascii="Cambria" w:hAnsi="Cambria" w:cs="Tahoma"/>
            <w:sz w:val="20"/>
            <w:szCs w:val="20"/>
          </w:rPr>
          <w:t>B.</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cs="Tahoma"/>
            <w:sz w:val="20"/>
            <w:szCs w:val="20"/>
            <w:shd w:val="clear" w:color="auto" w:fill="FFFFFF"/>
          </w:rPr>
          <w:t>Exhaustion of domestic remedies and timeliness of the petition</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_Toc90297865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6</w:t>
        </w:r>
        <w:r w:rsidR="009E5A64" w:rsidRPr="00B444FB">
          <w:rPr>
            <w:rFonts w:ascii="Cambria" w:hAnsi="Cambria"/>
            <w:webHidden/>
            <w:sz w:val="20"/>
            <w:szCs w:val="20"/>
          </w:rPr>
          <w:fldChar w:fldCharType="end"/>
        </w:r>
      </w:hyperlink>
    </w:p>
    <w:p w14:paraId="148C67E1" w14:textId="0E9B606A"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66" w:history="1">
        <w:r w:rsidR="009E5A64" w:rsidRPr="00B444FB">
          <w:rPr>
            <w:rStyle w:val="Hyperlink"/>
            <w:rFonts w:ascii="Cambria" w:hAnsi="Cambria"/>
            <w:sz w:val="20"/>
            <w:szCs w:val="20"/>
          </w:rPr>
          <w:t>C.</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Colorable claim</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_Toc90297866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7</w:t>
        </w:r>
        <w:r w:rsidR="009E5A64" w:rsidRPr="00B444FB">
          <w:rPr>
            <w:rFonts w:ascii="Cambria" w:hAnsi="Cambria"/>
            <w:webHidden/>
            <w:sz w:val="20"/>
            <w:szCs w:val="20"/>
          </w:rPr>
          <w:fldChar w:fldCharType="end"/>
        </w:r>
      </w:hyperlink>
    </w:p>
    <w:p w14:paraId="6979E533" w14:textId="47755A95" w:rsidR="009E5A64" w:rsidRPr="00B444FB" w:rsidRDefault="00AB074C">
      <w:pPr>
        <w:pStyle w:val="TOC1"/>
        <w:rPr>
          <w:rFonts w:ascii="Cambria" w:eastAsiaTheme="minorEastAsia" w:hAnsi="Cambria" w:cstheme="minorBidi"/>
          <w:b w:val="0"/>
          <w:bdr w:val="none" w:sz="0" w:space="0" w:color="auto"/>
          <w:lang w:val="es-US" w:eastAsia="zh-CN"/>
        </w:rPr>
      </w:pPr>
      <w:hyperlink w:anchor="_Toc90297867" w:history="1">
        <w:r w:rsidR="009E5A64" w:rsidRPr="00B444FB">
          <w:rPr>
            <w:rStyle w:val="Hyperlink"/>
            <w:rFonts w:ascii="Cambria" w:hAnsi="Cambria"/>
          </w:rPr>
          <w:t>IV.</w:t>
        </w:r>
        <w:r w:rsidR="009E5A64" w:rsidRPr="00B444FB">
          <w:rPr>
            <w:rFonts w:ascii="Cambria" w:eastAsiaTheme="minorEastAsia" w:hAnsi="Cambria" w:cstheme="minorBidi"/>
            <w:b w:val="0"/>
            <w:bdr w:val="none" w:sz="0" w:space="0" w:color="auto"/>
            <w:lang w:val="es-US" w:eastAsia="zh-CN"/>
          </w:rPr>
          <w:tab/>
        </w:r>
        <w:r w:rsidR="009E5A64" w:rsidRPr="00B444FB">
          <w:rPr>
            <w:rStyle w:val="Hyperlink"/>
            <w:rFonts w:ascii="Cambria" w:hAnsi="Cambria"/>
          </w:rPr>
          <w:t>FINDINGS OF FACT</w:t>
        </w:r>
        <w:r w:rsidR="009E5A64" w:rsidRPr="00B444FB">
          <w:rPr>
            <w:rFonts w:ascii="Cambria" w:hAnsi="Cambria"/>
            <w:webHidden/>
          </w:rPr>
          <w:tab/>
        </w:r>
        <w:r w:rsidR="009E5A64" w:rsidRPr="00B444FB">
          <w:rPr>
            <w:rFonts w:ascii="Cambria" w:hAnsi="Cambria"/>
            <w:webHidden/>
          </w:rPr>
          <w:fldChar w:fldCharType="begin"/>
        </w:r>
        <w:r w:rsidR="009E5A64" w:rsidRPr="00B444FB">
          <w:rPr>
            <w:rFonts w:ascii="Cambria" w:hAnsi="Cambria"/>
            <w:webHidden/>
          </w:rPr>
          <w:instrText xml:space="preserve"> PAGEREF _Toc90297867 \h </w:instrText>
        </w:r>
        <w:r w:rsidR="009E5A64" w:rsidRPr="00B444FB">
          <w:rPr>
            <w:rFonts w:ascii="Cambria" w:hAnsi="Cambria"/>
            <w:webHidden/>
          </w:rPr>
        </w:r>
        <w:r w:rsidR="009E5A64" w:rsidRPr="00B444FB">
          <w:rPr>
            <w:rFonts w:ascii="Cambria" w:hAnsi="Cambria"/>
            <w:webHidden/>
          </w:rPr>
          <w:fldChar w:fldCharType="separate"/>
        </w:r>
        <w:r w:rsidR="009E5A64" w:rsidRPr="00B444FB">
          <w:rPr>
            <w:rFonts w:ascii="Cambria" w:hAnsi="Cambria"/>
            <w:webHidden/>
          </w:rPr>
          <w:t>7</w:t>
        </w:r>
        <w:r w:rsidR="009E5A64" w:rsidRPr="00B444FB">
          <w:rPr>
            <w:rFonts w:ascii="Cambria" w:hAnsi="Cambria"/>
            <w:webHidden/>
          </w:rPr>
          <w:fldChar w:fldCharType="end"/>
        </w:r>
      </w:hyperlink>
    </w:p>
    <w:p w14:paraId="045AB3CB" w14:textId="01C9AEDD"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68" w:history="1">
        <w:r w:rsidR="009E5A64" w:rsidRPr="00B444FB">
          <w:rPr>
            <w:rStyle w:val="Hyperlink"/>
            <w:rFonts w:ascii="Cambria" w:hAnsi="Cambria"/>
            <w:sz w:val="20"/>
            <w:szCs w:val="20"/>
          </w:rPr>
          <w:t>A.</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Facts of the case</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_Toc90297868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7</w:t>
        </w:r>
        <w:r w:rsidR="009E5A64" w:rsidRPr="00B444FB">
          <w:rPr>
            <w:rFonts w:ascii="Cambria" w:hAnsi="Cambria"/>
            <w:webHidden/>
            <w:sz w:val="20"/>
            <w:szCs w:val="20"/>
          </w:rPr>
          <w:fldChar w:fldCharType="end"/>
        </w:r>
      </w:hyperlink>
    </w:p>
    <w:p w14:paraId="26B01331" w14:textId="01B6D207"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69" w:history="1">
        <w:r w:rsidR="009E5A64" w:rsidRPr="00B444FB">
          <w:rPr>
            <w:rStyle w:val="Hyperlink"/>
            <w:rFonts w:ascii="Cambria" w:hAnsi="Cambria"/>
            <w:sz w:val="20"/>
            <w:szCs w:val="20"/>
          </w:rPr>
          <w:t>B.</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Trial and death sentence</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_Toc90297869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8</w:t>
        </w:r>
        <w:r w:rsidR="009E5A64" w:rsidRPr="00B444FB">
          <w:rPr>
            <w:rFonts w:ascii="Cambria" w:hAnsi="Cambria"/>
            <w:webHidden/>
            <w:sz w:val="20"/>
            <w:szCs w:val="20"/>
          </w:rPr>
          <w:fldChar w:fldCharType="end"/>
        </w:r>
      </w:hyperlink>
    </w:p>
    <w:p w14:paraId="4BDD0B3A" w14:textId="3EF17C3E"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70" w:history="1">
        <w:r w:rsidR="009E5A64" w:rsidRPr="00B444FB">
          <w:rPr>
            <w:rStyle w:val="Hyperlink"/>
            <w:rFonts w:ascii="Cambria" w:hAnsi="Cambria"/>
            <w:sz w:val="20"/>
            <w:szCs w:val="20"/>
          </w:rPr>
          <w:t>C.</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Post-conviction</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_Toc90297870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8</w:t>
        </w:r>
        <w:r w:rsidR="009E5A64" w:rsidRPr="00B444FB">
          <w:rPr>
            <w:rFonts w:ascii="Cambria" w:hAnsi="Cambria"/>
            <w:webHidden/>
            <w:sz w:val="20"/>
            <w:szCs w:val="20"/>
          </w:rPr>
          <w:fldChar w:fldCharType="end"/>
        </w:r>
      </w:hyperlink>
    </w:p>
    <w:p w14:paraId="7A049465" w14:textId="639B1A39"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71" w:history="1">
        <w:r w:rsidR="009E5A64" w:rsidRPr="00B444FB">
          <w:rPr>
            <w:rStyle w:val="Hyperlink"/>
            <w:rFonts w:ascii="Cambria" w:hAnsi="Cambria"/>
            <w:sz w:val="20"/>
            <w:szCs w:val="20"/>
          </w:rPr>
          <w:t>D.</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Federal habeas proceedings</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_Toc90297871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9</w:t>
        </w:r>
        <w:r w:rsidR="009E5A64" w:rsidRPr="00B444FB">
          <w:rPr>
            <w:rFonts w:ascii="Cambria" w:hAnsi="Cambria"/>
            <w:webHidden/>
            <w:sz w:val="20"/>
            <w:szCs w:val="20"/>
          </w:rPr>
          <w:fldChar w:fldCharType="end"/>
        </w:r>
      </w:hyperlink>
    </w:p>
    <w:p w14:paraId="1CBDEF37" w14:textId="0D0EB310"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72" w:history="1">
        <w:r w:rsidR="009E5A64" w:rsidRPr="00B444FB">
          <w:rPr>
            <w:rStyle w:val="Hyperlink"/>
            <w:rFonts w:ascii="Cambria" w:hAnsi="Cambria"/>
            <w:sz w:val="20"/>
            <w:szCs w:val="20"/>
          </w:rPr>
          <w:t>E.</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Method of execution</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_Toc90297872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11</w:t>
        </w:r>
        <w:r w:rsidR="009E5A64" w:rsidRPr="00B444FB">
          <w:rPr>
            <w:rFonts w:ascii="Cambria" w:hAnsi="Cambria"/>
            <w:webHidden/>
            <w:sz w:val="20"/>
            <w:szCs w:val="20"/>
          </w:rPr>
          <w:fldChar w:fldCharType="end"/>
        </w:r>
      </w:hyperlink>
    </w:p>
    <w:p w14:paraId="3D8EC2A9" w14:textId="05151C9B" w:rsidR="009E5A64" w:rsidRPr="00B444FB" w:rsidRDefault="00AB074C">
      <w:pPr>
        <w:pStyle w:val="TOC1"/>
        <w:rPr>
          <w:rFonts w:ascii="Cambria" w:eastAsiaTheme="minorEastAsia" w:hAnsi="Cambria" w:cstheme="minorBidi"/>
          <w:b w:val="0"/>
          <w:bdr w:val="none" w:sz="0" w:space="0" w:color="auto"/>
          <w:lang w:val="es-US" w:eastAsia="zh-CN"/>
        </w:rPr>
      </w:pPr>
      <w:hyperlink w:anchor="_Toc90297873" w:history="1">
        <w:r w:rsidR="009E5A64" w:rsidRPr="00B444FB">
          <w:rPr>
            <w:rStyle w:val="Hyperlink"/>
            <w:rFonts w:ascii="Cambria" w:hAnsi="Cambria"/>
          </w:rPr>
          <w:t>V.</w:t>
        </w:r>
        <w:r w:rsidR="009E5A64" w:rsidRPr="00B444FB">
          <w:rPr>
            <w:rFonts w:ascii="Cambria" w:eastAsiaTheme="minorEastAsia" w:hAnsi="Cambria" w:cstheme="minorBidi"/>
            <w:b w:val="0"/>
            <w:bdr w:val="none" w:sz="0" w:space="0" w:color="auto"/>
            <w:lang w:val="es-US" w:eastAsia="zh-CN"/>
          </w:rPr>
          <w:tab/>
        </w:r>
        <w:r w:rsidR="009E5A64" w:rsidRPr="00B444FB">
          <w:rPr>
            <w:rStyle w:val="Hyperlink"/>
            <w:rFonts w:ascii="Cambria" w:hAnsi="Cambria"/>
          </w:rPr>
          <w:t>ANALYSIS OF LAW</w:t>
        </w:r>
        <w:r w:rsidR="009E5A64" w:rsidRPr="00B444FB">
          <w:rPr>
            <w:rFonts w:ascii="Cambria" w:hAnsi="Cambria"/>
            <w:webHidden/>
          </w:rPr>
          <w:tab/>
        </w:r>
        <w:r w:rsidR="009E5A64" w:rsidRPr="00B444FB">
          <w:rPr>
            <w:rFonts w:ascii="Cambria" w:hAnsi="Cambria"/>
            <w:webHidden/>
          </w:rPr>
          <w:fldChar w:fldCharType="begin"/>
        </w:r>
        <w:r w:rsidR="009E5A64" w:rsidRPr="00B444FB">
          <w:rPr>
            <w:rFonts w:ascii="Cambria" w:hAnsi="Cambria"/>
            <w:webHidden/>
          </w:rPr>
          <w:instrText xml:space="preserve"> PAGEREF _Toc90297873 \h </w:instrText>
        </w:r>
        <w:r w:rsidR="009E5A64" w:rsidRPr="00B444FB">
          <w:rPr>
            <w:rFonts w:ascii="Cambria" w:hAnsi="Cambria"/>
            <w:webHidden/>
          </w:rPr>
        </w:r>
        <w:r w:rsidR="009E5A64" w:rsidRPr="00B444FB">
          <w:rPr>
            <w:rFonts w:ascii="Cambria" w:hAnsi="Cambria"/>
            <w:webHidden/>
          </w:rPr>
          <w:fldChar w:fldCharType="separate"/>
        </w:r>
        <w:r w:rsidR="009E5A64" w:rsidRPr="00B444FB">
          <w:rPr>
            <w:rFonts w:ascii="Cambria" w:hAnsi="Cambria"/>
            <w:webHidden/>
          </w:rPr>
          <w:t>12</w:t>
        </w:r>
        <w:r w:rsidR="009E5A64" w:rsidRPr="00B444FB">
          <w:rPr>
            <w:rFonts w:ascii="Cambria" w:hAnsi="Cambria"/>
            <w:webHidden/>
          </w:rPr>
          <w:fldChar w:fldCharType="end"/>
        </w:r>
      </w:hyperlink>
    </w:p>
    <w:p w14:paraId="28CE9148" w14:textId="646DC4A5"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74" w:history="1">
        <w:r w:rsidR="009E5A64" w:rsidRPr="00B444FB">
          <w:rPr>
            <w:rStyle w:val="Hyperlink"/>
            <w:rFonts w:ascii="Cambria" w:hAnsi="Cambria"/>
            <w:sz w:val="20"/>
            <w:szCs w:val="20"/>
          </w:rPr>
          <w:t>A.</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Preliminary considerations</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_Toc90297874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12</w:t>
        </w:r>
        <w:r w:rsidR="009E5A64" w:rsidRPr="00B444FB">
          <w:rPr>
            <w:rFonts w:ascii="Cambria" w:hAnsi="Cambria"/>
            <w:webHidden/>
            <w:sz w:val="20"/>
            <w:szCs w:val="20"/>
          </w:rPr>
          <w:fldChar w:fldCharType="end"/>
        </w:r>
      </w:hyperlink>
    </w:p>
    <w:p w14:paraId="17A8405D" w14:textId="41A42A43"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75" w:history="1">
        <w:r w:rsidR="009E5A64" w:rsidRPr="00B444FB">
          <w:rPr>
            <w:rStyle w:val="Hyperlink"/>
            <w:rFonts w:ascii="Cambria" w:hAnsi="Cambria"/>
            <w:sz w:val="20"/>
            <w:szCs w:val="20"/>
          </w:rPr>
          <w:t>B.</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Right to a fair trial and right to due process of law</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_Toc90297875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13</w:t>
        </w:r>
        <w:r w:rsidR="009E5A64" w:rsidRPr="00B444FB">
          <w:rPr>
            <w:rFonts w:ascii="Cambria" w:hAnsi="Cambria"/>
            <w:webHidden/>
            <w:sz w:val="20"/>
            <w:szCs w:val="20"/>
          </w:rPr>
          <w:fldChar w:fldCharType="end"/>
        </w:r>
      </w:hyperlink>
    </w:p>
    <w:p w14:paraId="2CB9F505" w14:textId="43C86272" w:rsidR="009E5A64" w:rsidRPr="00B444FB" w:rsidRDefault="00AB074C">
      <w:pPr>
        <w:pStyle w:val="TOC3"/>
        <w:rPr>
          <w:rFonts w:ascii="Cambria" w:eastAsiaTheme="minorEastAsia" w:hAnsi="Cambria" w:cstheme="minorBidi"/>
          <w:noProof/>
          <w:sz w:val="20"/>
          <w:szCs w:val="20"/>
          <w:bdr w:val="none" w:sz="0" w:space="0" w:color="auto"/>
          <w:lang w:val="es-US" w:eastAsia="zh-CN"/>
        </w:rPr>
      </w:pPr>
      <w:hyperlink w:anchor="_Toc90297876" w:history="1">
        <w:r w:rsidR="009E5A64" w:rsidRPr="00B444FB">
          <w:rPr>
            <w:rStyle w:val="Hyperlink"/>
            <w:rFonts w:ascii="Cambria" w:hAnsi="Cambria"/>
            <w:noProof/>
            <w:sz w:val="20"/>
            <w:szCs w:val="20"/>
          </w:rPr>
          <w:t>1.</w:t>
        </w:r>
        <w:r w:rsidR="009E5A64" w:rsidRPr="00B444FB">
          <w:rPr>
            <w:rFonts w:ascii="Cambria" w:eastAsiaTheme="minorEastAsia" w:hAnsi="Cambria" w:cstheme="minorBidi"/>
            <w:noProof/>
            <w:sz w:val="20"/>
            <w:szCs w:val="20"/>
            <w:bdr w:val="none" w:sz="0" w:space="0" w:color="auto"/>
            <w:lang w:val="es-US" w:eastAsia="zh-CN"/>
          </w:rPr>
          <w:tab/>
        </w:r>
        <w:r w:rsidR="009E5A64" w:rsidRPr="00B444FB">
          <w:rPr>
            <w:rStyle w:val="Hyperlink"/>
            <w:rFonts w:ascii="Cambria" w:hAnsi="Cambria"/>
            <w:noProof/>
            <w:sz w:val="20"/>
            <w:szCs w:val="20"/>
          </w:rPr>
          <w:t>General considerations on the right to consular notification</w:t>
        </w:r>
        <w:r w:rsidR="009E5A64" w:rsidRPr="00B444FB">
          <w:rPr>
            <w:rFonts w:ascii="Cambria" w:hAnsi="Cambria"/>
            <w:noProof/>
            <w:webHidden/>
            <w:sz w:val="20"/>
            <w:szCs w:val="20"/>
          </w:rPr>
          <w:tab/>
        </w:r>
        <w:r w:rsidR="009E5A64" w:rsidRPr="00B444FB">
          <w:rPr>
            <w:rFonts w:ascii="Cambria" w:hAnsi="Cambria"/>
            <w:noProof/>
            <w:webHidden/>
            <w:sz w:val="20"/>
            <w:szCs w:val="20"/>
          </w:rPr>
          <w:fldChar w:fldCharType="begin"/>
        </w:r>
        <w:r w:rsidR="009E5A64" w:rsidRPr="00B444FB">
          <w:rPr>
            <w:rFonts w:ascii="Cambria" w:hAnsi="Cambria"/>
            <w:noProof/>
            <w:webHidden/>
            <w:sz w:val="20"/>
            <w:szCs w:val="20"/>
          </w:rPr>
          <w:instrText xml:space="preserve"> PAGEREF _Toc90297876 \h </w:instrText>
        </w:r>
        <w:r w:rsidR="009E5A64" w:rsidRPr="00B444FB">
          <w:rPr>
            <w:rFonts w:ascii="Cambria" w:hAnsi="Cambria"/>
            <w:noProof/>
            <w:webHidden/>
            <w:sz w:val="20"/>
            <w:szCs w:val="20"/>
          </w:rPr>
        </w:r>
        <w:r w:rsidR="009E5A64" w:rsidRPr="00B444FB">
          <w:rPr>
            <w:rFonts w:ascii="Cambria" w:hAnsi="Cambria"/>
            <w:noProof/>
            <w:webHidden/>
            <w:sz w:val="20"/>
            <w:szCs w:val="20"/>
          </w:rPr>
          <w:fldChar w:fldCharType="separate"/>
        </w:r>
        <w:r w:rsidR="009E5A64" w:rsidRPr="00B444FB">
          <w:rPr>
            <w:rFonts w:ascii="Cambria" w:hAnsi="Cambria"/>
            <w:noProof/>
            <w:webHidden/>
            <w:sz w:val="20"/>
            <w:szCs w:val="20"/>
          </w:rPr>
          <w:t>13</w:t>
        </w:r>
        <w:r w:rsidR="009E5A64" w:rsidRPr="00B444FB">
          <w:rPr>
            <w:rFonts w:ascii="Cambria" w:hAnsi="Cambria"/>
            <w:noProof/>
            <w:webHidden/>
            <w:sz w:val="20"/>
            <w:szCs w:val="20"/>
          </w:rPr>
          <w:fldChar w:fldCharType="end"/>
        </w:r>
      </w:hyperlink>
    </w:p>
    <w:p w14:paraId="74F9945C" w14:textId="148916FA" w:rsidR="009E5A64" w:rsidRPr="00B444FB" w:rsidRDefault="00AB074C">
      <w:pPr>
        <w:pStyle w:val="TOC3"/>
        <w:rPr>
          <w:rFonts w:ascii="Cambria" w:eastAsiaTheme="minorEastAsia" w:hAnsi="Cambria" w:cstheme="minorBidi"/>
          <w:noProof/>
          <w:sz w:val="20"/>
          <w:szCs w:val="20"/>
          <w:bdr w:val="none" w:sz="0" w:space="0" w:color="auto"/>
          <w:lang w:val="es-US" w:eastAsia="zh-CN"/>
        </w:rPr>
      </w:pPr>
      <w:hyperlink w:anchor="_Toc90297877" w:history="1">
        <w:r w:rsidR="009E5A64" w:rsidRPr="00B444FB">
          <w:rPr>
            <w:rStyle w:val="Hyperlink"/>
            <w:rFonts w:ascii="Cambria" w:hAnsi="Cambria"/>
            <w:noProof/>
            <w:sz w:val="20"/>
            <w:szCs w:val="20"/>
          </w:rPr>
          <w:t>2.</w:t>
        </w:r>
        <w:r w:rsidR="009E5A64" w:rsidRPr="00B444FB">
          <w:rPr>
            <w:rFonts w:ascii="Cambria" w:eastAsiaTheme="minorEastAsia" w:hAnsi="Cambria" w:cstheme="minorBidi"/>
            <w:noProof/>
            <w:sz w:val="20"/>
            <w:szCs w:val="20"/>
            <w:bdr w:val="none" w:sz="0" w:space="0" w:color="auto"/>
            <w:lang w:val="es-US" w:eastAsia="zh-CN"/>
          </w:rPr>
          <w:tab/>
        </w:r>
        <w:r w:rsidR="009E5A64" w:rsidRPr="00B444FB">
          <w:rPr>
            <w:rStyle w:val="Hyperlink"/>
            <w:rFonts w:ascii="Cambria" w:hAnsi="Cambria"/>
            <w:noProof/>
            <w:sz w:val="20"/>
            <w:szCs w:val="20"/>
          </w:rPr>
          <w:t>Analysis of the case</w:t>
        </w:r>
        <w:r w:rsidR="009E5A64" w:rsidRPr="00B444FB">
          <w:rPr>
            <w:rFonts w:ascii="Cambria" w:hAnsi="Cambria"/>
            <w:noProof/>
            <w:webHidden/>
            <w:sz w:val="20"/>
            <w:szCs w:val="20"/>
          </w:rPr>
          <w:tab/>
        </w:r>
        <w:r w:rsidR="009E5A64" w:rsidRPr="00B444FB">
          <w:rPr>
            <w:rFonts w:ascii="Cambria" w:hAnsi="Cambria"/>
            <w:noProof/>
            <w:webHidden/>
            <w:sz w:val="20"/>
            <w:szCs w:val="20"/>
          </w:rPr>
          <w:fldChar w:fldCharType="begin"/>
        </w:r>
        <w:r w:rsidR="009E5A64" w:rsidRPr="00B444FB">
          <w:rPr>
            <w:rFonts w:ascii="Cambria" w:hAnsi="Cambria"/>
            <w:noProof/>
            <w:webHidden/>
            <w:sz w:val="20"/>
            <w:szCs w:val="20"/>
          </w:rPr>
          <w:instrText xml:space="preserve"> PAGEREF _Toc90297877 \h </w:instrText>
        </w:r>
        <w:r w:rsidR="009E5A64" w:rsidRPr="00B444FB">
          <w:rPr>
            <w:rFonts w:ascii="Cambria" w:hAnsi="Cambria"/>
            <w:noProof/>
            <w:webHidden/>
            <w:sz w:val="20"/>
            <w:szCs w:val="20"/>
          </w:rPr>
        </w:r>
        <w:r w:rsidR="009E5A64" w:rsidRPr="00B444FB">
          <w:rPr>
            <w:rFonts w:ascii="Cambria" w:hAnsi="Cambria"/>
            <w:noProof/>
            <w:webHidden/>
            <w:sz w:val="20"/>
            <w:szCs w:val="20"/>
          </w:rPr>
          <w:fldChar w:fldCharType="separate"/>
        </w:r>
        <w:r w:rsidR="009E5A64" w:rsidRPr="00B444FB">
          <w:rPr>
            <w:rFonts w:ascii="Cambria" w:hAnsi="Cambria"/>
            <w:noProof/>
            <w:webHidden/>
            <w:sz w:val="20"/>
            <w:szCs w:val="20"/>
          </w:rPr>
          <w:t>14</w:t>
        </w:r>
        <w:r w:rsidR="009E5A64" w:rsidRPr="00B444FB">
          <w:rPr>
            <w:rFonts w:ascii="Cambria" w:hAnsi="Cambria"/>
            <w:noProof/>
            <w:webHidden/>
            <w:sz w:val="20"/>
            <w:szCs w:val="20"/>
          </w:rPr>
          <w:fldChar w:fldCharType="end"/>
        </w:r>
      </w:hyperlink>
    </w:p>
    <w:p w14:paraId="25BD7B92" w14:textId="62589D5B" w:rsidR="009E5A64" w:rsidRPr="00B444FB" w:rsidRDefault="00AB074C">
      <w:pPr>
        <w:pStyle w:val="TOC3"/>
        <w:rPr>
          <w:rFonts w:ascii="Cambria" w:eastAsiaTheme="minorEastAsia" w:hAnsi="Cambria" w:cstheme="minorBidi"/>
          <w:noProof/>
          <w:sz w:val="20"/>
          <w:szCs w:val="20"/>
          <w:bdr w:val="none" w:sz="0" w:space="0" w:color="auto"/>
          <w:lang w:val="es-US" w:eastAsia="zh-CN"/>
        </w:rPr>
      </w:pPr>
      <w:hyperlink w:anchor="_Toc90297878" w:history="1">
        <w:r w:rsidR="009E5A64" w:rsidRPr="00B444FB">
          <w:rPr>
            <w:rStyle w:val="Hyperlink"/>
            <w:rFonts w:ascii="Cambria" w:hAnsi="Cambria"/>
            <w:noProof/>
            <w:sz w:val="20"/>
            <w:szCs w:val="20"/>
          </w:rPr>
          <w:t>3.</w:t>
        </w:r>
        <w:r w:rsidR="009E5A64" w:rsidRPr="00B444FB">
          <w:rPr>
            <w:rFonts w:ascii="Cambria" w:eastAsiaTheme="minorEastAsia" w:hAnsi="Cambria" w:cstheme="minorBidi"/>
            <w:noProof/>
            <w:sz w:val="20"/>
            <w:szCs w:val="20"/>
            <w:bdr w:val="none" w:sz="0" w:space="0" w:color="auto"/>
            <w:lang w:val="es-US" w:eastAsia="zh-CN"/>
          </w:rPr>
          <w:tab/>
        </w:r>
        <w:r w:rsidR="009E5A64" w:rsidRPr="00B444FB">
          <w:rPr>
            <w:rStyle w:val="Hyperlink"/>
            <w:rFonts w:ascii="Cambria" w:hAnsi="Cambria"/>
            <w:noProof/>
            <w:sz w:val="20"/>
            <w:szCs w:val="20"/>
          </w:rPr>
          <w:t>General considerations on ineffective assistance of court-appointed counsel</w:t>
        </w:r>
        <w:r w:rsidR="009E5A64" w:rsidRPr="00B444FB">
          <w:rPr>
            <w:rFonts w:ascii="Cambria" w:hAnsi="Cambria"/>
            <w:noProof/>
            <w:webHidden/>
            <w:sz w:val="20"/>
            <w:szCs w:val="20"/>
          </w:rPr>
          <w:tab/>
        </w:r>
        <w:r w:rsidR="009E5A64" w:rsidRPr="00B444FB">
          <w:rPr>
            <w:rFonts w:ascii="Cambria" w:hAnsi="Cambria"/>
            <w:noProof/>
            <w:webHidden/>
            <w:sz w:val="20"/>
            <w:szCs w:val="20"/>
          </w:rPr>
          <w:fldChar w:fldCharType="begin"/>
        </w:r>
        <w:r w:rsidR="009E5A64" w:rsidRPr="00B444FB">
          <w:rPr>
            <w:rFonts w:ascii="Cambria" w:hAnsi="Cambria"/>
            <w:noProof/>
            <w:webHidden/>
            <w:sz w:val="20"/>
            <w:szCs w:val="20"/>
          </w:rPr>
          <w:instrText xml:space="preserve"> PAGEREF _Toc90297878 \h </w:instrText>
        </w:r>
        <w:r w:rsidR="009E5A64" w:rsidRPr="00B444FB">
          <w:rPr>
            <w:rFonts w:ascii="Cambria" w:hAnsi="Cambria"/>
            <w:noProof/>
            <w:webHidden/>
            <w:sz w:val="20"/>
            <w:szCs w:val="20"/>
          </w:rPr>
        </w:r>
        <w:r w:rsidR="009E5A64" w:rsidRPr="00B444FB">
          <w:rPr>
            <w:rFonts w:ascii="Cambria" w:hAnsi="Cambria"/>
            <w:noProof/>
            <w:webHidden/>
            <w:sz w:val="20"/>
            <w:szCs w:val="20"/>
          </w:rPr>
          <w:fldChar w:fldCharType="separate"/>
        </w:r>
        <w:r w:rsidR="009E5A64" w:rsidRPr="00B444FB">
          <w:rPr>
            <w:rFonts w:ascii="Cambria" w:hAnsi="Cambria"/>
            <w:noProof/>
            <w:webHidden/>
            <w:sz w:val="20"/>
            <w:szCs w:val="20"/>
          </w:rPr>
          <w:t>14</w:t>
        </w:r>
        <w:r w:rsidR="009E5A64" w:rsidRPr="00B444FB">
          <w:rPr>
            <w:rFonts w:ascii="Cambria" w:hAnsi="Cambria"/>
            <w:noProof/>
            <w:webHidden/>
            <w:sz w:val="20"/>
            <w:szCs w:val="20"/>
          </w:rPr>
          <w:fldChar w:fldCharType="end"/>
        </w:r>
      </w:hyperlink>
    </w:p>
    <w:p w14:paraId="713A441D" w14:textId="27893792" w:rsidR="009E5A64" w:rsidRPr="00B444FB" w:rsidRDefault="00AB074C">
      <w:pPr>
        <w:pStyle w:val="TOC3"/>
        <w:rPr>
          <w:rFonts w:ascii="Cambria" w:eastAsiaTheme="minorEastAsia" w:hAnsi="Cambria" w:cstheme="minorBidi"/>
          <w:noProof/>
          <w:sz w:val="20"/>
          <w:szCs w:val="20"/>
          <w:bdr w:val="none" w:sz="0" w:space="0" w:color="auto"/>
          <w:lang w:val="es-US" w:eastAsia="zh-CN"/>
        </w:rPr>
      </w:pPr>
      <w:hyperlink w:anchor="_Toc90297879" w:history="1">
        <w:r w:rsidR="009E5A64" w:rsidRPr="00B444FB">
          <w:rPr>
            <w:rStyle w:val="Hyperlink"/>
            <w:rFonts w:ascii="Cambria" w:hAnsi="Cambria"/>
            <w:noProof/>
            <w:sz w:val="20"/>
            <w:szCs w:val="20"/>
          </w:rPr>
          <w:t>4.</w:t>
        </w:r>
        <w:r w:rsidR="009E5A64" w:rsidRPr="00B444FB">
          <w:rPr>
            <w:rFonts w:ascii="Cambria" w:eastAsiaTheme="minorEastAsia" w:hAnsi="Cambria" w:cstheme="minorBidi"/>
            <w:noProof/>
            <w:sz w:val="20"/>
            <w:szCs w:val="20"/>
            <w:bdr w:val="none" w:sz="0" w:space="0" w:color="auto"/>
            <w:lang w:val="es-US" w:eastAsia="zh-CN"/>
          </w:rPr>
          <w:tab/>
        </w:r>
        <w:r w:rsidR="009E5A64" w:rsidRPr="00B444FB">
          <w:rPr>
            <w:rStyle w:val="Hyperlink"/>
            <w:rFonts w:ascii="Cambria" w:hAnsi="Cambria"/>
            <w:noProof/>
            <w:sz w:val="20"/>
            <w:szCs w:val="20"/>
          </w:rPr>
          <w:t>Analysis of the case</w:t>
        </w:r>
        <w:r w:rsidR="009E5A64" w:rsidRPr="00B444FB">
          <w:rPr>
            <w:rFonts w:ascii="Cambria" w:hAnsi="Cambria"/>
            <w:noProof/>
            <w:webHidden/>
            <w:sz w:val="20"/>
            <w:szCs w:val="20"/>
          </w:rPr>
          <w:tab/>
        </w:r>
        <w:r w:rsidR="009E5A64" w:rsidRPr="00B444FB">
          <w:rPr>
            <w:rFonts w:ascii="Cambria" w:hAnsi="Cambria"/>
            <w:noProof/>
            <w:webHidden/>
            <w:sz w:val="20"/>
            <w:szCs w:val="20"/>
          </w:rPr>
          <w:fldChar w:fldCharType="begin"/>
        </w:r>
        <w:r w:rsidR="009E5A64" w:rsidRPr="00B444FB">
          <w:rPr>
            <w:rFonts w:ascii="Cambria" w:hAnsi="Cambria"/>
            <w:noProof/>
            <w:webHidden/>
            <w:sz w:val="20"/>
            <w:szCs w:val="20"/>
          </w:rPr>
          <w:instrText xml:space="preserve"> PAGEREF _Toc90297879 \h </w:instrText>
        </w:r>
        <w:r w:rsidR="009E5A64" w:rsidRPr="00B444FB">
          <w:rPr>
            <w:rFonts w:ascii="Cambria" w:hAnsi="Cambria"/>
            <w:noProof/>
            <w:webHidden/>
            <w:sz w:val="20"/>
            <w:szCs w:val="20"/>
          </w:rPr>
        </w:r>
        <w:r w:rsidR="009E5A64" w:rsidRPr="00B444FB">
          <w:rPr>
            <w:rFonts w:ascii="Cambria" w:hAnsi="Cambria"/>
            <w:noProof/>
            <w:webHidden/>
            <w:sz w:val="20"/>
            <w:szCs w:val="20"/>
          </w:rPr>
          <w:fldChar w:fldCharType="separate"/>
        </w:r>
        <w:r w:rsidR="009E5A64" w:rsidRPr="00B444FB">
          <w:rPr>
            <w:rFonts w:ascii="Cambria" w:hAnsi="Cambria"/>
            <w:noProof/>
            <w:webHidden/>
            <w:sz w:val="20"/>
            <w:szCs w:val="20"/>
          </w:rPr>
          <w:t>15</w:t>
        </w:r>
        <w:r w:rsidR="009E5A64" w:rsidRPr="00B444FB">
          <w:rPr>
            <w:rFonts w:ascii="Cambria" w:hAnsi="Cambria"/>
            <w:noProof/>
            <w:webHidden/>
            <w:sz w:val="20"/>
            <w:szCs w:val="20"/>
          </w:rPr>
          <w:fldChar w:fldCharType="end"/>
        </w:r>
      </w:hyperlink>
    </w:p>
    <w:p w14:paraId="6353EF97" w14:textId="22A31C9F" w:rsidR="009E5A64" w:rsidRPr="00B444FB" w:rsidRDefault="00AB074C">
      <w:pPr>
        <w:pStyle w:val="TOC3"/>
        <w:rPr>
          <w:rFonts w:ascii="Cambria" w:eastAsiaTheme="minorEastAsia" w:hAnsi="Cambria" w:cstheme="minorBidi"/>
          <w:noProof/>
          <w:sz w:val="20"/>
          <w:szCs w:val="20"/>
          <w:bdr w:val="none" w:sz="0" w:space="0" w:color="auto"/>
          <w:lang w:val="es-US" w:eastAsia="zh-CN"/>
        </w:rPr>
      </w:pPr>
      <w:hyperlink w:anchor="_Toc90297880" w:history="1">
        <w:r w:rsidR="009E5A64" w:rsidRPr="00B444FB">
          <w:rPr>
            <w:rStyle w:val="Hyperlink"/>
            <w:rFonts w:ascii="Cambria" w:hAnsi="Cambria"/>
            <w:noProof/>
            <w:sz w:val="20"/>
            <w:szCs w:val="20"/>
          </w:rPr>
          <w:t>5.</w:t>
        </w:r>
        <w:r w:rsidR="009E5A64" w:rsidRPr="00B444FB">
          <w:rPr>
            <w:rFonts w:ascii="Cambria" w:eastAsiaTheme="minorEastAsia" w:hAnsi="Cambria" w:cstheme="minorBidi"/>
            <w:noProof/>
            <w:sz w:val="20"/>
            <w:szCs w:val="20"/>
            <w:bdr w:val="none" w:sz="0" w:space="0" w:color="auto"/>
            <w:lang w:val="es-US" w:eastAsia="zh-CN"/>
          </w:rPr>
          <w:tab/>
        </w:r>
        <w:r w:rsidR="009E5A64" w:rsidRPr="00B444FB">
          <w:rPr>
            <w:rStyle w:val="Hyperlink"/>
            <w:rFonts w:ascii="Cambria" w:hAnsi="Cambria"/>
            <w:noProof/>
            <w:sz w:val="20"/>
            <w:szCs w:val="20"/>
          </w:rPr>
          <w:t>Confession obtained through coercion and prosecutorial misconduct</w:t>
        </w:r>
        <w:r w:rsidR="009E5A64" w:rsidRPr="00B444FB">
          <w:rPr>
            <w:rFonts w:ascii="Cambria" w:hAnsi="Cambria"/>
            <w:noProof/>
            <w:webHidden/>
            <w:sz w:val="20"/>
            <w:szCs w:val="20"/>
          </w:rPr>
          <w:tab/>
        </w:r>
        <w:r w:rsidR="009E5A64" w:rsidRPr="00B444FB">
          <w:rPr>
            <w:rFonts w:ascii="Cambria" w:hAnsi="Cambria"/>
            <w:noProof/>
            <w:webHidden/>
            <w:sz w:val="20"/>
            <w:szCs w:val="20"/>
          </w:rPr>
          <w:fldChar w:fldCharType="begin"/>
        </w:r>
        <w:r w:rsidR="009E5A64" w:rsidRPr="00B444FB">
          <w:rPr>
            <w:rFonts w:ascii="Cambria" w:hAnsi="Cambria"/>
            <w:noProof/>
            <w:webHidden/>
            <w:sz w:val="20"/>
            <w:szCs w:val="20"/>
          </w:rPr>
          <w:instrText xml:space="preserve"> PAGEREF _Toc90297880 \h </w:instrText>
        </w:r>
        <w:r w:rsidR="009E5A64" w:rsidRPr="00B444FB">
          <w:rPr>
            <w:rFonts w:ascii="Cambria" w:hAnsi="Cambria"/>
            <w:noProof/>
            <w:webHidden/>
            <w:sz w:val="20"/>
            <w:szCs w:val="20"/>
          </w:rPr>
        </w:r>
        <w:r w:rsidR="009E5A64" w:rsidRPr="00B444FB">
          <w:rPr>
            <w:rFonts w:ascii="Cambria" w:hAnsi="Cambria"/>
            <w:noProof/>
            <w:webHidden/>
            <w:sz w:val="20"/>
            <w:szCs w:val="20"/>
          </w:rPr>
          <w:fldChar w:fldCharType="separate"/>
        </w:r>
        <w:r w:rsidR="009E5A64" w:rsidRPr="00B444FB">
          <w:rPr>
            <w:rFonts w:ascii="Cambria" w:hAnsi="Cambria"/>
            <w:noProof/>
            <w:webHidden/>
            <w:sz w:val="20"/>
            <w:szCs w:val="20"/>
          </w:rPr>
          <w:t>15</w:t>
        </w:r>
        <w:r w:rsidR="009E5A64" w:rsidRPr="00B444FB">
          <w:rPr>
            <w:rFonts w:ascii="Cambria" w:hAnsi="Cambria"/>
            <w:noProof/>
            <w:webHidden/>
            <w:sz w:val="20"/>
            <w:szCs w:val="20"/>
          </w:rPr>
          <w:fldChar w:fldCharType="end"/>
        </w:r>
      </w:hyperlink>
    </w:p>
    <w:p w14:paraId="261B52CB" w14:textId="7C9DC90B"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81" w:history="1">
        <w:r w:rsidR="009E5A64" w:rsidRPr="00B444FB">
          <w:rPr>
            <w:rStyle w:val="Hyperlink"/>
            <w:rFonts w:ascii="Cambria" w:hAnsi="Cambria"/>
            <w:sz w:val="20"/>
            <w:szCs w:val="20"/>
          </w:rPr>
          <w:t>C.</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Right to protection from arbitrary arrest and right to equality before the law</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_Toc90297881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16</w:t>
        </w:r>
        <w:r w:rsidR="009E5A64" w:rsidRPr="00B444FB">
          <w:rPr>
            <w:rFonts w:ascii="Cambria" w:hAnsi="Cambria"/>
            <w:webHidden/>
            <w:sz w:val="20"/>
            <w:szCs w:val="20"/>
          </w:rPr>
          <w:fldChar w:fldCharType="end"/>
        </w:r>
      </w:hyperlink>
    </w:p>
    <w:p w14:paraId="0143EE8C" w14:textId="5D4B39A0"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82" w:history="1">
        <w:r w:rsidR="009E5A64" w:rsidRPr="00B444FB">
          <w:rPr>
            <w:rStyle w:val="Hyperlink"/>
            <w:rFonts w:ascii="Cambria" w:hAnsi="Cambria"/>
            <w:sz w:val="20"/>
            <w:szCs w:val="20"/>
          </w:rPr>
          <w:t>D.</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Right not to receive cruel, infamous or unusual punishment</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_Toc90297882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18</w:t>
        </w:r>
        <w:r w:rsidR="009E5A64" w:rsidRPr="00B444FB">
          <w:rPr>
            <w:rFonts w:ascii="Cambria" w:hAnsi="Cambria"/>
            <w:webHidden/>
            <w:sz w:val="20"/>
            <w:szCs w:val="20"/>
          </w:rPr>
          <w:fldChar w:fldCharType="end"/>
        </w:r>
      </w:hyperlink>
    </w:p>
    <w:p w14:paraId="26231833" w14:textId="480368EC" w:rsidR="009E5A64" w:rsidRPr="00B444FB" w:rsidRDefault="00AB074C">
      <w:pPr>
        <w:pStyle w:val="TOC3"/>
        <w:rPr>
          <w:rFonts w:ascii="Cambria" w:eastAsiaTheme="minorEastAsia" w:hAnsi="Cambria" w:cstheme="minorBidi"/>
          <w:noProof/>
          <w:sz w:val="20"/>
          <w:szCs w:val="20"/>
          <w:bdr w:val="none" w:sz="0" w:space="0" w:color="auto"/>
          <w:lang w:val="es-US" w:eastAsia="zh-CN"/>
        </w:rPr>
      </w:pPr>
      <w:hyperlink w:anchor="_Toc90297883" w:history="1">
        <w:r w:rsidR="009E5A64" w:rsidRPr="00B444FB">
          <w:rPr>
            <w:rStyle w:val="Hyperlink"/>
            <w:rFonts w:ascii="Cambria" w:hAnsi="Cambria"/>
            <w:noProof/>
            <w:sz w:val="20"/>
            <w:szCs w:val="20"/>
          </w:rPr>
          <w:t>1.</w:t>
        </w:r>
        <w:r w:rsidR="009E5A64" w:rsidRPr="00B444FB">
          <w:rPr>
            <w:rFonts w:ascii="Cambria" w:eastAsiaTheme="minorEastAsia" w:hAnsi="Cambria" w:cstheme="minorBidi"/>
            <w:noProof/>
            <w:sz w:val="20"/>
            <w:szCs w:val="20"/>
            <w:bdr w:val="none" w:sz="0" w:space="0" w:color="auto"/>
            <w:lang w:val="es-US" w:eastAsia="zh-CN"/>
          </w:rPr>
          <w:tab/>
        </w:r>
        <w:r w:rsidR="009E5A64" w:rsidRPr="00B444FB">
          <w:rPr>
            <w:rStyle w:val="Hyperlink"/>
            <w:rFonts w:ascii="Cambria" w:hAnsi="Cambria"/>
            <w:noProof/>
            <w:sz w:val="20"/>
            <w:szCs w:val="20"/>
          </w:rPr>
          <w:t>Method of execution</w:t>
        </w:r>
        <w:r w:rsidR="009E5A64" w:rsidRPr="00B444FB">
          <w:rPr>
            <w:rFonts w:ascii="Cambria" w:hAnsi="Cambria"/>
            <w:noProof/>
            <w:webHidden/>
            <w:sz w:val="20"/>
            <w:szCs w:val="20"/>
          </w:rPr>
          <w:tab/>
        </w:r>
        <w:r w:rsidR="009E5A64" w:rsidRPr="00B444FB">
          <w:rPr>
            <w:rFonts w:ascii="Cambria" w:hAnsi="Cambria"/>
            <w:noProof/>
            <w:webHidden/>
            <w:sz w:val="20"/>
            <w:szCs w:val="20"/>
          </w:rPr>
          <w:fldChar w:fldCharType="begin"/>
        </w:r>
        <w:r w:rsidR="009E5A64" w:rsidRPr="00B444FB">
          <w:rPr>
            <w:rFonts w:ascii="Cambria" w:hAnsi="Cambria"/>
            <w:noProof/>
            <w:webHidden/>
            <w:sz w:val="20"/>
            <w:szCs w:val="20"/>
          </w:rPr>
          <w:instrText xml:space="preserve"> PAGEREF _Toc90297883 \h </w:instrText>
        </w:r>
        <w:r w:rsidR="009E5A64" w:rsidRPr="00B444FB">
          <w:rPr>
            <w:rFonts w:ascii="Cambria" w:hAnsi="Cambria"/>
            <w:noProof/>
            <w:webHidden/>
            <w:sz w:val="20"/>
            <w:szCs w:val="20"/>
          </w:rPr>
        </w:r>
        <w:r w:rsidR="009E5A64" w:rsidRPr="00B444FB">
          <w:rPr>
            <w:rFonts w:ascii="Cambria" w:hAnsi="Cambria"/>
            <w:noProof/>
            <w:webHidden/>
            <w:sz w:val="20"/>
            <w:szCs w:val="20"/>
          </w:rPr>
          <w:fldChar w:fldCharType="separate"/>
        </w:r>
        <w:r w:rsidR="009E5A64" w:rsidRPr="00B444FB">
          <w:rPr>
            <w:rFonts w:ascii="Cambria" w:hAnsi="Cambria"/>
            <w:noProof/>
            <w:webHidden/>
            <w:sz w:val="20"/>
            <w:szCs w:val="20"/>
          </w:rPr>
          <w:t>19</w:t>
        </w:r>
        <w:r w:rsidR="009E5A64" w:rsidRPr="00B444FB">
          <w:rPr>
            <w:rFonts w:ascii="Cambria" w:hAnsi="Cambria"/>
            <w:noProof/>
            <w:webHidden/>
            <w:sz w:val="20"/>
            <w:szCs w:val="20"/>
          </w:rPr>
          <w:fldChar w:fldCharType="end"/>
        </w:r>
      </w:hyperlink>
    </w:p>
    <w:p w14:paraId="2B641DDE" w14:textId="357947A7" w:rsidR="009E5A64" w:rsidRPr="00B444FB" w:rsidRDefault="00AB074C">
      <w:pPr>
        <w:pStyle w:val="TOC3"/>
        <w:rPr>
          <w:rFonts w:ascii="Cambria" w:eastAsiaTheme="minorEastAsia" w:hAnsi="Cambria" w:cstheme="minorBidi"/>
          <w:noProof/>
          <w:sz w:val="20"/>
          <w:szCs w:val="20"/>
          <w:bdr w:val="none" w:sz="0" w:space="0" w:color="auto"/>
          <w:lang w:val="es-US" w:eastAsia="zh-CN"/>
        </w:rPr>
      </w:pPr>
      <w:hyperlink w:anchor="_Toc90297884" w:history="1">
        <w:r w:rsidR="009E5A64" w:rsidRPr="00B444FB">
          <w:rPr>
            <w:rStyle w:val="Hyperlink"/>
            <w:rFonts w:ascii="Cambria" w:hAnsi="Cambria"/>
            <w:noProof/>
            <w:sz w:val="20"/>
            <w:szCs w:val="20"/>
          </w:rPr>
          <w:t>3.</w:t>
        </w:r>
        <w:r w:rsidR="009E5A64" w:rsidRPr="00B444FB">
          <w:rPr>
            <w:rFonts w:ascii="Cambria" w:eastAsiaTheme="minorEastAsia" w:hAnsi="Cambria" w:cstheme="minorBidi"/>
            <w:noProof/>
            <w:sz w:val="20"/>
            <w:szCs w:val="20"/>
            <w:bdr w:val="none" w:sz="0" w:space="0" w:color="auto"/>
            <w:lang w:val="es-US" w:eastAsia="zh-CN"/>
          </w:rPr>
          <w:tab/>
        </w:r>
        <w:r w:rsidR="009E5A64" w:rsidRPr="00B444FB">
          <w:rPr>
            <w:rStyle w:val="Hyperlink"/>
            <w:rFonts w:ascii="Cambria" w:hAnsi="Cambria"/>
            <w:noProof/>
            <w:sz w:val="20"/>
            <w:szCs w:val="20"/>
          </w:rPr>
          <w:t>The deprivation of liberty on death row</w:t>
        </w:r>
        <w:r w:rsidR="009E5A64" w:rsidRPr="00B444FB">
          <w:rPr>
            <w:rFonts w:ascii="Cambria" w:hAnsi="Cambria"/>
            <w:noProof/>
            <w:webHidden/>
            <w:sz w:val="20"/>
            <w:szCs w:val="20"/>
          </w:rPr>
          <w:tab/>
        </w:r>
        <w:r w:rsidR="009E5A64" w:rsidRPr="00B444FB">
          <w:rPr>
            <w:rFonts w:ascii="Cambria" w:hAnsi="Cambria"/>
            <w:noProof/>
            <w:webHidden/>
            <w:sz w:val="20"/>
            <w:szCs w:val="20"/>
          </w:rPr>
          <w:fldChar w:fldCharType="begin"/>
        </w:r>
        <w:r w:rsidR="009E5A64" w:rsidRPr="00B444FB">
          <w:rPr>
            <w:rFonts w:ascii="Cambria" w:hAnsi="Cambria"/>
            <w:noProof/>
            <w:webHidden/>
            <w:sz w:val="20"/>
            <w:szCs w:val="20"/>
          </w:rPr>
          <w:instrText xml:space="preserve"> PAGEREF _Toc90297884 \h </w:instrText>
        </w:r>
        <w:r w:rsidR="009E5A64" w:rsidRPr="00B444FB">
          <w:rPr>
            <w:rFonts w:ascii="Cambria" w:hAnsi="Cambria"/>
            <w:noProof/>
            <w:webHidden/>
            <w:sz w:val="20"/>
            <w:szCs w:val="20"/>
          </w:rPr>
        </w:r>
        <w:r w:rsidR="009E5A64" w:rsidRPr="00B444FB">
          <w:rPr>
            <w:rFonts w:ascii="Cambria" w:hAnsi="Cambria"/>
            <w:noProof/>
            <w:webHidden/>
            <w:sz w:val="20"/>
            <w:szCs w:val="20"/>
          </w:rPr>
          <w:fldChar w:fldCharType="separate"/>
        </w:r>
        <w:r w:rsidR="009E5A64" w:rsidRPr="00B444FB">
          <w:rPr>
            <w:rFonts w:ascii="Cambria" w:hAnsi="Cambria"/>
            <w:noProof/>
            <w:webHidden/>
            <w:sz w:val="20"/>
            <w:szCs w:val="20"/>
          </w:rPr>
          <w:t>19</w:t>
        </w:r>
        <w:r w:rsidR="009E5A64" w:rsidRPr="00B444FB">
          <w:rPr>
            <w:rFonts w:ascii="Cambria" w:hAnsi="Cambria"/>
            <w:noProof/>
            <w:webHidden/>
            <w:sz w:val="20"/>
            <w:szCs w:val="20"/>
          </w:rPr>
          <w:fldChar w:fldCharType="end"/>
        </w:r>
      </w:hyperlink>
    </w:p>
    <w:p w14:paraId="3ADA9B9D" w14:textId="3C49DA2C" w:rsidR="009E5A64" w:rsidRPr="00B444FB" w:rsidRDefault="00AB074C">
      <w:pPr>
        <w:pStyle w:val="TOC2"/>
        <w:rPr>
          <w:rFonts w:ascii="Cambria" w:eastAsiaTheme="minorEastAsia" w:hAnsi="Cambria" w:cstheme="minorBidi"/>
          <w:sz w:val="20"/>
          <w:szCs w:val="20"/>
          <w:bdr w:val="none" w:sz="0" w:space="0" w:color="auto"/>
          <w:lang w:val="es-US" w:eastAsia="zh-CN"/>
        </w:rPr>
      </w:pPr>
      <w:hyperlink w:anchor="_Toc90297885" w:history="1">
        <w:r w:rsidR="009E5A64" w:rsidRPr="00B444FB">
          <w:rPr>
            <w:rStyle w:val="Hyperlink"/>
            <w:rFonts w:ascii="Cambria" w:hAnsi="Cambria"/>
            <w:sz w:val="20"/>
            <w:szCs w:val="20"/>
          </w:rPr>
          <w:t>2.</w:t>
        </w:r>
        <w:r w:rsidR="009E5A64" w:rsidRPr="00B444FB">
          <w:rPr>
            <w:rFonts w:ascii="Cambria" w:eastAsiaTheme="minorEastAsia" w:hAnsi="Cambria" w:cstheme="minorBidi"/>
            <w:sz w:val="20"/>
            <w:szCs w:val="20"/>
            <w:bdr w:val="none" w:sz="0" w:space="0" w:color="auto"/>
            <w:lang w:val="es-US" w:eastAsia="zh-CN"/>
          </w:rPr>
          <w:tab/>
        </w:r>
        <w:r w:rsidR="009E5A64" w:rsidRPr="00B444FB">
          <w:rPr>
            <w:rStyle w:val="Hyperlink"/>
            <w:rFonts w:ascii="Cambria" w:hAnsi="Cambria"/>
            <w:sz w:val="20"/>
            <w:szCs w:val="20"/>
          </w:rPr>
          <w:t>Right to life and to protection against cruel, infamous or unusual punishment with respect to the eventual execution of José Trinidad Loza Ventura</w:t>
        </w:r>
        <w:r w:rsidR="009E5A64" w:rsidRPr="00B444FB">
          <w:rPr>
            <w:rFonts w:ascii="Cambria" w:hAnsi="Cambria"/>
            <w:webHidden/>
            <w:sz w:val="20"/>
            <w:szCs w:val="20"/>
          </w:rPr>
          <w:tab/>
        </w:r>
        <w:r w:rsidR="009E5A64" w:rsidRPr="00B444FB">
          <w:rPr>
            <w:rFonts w:ascii="Cambria" w:hAnsi="Cambria"/>
            <w:webHidden/>
            <w:sz w:val="20"/>
            <w:szCs w:val="20"/>
          </w:rPr>
          <w:fldChar w:fldCharType="begin"/>
        </w:r>
        <w:r w:rsidR="009E5A64" w:rsidRPr="00B444FB">
          <w:rPr>
            <w:rFonts w:ascii="Cambria" w:hAnsi="Cambria"/>
            <w:webHidden/>
            <w:sz w:val="20"/>
            <w:szCs w:val="20"/>
          </w:rPr>
          <w:instrText xml:space="preserve"> PAGEREF _Toc90297885 \h </w:instrText>
        </w:r>
        <w:r w:rsidR="009E5A64" w:rsidRPr="00B444FB">
          <w:rPr>
            <w:rFonts w:ascii="Cambria" w:hAnsi="Cambria"/>
            <w:webHidden/>
            <w:sz w:val="20"/>
            <w:szCs w:val="20"/>
          </w:rPr>
        </w:r>
        <w:r w:rsidR="009E5A64" w:rsidRPr="00B444FB">
          <w:rPr>
            <w:rFonts w:ascii="Cambria" w:hAnsi="Cambria"/>
            <w:webHidden/>
            <w:sz w:val="20"/>
            <w:szCs w:val="20"/>
          </w:rPr>
          <w:fldChar w:fldCharType="separate"/>
        </w:r>
        <w:r w:rsidR="009E5A64" w:rsidRPr="00B444FB">
          <w:rPr>
            <w:rFonts w:ascii="Cambria" w:hAnsi="Cambria"/>
            <w:webHidden/>
            <w:sz w:val="20"/>
            <w:szCs w:val="20"/>
          </w:rPr>
          <w:t>20</w:t>
        </w:r>
        <w:r w:rsidR="009E5A64" w:rsidRPr="00B444FB">
          <w:rPr>
            <w:rFonts w:ascii="Cambria" w:hAnsi="Cambria"/>
            <w:webHidden/>
            <w:sz w:val="20"/>
            <w:szCs w:val="20"/>
          </w:rPr>
          <w:fldChar w:fldCharType="end"/>
        </w:r>
      </w:hyperlink>
    </w:p>
    <w:p w14:paraId="6F909C94" w14:textId="6D35DA7C" w:rsidR="009E5A64" w:rsidRPr="00B444FB" w:rsidRDefault="00AB074C">
      <w:pPr>
        <w:pStyle w:val="TOC1"/>
        <w:rPr>
          <w:rFonts w:ascii="Cambria" w:eastAsiaTheme="minorEastAsia" w:hAnsi="Cambria" w:cstheme="minorBidi"/>
          <w:b w:val="0"/>
          <w:bdr w:val="none" w:sz="0" w:space="0" w:color="auto"/>
          <w:lang w:val="es-US" w:eastAsia="zh-CN"/>
        </w:rPr>
      </w:pPr>
      <w:hyperlink w:anchor="_Toc90297886" w:history="1">
        <w:r w:rsidR="009E5A64" w:rsidRPr="00B444FB">
          <w:rPr>
            <w:rStyle w:val="Hyperlink"/>
            <w:rFonts w:ascii="Cambria" w:hAnsi="Cambria"/>
          </w:rPr>
          <w:t>VI.</w:t>
        </w:r>
        <w:r w:rsidR="009E5A64" w:rsidRPr="00B444FB">
          <w:rPr>
            <w:rFonts w:ascii="Cambria" w:eastAsiaTheme="minorEastAsia" w:hAnsi="Cambria" w:cstheme="minorBidi"/>
            <w:b w:val="0"/>
            <w:bdr w:val="none" w:sz="0" w:space="0" w:color="auto"/>
            <w:lang w:val="es-US" w:eastAsia="zh-CN"/>
          </w:rPr>
          <w:tab/>
        </w:r>
        <w:r w:rsidR="009E5A64" w:rsidRPr="00B444FB">
          <w:rPr>
            <w:rStyle w:val="Hyperlink"/>
            <w:rFonts w:ascii="Cambria" w:hAnsi="Cambria"/>
          </w:rPr>
          <w:t>REPORT No. 243/19 AND INFORMATION ABOUT COMPLIANCE</w:t>
        </w:r>
        <w:r w:rsidR="009E5A64" w:rsidRPr="00B444FB">
          <w:rPr>
            <w:rFonts w:ascii="Cambria" w:hAnsi="Cambria"/>
            <w:webHidden/>
          </w:rPr>
          <w:tab/>
        </w:r>
        <w:r w:rsidR="009E5A64" w:rsidRPr="00B444FB">
          <w:rPr>
            <w:rFonts w:ascii="Cambria" w:hAnsi="Cambria"/>
            <w:webHidden/>
          </w:rPr>
          <w:fldChar w:fldCharType="begin"/>
        </w:r>
        <w:r w:rsidR="009E5A64" w:rsidRPr="00B444FB">
          <w:rPr>
            <w:rFonts w:ascii="Cambria" w:hAnsi="Cambria"/>
            <w:webHidden/>
          </w:rPr>
          <w:instrText xml:space="preserve"> PAGEREF _Toc90297886 \h </w:instrText>
        </w:r>
        <w:r w:rsidR="009E5A64" w:rsidRPr="00B444FB">
          <w:rPr>
            <w:rFonts w:ascii="Cambria" w:hAnsi="Cambria"/>
            <w:webHidden/>
          </w:rPr>
        </w:r>
        <w:r w:rsidR="009E5A64" w:rsidRPr="00B444FB">
          <w:rPr>
            <w:rFonts w:ascii="Cambria" w:hAnsi="Cambria"/>
            <w:webHidden/>
          </w:rPr>
          <w:fldChar w:fldCharType="separate"/>
        </w:r>
        <w:r w:rsidR="009E5A64" w:rsidRPr="00B444FB">
          <w:rPr>
            <w:rFonts w:ascii="Cambria" w:hAnsi="Cambria"/>
            <w:webHidden/>
          </w:rPr>
          <w:t>20</w:t>
        </w:r>
        <w:r w:rsidR="009E5A64" w:rsidRPr="00B444FB">
          <w:rPr>
            <w:rFonts w:ascii="Cambria" w:hAnsi="Cambria"/>
            <w:webHidden/>
          </w:rPr>
          <w:fldChar w:fldCharType="end"/>
        </w:r>
      </w:hyperlink>
    </w:p>
    <w:p w14:paraId="19D3C750" w14:textId="5D69039F" w:rsidR="009E5A64" w:rsidRPr="00B444FB" w:rsidRDefault="00AB074C">
      <w:pPr>
        <w:pStyle w:val="TOC1"/>
        <w:rPr>
          <w:rFonts w:ascii="Cambria" w:eastAsiaTheme="minorEastAsia" w:hAnsi="Cambria" w:cstheme="minorBidi"/>
          <w:b w:val="0"/>
          <w:bdr w:val="none" w:sz="0" w:space="0" w:color="auto"/>
          <w:lang w:val="es-US" w:eastAsia="zh-CN"/>
        </w:rPr>
      </w:pPr>
      <w:hyperlink w:anchor="_Toc90297887" w:history="1">
        <w:r w:rsidR="009E5A64" w:rsidRPr="00B444FB">
          <w:rPr>
            <w:rStyle w:val="Hyperlink"/>
            <w:rFonts w:ascii="Cambria" w:hAnsi="Cambria"/>
          </w:rPr>
          <w:t>VII.</w:t>
        </w:r>
        <w:r w:rsidR="009E5A64" w:rsidRPr="00B444FB">
          <w:rPr>
            <w:rFonts w:ascii="Cambria" w:eastAsiaTheme="minorEastAsia" w:hAnsi="Cambria" w:cstheme="minorBidi"/>
            <w:b w:val="0"/>
            <w:bdr w:val="none" w:sz="0" w:space="0" w:color="auto"/>
            <w:lang w:val="es-US" w:eastAsia="zh-CN"/>
          </w:rPr>
          <w:tab/>
        </w:r>
        <w:r w:rsidR="009E5A64" w:rsidRPr="00B444FB">
          <w:rPr>
            <w:rStyle w:val="Hyperlink"/>
            <w:rFonts w:ascii="Cambria" w:hAnsi="Cambria"/>
          </w:rPr>
          <w:t>ACTIONS SUBSEQUENT TO REPORT No. 332/21</w:t>
        </w:r>
        <w:r w:rsidR="009E5A64" w:rsidRPr="00B444FB">
          <w:rPr>
            <w:rFonts w:ascii="Cambria" w:hAnsi="Cambria"/>
            <w:webHidden/>
          </w:rPr>
          <w:tab/>
        </w:r>
        <w:r w:rsidR="009E5A64" w:rsidRPr="00B444FB">
          <w:rPr>
            <w:rFonts w:ascii="Cambria" w:hAnsi="Cambria"/>
            <w:webHidden/>
          </w:rPr>
          <w:fldChar w:fldCharType="begin"/>
        </w:r>
        <w:r w:rsidR="009E5A64" w:rsidRPr="00B444FB">
          <w:rPr>
            <w:rFonts w:ascii="Cambria" w:hAnsi="Cambria"/>
            <w:webHidden/>
          </w:rPr>
          <w:instrText xml:space="preserve"> PAGEREF _Toc90297887 \h </w:instrText>
        </w:r>
        <w:r w:rsidR="009E5A64" w:rsidRPr="00B444FB">
          <w:rPr>
            <w:rFonts w:ascii="Cambria" w:hAnsi="Cambria"/>
            <w:webHidden/>
          </w:rPr>
        </w:r>
        <w:r w:rsidR="009E5A64" w:rsidRPr="00B444FB">
          <w:rPr>
            <w:rFonts w:ascii="Cambria" w:hAnsi="Cambria"/>
            <w:webHidden/>
          </w:rPr>
          <w:fldChar w:fldCharType="separate"/>
        </w:r>
        <w:r w:rsidR="009E5A64" w:rsidRPr="00B444FB">
          <w:rPr>
            <w:rFonts w:ascii="Cambria" w:hAnsi="Cambria"/>
            <w:webHidden/>
          </w:rPr>
          <w:t>21</w:t>
        </w:r>
        <w:r w:rsidR="009E5A64" w:rsidRPr="00B444FB">
          <w:rPr>
            <w:rFonts w:ascii="Cambria" w:hAnsi="Cambria"/>
            <w:webHidden/>
          </w:rPr>
          <w:fldChar w:fldCharType="end"/>
        </w:r>
      </w:hyperlink>
    </w:p>
    <w:p w14:paraId="6C92111D" w14:textId="4F2244CD" w:rsidR="009E5A64" w:rsidRPr="00B444FB" w:rsidRDefault="00AB074C">
      <w:pPr>
        <w:pStyle w:val="TOC1"/>
        <w:rPr>
          <w:rFonts w:ascii="Cambria" w:eastAsiaTheme="minorEastAsia" w:hAnsi="Cambria" w:cstheme="minorBidi"/>
          <w:b w:val="0"/>
          <w:bdr w:val="none" w:sz="0" w:space="0" w:color="auto"/>
          <w:lang w:val="es-US" w:eastAsia="zh-CN"/>
        </w:rPr>
      </w:pPr>
      <w:hyperlink w:anchor="_Toc90297888" w:history="1">
        <w:r w:rsidR="009E5A64" w:rsidRPr="00B444FB">
          <w:rPr>
            <w:rStyle w:val="Hyperlink"/>
            <w:rFonts w:ascii="Cambria" w:hAnsi="Cambria"/>
          </w:rPr>
          <w:t>VIII.</w:t>
        </w:r>
        <w:r w:rsidR="009E5A64" w:rsidRPr="00B444FB">
          <w:rPr>
            <w:rFonts w:ascii="Cambria" w:eastAsiaTheme="minorEastAsia" w:hAnsi="Cambria" w:cstheme="minorBidi"/>
            <w:b w:val="0"/>
            <w:bdr w:val="none" w:sz="0" w:space="0" w:color="auto"/>
            <w:lang w:val="es-US" w:eastAsia="zh-CN"/>
          </w:rPr>
          <w:tab/>
        </w:r>
        <w:r w:rsidR="009E5A64" w:rsidRPr="00B444FB">
          <w:rPr>
            <w:rStyle w:val="Hyperlink"/>
            <w:rFonts w:ascii="Cambria" w:hAnsi="Cambria"/>
          </w:rPr>
          <w:t>FINAL CONCLUSIONS AND RECOMMENDATIONS</w:t>
        </w:r>
        <w:r w:rsidR="009E5A64" w:rsidRPr="00B444FB">
          <w:rPr>
            <w:rFonts w:ascii="Cambria" w:hAnsi="Cambria"/>
            <w:webHidden/>
          </w:rPr>
          <w:tab/>
        </w:r>
        <w:r w:rsidR="009E5A64" w:rsidRPr="00B444FB">
          <w:rPr>
            <w:rFonts w:ascii="Cambria" w:hAnsi="Cambria"/>
            <w:webHidden/>
          </w:rPr>
          <w:fldChar w:fldCharType="begin"/>
        </w:r>
        <w:r w:rsidR="009E5A64" w:rsidRPr="00B444FB">
          <w:rPr>
            <w:rFonts w:ascii="Cambria" w:hAnsi="Cambria"/>
            <w:webHidden/>
          </w:rPr>
          <w:instrText xml:space="preserve"> PAGEREF _Toc90297888 \h </w:instrText>
        </w:r>
        <w:r w:rsidR="009E5A64" w:rsidRPr="00B444FB">
          <w:rPr>
            <w:rFonts w:ascii="Cambria" w:hAnsi="Cambria"/>
            <w:webHidden/>
          </w:rPr>
        </w:r>
        <w:r w:rsidR="009E5A64" w:rsidRPr="00B444FB">
          <w:rPr>
            <w:rFonts w:ascii="Cambria" w:hAnsi="Cambria"/>
            <w:webHidden/>
          </w:rPr>
          <w:fldChar w:fldCharType="separate"/>
        </w:r>
        <w:r w:rsidR="009E5A64" w:rsidRPr="00B444FB">
          <w:rPr>
            <w:rFonts w:ascii="Cambria" w:hAnsi="Cambria"/>
            <w:webHidden/>
          </w:rPr>
          <w:t>21</w:t>
        </w:r>
        <w:r w:rsidR="009E5A64" w:rsidRPr="00B444FB">
          <w:rPr>
            <w:rFonts w:ascii="Cambria" w:hAnsi="Cambria"/>
            <w:webHidden/>
          </w:rPr>
          <w:fldChar w:fldCharType="end"/>
        </w:r>
      </w:hyperlink>
    </w:p>
    <w:p w14:paraId="3AA7898F" w14:textId="6EB53F34" w:rsidR="009E5A64" w:rsidRPr="00B444FB" w:rsidRDefault="00AB074C">
      <w:pPr>
        <w:pStyle w:val="TOC1"/>
        <w:rPr>
          <w:rFonts w:ascii="Cambria" w:eastAsiaTheme="minorEastAsia" w:hAnsi="Cambria" w:cstheme="minorBidi"/>
          <w:b w:val="0"/>
          <w:bdr w:val="none" w:sz="0" w:space="0" w:color="auto"/>
          <w:lang w:val="es-US" w:eastAsia="zh-CN"/>
        </w:rPr>
      </w:pPr>
      <w:hyperlink w:anchor="_Toc90297889" w:history="1">
        <w:r w:rsidR="009E5A64" w:rsidRPr="00B444FB">
          <w:rPr>
            <w:rStyle w:val="Hyperlink"/>
            <w:rFonts w:ascii="Cambria" w:hAnsi="Cambria"/>
          </w:rPr>
          <w:t>IX.</w:t>
        </w:r>
        <w:r w:rsidR="009E5A64" w:rsidRPr="00B444FB">
          <w:rPr>
            <w:rFonts w:ascii="Cambria" w:eastAsiaTheme="minorEastAsia" w:hAnsi="Cambria" w:cstheme="minorBidi"/>
            <w:b w:val="0"/>
            <w:bdr w:val="none" w:sz="0" w:space="0" w:color="auto"/>
            <w:lang w:val="es-US" w:eastAsia="zh-CN"/>
          </w:rPr>
          <w:tab/>
        </w:r>
        <w:r w:rsidR="009E5A64" w:rsidRPr="00B444FB">
          <w:rPr>
            <w:rStyle w:val="Hyperlink"/>
            <w:rFonts w:ascii="Cambria" w:hAnsi="Cambria"/>
          </w:rPr>
          <w:t>PUBLICATION</w:t>
        </w:r>
        <w:r w:rsidR="009E5A64" w:rsidRPr="00B444FB">
          <w:rPr>
            <w:rFonts w:ascii="Cambria" w:hAnsi="Cambria"/>
            <w:webHidden/>
          </w:rPr>
          <w:tab/>
        </w:r>
        <w:r w:rsidR="009E5A64" w:rsidRPr="00B444FB">
          <w:rPr>
            <w:rFonts w:ascii="Cambria" w:hAnsi="Cambria"/>
            <w:webHidden/>
          </w:rPr>
          <w:fldChar w:fldCharType="begin"/>
        </w:r>
        <w:r w:rsidR="009E5A64" w:rsidRPr="00B444FB">
          <w:rPr>
            <w:rFonts w:ascii="Cambria" w:hAnsi="Cambria"/>
            <w:webHidden/>
          </w:rPr>
          <w:instrText xml:space="preserve"> PAGEREF _Toc90297889 \h </w:instrText>
        </w:r>
        <w:r w:rsidR="009E5A64" w:rsidRPr="00B444FB">
          <w:rPr>
            <w:rFonts w:ascii="Cambria" w:hAnsi="Cambria"/>
            <w:webHidden/>
          </w:rPr>
        </w:r>
        <w:r w:rsidR="009E5A64" w:rsidRPr="00B444FB">
          <w:rPr>
            <w:rFonts w:ascii="Cambria" w:hAnsi="Cambria"/>
            <w:webHidden/>
          </w:rPr>
          <w:fldChar w:fldCharType="separate"/>
        </w:r>
        <w:r w:rsidR="009E5A64" w:rsidRPr="00B444FB">
          <w:rPr>
            <w:rFonts w:ascii="Cambria" w:hAnsi="Cambria"/>
            <w:webHidden/>
          </w:rPr>
          <w:t>22</w:t>
        </w:r>
        <w:r w:rsidR="009E5A64" w:rsidRPr="00B444FB">
          <w:rPr>
            <w:rFonts w:ascii="Cambria" w:hAnsi="Cambria"/>
            <w:webHidden/>
          </w:rPr>
          <w:fldChar w:fldCharType="end"/>
        </w:r>
      </w:hyperlink>
    </w:p>
    <w:p w14:paraId="23B1F617" w14:textId="48550EE3" w:rsidR="007607C4" w:rsidRPr="005C0994" w:rsidRDefault="00DA36AE" w:rsidP="00145EDC">
      <w:pPr>
        <w:tabs>
          <w:tab w:val="center" w:pos="5400"/>
        </w:tabs>
        <w:suppressAutoHyphens/>
        <w:spacing w:line="276" w:lineRule="auto"/>
        <w:rPr>
          <w:rFonts w:asciiTheme="majorHAnsi" w:hAnsiTheme="majorHAnsi"/>
          <w:sz w:val="20"/>
          <w:szCs w:val="20"/>
        </w:rPr>
      </w:pPr>
      <w:r w:rsidRPr="00B444FB">
        <w:rPr>
          <w:rFonts w:ascii="Cambria" w:hAnsi="Cambria"/>
          <w:sz w:val="20"/>
          <w:szCs w:val="20"/>
        </w:rPr>
        <w:fldChar w:fldCharType="end"/>
      </w:r>
    </w:p>
    <w:p w14:paraId="7D3A9A62" w14:textId="77777777" w:rsidR="007607C4" w:rsidRPr="005C0994" w:rsidRDefault="007607C4" w:rsidP="00145EDC">
      <w:pPr>
        <w:tabs>
          <w:tab w:val="center" w:pos="5400"/>
        </w:tabs>
        <w:suppressAutoHyphens/>
        <w:spacing w:line="276" w:lineRule="auto"/>
        <w:rPr>
          <w:rFonts w:asciiTheme="majorHAnsi" w:hAnsiTheme="majorHAnsi"/>
          <w:sz w:val="20"/>
          <w:szCs w:val="20"/>
        </w:rPr>
      </w:pPr>
    </w:p>
    <w:p w14:paraId="4C418D20" w14:textId="77777777" w:rsidR="00DE01CB" w:rsidRPr="005C0994" w:rsidRDefault="00DE01CB" w:rsidP="00145EDC">
      <w:pPr>
        <w:tabs>
          <w:tab w:val="center" w:pos="5400"/>
        </w:tabs>
        <w:suppressAutoHyphens/>
        <w:spacing w:line="276" w:lineRule="auto"/>
        <w:rPr>
          <w:rFonts w:asciiTheme="majorHAnsi" w:hAnsiTheme="majorHAnsi"/>
          <w:sz w:val="20"/>
          <w:szCs w:val="20"/>
        </w:rPr>
      </w:pPr>
    </w:p>
    <w:p w14:paraId="09CFD148" w14:textId="77777777" w:rsidR="00DE01CB" w:rsidRPr="005C0994" w:rsidRDefault="00DE01CB" w:rsidP="00145EDC">
      <w:pPr>
        <w:tabs>
          <w:tab w:val="center" w:pos="5400"/>
        </w:tabs>
        <w:suppressAutoHyphens/>
        <w:spacing w:line="276" w:lineRule="auto"/>
        <w:rPr>
          <w:rFonts w:asciiTheme="majorHAnsi" w:hAnsiTheme="majorHAnsi"/>
          <w:sz w:val="20"/>
          <w:szCs w:val="20"/>
        </w:rPr>
      </w:pPr>
    </w:p>
    <w:p w14:paraId="049C63AB" w14:textId="77777777" w:rsidR="00DE01CB" w:rsidRPr="005C0994" w:rsidRDefault="00DE01CB" w:rsidP="00145EDC">
      <w:pPr>
        <w:tabs>
          <w:tab w:val="center" w:pos="5400"/>
        </w:tabs>
        <w:suppressAutoHyphens/>
        <w:spacing w:line="276" w:lineRule="auto"/>
        <w:rPr>
          <w:rFonts w:asciiTheme="majorHAnsi" w:hAnsiTheme="majorHAnsi"/>
          <w:sz w:val="20"/>
          <w:szCs w:val="20"/>
        </w:rPr>
      </w:pPr>
    </w:p>
    <w:p w14:paraId="4F6F56AE" w14:textId="77777777" w:rsidR="00074893" w:rsidRPr="005C0994" w:rsidRDefault="00074893">
      <w:pPr>
        <w:rPr>
          <w:rFonts w:asciiTheme="majorHAnsi" w:eastAsiaTheme="majorEastAsia" w:hAnsiTheme="majorHAnsi" w:cstheme="majorBidi"/>
          <w:b/>
          <w:bCs/>
          <w:sz w:val="20"/>
          <w:szCs w:val="20"/>
        </w:rPr>
      </w:pPr>
      <w:r w:rsidRPr="005C0994">
        <w:rPr>
          <w:sz w:val="20"/>
          <w:szCs w:val="20"/>
        </w:rPr>
        <w:br w:type="page"/>
      </w:r>
    </w:p>
    <w:p w14:paraId="7D5D43B3" w14:textId="77777777" w:rsidR="001C4006" w:rsidRPr="005C0994" w:rsidRDefault="00830E88" w:rsidP="003676F1">
      <w:pPr>
        <w:pStyle w:val="Heading1"/>
        <w:tabs>
          <w:tab w:val="left" w:pos="360"/>
        </w:tabs>
        <w:spacing w:before="0"/>
        <w:ind w:hanging="720"/>
        <w:rPr>
          <w:color w:val="auto"/>
          <w:sz w:val="20"/>
          <w:szCs w:val="20"/>
        </w:rPr>
      </w:pPr>
      <w:bookmarkStart w:id="0" w:name="_Toc90297859"/>
      <w:r w:rsidRPr="005C0994">
        <w:rPr>
          <w:color w:val="auto"/>
          <w:sz w:val="20"/>
          <w:szCs w:val="20"/>
        </w:rPr>
        <w:lastRenderedPageBreak/>
        <w:t>INTRODUCTION</w:t>
      </w:r>
      <w:bookmarkEnd w:id="0"/>
      <w:r w:rsidR="001C4006" w:rsidRPr="005C0994">
        <w:rPr>
          <w:color w:val="auto"/>
          <w:sz w:val="20"/>
          <w:szCs w:val="20"/>
        </w:rPr>
        <w:t xml:space="preserve"> </w:t>
      </w:r>
    </w:p>
    <w:p w14:paraId="7DFB18D8" w14:textId="77777777" w:rsidR="001C4006" w:rsidRPr="005C0994" w:rsidRDefault="001C4006" w:rsidP="00BB5A59">
      <w:pPr>
        <w:suppressAutoHyphens/>
        <w:ind w:left="1440" w:hanging="720"/>
        <w:rPr>
          <w:rFonts w:asciiTheme="majorHAnsi" w:hAnsiTheme="majorHAnsi"/>
          <w:b/>
          <w:sz w:val="20"/>
          <w:szCs w:val="20"/>
        </w:rPr>
      </w:pPr>
    </w:p>
    <w:p w14:paraId="24F50930" w14:textId="784EA6D5" w:rsidR="001C4006" w:rsidRPr="005C0994" w:rsidRDefault="001C4006"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 xml:space="preserve">On </w:t>
      </w:r>
      <w:r w:rsidR="00AA07DC" w:rsidRPr="005C0994">
        <w:rPr>
          <w:rFonts w:asciiTheme="majorHAnsi" w:hAnsiTheme="majorHAnsi"/>
          <w:sz w:val="20"/>
          <w:szCs w:val="20"/>
        </w:rPr>
        <w:t xml:space="preserve">July </w:t>
      </w:r>
      <w:r w:rsidR="00E018BA" w:rsidRPr="005C0994">
        <w:rPr>
          <w:rFonts w:asciiTheme="majorHAnsi" w:hAnsiTheme="majorHAnsi"/>
          <w:sz w:val="20"/>
          <w:szCs w:val="20"/>
        </w:rPr>
        <w:t>17</w:t>
      </w:r>
      <w:r w:rsidR="00AA07DC" w:rsidRPr="005C0994">
        <w:rPr>
          <w:rFonts w:asciiTheme="majorHAnsi" w:hAnsiTheme="majorHAnsi"/>
          <w:sz w:val="20"/>
          <w:szCs w:val="20"/>
        </w:rPr>
        <w:t>, 2015</w:t>
      </w:r>
      <w:r w:rsidR="0007716F" w:rsidRPr="005C0994">
        <w:rPr>
          <w:rFonts w:asciiTheme="majorHAnsi" w:hAnsiTheme="majorHAnsi"/>
          <w:sz w:val="20"/>
          <w:szCs w:val="20"/>
        </w:rPr>
        <w:t xml:space="preserve">, </w:t>
      </w:r>
      <w:r w:rsidRPr="005C0994">
        <w:rPr>
          <w:rFonts w:asciiTheme="majorHAnsi" w:hAnsiTheme="majorHAnsi"/>
          <w:sz w:val="20"/>
          <w:szCs w:val="20"/>
        </w:rPr>
        <w:t>the Inter-American Commission on Human Rights (the “Inter-American Commission”</w:t>
      </w:r>
      <w:r w:rsidR="004D4E01" w:rsidRPr="005C0994">
        <w:rPr>
          <w:rFonts w:asciiTheme="majorHAnsi" w:hAnsiTheme="majorHAnsi"/>
          <w:sz w:val="20"/>
          <w:szCs w:val="20"/>
        </w:rPr>
        <w:t>, “Commission”</w:t>
      </w:r>
      <w:r w:rsidRPr="005C0994">
        <w:rPr>
          <w:rFonts w:asciiTheme="majorHAnsi" w:hAnsiTheme="majorHAnsi"/>
          <w:sz w:val="20"/>
          <w:szCs w:val="20"/>
        </w:rPr>
        <w:t xml:space="preserve"> or “IACHR”) received a petition</w:t>
      </w:r>
      <w:r w:rsidR="00444596" w:rsidRPr="005C0994">
        <w:rPr>
          <w:rFonts w:asciiTheme="majorHAnsi" w:hAnsiTheme="majorHAnsi"/>
          <w:sz w:val="20"/>
          <w:szCs w:val="20"/>
        </w:rPr>
        <w:t xml:space="preserve"> </w:t>
      </w:r>
      <w:r w:rsidR="00B24A00" w:rsidRPr="005C0994">
        <w:rPr>
          <w:rFonts w:asciiTheme="majorHAnsi" w:hAnsiTheme="majorHAnsi"/>
          <w:sz w:val="20"/>
          <w:szCs w:val="20"/>
        </w:rPr>
        <w:t>and request for precautionary measures</w:t>
      </w:r>
      <w:r w:rsidR="00B24A00" w:rsidRPr="005C0994">
        <w:rPr>
          <w:rStyle w:val="FootnoteReference"/>
          <w:rFonts w:asciiTheme="majorHAnsi" w:hAnsiTheme="majorHAnsi"/>
          <w:sz w:val="20"/>
          <w:szCs w:val="20"/>
        </w:rPr>
        <w:footnoteReference w:id="2"/>
      </w:r>
      <w:r w:rsidR="00B24A00" w:rsidRPr="005C0994">
        <w:rPr>
          <w:rFonts w:asciiTheme="majorHAnsi" w:hAnsiTheme="majorHAnsi"/>
          <w:sz w:val="20"/>
          <w:szCs w:val="20"/>
        </w:rPr>
        <w:t xml:space="preserve"> </w:t>
      </w:r>
      <w:r w:rsidR="00444596" w:rsidRPr="005C0994">
        <w:rPr>
          <w:rFonts w:asciiTheme="majorHAnsi" w:hAnsiTheme="majorHAnsi"/>
          <w:sz w:val="20"/>
          <w:szCs w:val="20"/>
        </w:rPr>
        <w:t xml:space="preserve">submitted by </w:t>
      </w:r>
      <w:r w:rsidR="00DE0893" w:rsidRPr="005C0994">
        <w:rPr>
          <w:rFonts w:asciiTheme="majorHAnsi" w:hAnsiTheme="majorHAnsi"/>
          <w:sz w:val="20"/>
          <w:szCs w:val="20"/>
        </w:rPr>
        <w:t>Sandr</w:t>
      </w:r>
      <w:r w:rsidR="002B5794" w:rsidRPr="005C0994">
        <w:rPr>
          <w:rFonts w:asciiTheme="majorHAnsi" w:hAnsiTheme="majorHAnsi"/>
          <w:sz w:val="20"/>
          <w:szCs w:val="20"/>
        </w:rPr>
        <w:t xml:space="preserve">a </w:t>
      </w:r>
      <w:r w:rsidR="00DE0893" w:rsidRPr="005C0994">
        <w:rPr>
          <w:rFonts w:asciiTheme="majorHAnsi" w:hAnsiTheme="majorHAnsi"/>
          <w:sz w:val="20"/>
          <w:szCs w:val="20"/>
        </w:rPr>
        <w:t xml:space="preserve"> Babcock</w:t>
      </w:r>
      <w:r w:rsidR="00016B44" w:rsidRPr="005C0994">
        <w:rPr>
          <w:rFonts w:asciiTheme="majorHAnsi" w:hAnsiTheme="majorHAnsi"/>
          <w:sz w:val="20"/>
          <w:szCs w:val="20"/>
        </w:rPr>
        <w:t xml:space="preserve">, Laurence E. </w:t>
      </w:r>
      <w:proofErr w:type="spellStart"/>
      <w:r w:rsidR="00016B44" w:rsidRPr="005C0994">
        <w:rPr>
          <w:rFonts w:asciiTheme="majorHAnsi" w:hAnsiTheme="majorHAnsi"/>
          <w:sz w:val="20"/>
          <w:szCs w:val="20"/>
        </w:rPr>
        <w:t>Komp</w:t>
      </w:r>
      <w:proofErr w:type="spellEnd"/>
      <w:r w:rsidR="00016B44" w:rsidRPr="005C0994">
        <w:rPr>
          <w:rFonts w:asciiTheme="majorHAnsi" w:hAnsiTheme="majorHAnsi"/>
          <w:sz w:val="20"/>
          <w:szCs w:val="20"/>
        </w:rPr>
        <w:t xml:space="preserve"> and </w:t>
      </w:r>
      <w:r w:rsidR="00221704" w:rsidRPr="005C0994">
        <w:rPr>
          <w:rFonts w:asciiTheme="majorHAnsi" w:hAnsiTheme="majorHAnsi"/>
          <w:sz w:val="20"/>
          <w:szCs w:val="20"/>
        </w:rPr>
        <w:t>James A</w:t>
      </w:r>
      <w:r w:rsidR="00B444FB">
        <w:rPr>
          <w:rFonts w:asciiTheme="majorHAnsi" w:hAnsiTheme="majorHAnsi"/>
          <w:sz w:val="20"/>
          <w:szCs w:val="20"/>
        </w:rPr>
        <w:t>.</w:t>
      </w:r>
      <w:r w:rsidR="00221704" w:rsidRPr="005C0994">
        <w:rPr>
          <w:rFonts w:asciiTheme="majorHAnsi" w:hAnsiTheme="majorHAnsi"/>
          <w:sz w:val="20"/>
          <w:szCs w:val="20"/>
        </w:rPr>
        <w:t xml:space="preserve"> Wilson </w:t>
      </w:r>
      <w:r w:rsidR="00A649AE" w:rsidRPr="005C0994">
        <w:rPr>
          <w:rFonts w:asciiTheme="majorHAnsi" w:hAnsiTheme="majorHAnsi"/>
          <w:sz w:val="20"/>
          <w:szCs w:val="20"/>
        </w:rPr>
        <w:t>(the “petitioner</w:t>
      </w:r>
      <w:r w:rsidR="00221704" w:rsidRPr="005C0994">
        <w:rPr>
          <w:rFonts w:asciiTheme="majorHAnsi" w:hAnsiTheme="majorHAnsi"/>
          <w:sz w:val="20"/>
          <w:szCs w:val="20"/>
        </w:rPr>
        <w:t>s</w:t>
      </w:r>
      <w:r w:rsidR="00244E7D" w:rsidRPr="005C0994">
        <w:rPr>
          <w:rFonts w:asciiTheme="majorHAnsi" w:hAnsiTheme="majorHAnsi"/>
          <w:sz w:val="20"/>
          <w:szCs w:val="20"/>
        </w:rPr>
        <w:t>”)</w:t>
      </w:r>
      <w:r w:rsidR="009F7E41" w:rsidRPr="005C0994">
        <w:rPr>
          <w:rFonts w:asciiTheme="majorHAnsi" w:hAnsiTheme="majorHAnsi"/>
          <w:sz w:val="20"/>
          <w:szCs w:val="20"/>
        </w:rPr>
        <w:t>,</w:t>
      </w:r>
      <w:r w:rsidR="0076495F" w:rsidRPr="005C0994">
        <w:rPr>
          <w:rFonts w:asciiTheme="majorHAnsi" w:hAnsiTheme="majorHAnsi"/>
          <w:sz w:val="20"/>
          <w:szCs w:val="20"/>
        </w:rPr>
        <w:t xml:space="preserve"> </w:t>
      </w:r>
      <w:r w:rsidRPr="005C0994">
        <w:rPr>
          <w:rFonts w:asciiTheme="majorHAnsi" w:hAnsiTheme="majorHAnsi"/>
          <w:sz w:val="20"/>
          <w:szCs w:val="20"/>
        </w:rPr>
        <w:t>alleg</w:t>
      </w:r>
      <w:r w:rsidR="00E86EAF" w:rsidRPr="005C0994">
        <w:rPr>
          <w:rFonts w:asciiTheme="majorHAnsi" w:hAnsiTheme="majorHAnsi"/>
          <w:sz w:val="20"/>
          <w:szCs w:val="20"/>
        </w:rPr>
        <w:t xml:space="preserve">ing </w:t>
      </w:r>
      <w:r w:rsidRPr="005C0994">
        <w:rPr>
          <w:rFonts w:asciiTheme="majorHAnsi" w:hAnsiTheme="majorHAnsi"/>
          <w:sz w:val="20"/>
          <w:szCs w:val="20"/>
        </w:rPr>
        <w:t xml:space="preserve">the international responsibility of </w:t>
      </w:r>
      <w:r w:rsidR="0046072C" w:rsidRPr="005C0994">
        <w:rPr>
          <w:rFonts w:asciiTheme="majorHAnsi" w:hAnsiTheme="majorHAnsi"/>
          <w:sz w:val="20"/>
          <w:szCs w:val="20"/>
        </w:rPr>
        <w:t>the United States of America</w:t>
      </w:r>
      <w:r w:rsidRPr="005C0994">
        <w:rPr>
          <w:rFonts w:asciiTheme="majorHAnsi" w:hAnsiTheme="majorHAnsi"/>
          <w:sz w:val="20"/>
          <w:szCs w:val="20"/>
        </w:rPr>
        <w:t xml:space="preserve"> (the “State” or “</w:t>
      </w:r>
      <w:r w:rsidR="0046072C" w:rsidRPr="005C0994">
        <w:rPr>
          <w:rFonts w:asciiTheme="majorHAnsi" w:hAnsiTheme="majorHAnsi"/>
          <w:sz w:val="20"/>
          <w:szCs w:val="20"/>
        </w:rPr>
        <w:t>the United States</w:t>
      </w:r>
      <w:r w:rsidRPr="005C0994">
        <w:rPr>
          <w:rFonts w:asciiTheme="majorHAnsi" w:hAnsiTheme="majorHAnsi"/>
          <w:sz w:val="20"/>
          <w:szCs w:val="20"/>
        </w:rPr>
        <w:t xml:space="preserve">”) for </w:t>
      </w:r>
      <w:r w:rsidR="00F769C7" w:rsidRPr="005C0994">
        <w:rPr>
          <w:rFonts w:asciiTheme="majorHAnsi" w:hAnsiTheme="majorHAnsi"/>
          <w:sz w:val="20"/>
          <w:szCs w:val="20"/>
        </w:rPr>
        <w:t xml:space="preserve">the </w:t>
      </w:r>
      <w:r w:rsidRPr="005C0994">
        <w:rPr>
          <w:rFonts w:asciiTheme="majorHAnsi" w:hAnsiTheme="majorHAnsi"/>
          <w:sz w:val="20"/>
          <w:szCs w:val="20"/>
        </w:rPr>
        <w:t>violation of the right</w:t>
      </w:r>
      <w:r w:rsidR="00706D7E" w:rsidRPr="005C0994">
        <w:rPr>
          <w:rFonts w:asciiTheme="majorHAnsi" w:hAnsiTheme="majorHAnsi"/>
          <w:sz w:val="20"/>
          <w:szCs w:val="20"/>
        </w:rPr>
        <w:t>s</w:t>
      </w:r>
      <w:r w:rsidRPr="005C0994">
        <w:rPr>
          <w:rFonts w:asciiTheme="majorHAnsi" w:hAnsiTheme="majorHAnsi"/>
          <w:sz w:val="20"/>
          <w:szCs w:val="20"/>
        </w:rPr>
        <w:t xml:space="preserve"> of </w:t>
      </w:r>
      <w:r w:rsidR="001D02D5" w:rsidRPr="005C0994">
        <w:rPr>
          <w:rFonts w:asciiTheme="majorHAnsi" w:hAnsiTheme="majorHAnsi"/>
          <w:sz w:val="20"/>
          <w:szCs w:val="20"/>
        </w:rPr>
        <w:t>José</w:t>
      </w:r>
      <w:r w:rsidR="00DE0893" w:rsidRPr="005C0994">
        <w:rPr>
          <w:rFonts w:asciiTheme="majorHAnsi" w:hAnsiTheme="majorHAnsi"/>
          <w:sz w:val="20"/>
          <w:szCs w:val="20"/>
        </w:rPr>
        <w:t xml:space="preserve"> Trinidad </w:t>
      </w:r>
      <w:proofErr w:type="spellStart"/>
      <w:r w:rsidR="00DE0893" w:rsidRPr="005C0994">
        <w:rPr>
          <w:rFonts w:asciiTheme="majorHAnsi" w:hAnsiTheme="majorHAnsi"/>
          <w:sz w:val="20"/>
          <w:szCs w:val="20"/>
        </w:rPr>
        <w:t>Loza</w:t>
      </w:r>
      <w:proofErr w:type="spellEnd"/>
      <w:r w:rsidR="00DE0893" w:rsidRPr="005C0994">
        <w:rPr>
          <w:rFonts w:asciiTheme="majorHAnsi" w:hAnsiTheme="majorHAnsi"/>
          <w:sz w:val="20"/>
          <w:szCs w:val="20"/>
        </w:rPr>
        <w:t xml:space="preserve"> Ventura</w:t>
      </w:r>
      <w:r w:rsidR="00F769C7" w:rsidRPr="005C0994">
        <w:rPr>
          <w:rFonts w:asciiTheme="majorHAnsi" w:hAnsiTheme="majorHAnsi"/>
          <w:sz w:val="20"/>
          <w:szCs w:val="20"/>
        </w:rPr>
        <w:t xml:space="preserve"> (“Mr. </w:t>
      </w:r>
      <w:proofErr w:type="spellStart"/>
      <w:r w:rsidR="00B74BBA" w:rsidRPr="005C0994">
        <w:rPr>
          <w:rFonts w:asciiTheme="majorHAnsi" w:hAnsiTheme="majorHAnsi"/>
          <w:sz w:val="20"/>
          <w:szCs w:val="20"/>
        </w:rPr>
        <w:t>Loza</w:t>
      </w:r>
      <w:proofErr w:type="spellEnd"/>
      <w:r w:rsidR="00F769C7" w:rsidRPr="005C0994">
        <w:rPr>
          <w:rFonts w:asciiTheme="majorHAnsi" w:hAnsiTheme="majorHAnsi"/>
          <w:sz w:val="20"/>
          <w:szCs w:val="20"/>
        </w:rPr>
        <w:t>”)</w:t>
      </w:r>
      <w:r w:rsidR="00D20D54" w:rsidRPr="005C0994">
        <w:rPr>
          <w:rFonts w:asciiTheme="majorHAnsi" w:hAnsiTheme="majorHAnsi"/>
          <w:sz w:val="20"/>
          <w:szCs w:val="20"/>
        </w:rPr>
        <w:t xml:space="preserve">, </w:t>
      </w:r>
      <w:r w:rsidR="00706D7E" w:rsidRPr="005C0994">
        <w:rPr>
          <w:rFonts w:asciiTheme="majorHAnsi" w:hAnsiTheme="majorHAnsi"/>
          <w:sz w:val="20"/>
          <w:szCs w:val="20"/>
        </w:rPr>
        <w:t>a</w:t>
      </w:r>
      <w:r w:rsidR="0053134C" w:rsidRPr="005C0994">
        <w:rPr>
          <w:rFonts w:asciiTheme="majorHAnsi" w:hAnsiTheme="majorHAnsi"/>
          <w:sz w:val="20"/>
          <w:szCs w:val="20"/>
        </w:rPr>
        <w:t xml:space="preserve"> </w:t>
      </w:r>
      <w:r w:rsidR="00DE0893" w:rsidRPr="005C0994">
        <w:rPr>
          <w:rFonts w:asciiTheme="majorHAnsi" w:hAnsiTheme="majorHAnsi"/>
          <w:sz w:val="20"/>
          <w:szCs w:val="20"/>
        </w:rPr>
        <w:t>Mexican</w:t>
      </w:r>
      <w:r w:rsidR="0053134C" w:rsidRPr="005C0994">
        <w:rPr>
          <w:rFonts w:asciiTheme="majorHAnsi" w:hAnsiTheme="majorHAnsi"/>
          <w:sz w:val="20"/>
          <w:szCs w:val="20"/>
        </w:rPr>
        <w:t xml:space="preserve"> </w:t>
      </w:r>
      <w:r w:rsidR="002B5794" w:rsidRPr="005C0994">
        <w:rPr>
          <w:rFonts w:asciiTheme="majorHAnsi" w:hAnsiTheme="majorHAnsi"/>
          <w:sz w:val="20"/>
          <w:szCs w:val="20"/>
        </w:rPr>
        <w:t>national</w:t>
      </w:r>
      <w:r w:rsidR="0053134C" w:rsidRPr="005C0994">
        <w:rPr>
          <w:rFonts w:asciiTheme="majorHAnsi" w:hAnsiTheme="majorHAnsi"/>
          <w:sz w:val="20"/>
          <w:szCs w:val="20"/>
        </w:rPr>
        <w:t xml:space="preserve"> </w:t>
      </w:r>
      <w:r w:rsidR="00244E7D" w:rsidRPr="005C0994">
        <w:rPr>
          <w:rFonts w:asciiTheme="majorHAnsi" w:hAnsiTheme="majorHAnsi"/>
          <w:sz w:val="20"/>
          <w:szCs w:val="20"/>
        </w:rPr>
        <w:t xml:space="preserve">who </w:t>
      </w:r>
      <w:r w:rsidR="00DE0893" w:rsidRPr="005C0994">
        <w:rPr>
          <w:rFonts w:asciiTheme="majorHAnsi" w:hAnsiTheme="majorHAnsi"/>
          <w:sz w:val="20"/>
          <w:szCs w:val="20"/>
        </w:rPr>
        <w:t>was sentenced to</w:t>
      </w:r>
      <w:r w:rsidR="00244E7D" w:rsidRPr="005C0994">
        <w:rPr>
          <w:rFonts w:asciiTheme="majorHAnsi" w:hAnsiTheme="majorHAnsi"/>
          <w:sz w:val="20"/>
          <w:szCs w:val="20"/>
        </w:rPr>
        <w:t xml:space="preserve"> death </w:t>
      </w:r>
      <w:r w:rsidR="0053134C" w:rsidRPr="005C0994">
        <w:rPr>
          <w:rFonts w:asciiTheme="majorHAnsi" w:hAnsiTheme="majorHAnsi"/>
          <w:sz w:val="20"/>
          <w:szCs w:val="20"/>
        </w:rPr>
        <w:t xml:space="preserve">in the state of </w:t>
      </w:r>
      <w:r w:rsidR="00DE0893" w:rsidRPr="005C0994">
        <w:rPr>
          <w:rFonts w:asciiTheme="majorHAnsi" w:hAnsiTheme="majorHAnsi"/>
          <w:sz w:val="20"/>
          <w:szCs w:val="20"/>
        </w:rPr>
        <w:t>Ohio</w:t>
      </w:r>
      <w:r w:rsidRPr="005C0994">
        <w:rPr>
          <w:rFonts w:asciiTheme="majorHAnsi" w:hAnsiTheme="majorHAnsi"/>
          <w:sz w:val="20"/>
          <w:szCs w:val="20"/>
        </w:rPr>
        <w:t xml:space="preserve">. </w:t>
      </w:r>
    </w:p>
    <w:p w14:paraId="676E2D82" w14:textId="77777777" w:rsidR="001C4006" w:rsidRPr="005C0994"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rPr>
      </w:pPr>
    </w:p>
    <w:p w14:paraId="08D4C17A" w14:textId="77777777" w:rsidR="001C4006" w:rsidRPr="005C0994" w:rsidRDefault="00BE1B74"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 xml:space="preserve">On </w:t>
      </w:r>
      <w:r w:rsidR="001D02D5" w:rsidRPr="005C0994">
        <w:rPr>
          <w:rFonts w:asciiTheme="majorHAnsi" w:hAnsiTheme="majorHAnsi"/>
          <w:sz w:val="20"/>
          <w:szCs w:val="20"/>
        </w:rPr>
        <w:t xml:space="preserve">October </w:t>
      </w:r>
      <w:r w:rsidR="00AD73A3" w:rsidRPr="005C0994">
        <w:rPr>
          <w:rFonts w:asciiTheme="majorHAnsi" w:hAnsiTheme="majorHAnsi"/>
          <w:sz w:val="20"/>
          <w:szCs w:val="20"/>
        </w:rPr>
        <w:t>1</w:t>
      </w:r>
      <w:r w:rsidR="001D02D5" w:rsidRPr="005C0994">
        <w:rPr>
          <w:rFonts w:asciiTheme="majorHAnsi" w:hAnsiTheme="majorHAnsi"/>
          <w:sz w:val="20"/>
          <w:szCs w:val="20"/>
        </w:rPr>
        <w:t>8</w:t>
      </w:r>
      <w:r w:rsidR="004810B3" w:rsidRPr="005C0994">
        <w:rPr>
          <w:rFonts w:asciiTheme="majorHAnsi" w:hAnsiTheme="majorHAnsi"/>
          <w:sz w:val="20"/>
          <w:szCs w:val="20"/>
        </w:rPr>
        <w:t>,</w:t>
      </w:r>
      <w:r w:rsidR="001D02D5" w:rsidRPr="005C0994">
        <w:rPr>
          <w:rFonts w:asciiTheme="majorHAnsi" w:hAnsiTheme="majorHAnsi"/>
          <w:sz w:val="20"/>
          <w:szCs w:val="20"/>
        </w:rPr>
        <w:t xml:space="preserve"> 2016</w:t>
      </w:r>
      <w:r w:rsidR="00A05601" w:rsidRPr="005C0994">
        <w:rPr>
          <w:rFonts w:asciiTheme="majorHAnsi" w:hAnsiTheme="majorHAnsi"/>
          <w:sz w:val="20"/>
          <w:szCs w:val="20"/>
        </w:rPr>
        <w:t>, the Com</w:t>
      </w:r>
      <w:r w:rsidR="0027671E" w:rsidRPr="005C0994">
        <w:rPr>
          <w:rFonts w:asciiTheme="majorHAnsi" w:hAnsiTheme="majorHAnsi"/>
          <w:sz w:val="20"/>
          <w:szCs w:val="20"/>
        </w:rPr>
        <w:t>m</w:t>
      </w:r>
      <w:r w:rsidR="00A05601" w:rsidRPr="005C0994">
        <w:rPr>
          <w:rFonts w:asciiTheme="majorHAnsi" w:hAnsiTheme="majorHAnsi"/>
          <w:sz w:val="20"/>
          <w:szCs w:val="20"/>
        </w:rPr>
        <w:t>ission notified the parties of the application of Article 36 (3) of its Rules of Procedure, since the petition falls within the criteria established in its Resolution 1/16, and placed itself at the disposition of the parties to reach a friendly settlement. The parties enjoyed the time periods provided for in the IACHR’s Rules to present additional observations on the merits. All the information received by the Commission was duly transmitted to the parties</w:t>
      </w:r>
      <w:r w:rsidR="0027671E" w:rsidRPr="005C0994">
        <w:rPr>
          <w:rFonts w:asciiTheme="majorHAnsi" w:hAnsiTheme="majorHAnsi"/>
          <w:sz w:val="20"/>
          <w:szCs w:val="20"/>
        </w:rPr>
        <w:t>.</w:t>
      </w:r>
    </w:p>
    <w:p w14:paraId="650F125A" w14:textId="77777777" w:rsidR="001C4006" w:rsidRPr="005C0994"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rPr>
      </w:pPr>
    </w:p>
    <w:p w14:paraId="0E3FE6E8" w14:textId="77777777" w:rsidR="001C4006" w:rsidRPr="005C0994" w:rsidRDefault="001C4006" w:rsidP="003676F1">
      <w:pPr>
        <w:pStyle w:val="Heading1"/>
        <w:tabs>
          <w:tab w:val="left" w:pos="360"/>
        </w:tabs>
        <w:spacing w:before="0"/>
        <w:ind w:hanging="720"/>
        <w:rPr>
          <w:color w:val="auto"/>
          <w:sz w:val="20"/>
          <w:szCs w:val="20"/>
        </w:rPr>
      </w:pPr>
      <w:bookmarkStart w:id="1" w:name="_Toc90297860"/>
      <w:r w:rsidRPr="005C0994">
        <w:rPr>
          <w:color w:val="auto"/>
          <w:sz w:val="20"/>
          <w:szCs w:val="20"/>
        </w:rPr>
        <w:t>POSITIONS OF THE PARTIES</w:t>
      </w:r>
      <w:bookmarkEnd w:id="1"/>
    </w:p>
    <w:p w14:paraId="448A0E73" w14:textId="77777777" w:rsidR="001C4006" w:rsidRPr="005C0994" w:rsidRDefault="001C4006" w:rsidP="00BB5A59">
      <w:pPr>
        <w:suppressAutoHyphens/>
        <w:ind w:left="1440" w:hanging="720"/>
        <w:rPr>
          <w:rFonts w:asciiTheme="majorHAnsi" w:hAnsiTheme="majorHAnsi"/>
          <w:sz w:val="20"/>
          <w:szCs w:val="20"/>
        </w:rPr>
      </w:pPr>
    </w:p>
    <w:p w14:paraId="7F592625" w14:textId="77777777" w:rsidR="005C164F" w:rsidRPr="005C0994" w:rsidRDefault="005C164F" w:rsidP="003676F1">
      <w:pPr>
        <w:pStyle w:val="Heading2"/>
        <w:numPr>
          <w:ilvl w:val="0"/>
          <w:numId w:val="57"/>
        </w:numPr>
        <w:tabs>
          <w:tab w:val="left" w:pos="360"/>
        </w:tabs>
        <w:spacing w:before="0"/>
        <w:ind w:hanging="720"/>
        <w:rPr>
          <w:color w:val="auto"/>
          <w:sz w:val="20"/>
          <w:szCs w:val="20"/>
        </w:rPr>
      </w:pPr>
      <w:bookmarkStart w:id="2" w:name="_Toc90297861"/>
      <w:r w:rsidRPr="005C0994">
        <w:rPr>
          <w:color w:val="auto"/>
          <w:sz w:val="20"/>
          <w:szCs w:val="20"/>
        </w:rPr>
        <w:t>P</w:t>
      </w:r>
      <w:r w:rsidR="00262ECA" w:rsidRPr="005C0994">
        <w:rPr>
          <w:color w:val="auto"/>
          <w:sz w:val="20"/>
          <w:szCs w:val="20"/>
        </w:rPr>
        <w:t>etitioner</w:t>
      </w:r>
      <w:r w:rsidR="00F34A7E" w:rsidRPr="005C0994">
        <w:rPr>
          <w:color w:val="auto"/>
          <w:sz w:val="20"/>
          <w:szCs w:val="20"/>
        </w:rPr>
        <w:t>s</w:t>
      </w:r>
      <w:bookmarkEnd w:id="2"/>
    </w:p>
    <w:p w14:paraId="1A194784" w14:textId="77777777" w:rsidR="005C164F" w:rsidRPr="005C0994" w:rsidRDefault="005C164F" w:rsidP="00BB5A59">
      <w:pPr>
        <w:suppressAutoHyphens/>
        <w:ind w:left="1440" w:hanging="720"/>
        <w:rPr>
          <w:rFonts w:asciiTheme="majorHAnsi" w:hAnsiTheme="majorHAnsi"/>
          <w:sz w:val="20"/>
          <w:szCs w:val="20"/>
        </w:rPr>
      </w:pPr>
    </w:p>
    <w:p w14:paraId="56D93FFC" w14:textId="77777777" w:rsidR="007F1641" w:rsidRPr="005C0994" w:rsidRDefault="007E715E"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According to the petitioner</w:t>
      </w:r>
      <w:r w:rsidR="004A5E29" w:rsidRPr="005C0994">
        <w:rPr>
          <w:rFonts w:asciiTheme="majorHAnsi" w:hAnsiTheme="majorHAnsi"/>
          <w:sz w:val="20"/>
          <w:szCs w:val="20"/>
        </w:rPr>
        <w:t>s</w:t>
      </w:r>
      <w:r w:rsidR="007F1641" w:rsidRPr="005C0994">
        <w:rPr>
          <w:rFonts w:asciiTheme="majorHAnsi" w:hAnsiTheme="majorHAnsi"/>
          <w:sz w:val="20"/>
          <w:szCs w:val="20"/>
        </w:rPr>
        <w:t xml:space="preserve">, </w:t>
      </w:r>
      <w:r w:rsidR="004A5E29" w:rsidRPr="005C0994">
        <w:rPr>
          <w:rFonts w:asciiTheme="majorHAnsi" w:hAnsiTheme="majorHAnsi"/>
          <w:sz w:val="20"/>
          <w:szCs w:val="20"/>
        </w:rPr>
        <w:t xml:space="preserve">Mr. </w:t>
      </w:r>
      <w:proofErr w:type="spellStart"/>
      <w:r w:rsidR="00B74BBA" w:rsidRPr="005C0994">
        <w:rPr>
          <w:rFonts w:asciiTheme="majorHAnsi" w:hAnsiTheme="majorHAnsi"/>
          <w:sz w:val="20"/>
          <w:szCs w:val="20"/>
        </w:rPr>
        <w:t>Loza</w:t>
      </w:r>
      <w:proofErr w:type="spellEnd"/>
      <w:r w:rsidR="004A5E29" w:rsidRPr="005C0994">
        <w:rPr>
          <w:rFonts w:asciiTheme="majorHAnsi" w:hAnsiTheme="majorHAnsi"/>
          <w:sz w:val="20"/>
          <w:szCs w:val="20"/>
        </w:rPr>
        <w:t xml:space="preserve"> was arrested in the state of Ohio on January 16, 1991</w:t>
      </w:r>
      <w:r w:rsidR="0080231F" w:rsidRPr="005C0994">
        <w:rPr>
          <w:rFonts w:asciiTheme="majorHAnsi" w:hAnsiTheme="majorHAnsi"/>
          <w:sz w:val="20"/>
          <w:szCs w:val="20"/>
        </w:rPr>
        <w:t>,</w:t>
      </w:r>
      <w:r w:rsidR="004A5E29" w:rsidRPr="005C0994">
        <w:rPr>
          <w:rFonts w:asciiTheme="majorHAnsi" w:hAnsiTheme="majorHAnsi"/>
          <w:sz w:val="20"/>
          <w:szCs w:val="20"/>
        </w:rPr>
        <w:t xml:space="preserve"> and charged with four counts of murder. He was later c</w:t>
      </w:r>
      <w:r w:rsidR="007D4CD9" w:rsidRPr="005C0994">
        <w:rPr>
          <w:rFonts w:asciiTheme="majorHAnsi" w:hAnsiTheme="majorHAnsi"/>
          <w:sz w:val="20"/>
          <w:szCs w:val="20"/>
        </w:rPr>
        <w:t>onvicted and sentenced to death</w:t>
      </w:r>
      <w:r w:rsidR="00A07134" w:rsidRPr="005C0994">
        <w:rPr>
          <w:rFonts w:asciiTheme="majorHAnsi" w:hAnsiTheme="majorHAnsi"/>
          <w:sz w:val="20"/>
          <w:szCs w:val="20"/>
        </w:rPr>
        <w:t xml:space="preserve">. </w:t>
      </w:r>
      <w:r w:rsidR="00565B4B" w:rsidRPr="005C0994">
        <w:rPr>
          <w:rFonts w:asciiTheme="majorHAnsi" w:hAnsiTheme="majorHAnsi"/>
          <w:sz w:val="20"/>
          <w:szCs w:val="20"/>
        </w:rPr>
        <w:t>The petitioner</w:t>
      </w:r>
      <w:r w:rsidR="004A5E29" w:rsidRPr="005C0994">
        <w:rPr>
          <w:rFonts w:asciiTheme="majorHAnsi" w:hAnsiTheme="majorHAnsi"/>
          <w:sz w:val="20"/>
          <w:szCs w:val="20"/>
        </w:rPr>
        <w:t>s</w:t>
      </w:r>
      <w:r w:rsidR="00565B4B" w:rsidRPr="005C0994">
        <w:rPr>
          <w:rFonts w:asciiTheme="majorHAnsi" w:hAnsiTheme="majorHAnsi"/>
          <w:sz w:val="20"/>
          <w:szCs w:val="20"/>
        </w:rPr>
        <w:t xml:space="preserve"> </w:t>
      </w:r>
      <w:r w:rsidR="00902D58" w:rsidRPr="005C0994">
        <w:rPr>
          <w:rFonts w:asciiTheme="majorHAnsi" w:hAnsiTheme="majorHAnsi"/>
          <w:sz w:val="20"/>
          <w:szCs w:val="20"/>
        </w:rPr>
        <w:t>claim</w:t>
      </w:r>
      <w:r w:rsidR="00E052B0" w:rsidRPr="005C0994">
        <w:rPr>
          <w:rFonts w:asciiTheme="majorHAnsi" w:hAnsiTheme="majorHAnsi"/>
          <w:sz w:val="20"/>
          <w:szCs w:val="20"/>
        </w:rPr>
        <w:t xml:space="preserve"> that </w:t>
      </w:r>
      <w:r w:rsidR="004A5E29" w:rsidRPr="005C0994">
        <w:rPr>
          <w:rFonts w:asciiTheme="majorHAnsi" w:hAnsiTheme="majorHAnsi"/>
          <w:sz w:val="20"/>
          <w:szCs w:val="20"/>
        </w:rPr>
        <w:t xml:space="preserve">the prosecution of Mr. </w:t>
      </w:r>
      <w:proofErr w:type="spellStart"/>
      <w:r w:rsidR="00B74BBA" w:rsidRPr="005C0994">
        <w:rPr>
          <w:rFonts w:asciiTheme="majorHAnsi" w:hAnsiTheme="majorHAnsi"/>
          <w:sz w:val="20"/>
          <w:szCs w:val="20"/>
        </w:rPr>
        <w:t>Loza</w:t>
      </w:r>
      <w:proofErr w:type="spellEnd"/>
      <w:r w:rsidR="004A5E29" w:rsidRPr="005C0994">
        <w:rPr>
          <w:rFonts w:asciiTheme="majorHAnsi" w:hAnsiTheme="majorHAnsi"/>
          <w:sz w:val="20"/>
          <w:szCs w:val="20"/>
        </w:rPr>
        <w:t xml:space="preserve"> was “infused by racial animus and police misconduct”</w:t>
      </w:r>
      <w:r w:rsidR="002772E3" w:rsidRPr="005C0994">
        <w:rPr>
          <w:rFonts w:asciiTheme="majorHAnsi" w:hAnsiTheme="majorHAnsi"/>
          <w:sz w:val="20"/>
          <w:szCs w:val="20"/>
        </w:rPr>
        <w:t xml:space="preserve">; that he was </w:t>
      </w:r>
      <w:r w:rsidR="004A5E29" w:rsidRPr="005C0994">
        <w:rPr>
          <w:rFonts w:asciiTheme="majorHAnsi" w:hAnsiTheme="majorHAnsi"/>
          <w:sz w:val="20"/>
          <w:szCs w:val="20"/>
        </w:rPr>
        <w:t>never advised of his right to consular notification and communication prior to and during his trial</w:t>
      </w:r>
      <w:r w:rsidR="006C030E" w:rsidRPr="005C0994">
        <w:rPr>
          <w:rFonts w:asciiTheme="majorHAnsi" w:hAnsiTheme="majorHAnsi"/>
          <w:sz w:val="20"/>
          <w:szCs w:val="20"/>
        </w:rPr>
        <w:t xml:space="preserve">. </w:t>
      </w:r>
      <w:r w:rsidR="00E052B0" w:rsidRPr="005C0994">
        <w:rPr>
          <w:rFonts w:asciiTheme="majorHAnsi" w:hAnsiTheme="majorHAnsi"/>
          <w:sz w:val="20"/>
          <w:szCs w:val="20"/>
        </w:rPr>
        <w:t xml:space="preserve"> </w:t>
      </w:r>
    </w:p>
    <w:p w14:paraId="677886C1" w14:textId="77777777" w:rsidR="00A75A39" w:rsidRPr="005C0994" w:rsidRDefault="00A75A39" w:rsidP="00A75A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15D67CA6" w14:textId="77777777" w:rsidR="007D4CD9" w:rsidRPr="005C0994" w:rsidRDefault="007D4CD9" w:rsidP="007D4C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 xml:space="preserve">The petitioners submit that during the criminal investigation, the lead detective, Roger </w:t>
      </w:r>
      <w:proofErr w:type="spellStart"/>
      <w:r w:rsidRPr="005C0994">
        <w:rPr>
          <w:rFonts w:asciiTheme="majorHAnsi" w:hAnsiTheme="majorHAnsi"/>
          <w:sz w:val="20"/>
          <w:szCs w:val="20"/>
        </w:rPr>
        <w:t>Knabel</w:t>
      </w:r>
      <w:proofErr w:type="spellEnd"/>
      <w:r w:rsidRPr="005C0994">
        <w:rPr>
          <w:rFonts w:asciiTheme="majorHAnsi" w:hAnsiTheme="majorHAnsi"/>
          <w:sz w:val="20"/>
          <w:szCs w:val="20"/>
        </w:rPr>
        <w:t xml:space="preserve">, was recorded referring to the alleged victim as the “wetback from California”. Further, </w:t>
      </w:r>
      <w:r w:rsidR="00C8734C" w:rsidRPr="005C0994">
        <w:rPr>
          <w:rFonts w:asciiTheme="majorHAnsi" w:hAnsiTheme="majorHAnsi"/>
          <w:sz w:val="20"/>
          <w:szCs w:val="20"/>
        </w:rPr>
        <w:t>the petitioners claim that</w:t>
      </w:r>
      <w:r w:rsidRPr="005C0994">
        <w:rPr>
          <w:rFonts w:asciiTheme="majorHAnsi" w:hAnsiTheme="majorHAnsi"/>
          <w:sz w:val="20"/>
          <w:szCs w:val="20"/>
        </w:rPr>
        <w:t xml:space="preserve"> Mr. </w:t>
      </w:r>
      <w:proofErr w:type="spellStart"/>
      <w:r w:rsidRPr="005C0994">
        <w:rPr>
          <w:rFonts w:asciiTheme="majorHAnsi" w:hAnsiTheme="majorHAnsi"/>
          <w:sz w:val="20"/>
          <w:szCs w:val="20"/>
        </w:rPr>
        <w:t>Knabel</w:t>
      </w:r>
      <w:proofErr w:type="spellEnd"/>
      <w:r w:rsidRPr="005C0994">
        <w:rPr>
          <w:rFonts w:asciiTheme="majorHAnsi" w:hAnsiTheme="majorHAnsi"/>
          <w:sz w:val="20"/>
          <w:szCs w:val="20"/>
        </w:rPr>
        <w:t xml:space="preserve"> concluded at the crime scene that it was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who had committed the crime. It is submitted </w:t>
      </w:r>
      <w:r w:rsidR="00C8734C" w:rsidRPr="005C0994">
        <w:rPr>
          <w:rFonts w:asciiTheme="majorHAnsi" w:hAnsiTheme="majorHAnsi"/>
          <w:sz w:val="20"/>
          <w:szCs w:val="20"/>
        </w:rPr>
        <w:t xml:space="preserve">by the </w:t>
      </w:r>
      <w:r w:rsidR="00F34A7E" w:rsidRPr="005C0994">
        <w:rPr>
          <w:rFonts w:asciiTheme="majorHAnsi" w:hAnsiTheme="majorHAnsi"/>
          <w:sz w:val="20"/>
          <w:szCs w:val="20"/>
        </w:rPr>
        <w:t>p</w:t>
      </w:r>
      <w:r w:rsidR="00C8734C" w:rsidRPr="005C0994">
        <w:rPr>
          <w:rFonts w:asciiTheme="majorHAnsi" w:hAnsiTheme="majorHAnsi"/>
          <w:sz w:val="20"/>
          <w:szCs w:val="20"/>
        </w:rPr>
        <w:t xml:space="preserve">etitioners </w:t>
      </w:r>
      <w:r w:rsidRPr="005C0994">
        <w:rPr>
          <w:rFonts w:asciiTheme="majorHAnsi" w:hAnsiTheme="majorHAnsi"/>
          <w:sz w:val="20"/>
          <w:szCs w:val="20"/>
        </w:rPr>
        <w:t xml:space="preserve">that the detective suggested that Mr. </w:t>
      </w:r>
      <w:proofErr w:type="spellStart"/>
      <w:r w:rsidRPr="005C0994">
        <w:rPr>
          <w:rFonts w:asciiTheme="majorHAnsi" w:hAnsiTheme="majorHAnsi"/>
          <w:sz w:val="20"/>
          <w:szCs w:val="20"/>
        </w:rPr>
        <w:t>Loza’s</w:t>
      </w:r>
      <w:proofErr w:type="spellEnd"/>
      <w:r w:rsidRPr="005C0994">
        <w:rPr>
          <w:rFonts w:asciiTheme="majorHAnsi" w:hAnsiTheme="majorHAnsi"/>
          <w:sz w:val="20"/>
          <w:szCs w:val="20"/>
        </w:rPr>
        <w:t xml:space="preserve"> girlfriend and unborn baby might be electrocuted or placed in the gas chamber unless the alleged victim took the blame for the murders; </w:t>
      </w:r>
      <w:r w:rsidR="00C8734C" w:rsidRPr="005C0994">
        <w:rPr>
          <w:rFonts w:asciiTheme="majorHAnsi" w:hAnsiTheme="majorHAnsi"/>
          <w:sz w:val="20"/>
          <w:szCs w:val="20"/>
        </w:rPr>
        <w:t xml:space="preserve">and that </w:t>
      </w:r>
      <w:r w:rsidRPr="005C0994">
        <w:rPr>
          <w:rFonts w:asciiTheme="majorHAnsi" w:hAnsiTheme="majorHAnsi"/>
          <w:sz w:val="20"/>
          <w:szCs w:val="20"/>
        </w:rPr>
        <w:t xml:space="preserve">after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sought assurances that no harm would be done, he </w:t>
      </w:r>
      <w:r w:rsidR="00C8734C" w:rsidRPr="005C0994">
        <w:rPr>
          <w:rFonts w:asciiTheme="majorHAnsi" w:hAnsiTheme="majorHAnsi"/>
          <w:sz w:val="20"/>
          <w:szCs w:val="20"/>
        </w:rPr>
        <w:t xml:space="preserve">then </w:t>
      </w:r>
      <w:r w:rsidRPr="005C0994">
        <w:rPr>
          <w:rFonts w:asciiTheme="majorHAnsi" w:hAnsiTheme="majorHAnsi"/>
          <w:sz w:val="20"/>
          <w:szCs w:val="20"/>
        </w:rPr>
        <w:t xml:space="preserve">gave a confession. The petitioners further </w:t>
      </w:r>
      <w:r w:rsidR="0006036E" w:rsidRPr="005C0994">
        <w:rPr>
          <w:rFonts w:asciiTheme="majorHAnsi" w:hAnsiTheme="majorHAnsi"/>
          <w:sz w:val="20"/>
          <w:szCs w:val="20"/>
        </w:rPr>
        <w:t>state</w:t>
      </w:r>
      <w:r w:rsidRPr="005C0994">
        <w:rPr>
          <w:rFonts w:asciiTheme="majorHAnsi" w:hAnsiTheme="majorHAnsi"/>
          <w:sz w:val="20"/>
          <w:szCs w:val="20"/>
        </w:rPr>
        <w:t xml:space="preserve"> that the detective decided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should face the death penalty and the prosecutors did not question this.</w:t>
      </w:r>
    </w:p>
    <w:p w14:paraId="60789A4F" w14:textId="77777777" w:rsidR="007D4CD9" w:rsidRPr="005C0994" w:rsidRDefault="007D4CD9" w:rsidP="00A75A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0DC4B6C6" w14:textId="77777777" w:rsidR="00C44A35" w:rsidRPr="005C0994" w:rsidRDefault="00C8734C" w:rsidP="00C873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The petitioners allege that the State violated Mr. Ventura’s right to equality before the law as it is alleged his capital prosecution was contaminated by prosecutorial misconduct and racial and/or ethnic animus.</w:t>
      </w:r>
      <w:r w:rsidR="0005705F" w:rsidRPr="005C0994">
        <w:rPr>
          <w:rFonts w:asciiTheme="majorHAnsi" w:hAnsiTheme="majorHAnsi"/>
          <w:sz w:val="20"/>
          <w:szCs w:val="20"/>
        </w:rPr>
        <w:t xml:space="preserve"> They state that, although the decision to seek a death sentence is ordinarily made after careful deliberation by a committee of prosecutors, in his case the prosecutor conceded that he simply deferred to detective </w:t>
      </w:r>
      <w:proofErr w:type="spellStart"/>
      <w:r w:rsidR="0005705F" w:rsidRPr="005C0994">
        <w:rPr>
          <w:rFonts w:asciiTheme="majorHAnsi" w:hAnsiTheme="majorHAnsi"/>
          <w:sz w:val="20"/>
          <w:szCs w:val="20"/>
        </w:rPr>
        <w:t>Knabel’s</w:t>
      </w:r>
      <w:proofErr w:type="spellEnd"/>
      <w:r w:rsidR="0005705F" w:rsidRPr="005C0994">
        <w:rPr>
          <w:rFonts w:asciiTheme="majorHAnsi" w:hAnsiTheme="majorHAnsi"/>
          <w:sz w:val="20"/>
          <w:szCs w:val="20"/>
        </w:rPr>
        <w:t xml:space="preserve"> decision.</w:t>
      </w:r>
      <w:r w:rsidR="00C44A35" w:rsidRPr="005C0994">
        <w:rPr>
          <w:rFonts w:asciiTheme="majorHAnsi" w:hAnsiTheme="majorHAnsi"/>
          <w:sz w:val="20"/>
          <w:szCs w:val="20"/>
        </w:rPr>
        <w:t xml:space="preserve"> </w:t>
      </w:r>
    </w:p>
    <w:p w14:paraId="4EA476E3" w14:textId="77777777" w:rsidR="00C44A35" w:rsidRPr="005C0994" w:rsidRDefault="00C44A35" w:rsidP="00C44A35">
      <w:pPr>
        <w:pStyle w:val="ListParagraph"/>
        <w:rPr>
          <w:rFonts w:asciiTheme="majorHAnsi" w:hAnsiTheme="majorHAnsi"/>
          <w:sz w:val="20"/>
          <w:szCs w:val="20"/>
        </w:rPr>
      </w:pPr>
    </w:p>
    <w:p w14:paraId="1671BBB5" w14:textId="77777777" w:rsidR="00C8734C" w:rsidRPr="005C0994" w:rsidRDefault="00C8734C" w:rsidP="00C873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 xml:space="preserve">The petitioners claim that during the first trial the prosecution failed to disclose that after conducting more than thirty tests on Mr. </w:t>
      </w:r>
      <w:proofErr w:type="spellStart"/>
      <w:r w:rsidRPr="005C0994">
        <w:rPr>
          <w:rFonts w:asciiTheme="majorHAnsi" w:hAnsiTheme="majorHAnsi"/>
          <w:sz w:val="20"/>
          <w:szCs w:val="20"/>
        </w:rPr>
        <w:t>Loza’s</w:t>
      </w:r>
      <w:proofErr w:type="spellEnd"/>
      <w:r w:rsidRPr="005C0994">
        <w:rPr>
          <w:rFonts w:asciiTheme="majorHAnsi" w:hAnsiTheme="majorHAnsi"/>
          <w:sz w:val="20"/>
          <w:szCs w:val="20"/>
        </w:rPr>
        <w:t xml:space="preserve"> clothing, investigators were unable to detect any blood or gun powder residue. </w:t>
      </w:r>
      <w:r w:rsidR="00753374" w:rsidRPr="005C0994">
        <w:rPr>
          <w:rFonts w:asciiTheme="majorHAnsi" w:hAnsiTheme="majorHAnsi"/>
          <w:sz w:val="20"/>
          <w:szCs w:val="20"/>
        </w:rPr>
        <w:t xml:space="preserve">Further, the prosecution failed to disclose that Dorothy Jackson had confessed to the murders. </w:t>
      </w:r>
      <w:r w:rsidRPr="005C0994">
        <w:rPr>
          <w:rFonts w:asciiTheme="majorHAnsi" w:hAnsiTheme="majorHAnsi"/>
          <w:sz w:val="20"/>
          <w:szCs w:val="20"/>
        </w:rPr>
        <w:t>Moreover, it is asserted that the error was so egregious that the prosecutor’s mi</w:t>
      </w:r>
      <w:r w:rsidR="00753374" w:rsidRPr="005C0994">
        <w:rPr>
          <w:rFonts w:asciiTheme="majorHAnsi" w:hAnsiTheme="majorHAnsi"/>
          <w:sz w:val="20"/>
          <w:szCs w:val="20"/>
        </w:rPr>
        <w:t>sconduct resulted in a mistrial.</w:t>
      </w:r>
      <w:r w:rsidRPr="005C0994">
        <w:rPr>
          <w:rFonts w:asciiTheme="majorHAnsi" w:hAnsiTheme="majorHAnsi"/>
          <w:sz w:val="20"/>
          <w:szCs w:val="20"/>
        </w:rPr>
        <w:t xml:space="preserve"> The petitioners specify that after Mr. </w:t>
      </w:r>
      <w:proofErr w:type="spellStart"/>
      <w:r w:rsidRPr="005C0994">
        <w:rPr>
          <w:rFonts w:asciiTheme="majorHAnsi" w:hAnsiTheme="majorHAnsi"/>
          <w:sz w:val="20"/>
          <w:szCs w:val="20"/>
        </w:rPr>
        <w:t>Loza’s</w:t>
      </w:r>
      <w:proofErr w:type="spellEnd"/>
      <w:r w:rsidRPr="005C0994">
        <w:rPr>
          <w:rFonts w:asciiTheme="majorHAnsi" w:hAnsiTheme="majorHAnsi"/>
          <w:sz w:val="20"/>
          <w:szCs w:val="20"/>
        </w:rPr>
        <w:t xml:space="preserve"> second trial, his post-conviction counsel learned that Dorothy Jackson admitted to her boyfr</w:t>
      </w:r>
      <w:r w:rsidR="00753374" w:rsidRPr="005C0994">
        <w:rPr>
          <w:rFonts w:asciiTheme="majorHAnsi" w:hAnsiTheme="majorHAnsi"/>
          <w:sz w:val="20"/>
          <w:szCs w:val="20"/>
        </w:rPr>
        <w:t xml:space="preserve">iend that she killed her mother. </w:t>
      </w:r>
      <w:r w:rsidRPr="005C0994">
        <w:rPr>
          <w:rFonts w:asciiTheme="majorHAnsi" w:hAnsiTheme="majorHAnsi"/>
          <w:sz w:val="20"/>
          <w:szCs w:val="20"/>
        </w:rPr>
        <w:t>The cumulative effect of such action</w:t>
      </w:r>
      <w:r w:rsidR="001D5FB5" w:rsidRPr="005C0994">
        <w:rPr>
          <w:rFonts w:asciiTheme="majorHAnsi" w:hAnsiTheme="majorHAnsi"/>
          <w:sz w:val="20"/>
          <w:szCs w:val="20"/>
        </w:rPr>
        <w:t>, a</w:t>
      </w:r>
      <w:r w:rsidRPr="005C0994">
        <w:rPr>
          <w:rFonts w:asciiTheme="majorHAnsi" w:hAnsiTheme="majorHAnsi"/>
          <w:sz w:val="20"/>
          <w:szCs w:val="20"/>
        </w:rPr>
        <w:t xml:space="preserve">s submitted by the </w:t>
      </w:r>
      <w:r w:rsidR="0080231F" w:rsidRPr="005C0994">
        <w:rPr>
          <w:rFonts w:asciiTheme="majorHAnsi" w:hAnsiTheme="majorHAnsi"/>
          <w:sz w:val="20"/>
          <w:szCs w:val="20"/>
        </w:rPr>
        <w:t>p</w:t>
      </w:r>
      <w:r w:rsidRPr="005C0994">
        <w:rPr>
          <w:rFonts w:asciiTheme="majorHAnsi" w:hAnsiTheme="majorHAnsi"/>
          <w:sz w:val="20"/>
          <w:szCs w:val="20"/>
        </w:rPr>
        <w:t>etitioners</w:t>
      </w:r>
      <w:r w:rsidR="00835A28" w:rsidRPr="005C0994">
        <w:rPr>
          <w:rFonts w:asciiTheme="majorHAnsi" w:hAnsiTheme="majorHAnsi"/>
          <w:sz w:val="20"/>
          <w:szCs w:val="20"/>
        </w:rPr>
        <w:t>, is</w:t>
      </w:r>
      <w:r w:rsidR="001D5FB5" w:rsidRPr="005C0994">
        <w:rPr>
          <w:rFonts w:asciiTheme="majorHAnsi" w:hAnsiTheme="majorHAnsi"/>
          <w:sz w:val="20"/>
          <w:szCs w:val="20"/>
        </w:rPr>
        <w:t xml:space="preserve"> in violation of</w:t>
      </w:r>
      <w:r w:rsidRPr="005C0994">
        <w:rPr>
          <w:rFonts w:asciiTheme="majorHAnsi" w:hAnsiTheme="majorHAnsi"/>
          <w:sz w:val="20"/>
          <w:szCs w:val="20"/>
        </w:rPr>
        <w:t xml:space="preserve"> the due process rights of the alleged victim. </w:t>
      </w:r>
    </w:p>
    <w:p w14:paraId="243ACF0B" w14:textId="77777777" w:rsidR="00C8734C" w:rsidRPr="005C0994" w:rsidRDefault="00C8734C" w:rsidP="00A75A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7F25ACFD" w14:textId="77777777" w:rsidR="00A050D8" w:rsidRPr="005C0994" w:rsidRDefault="00A75A39" w:rsidP="008F60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5C0994">
        <w:rPr>
          <w:rFonts w:asciiTheme="majorHAnsi" w:hAnsiTheme="majorHAnsi"/>
          <w:sz w:val="20"/>
          <w:szCs w:val="20"/>
        </w:rPr>
        <w:t>The petitioners assert that</w:t>
      </w:r>
      <w:r w:rsidR="008F6014" w:rsidRPr="005C0994">
        <w:rPr>
          <w:rFonts w:asciiTheme="majorHAnsi" w:hAnsiTheme="majorHAnsi"/>
          <w:sz w:val="20"/>
          <w:szCs w:val="20"/>
        </w:rPr>
        <w:t xml:space="preserve"> </w:t>
      </w:r>
      <w:r w:rsidRPr="005C0994">
        <w:rPr>
          <w:rFonts w:asciiTheme="majorHAnsi" w:hAnsiTheme="majorHAnsi"/>
          <w:sz w:val="20"/>
          <w:szCs w:val="20"/>
        </w:rPr>
        <w:t>the State violated the alleged victim’s rights to fair trial and due process of law by failing to advise him of his consular communication and notification rights pursuant to Article 36 of the Vienna Convention</w:t>
      </w:r>
      <w:r w:rsidR="007B54BA" w:rsidRPr="005C0994">
        <w:rPr>
          <w:rFonts w:asciiTheme="majorHAnsi" w:hAnsiTheme="majorHAnsi"/>
          <w:sz w:val="20"/>
          <w:szCs w:val="20"/>
        </w:rPr>
        <w:t xml:space="preserve"> on Consular Relations (</w:t>
      </w:r>
      <w:r w:rsidR="00835A28" w:rsidRPr="005C0994">
        <w:rPr>
          <w:rFonts w:asciiTheme="majorHAnsi" w:hAnsiTheme="majorHAnsi"/>
          <w:sz w:val="20"/>
          <w:szCs w:val="20"/>
        </w:rPr>
        <w:t>“</w:t>
      </w:r>
      <w:r w:rsidR="007B54BA" w:rsidRPr="005C0994">
        <w:rPr>
          <w:rFonts w:asciiTheme="majorHAnsi" w:hAnsiTheme="majorHAnsi"/>
          <w:sz w:val="20"/>
          <w:szCs w:val="20"/>
        </w:rPr>
        <w:t>Vienna Convention</w:t>
      </w:r>
      <w:r w:rsidR="00835A28" w:rsidRPr="005C0994">
        <w:rPr>
          <w:rFonts w:asciiTheme="majorHAnsi" w:hAnsiTheme="majorHAnsi"/>
          <w:sz w:val="20"/>
          <w:szCs w:val="20"/>
        </w:rPr>
        <w:t>”</w:t>
      </w:r>
      <w:r w:rsidR="007B54BA" w:rsidRPr="005C0994">
        <w:rPr>
          <w:rFonts w:asciiTheme="majorHAnsi" w:hAnsiTheme="majorHAnsi"/>
          <w:sz w:val="20"/>
          <w:szCs w:val="20"/>
        </w:rPr>
        <w:t>)</w:t>
      </w:r>
      <w:r w:rsidR="00437A98" w:rsidRPr="005C0994">
        <w:rPr>
          <w:rFonts w:asciiTheme="majorHAnsi" w:hAnsiTheme="majorHAnsi"/>
          <w:sz w:val="20"/>
          <w:szCs w:val="20"/>
        </w:rPr>
        <w:t>, which is essential to safeguard said rights</w:t>
      </w:r>
      <w:r w:rsidRPr="005C0994">
        <w:rPr>
          <w:rFonts w:asciiTheme="majorHAnsi" w:hAnsiTheme="majorHAnsi"/>
          <w:sz w:val="20"/>
          <w:szCs w:val="20"/>
        </w:rPr>
        <w:t xml:space="preserve">. </w:t>
      </w:r>
      <w:r w:rsidR="007B54BA" w:rsidRPr="005C0994">
        <w:rPr>
          <w:rFonts w:asciiTheme="majorHAnsi" w:hAnsiTheme="majorHAnsi"/>
          <w:sz w:val="20"/>
          <w:szCs w:val="20"/>
        </w:rPr>
        <w:t xml:space="preserve">It is submitted that Ohio authorities failed to inform Mr. </w:t>
      </w:r>
      <w:proofErr w:type="spellStart"/>
      <w:r w:rsidR="007B54BA" w:rsidRPr="005C0994">
        <w:rPr>
          <w:rFonts w:asciiTheme="majorHAnsi" w:hAnsiTheme="majorHAnsi"/>
          <w:sz w:val="20"/>
          <w:szCs w:val="20"/>
        </w:rPr>
        <w:t>Loza</w:t>
      </w:r>
      <w:proofErr w:type="spellEnd"/>
      <w:r w:rsidR="007B54BA" w:rsidRPr="005C0994">
        <w:rPr>
          <w:rFonts w:asciiTheme="majorHAnsi" w:hAnsiTheme="majorHAnsi"/>
          <w:sz w:val="20"/>
          <w:szCs w:val="20"/>
        </w:rPr>
        <w:t xml:space="preserve"> of his rights to consular notification and access under the Vienna Convention</w:t>
      </w:r>
      <w:r w:rsidR="00F34A7E" w:rsidRPr="005C0994">
        <w:rPr>
          <w:rFonts w:asciiTheme="majorHAnsi" w:hAnsiTheme="majorHAnsi"/>
          <w:sz w:val="20"/>
          <w:szCs w:val="20"/>
        </w:rPr>
        <w:t xml:space="preserve">. The petitioners also allege </w:t>
      </w:r>
      <w:r w:rsidR="00A050D8" w:rsidRPr="005C0994">
        <w:rPr>
          <w:rFonts w:asciiTheme="majorHAnsi" w:hAnsiTheme="majorHAnsi"/>
          <w:sz w:val="20"/>
          <w:szCs w:val="20"/>
        </w:rPr>
        <w:t xml:space="preserve">that </w:t>
      </w:r>
      <w:r w:rsidR="00F34A7E" w:rsidRPr="005C0994">
        <w:rPr>
          <w:rFonts w:asciiTheme="majorHAnsi" w:hAnsiTheme="majorHAnsi"/>
          <w:sz w:val="20"/>
          <w:szCs w:val="20"/>
        </w:rPr>
        <w:t>c</w:t>
      </w:r>
      <w:r w:rsidR="00A050D8" w:rsidRPr="005C0994">
        <w:rPr>
          <w:rFonts w:asciiTheme="majorHAnsi" w:hAnsiTheme="majorHAnsi"/>
          <w:sz w:val="20"/>
          <w:szCs w:val="20"/>
        </w:rPr>
        <w:t xml:space="preserve">ounsel at trial were also negligent in not notifying the consulate of Mr. </w:t>
      </w:r>
      <w:proofErr w:type="spellStart"/>
      <w:r w:rsidR="00A050D8" w:rsidRPr="005C0994">
        <w:rPr>
          <w:rFonts w:asciiTheme="majorHAnsi" w:hAnsiTheme="majorHAnsi"/>
          <w:sz w:val="20"/>
          <w:szCs w:val="20"/>
        </w:rPr>
        <w:t>Loza’s</w:t>
      </w:r>
      <w:proofErr w:type="spellEnd"/>
      <w:r w:rsidR="00A050D8" w:rsidRPr="005C0994">
        <w:rPr>
          <w:rFonts w:asciiTheme="majorHAnsi" w:hAnsiTheme="majorHAnsi"/>
          <w:sz w:val="20"/>
          <w:szCs w:val="20"/>
        </w:rPr>
        <w:t xml:space="preserve"> detention. </w:t>
      </w:r>
      <w:r w:rsidR="009E15DB" w:rsidRPr="005C0994">
        <w:rPr>
          <w:rFonts w:asciiTheme="majorHAnsi" w:hAnsiTheme="majorHAnsi"/>
          <w:sz w:val="20"/>
          <w:szCs w:val="20"/>
        </w:rPr>
        <w:t>It is asserted that despite presenting his Article 36 violation claim in both state and federal habeas proceedings</w:t>
      </w:r>
      <w:r w:rsidR="00BD5CCE" w:rsidRPr="005C0994">
        <w:rPr>
          <w:rFonts w:asciiTheme="majorHAnsi" w:hAnsiTheme="majorHAnsi"/>
          <w:sz w:val="20"/>
          <w:szCs w:val="20"/>
        </w:rPr>
        <w:t xml:space="preserve">, courts have refused to grant </w:t>
      </w:r>
      <w:r w:rsidR="009E15DB" w:rsidRPr="005C0994">
        <w:rPr>
          <w:rFonts w:asciiTheme="majorHAnsi" w:hAnsiTheme="majorHAnsi"/>
          <w:sz w:val="20"/>
          <w:szCs w:val="20"/>
        </w:rPr>
        <w:t xml:space="preserve">“review and reconsideration” </w:t>
      </w:r>
      <w:r w:rsidR="009E15DB" w:rsidRPr="005C0994">
        <w:rPr>
          <w:rFonts w:asciiTheme="majorHAnsi" w:hAnsiTheme="majorHAnsi"/>
          <w:sz w:val="20"/>
          <w:szCs w:val="20"/>
        </w:rPr>
        <w:lastRenderedPageBreak/>
        <w:t xml:space="preserve">owed under the judgment of the International Court of Justice in </w:t>
      </w:r>
      <w:proofErr w:type="spellStart"/>
      <w:r w:rsidR="009E15DB" w:rsidRPr="005C0994">
        <w:rPr>
          <w:rFonts w:asciiTheme="majorHAnsi" w:hAnsiTheme="majorHAnsi"/>
          <w:sz w:val="20"/>
          <w:szCs w:val="20"/>
        </w:rPr>
        <w:t>Avena</w:t>
      </w:r>
      <w:proofErr w:type="spellEnd"/>
      <w:r w:rsidR="009E15DB" w:rsidRPr="005C0994">
        <w:rPr>
          <w:rFonts w:asciiTheme="majorHAnsi" w:hAnsiTheme="majorHAnsi"/>
          <w:sz w:val="20"/>
          <w:szCs w:val="20"/>
        </w:rPr>
        <w:t xml:space="preserve"> and other Mexican Nationals (Mexico v U.S.), 2004 I.C.J. 12. </w:t>
      </w:r>
    </w:p>
    <w:p w14:paraId="636A5780" w14:textId="77777777" w:rsidR="00A050D8" w:rsidRPr="005C0994" w:rsidRDefault="00A050D8" w:rsidP="00A050D8">
      <w:pPr>
        <w:pStyle w:val="ListParagraph"/>
        <w:rPr>
          <w:rFonts w:asciiTheme="majorHAnsi" w:hAnsiTheme="majorHAnsi"/>
          <w:sz w:val="20"/>
          <w:szCs w:val="20"/>
        </w:rPr>
      </w:pPr>
    </w:p>
    <w:p w14:paraId="01ABB16E" w14:textId="77777777" w:rsidR="008F6014" w:rsidRPr="005C0994" w:rsidRDefault="00A050D8" w:rsidP="00A050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5C0994">
        <w:rPr>
          <w:rFonts w:asciiTheme="majorHAnsi" w:hAnsiTheme="majorHAnsi"/>
          <w:sz w:val="20"/>
          <w:szCs w:val="20"/>
        </w:rPr>
        <w:t xml:space="preserve">The petitioners </w:t>
      </w:r>
      <w:r w:rsidR="00F34A7E" w:rsidRPr="005C0994">
        <w:rPr>
          <w:rFonts w:asciiTheme="majorHAnsi" w:hAnsiTheme="majorHAnsi"/>
          <w:sz w:val="20"/>
          <w:szCs w:val="20"/>
        </w:rPr>
        <w:t>state</w:t>
      </w:r>
      <w:r w:rsidRPr="005C0994">
        <w:rPr>
          <w:rFonts w:asciiTheme="majorHAnsi" w:hAnsiTheme="majorHAnsi"/>
          <w:sz w:val="20"/>
          <w:szCs w:val="20"/>
        </w:rPr>
        <w:t xml:space="preserve"> that Mexico has a history of providing consular assistance to nationals facing the death penalty, and would have ensured that the alleged victim had competent legal representation, supported by necessary experts and investigators. Further that consular officials would have assisted with obtaining records from Mexico that attest to life history of the defendant</w:t>
      </w:r>
      <w:r w:rsidR="00853512" w:rsidRPr="005C0994">
        <w:rPr>
          <w:rFonts w:asciiTheme="majorHAnsi" w:hAnsiTheme="majorHAnsi"/>
          <w:sz w:val="20"/>
          <w:szCs w:val="20"/>
        </w:rPr>
        <w:t xml:space="preserve"> as mitigating evidence</w:t>
      </w:r>
      <w:r w:rsidRPr="005C0994">
        <w:rPr>
          <w:rFonts w:asciiTheme="majorHAnsi" w:hAnsiTheme="majorHAnsi"/>
          <w:sz w:val="20"/>
          <w:szCs w:val="20"/>
        </w:rPr>
        <w:t xml:space="preserve">. </w:t>
      </w:r>
      <w:r w:rsidR="008F6014" w:rsidRPr="005C0994">
        <w:rPr>
          <w:rFonts w:asciiTheme="majorHAnsi" w:hAnsiTheme="majorHAnsi"/>
          <w:sz w:val="20"/>
          <w:szCs w:val="20"/>
        </w:rPr>
        <w:t xml:space="preserve">The petitioner argues that Mr. </w:t>
      </w:r>
      <w:proofErr w:type="spellStart"/>
      <w:r w:rsidR="008F6014" w:rsidRPr="005C0994">
        <w:rPr>
          <w:rFonts w:asciiTheme="majorHAnsi" w:hAnsiTheme="majorHAnsi"/>
          <w:sz w:val="20"/>
          <w:szCs w:val="20"/>
        </w:rPr>
        <w:t>Loza</w:t>
      </w:r>
      <w:proofErr w:type="spellEnd"/>
      <w:r w:rsidR="008F6014" w:rsidRPr="005C0994">
        <w:rPr>
          <w:rFonts w:asciiTheme="majorHAnsi" w:hAnsiTheme="majorHAnsi"/>
          <w:sz w:val="20"/>
          <w:szCs w:val="20"/>
        </w:rPr>
        <w:t xml:space="preserve"> was compelled to accept representation from court appointed counsel who failed t</w:t>
      </w:r>
      <w:r w:rsidR="00F34A7E" w:rsidRPr="005C0994">
        <w:rPr>
          <w:rFonts w:asciiTheme="majorHAnsi" w:hAnsiTheme="majorHAnsi"/>
          <w:sz w:val="20"/>
          <w:szCs w:val="20"/>
        </w:rPr>
        <w:t>o present an adequate defense. They f</w:t>
      </w:r>
      <w:r w:rsidR="008F6014" w:rsidRPr="005C0994">
        <w:rPr>
          <w:rFonts w:asciiTheme="majorHAnsi" w:hAnsiTheme="majorHAnsi"/>
          <w:sz w:val="20"/>
          <w:szCs w:val="20"/>
        </w:rPr>
        <w:t>urther</w:t>
      </w:r>
      <w:r w:rsidR="00F34A7E" w:rsidRPr="005C0994">
        <w:rPr>
          <w:rFonts w:asciiTheme="majorHAnsi" w:hAnsiTheme="majorHAnsi"/>
          <w:sz w:val="20"/>
          <w:szCs w:val="20"/>
        </w:rPr>
        <w:t xml:space="preserve"> allege</w:t>
      </w:r>
      <w:r w:rsidR="008F6014" w:rsidRPr="005C0994">
        <w:rPr>
          <w:rFonts w:asciiTheme="majorHAnsi" w:hAnsiTheme="majorHAnsi"/>
          <w:sz w:val="20"/>
          <w:szCs w:val="20"/>
        </w:rPr>
        <w:t xml:space="preserve"> that Mr. </w:t>
      </w:r>
      <w:proofErr w:type="spellStart"/>
      <w:r w:rsidR="008F6014" w:rsidRPr="005C0994">
        <w:rPr>
          <w:rFonts w:asciiTheme="majorHAnsi" w:hAnsiTheme="majorHAnsi"/>
          <w:sz w:val="20"/>
          <w:szCs w:val="20"/>
        </w:rPr>
        <w:t>Loza’s</w:t>
      </w:r>
      <w:proofErr w:type="spellEnd"/>
      <w:r w:rsidR="008F6014" w:rsidRPr="005C0994">
        <w:rPr>
          <w:rFonts w:asciiTheme="majorHAnsi" w:hAnsiTheme="majorHAnsi"/>
          <w:sz w:val="20"/>
          <w:szCs w:val="20"/>
        </w:rPr>
        <w:t xml:space="preserve"> trial lawyers failed to investigate and present mitigating evidence that would have given the jury a reason to spare his life. The petitioners claim that trial counsel had never before represented a Mexican national, and neglected to investigate and present evidence regarding the alleged victim’s cultural background that would have given the jury a reason to vote for life. </w:t>
      </w:r>
    </w:p>
    <w:p w14:paraId="32C279F7" w14:textId="77777777" w:rsidR="0005705F" w:rsidRPr="005C0994" w:rsidRDefault="0005705F" w:rsidP="0005705F">
      <w:pPr>
        <w:pStyle w:val="ListParagraph"/>
        <w:rPr>
          <w:rFonts w:asciiTheme="majorHAnsi" w:hAnsiTheme="majorHAnsi"/>
          <w:sz w:val="20"/>
          <w:szCs w:val="20"/>
        </w:rPr>
      </w:pPr>
    </w:p>
    <w:p w14:paraId="69CDCAA1" w14:textId="77777777" w:rsidR="0005705F" w:rsidRPr="005C0994" w:rsidRDefault="0029523E" w:rsidP="00A050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5C0994">
        <w:rPr>
          <w:rFonts w:asciiTheme="majorHAnsi" w:hAnsiTheme="majorHAnsi"/>
          <w:sz w:val="20"/>
          <w:szCs w:val="20"/>
        </w:rPr>
        <w:t xml:space="preserve">In particular, petitioners allege that Mr. </w:t>
      </w:r>
      <w:proofErr w:type="spellStart"/>
      <w:r w:rsidRPr="005C0994">
        <w:rPr>
          <w:rFonts w:asciiTheme="majorHAnsi" w:hAnsiTheme="majorHAnsi"/>
          <w:sz w:val="20"/>
          <w:szCs w:val="20"/>
        </w:rPr>
        <w:t>Loza’s</w:t>
      </w:r>
      <w:proofErr w:type="spellEnd"/>
      <w:r w:rsidRPr="005C0994">
        <w:rPr>
          <w:rFonts w:asciiTheme="majorHAnsi" w:hAnsiTheme="majorHAnsi"/>
          <w:sz w:val="20"/>
          <w:szCs w:val="20"/>
        </w:rPr>
        <w:t xml:space="preserve"> lawyers failed to retain a neuropsychologist, failed to conduct a thorough investigation of his social history, and their presentation of misleading and damaging “expert” testimony regarding Mr. </w:t>
      </w:r>
      <w:proofErr w:type="spellStart"/>
      <w:r w:rsidRPr="005C0994">
        <w:rPr>
          <w:rFonts w:asciiTheme="majorHAnsi" w:hAnsiTheme="majorHAnsi"/>
          <w:sz w:val="20"/>
          <w:szCs w:val="20"/>
        </w:rPr>
        <w:t>Loza’s</w:t>
      </w:r>
      <w:proofErr w:type="spellEnd"/>
      <w:r w:rsidRPr="005C0994">
        <w:rPr>
          <w:rFonts w:asciiTheme="majorHAnsi" w:hAnsiTheme="majorHAnsi"/>
          <w:sz w:val="20"/>
          <w:szCs w:val="20"/>
        </w:rPr>
        <w:t xml:space="preserve"> gang involvement, violated his rights to due process and a fair trial.</w:t>
      </w:r>
    </w:p>
    <w:p w14:paraId="16E3616D" w14:textId="77777777" w:rsidR="008F6014" w:rsidRPr="005C0994" w:rsidRDefault="008F6014" w:rsidP="008F601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2C1D4B65" w14:textId="77777777" w:rsidR="00AB45A1" w:rsidRPr="005C0994" w:rsidRDefault="00D13FAB" w:rsidP="00FD6B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 xml:space="preserve">Further, the petitioners assert </w:t>
      </w:r>
      <w:r w:rsidR="000169CA" w:rsidRPr="005C0994">
        <w:rPr>
          <w:rFonts w:asciiTheme="majorHAnsi" w:hAnsiTheme="majorHAnsi"/>
          <w:sz w:val="20"/>
          <w:szCs w:val="20"/>
        </w:rPr>
        <w:t xml:space="preserve">that the state of Ohio plans to execute Mr. </w:t>
      </w:r>
      <w:proofErr w:type="spellStart"/>
      <w:r w:rsidR="000169CA" w:rsidRPr="005C0994">
        <w:rPr>
          <w:rFonts w:asciiTheme="majorHAnsi" w:hAnsiTheme="majorHAnsi"/>
          <w:sz w:val="20"/>
          <w:szCs w:val="20"/>
        </w:rPr>
        <w:t>Loza</w:t>
      </w:r>
      <w:proofErr w:type="spellEnd"/>
      <w:r w:rsidR="000169CA" w:rsidRPr="005C0994">
        <w:rPr>
          <w:rFonts w:asciiTheme="majorHAnsi" w:hAnsiTheme="majorHAnsi"/>
          <w:sz w:val="20"/>
          <w:szCs w:val="20"/>
        </w:rPr>
        <w:t xml:space="preserve"> by lethal injection and that its current protocol is u</w:t>
      </w:r>
      <w:r w:rsidR="00C20667" w:rsidRPr="005C0994">
        <w:rPr>
          <w:rFonts w:asciiTheme="majorHAnsi" w:hAnsiTheme="majorHAnsi"/>
          <w:sz w:val="20"/>
          <w:szCs w:val="20"/>
        </w:rPr>
        <w:t xml:space="preserve">ntested and shrouded in secrecy. This is due to the protocol </w:t>
      </w:r>
      <w:r w:rsidR="003F572E" w:rsidRPr="005C0994">
        <w:rPr>
          <w:rFonts w:asciiTheme="majorHAnsi" w:hAnsiTheme="majorHAnsi"/>
          <w:sz w:val="20"/>
          <w:szCs w:val="20"/>
        </w:rPr>
        <w:t>that was current</w:t>
      </w:r>
      <w:r w:rsidR="00C20667" w:rsidRPr="005C0994">
        <w:rPr>
          <w:rFonts w:asciiTheme="majorHAnsi" w:hAnsiTheme="majorHAnsi"/>
          <w:sz w:val="20"/>
          <w:szCs w:val="20"/>
        </w:rPr>
        <w:t xml:space="preserve"> at the time of the petition</w:t>
      </w:r>
      <w:r w:rsidR="003F572E" w:rsidRPr="005C0994">
        <w:rPr>
          <w:rFonts w:asciiTheme="majorHAnsi" w:hAnsiTheme="majorHAnsi"/>
          <w:sz w:val="20"/>
          <w:szCs w:val="20"/>
        </w:rPr>
        <w:t>,</w:t>
      </w:r>
      <w:r w:rsidR="00C20667" w:rsidRPr="005C0994">
        <w:rPr>
          <w:rFonts w:asciiTheme="majorHAnsi" w:hAnsiTheme="majorHAnsi"/>
          <w:sz w:val="20"/>
          <w:szCs w:val="20"/>
        </w:rPr>
        <w:t xml:space="preserve"> requiring drugs (pentobarbital or sodium thiopental) that pharmaceutical companies in the United S</w:t>
      </w:r>
      <w:r w:rsidR="003F572E" w:rsidRPr="005C0994">
        <w:rPr>
          <w:rFonts w:asciiTheme="majorHAnsi" w:hAnsiTheme="majorHAnsi"/>
          <w:sz w:val="20"/>
          <w:szCs w:val="20"/>
        </w:rPr>
        <w:t>tates no longer manufactured. M</w:t>
      </w:r>
      <w:r w:rsidR="000169CA" w:rsidRPr="005C0994">
        <w:rPr>
          <w:rFonts w:asciiTheme="majorHAnsi" w:hAnsiTheme="majorHAnsi"/>
          <w:sz w:val="20"/>
          <w:szCs w:val="20"/>
        </w:rPr>
        <w:t>oreover</w:t>
      </w:r>
      <w:r w:rsidR="003F572E" w:rsidRPr="005C0994">
        <w:rPr>
          <w:rFonts w:asciiTheme="majorHAnsi" w:hAnsiTheme="majorHAnsi"/>
          <w:sz w:val="20"/>
          <w:szCs w:val="20"/>
        </w:rPr>
        <w:t>,</w:t>
      </w:r>
      <w:r w:rsidR="000169CA" w:rsidRPr="005C0994">
        <w:rPr>
          <w:rFonts w:asciiTheme="majorHAnsi" w:hAnsiTheme="majorHAnsi"/>
          <w:sz w:val="20"/>
          <w:szCs w:val="20"/>
        </w:rPr>
        <w:t xml:space="preserve"> the </w:t>
      </w:r>
      <w:r w:rsidR="00AB45A1" w:rsidRPr="005C0994">
        <w:rPr>
          <w:rFonts w:asciiTheme="majorHAnsi" w:hAnsiTheme="majorHAnsi"/>
          <w:sz w:val="20"/>
          <w:szCs w:val="20"/>
        </w:rPr>
        <w:t xml:space="preserve">state </w:t>
      </w:r>
      <w:r w:rsidR="003F572E" w:rsidRPr="005C0994">
        <w:rPr>
          <w:rFonts w:asciiTheme="majorHAnsi" w:hAnsiTheme="majorHAnsi"/>
          <w:sz w:val="20"/>
          <w:szCs w:val="20"/>
        </w:rPr>
        <w:t>had not disclosed the alternative protocol that it intends to employ if it cannot legally obtain pentobarbital or sodium thiopental</w:t>
      </w:r>
      <w:r w:rsidR="000169CA" w:rsidRPr="005C0994">
        <w:rPr>
          <w:rFonts w:asciiTheme="majorHAnsi" w:hAnsiTheme="majorHAnsi"/>
          <w:sz w:val="20"/>
          <w:szCs w:val="20"/>
        </w:rPr>
        <w:t xml:space="preserve">. </w:t>
      </w:r>
      <w:r w:rsidR="00C018FF" w:rsidRPr="005C0994">
        <w:rPr>
          <w:rFonts w:asciiTheme="majorHAnsi" w:hAnsiTheme="majorHAnsi"/>
          <w:sz w:val="20"/>
          <w:szCs w:val="20"/>
        </w:rPr>
        <w:t xml:space="preserve">Additionally, </w:t>
      </w:r>
      <w:r w:rsidR="00F34A7E" w:rsidRPr="005C0994">
        <w:rPr>
          <w:rFonts w:asciiTheme="majorHAnsi" w:hAnsiTheme="majorHAnsi"/>
          <w:sz w:val="20"/>
          <w:szCs w:val="20"/>
        </w:rPr>
        <w:t xml:space="preserve">they argue that </w:t>
      </w:r>
      <w:r w:rsidR="00C018FF" w:rsidRPr="005C0994">
        <w:rPr>
          <w:rFonts w:asciiTheme="majorHAnsi" w:hAnsiTheme="majorHAnsi"/>
          <w:sz w:val="20"/>
          <w:szCs w:val="20"/>
        </w:rPr>
        <w:t>the state, at the time of the petition, failed to provide sufficient no</w:t>
      </w:r>
      <w:r w:rsidR="008417E4" w:rsidRPr="005C0994">
        <w:rPr>
          <w:rFonts w:asciiTheme="majorHAnsi" w:hAnsiTheme="majorHAnsi"/>
          <w:sz w:val="20"/>
          <w:szCs w:val="20"/>
        </w:rPr>
        <w:t>tice of its method of execution.</w:t>
      </w:r>
      <w:r w:rsidR="00C018FF" w:rsidRPr="005C0994">
        <w:rPr>
          <w:rFonts w:asciiTheme="majorHAnsi" w:hAnsiTheme="majorHAnsi"/>
          <w:sz w:val="20"/>
          <w:szCs w:val="20"/>
        </w:rPr>
        <w:t xml:space="preserve"> </w:t>
      </w:r>
      <w:r w:rsidR="005C6F09" w:rsidRPr="005C0994">
        <w:rPr>
          <w:rFonts w:asciiTheme="majorHAnsi" w:hAnsiTheme="majorHAnsi"/>
          <w:sz w:val="20"/>
          <w:szCs w:val="20"/>
        </w:rPr>
        <w:t xml:space="preserve">The petitioners assert </w:t>
      </w:r>
      <w:r w:rsidRPr="005C0994">
        <w:rPr>
          <w:rFonts w:asciiTheme="majorHAnsi" w:hAnsiTheme="majorHAnsi"/>
          <w:sz w:val="20"/>
          <w:szCs w:val="20"/>
        </w:rPr>
        <w:t xml:space="preserve">that the administration of the lethal injection as practiced within Ohio violates the right to freedom from cruel, infamous or unusual punishment; moreover where Ohio uses its secrecy laws to prevent the alleged victim from learning the source or details of the drug used in the protocol </w:t>
      </w:r>
      <w:r w:rsidR="00E40AEA" w:rsidRPr="005C0994">
        <w:rPr>
          <w:rFonts w:asciiTheme="majorHAnsi" w:hAnsiTheme="majorHAnsi"/>
          <w:sz w:val="20"/>
          <w:szCs w:val="20"/>
        </w:rPr>
        <w:t>is</w:t>
      </w:r>
      <w:r w:rsidR="00AC2C44" w:rsidRPr="005C0994">
        <w:rPr>
          <w:rFonts w:asciiTheme="majorHAnsi" w:hAnsiTheme="majorHAnsi"/>
          <w:sz w:val="20"/>
          <w:szCs w:val="20"/>
        </w:rPr>
        <w:t xml:space="preserve"> a violation against</w:t>
      </w:r>
      <w:r w:rsidRPr="005C0994">
        <w:rPr>
          <w:rFonts w:asciiTheme="majorHAnsi" w:hAnsiTheme="majorHAnsi"/>
          <w:sz w:val="20"/>
          <w:szCs w:val="20"/>
        </w:rPr>
        <w:t xml:space="preserve"> </w:t>
      </w:r>
      <w:r w:rsidR="00E40AEA" w:rsidRPr="005C0994">
        <w:rPr>
          <w:rFonts w:asciiTheme="majorHAnsi" w:hAnsiTheme="majorHAnsi"/>
          <w:sz w:val="20"/>
          <w:szCs w:val="20"/>
        </w:rPr>
        <w:t>the</w:t>
      </w:r>
      <w:r w:rsidRPr="005C0994">
        <w:rPr>
          <w:rFonts w:asciiTheme="majorHAnsi" w:hAnsiTheme="majorHAnsi"/>
          <w:sz w:val="20"/>
          <w:szCs w:val="20"/>
        </w:rPr>
        <w:t xml:space="preserve"> right to petition as well. </w:t>
      </w:r>
      <w:r w:rsidR="00AB45A1" w:rsidRPr="005C0994">
        <w:rPr>
          <w:rFonts w:asciiTheme="majorHAnsi" w:hAnsiTheme="majorHAnsi"/>
          <w:sz w:val="20"/>
          <w:szCs w:val="20"/>
        </w:rPr>
        <w:t xml:space="preserve">The petitioners assert that the United States operates contrary to international human rights standards relating to the application of the </w:t>
      </w:r>
      <w:r w:rsidR="00FD6B02" w:rsidRPr="005C0994">
        <w:rPr>
          <w:rFonts w:asciiTheme="majorHAnsi" w:hAnsiTheme="majorHAnsi"/>
          <w:sz w:val="20"/>
          <w:szCs w:val="20"/>
        </w:rPr>
        <w:t xml:space="preserve">death penalty, as its imposes </w:t>
      </w:r>
      <w:r w:rsidR="00AB45A1" w:rsidRPr="005C0994">
        <w:rPr>
          <w:rFonts w:asciiTheme="majorHAnsi" w:hAnsiTheme="majorHAnsi"/>
          <w:sz w:val="20"/>
          <w:szCs w:val="20"/>
        </w:rPr>
        <w:t xml:space="preserve">the burden of proof onto a prisoner </w:t>
      </w:r>
      <w:r w:rsidR="00FD6B02" w:rsidRPr="005C0994">
        <w:rPr>
          <w:rFonts w:asciiTheme="majorHAnsi" w:hAnsiTheme="majorHAnsi"/>
          <w:sz w:val="20"/>
          <w:szCs w:val="20"/>
        </w:rPr>
        <w:t xml:space="preserve">to show </w:t>
      </w:r>
      <w:r w:rsidR="00AB45A1" w:rsidRPr="005C0994">
        <w:rPr>
          <w:rFonts w:asciiTheme="majorHAnsi" w:hAnsiTheme="majorHAnsi"/>
          <w:sz w:val="20"/>
          <w:szCs w:val="20"/>
        </w:rPr>
        <w:t>that a particular method of execution is unconstitutional.</w:t>
      </w:r>
    </w:p>
    <w:p w14:paraId="7AE22F64" w14:textId="77777777" w:rsidR="00825876" w:rsidRPr="005C0994" w:rsidRDefault="00825876" w:rsidP="0082587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5240F707" w14:textId="77777777" w:rsidR="00D72ED0" w:rsidRPr="005C0994" w:rsidRDefault="00D15377" w:rsidP="00721A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Petitioners further assert that Ohio has changed its lethal injection protocol at least three times in the last four years.</w:t>
      </w:r>
      <w:r w:rsidR="00825876" w:rsidRPr="005C0994">
        <w:rPr>
          <w:rFonts w:asciiTheme="majorHAnsi" w:hAnsiTheme="majorHAnsi"/>
          <w:sz w:val="20"/>
          <w:szCs w:val="20"/>
        </w:rPr>
        <w:t xml:space="preserve"> They indicate that in 2017 Ohio reverted to a three-drug protocol given that pharmaceutical companies in the United States did no longer manufacture pentobarbital or sodium thiopental. A federal district court stayed all executions in Ohio after hearing testimony regarding the risks of using midazolam to kill human beings. This opinion was vacated by the Sixth Circuit Court of Appeals</w:t>
      </w:r>
      <w:r w:rsidR="0076368E" w:rsidRPr="005C0994">
        <w:rPr>
          <w:rFonts w:asciiTheme="majorHAnsi" w:hAnsiTheme="majorHAnsi"/>
          <w:sz w:val="20"/>
          <w:szCs w:val="20"/>
        </w:rPr>
        <w:t xml:space="preserve"> on the grounds that petitioners had failed to show that the use of the three-drug protocol presents a risk that is “sure or very likely” to cause serious pain and “needless suffering.” Five judges dissented.</w:t>
      </w:r>
      <w:r w:rsidR="00F03705" w:rsidRPr="005C0994">
        <w:rPr>
          <w:rFonts w:asciiTheme="majorHAnsi" w:hAnsiTheme="majorHAnsi"/>
          <w:sz w:val="20"/>
          <w:szCs w:val="20"/>
        </w:rPr>
        <w:t xml:space="preserve"> The petitioners indicate that the Sixth Circuit stated that the plaintiffs had failed to present sufficient evidence to prove that an inmate was “sure or very likely” to suffer not just some pain, but an unconstitutionally high level of pain. </w:t>
      </w:r>
    </w:p>
    <w:p w14:paraId="2151B05F" w14:textId="77777777" w:rsidR="00D72ED0" w:rsidRPr="005C0994" w:rsidRDefault="00D72ED0" w:rsidP="00D72ED0">
      <w:pPr>
        <w:pStyle w:val="ListParagraph"/>
        <w:rPr>
          <w:rFonts w:asciiTheme="majorHAnsi" w:hAnsiTheme="majorHAnsi"/>
          <w:sz w:val="20"/>
          <w:szCs w:val="20"/>
        </w:rPr>
      </w:pPr>
    </w:p>
    <w:p w14:paraId="55E7E468" w14:textId="77777777" w:rsidR="00825876" w:rsidRPr="005C0994" w:rsidRDefault="00F03705" w:rsidP="00721A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 xml:space="preserve">According to the petitioners, the three-judge panel rejected the magistrate judge’s finding, amply supported by a near-universal scientific consensus, that midazolam cannot block or attenuate pain, since midazolam, at any dosage level, has no analgesic properties. </w:t>
      </w:r>
      <w:r w:rsidR="0076368E" w:rsidRPr="005C0994">
        <w:rPr>
          <w:rFonts w:asciiTheme="majorHAnsi" w:hAnsiTheme="majorHAnsi"/>
          <w:sz w:val="20"/>
          <w:szCs w:val="20"/>
        </w:rPr>
        <w:t>The petitioners note that, on November 15, 2017, the new execution protocol led to another botched execution.</w:t>
      </w:r>
    </w:p>
    <w:p w14:paraId="3C3256F4" w14:textId="77777777" w:rsidR="00D72ED0" w:rsidRPr="005C0994" w:rsidRDefault="00D72ED0" w:rsidP="00D72ED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723E9B11" w14:textId="77777777" w:rsidR="00D72ED0" w:rsidRPr="005C0994" w:rsidRDefault="00D72ED0" w:rsidP="00721A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The petitioners state that it is unclear whether the State of Ohio views the Sixth Circuit’s decision as approving the current execution protocol, and will resume executions once the government can secure the drugs, or whether the government is still searching for a new method.</w:t>
      </w:r>
    </w:p>
    <w:p w14:paraId="66CFBF81" w14:textId="77777777" w:rsidR="00D72ED0" w:rsidRPr="005C0994" w:rsidRDefault="00D72ED0" w:rsidP="00D72ED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4AF29A18" w14:textId="77777777" w:rsidR="0080231F" w:rsidRPr="005C0994" w:rsidRDefault="003A18F4" w:rsidP="008023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5C0994">
        <w:rPr>
          <w:rFonts w:asciiTheme="majorHAnsi" w:hAnsiTheme="majorHAnsi"/>
          <w:sz w:val="20"/>
          <w:szCs w:val="20"/>
        </w:rPr>
        <w:t>With regard to the requirement of exhaustion of do</w:t>
      </w:r>
      <w:r w:rsidR="00FE25F4" w:rsidRPr="005C0994">
        <w:rPr>
          <w:rFonts w:asciiTheme="majorHAnsi" w:hAnsiTheme="majorHAnsi"/>
          <w:sz w:val="20"/>
          <w:szCs w:val="20"/>
        </w:rPr>
        <w:t>mestic remedies, the petitioner</w:t>
      </w:r>
      <w:r w:rsidR="003E2DFE" w:rsidRPr="005C0994">
        <w:rPr>
          <w:rFonts w:asciiTheme="majorHAnsi" w:hAnsiTheme="majorHAnsi"/>
          <w:sz w:val="20"/>
          <w:szCs w:val="20"/>
        </w:rPr>
        <w:t>s</w:t>
      </w:r>
      <w:r w:rsidRPr="005C0994">
        <w:rPr>
          <w:rFonts w:asciiTheme="majorHAnsi" w:hAnsiTheme="majorHAnsi"/>
          <w:sz w:val="20"/>
          <w:szCs w:val="20"/>
        </w:rPr>
        <w:t xml:space="preserve"> indicate that Mr. </w:t>
      </w:r>
      <w:proofErr w:type="spellStart"/>
      <w:r w:rsidR="00EC514D" w:rsidRPr="005C0994">
        <w:rPr>
          <w:rFonts w:asciiTheme="majorHAnsi" w:hAnsiTheme="majorHAnsi"/>
          <w:sz w:val="20"/>
          <w:szCs w:val="20"/>
        </w:rPr>
        <w:t>Loza</w:t>
      </w:r>
      <w:r w:rsidR="00414D3F" w:rsidRPr="005C0994">
        <w:rPr>
          <w:rFonts w:asciiTheme="majorHAnsi" w:hAnsiTheme="majorHAnsi"/>
          <w:sz w:val="20"/>
          <w:szCs w:val="20"/>
        </w:rPr>
        <w:t>’</w:t>
      </w:r>
      <w:r w:rsidRPr="005C0994">
        <w:rPr>
          <w:rFonts w:asciiTheme="majorHAnsi" w:hAnsiTheme="majorHAnsi"/>
          <w:sz w:val="20"/>
          <w:szCs w:val="20"/>
        </w:rPr>
        <w:t>s</w:t>
      </w:r>
      <w:proofErr w:type="spellEnd"/>
      <w:r w:rsidRPr="005C0994">
        <w:rPr>
          <w:rFonts w:asciiTheme="majorHAnsi" w:hAnsiTheme="majorHAnsi"/>
          <w:sz w:val="20"/>
          <w:szCs w:val="20"/>
        </w:rPr>
        <w:t xml:space="preserve"> conviction and sentence </w:t>
      </w:r>
      <w:r w:rsidR="00EC514D" w:rsidRPr="005C0994">
        <w:rPr>
          <w:rFonts w:asciiTheme="majorHAnsi" w:hAnsiTheme="majorHAnsi"/>
          <w:sz w:val="20"/>
          <w:szCs w:val="20"/>
        </w:rPr>
        <w:t xml:space="preserve">were affirmed on direct appeal and </w:t>
      </w:r>
      <w:r w:rsidR="00F34A7E" w:rsidRPr="005C0994">
        <w:rPr>
          <w:rFonts w:asciiTheme="majorHAnsi" w:hAnsiTheme="majorHAnsi"/>
          <w:sz w:val="20"/>
          <w:szCs w:val="20"/>
        </w:rPr>
        <w:t xml:space="preserve">that </w:t>
      </w:r>
      <w:r w:rsidR="00EC514D" w:rsidRPr="005C0994">
        <w:rPr>
          <w:rFonts w:asciiTheme="majorHAnsi" w:hAnsiTheme="majorHAnsi"/>
          <w:sz w:val="20"/>
          <w:szCs w:val="20"/>
        </w:rPr>
        <w:t>he has exhausted</w:t>
      </w:r>
      <w:r w:rsidR="00D0228D" w:rsidRPr="005C0994">
        <w:rPr>
          <w:rFonts w:asciiTheme="majorHAnsi" w:hAnsiTheme="majorHAnsi"/>
          <w:sz w:val="20"/>
          <w:szCs w:val="20"/>
        </w:rPr>
        <w:t xml:space="preserve"> </w:t>
      </w:r>
      <w:r w:rsidR="007F210C" w:rsidRPr="005C0994">
        <w:rPr>
          <w:rFonts w:asciiTheme="majorHAnsi" w:hAnsiTheme="majorHAnsi"/>
          <w:sz w:val="20"/>
          <w:szCs w:val="20"/>
        </w:rPr>
        <w:t xml:space="preserve">post-conviction </w:t>
      </w:r>
      <w:r w:rsidR="00EC514D" w:rsidRPr="005C0994">
        <w:rPr>
          <w:rFonts w:asciiTheme="majorHAnsi" w:hAnsiTheme="majorHAnsi"/>
          <w:sz w:val="20"/>
          <w:szCs w:val="20"/>
        </w:rPr>
        <w:t>relief</w:t>
      </w:r>
      <w:r w:rsidR="0057276F" w:rsidRPr="005C0994">
        <w:rPr>
          <w:rFonts w:asciiTheme="majorHAnsi" w:hAnsiTheme="majorHAnsi"/>
          <w:sz w:val="20"/>
          <w:szCs w:val="20"/>
        </w:rPr>
        <w:t xml:space="preserve">. </w:t>
      </w:r>
      <w:r w:rsidR="00E92E80" w:rsidRPr="005C0994">
        <w:rPr>
          <w:rFonts w:asciiTheme="majorHAnsi" w:hAnsiTheme="majorHAnsi"/>
          <w:sz w:val="20"/>
          <w:szCs w:val="20"/>
        </w:rPr>
        <w:t>The petitioner</w:t>
      </w:r>
      <w:r w:rsidR="00F34A7E" w:rsidRPr="005C0994">
        <w:rPr>
          <w:rFonts w:asciiTheme="majorHAnsi" w:hAnsiTheme="majorHAnsi"/>
          <w:sz w:val="20"/>
          <w:szCs w:val="20"/>
        </w:rPr>
        <w:t>s</w:t>
      </w:r>
      <w:r w:rsidR="00E92E80" w:rsidRPr="005C0994">
        <w:rPr>
          <w:rFonts w:asciiTheme="majorHAnsi" w:hAnsiTheme="majorHAnsi"/>
          <w:sz w:val="20"/>
          <w:szCs w:val="20"/>
        </w:rPr>
        <w:t xml:space="preserve"> conclude that the United States has violat</w:t>
      </w:r>
      <w:r w:rsidR="003E2DFE" w:rsidRPr="005C0994">
        <w:rPr>
          <w:rFonts w:asciiTheme="majorHAnsi" w:hAnsiTheme="majorHAnsi"/>
          <w:sz w:val="20"/>
          <w:szCs w:val="20"/>
        </w:rPr>
        <w:t>ed Articles I, II</w:t>
      </w:r>
      <w:r w:rsidR="00E92E80" w:rsidRPr="005C0994">
        <w:rPr>
          <w:rFonts w:asciiTheme="majorHAnsi" w:hAnsiTheme="majorHAnsi"/>
          <w:sz w:val="20"/>
          <w:szCs w:val="20"/>
        </w:rPr>
        <w:t>, XVIII, XXIV</w:t>
      </w:r>
      <w:r w:rsidR="003E2DFE" w:rsidRPr="005C0994">
        <w:rPr>
          <w:rFonts w:asciiTheme="majorHAnsi" w:hAnsiTheme="majorHAnsi"/>
          <w:sz w:val="20"/>
          <w:szCs w:val="20"/>
        </w:rPr>
        <w:t>, XXV</w:t>
      </w:r>
      <w:r w:rsidR="00E92E80" w:rsidRPr="005C0994">
        <w:rPr>
          <w:rFonts w:asciiTheme="majorHAnsi" w:hAnsiTheme="majorHAnsi"/>
          <w:sz w:val="20"/>
          <w:szCs w:val="20"/>
        </w:rPr>
        <w:t xml:space="preserve"> and XXVI of the American Declaration.</w:t>
      </w:r>
    </w:p>
    <w:p w14:paraId="580E6994" w14:textId="77777777" w:rsidR="00F516D3" w:rsidRPr="005C0994" w:rsidRDefault="00F516D3" w:rsidP="00F516D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3BF52AF5" w14:textId="77777777" w:rsidR="00F516D3" w:rsidRPr="005C0994" w:rsidRDefault="00F516D3" w:rsidP="003676F1">
      <w:pPr>
        <w:pStyle w:val="Heading2"/>
        <w:numPr>
          <w:ilvl w:val="0"/>
          <w:numId w:val="57"/>
        </w:numPr>
        <w:tabs>
          <w:tab w:val="left" w:pos="360"/>
        </w:tabs>
        <w:spacing w:before="0"/>
        <w:ind w:hanging="720"/>
        <w:rPr>
          <w:color w:val="auto"/>
          <w:sz w:val="20"/>
          <w:szCs w:val="20"/>
        </w:rPr>
      </w:pPr>
      <w:bookmarkStart w:id="3" w:name="_Toc90297862"/>
      <w:r w:rsidRPr="005C0994">
        <w:rPr>
          <w:color w:val="auto"/>
          <w:sz w:val="20"/>
          <w:szCs w:val="20"/>
        </w:rPr>
        <w:lastRenderedPageBreak/>
        <w:t>State</w:t>
      </w:r>
      <w:bookmarkEnd w:id="3"/>
    </w:p>
    <w:p w14:paraId="477DCAD3" w14:textId="77777777" w:rsidR="00507C24" w:rsidRPr="005C0994" w:rsidRDefault="00507C24" w:rsidP="00507C24">
      <w:pPr>
        <w:rPr>
          <w:rFonts w:asciiTheme="majorHAnsi" w:hAnsiTheme="majorHAnsi"/>
          <w:sz w:val="20"/>
          <w:szCs w:val="20"/>
        </w:rPr>
      </w:pPr>
    </w:p>
    <w:p w14:paraId="3FDAE7FB" w14:textId="77777777" w:rsidR="005C5243" w:rsidRPr="005C0994" w:rsidRDefault="005C5243" w:rsidP="00507C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The United States alleges that the petition is inadmissible and that it does not demonstrate a breach of any commitment of the United States under the American Declaration. </w:t>
      </w:r>
    </w:p>
    <w:p w14:paraId="4C024E2B" w14:textId="77777777" w:rsidR="005C5243" w:rsidRPr="005C0994" w:rsidRDefault="005C5243" w:rsidP="005C524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0F7D9420" w14:textId="77777777" w:rsidR="005C5243" w:rsidRPr="005C0994" w:rsidRDefault="005C5243" w:rsidP="005C52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The United States alleges that the petitioners have failed to state facts that tend to establish a violation of the Declaration, and the petition is therefore inadmissible under Article 34(a) of the Rules of Procedure. Petitioner’s allegations of ethnic bias, prosecutorial misconduct, and ineffective assistance of counsel fail to set forth facts that tend to establish a violation of Articles II, XVIII, or XXVI of the Declaration, and are meritless. The State claims that it has substantially reviewed and appropriately responded to the allegations and the petitioners have failed to provide evidence that racial discrimination tainted the conviction or sentence. Further, it is submitted that statistical evidence does not remedy the lack of evidence on racial discrimination in the conviction and sentence. </w:t>
      </w:r>
    </w:p>
    <w:p w14:paraId="5FA8548F" w14:textId="77777777" w:rsidR="005C5243" w:rsidRPr="005C0994" w:rsidRDefault="005C5243" w:rsidP="005C524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57C0CFFC" w14:textId="77777777" w:rsidR="005C5243" w:rsidRPr="005C0994" w:rsidRDefault="005C5243" w:rsidP="005C52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The State maintains its position that the Commission does not have competence to review claims arising under the Vienna Convention. Further, that claims concerning consular notification do not give rise to a violation of human rights enshrined in any international instrument to which the United States is a party or has endorsed. </w:t>
      </w:r>
      <w:r w:rsidR="00647C9A" w:rsidRPr="005C0994">
        <w:rPr>
          <w:rFonts w:asciiTheme="majorHAnsi" w:hAnsiTheme="majorHAnsi"/>
          <w:sz w:val="20"/>
          <w:szCs w:val="20"/>
        </w:rPr>
        <w:t>The State f</w:t>
      </w:r>
      <w:r w:rsidRPr="005C0994">
        <w:rPr>
          <w:rFonts w:asciiTheme="majorHAnsi" w:hAnsiTheme="majorHAnsi"/>
          <w:sz w:val="20"/>
          <w:szCs w:val="20"/>
        </w:rPr>
        <w:t>urther</w:t>
      </w:r>
      <w:r w:rsidR="00647C9A" w:rsidRPr="005C0994">
        <w:rPr>
          <w:rFonts w:asciiTheme="majorHAnsi" w:hAnsiTheme="majorHAnsi"/>
          <w:sz w:val="20"/>
          <w:szCs w:val="20"/>
        </w:rPr>
        <w:t xml:space="preserve"> argues</w:t>
      </w:r>
      <w:r w:rsidRPr="005C0994">
        <w:rPr>
          <w:rFonts w:asciiTheme="majorHAnsi" w:hAnsiTheme="majorHAnsi"/>
          <w:sz w:val="20"/>
          <w:szCs w:val="20"/>
        </w:rPr>
        <w:t xml:space="preserve"> that consular notification is not a human right. </w:t>
      </w:r>
      <w:r w:rsidR="00647C9A" w:rsidRPr="005C0994">
        <w:rPr>
          <w:rFonts w:asciiTheme="majorHAnsi" w:hAnsiTheme="majorHAnsi"/>
          <w:sz w:val="20"/>
          <w:szCs w:val="20"/>
        </w:rPr>
        <w:t>According to the State, s</w:t>
      </w:r>
      <w:r w:rsidRPr="005C0994">
        <w:rPr>
          <w:rFonts w:asciiTheme="majorHAnsi" w:hAnsiTheme="majorHAnsi"/>
          <w:sz w:val="20"/>
          <w:szCs w:val="20"/>
        </w:rPr>
        <w:t xml:space="preserve">uch consular notification protections are based on principles of reciprocity, nationality and function, and persons do not enjoy these protections by mere virtue of their human existence. </w:t>
      </w:r>
    </w:p>
    <w:p w14:paraId="1AF7CED1" w14:textId="77777777" w:rsidR="00C940E6" w:rsidRPr="005C0994" w:rsidRDefault="00C940E6" w:rsidP="00C940E6">
      <w:pPr>
        <w:pStyle w:val="ListParagraph"/>
        <w:rPr>
          <w:rFonts w:asciiTheme="majorHAnsi" w:hAnsiTheme="majorHAnsi"/>
          <w:sz w:val="20"/>
          <w:szCs w:val="20"/>
        </w:rPr>
      </w:pPr>
    </w:p>
    <w:p w14:paraId="2FC5DA5B" w14:textId="77777777" w:rsidR="00C940E6" w:rsidRPr="005C0994" w:rsidRDefault="00C940E6" w:rsidP="00C94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With regards to the coerced confession, the State submits that the alleged victim was fully informed of his Miranda rights and knowingly and willingly waived his rights against self-incrimination by voluntarily speaking with detectives; and the resulting video is one of many independent statements acknowledging culpability. The alleged failure by the prosecution to disclose exculpatory evidence, the State claims, has been considered at length by domestic courts, was remedied with a new trial and is without merit. Further, that the claim of withholding psychological evaluations and alleged confession from Jackson was similarly addressed by state and federal courts and rejected. The State holds that the alleged victim had the opportunity to raise trial counsel’s alleged ineffectiveness in his state and federal habeas corpus proceedings and the courts determined that he was not entitled to a new trial or other relief.</w:t>
      </w:r>
    </w:p>
    <w:p w14:paraId="545691E6" w14:textId="77777777" w:rsidR="00647C9A" w:rsidRPr="005C0994" w:rsidRDefault="00647C9A" w:rsidP="00647C9A">
      <w:pPr>
        <w:pStyle w:val="ListParagraph"/>
        <w:rPr>
          <w:rFonts w:asciiTheme="majorHAnsi" w:hAnsiTheme="majorHAnsi"/>
          <w:sz w:val="20"/>
          <w:szCs w:val="20"/>
        </w:rPr>
      </w:pPr>
    </w:p>
    <w:p w14:paraId="18281147" w14:textId="77777777" w:rsidR="00647C9A" w:rsidRPr="005C0994" w:rsidRDefault="00647C9A" w:rsidP="005C52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With regard to the alleged discrimination, the State asserts that petitioners offer a new, expansive interpretation of Article II, “untethering it from its well-established context of judicial proceeding by which judges and jurors occupy a singular role in judicial proceedings, and are thus held to a distinct standard of impartiality, as the primary and final decision-makers over a defendant’s guilt and sentencing.</w:t>
      </w:r>
      <w:r w:rsidR="00DE69AC" w:rsidRPr="005C0994">
        <w:rPr>
          <w:rFonts w:asciiTheme="majorHAnsi" w:hAnsiTheme="majorHAnsi"/>
          <w:sz w:val="20"/>
          <w:szCs w:val="20"/>
        </w:rPr>
        <w:t xml:space="preserve">” According to the State, the argument that the police detective had usurped the role of the prosecutor making the determination to seek the death penalty, to which the prosecutor simply deferred, is entirely baseless. The </w:t>
      </w:r>
      <w:r w:rsidR="00DE4162" w:rsidRPr="005C0994">
        <w:rPr>
          <w:rFonts w:asciiTheme="majorHAnsi" w:hAnsiTheme="majorHAnsi"/>
          <w:sz w:val="20"/>
          <w:szCs w:val="20"/>
        </w:rPr>
        <w:t>State indicates</w:t>
      </w:r>
      <w:r w:rsidR="00DE69AC" w:rsidRPr="005C0994">
        <w:rPr>
          <w:rFonts w:asciiTheme="majorHAnsi" w:hAnsiTheme="majorHAnsi"/>
          <w:sz w:val="20"/>
          <w:szCs w:val="20"/>
        </w:rPr>
        <w:t xml:space="preserve"> that the detective did not and could not exercise prosecutorial decision-making authority in Mr. </w:t>
      </w:r>
      <w:proofErr w:type="spellStart"/>
      <w:r w:rsidR="00DE69AC" w:rsidRPr="005C0994">
        <w:rPr>
          <w:rFonts w:asciiTheme="majorHAnsi" w:hAnsiTheme="majorHAnsi"/>
          <w:sz w:val="20"/>
          <w:szCs w:val="20"/>
        </w:rPr>
        <w:t>Loza’s</w:t>
      </w:r>
      <w:proofErr w:type="spellEnd"/>
      <w:r w:rsidR="00DE69AC" w:rsidRPr="005C0994">
        <w:rPr>
          <w:rFonts w:asciiTheme="majorHAnsi" w:hAnsiTheme="majorHAnsi"/>
          <w:sz w:val="20"/>
          <w:szCs w:val="20"/>
        </w:rPr>
        <w:t xml:space="preserve"> case. </w:t>
      </w:r>
      <w:r w:rsidR="00DE4162" w:rsidRPr="005C0994">
        <w:rPr>
          <w:rFonts w:asciiTheme="majorHAnsi" w:hAnsiTheme="majorHAnsi"/>
          <w:sz w:val="20"/>
          <w:szCs w:val="20"/>
        </w:rPr>
        <w:t>It</w:t>
      </w:r>
      <w:r w:rsidR="00DE69AC" w:rsidRPr="005C0994">
        <w:rPr>
          <w:rFonts w:asciiTheme="majorHAnsi" w:hAnsiTheme="majorHAnsi"/>
          <w:sz w:val="20"/>
          <w:szCs w:val="20"/>
        </w:rPr>
        <w:t xml:space="preserve"> also emphasizes that petitioners fail to identify any specific evidence of ethnic bias by decision-makers – prosecutors, judges, or jurors</w:t>
      </w:r>
      <w:r w:rsidR="00DE4162" w:rsidRPr="005C0994">
        <w:rPr>
          <w:rFonts w:asciiTheme="majorHAnsi" w:hAnsiTheme="majorHAnsi"/>
          <w:sz w:val="20"/>
          <w:szCs w:val="20"/>
        </w:rPr>
        <w:t>.</w:t>
      </w:r>
      <w:r w:rsidR="00DE69AC" w:rsidRPr="005C0994">
        <w:rPr>
          <w:rFonts w:asciiTheme="majorHAnsi" w:hAnsiTheme="majorHAnsi"/>
          <w:sz w:val="20"/>
          <w:szCs w:val="20"/>
        </w:rPr>
        <w:t xml:space="preserve"> The State further argues that each time Mr. </w:t>
      </w:r>
      <w:proofErr w:type="spellStart"/>
      <w:r w:rsidR="00DE69AC" w:rsidRPr="005C0994">
        <w:rPr>
          <w:rFonts w:asciiTheme="majorHAnsi" w:hAnsiTheme="majorHAnsi"/>
          <w:sz w:val="20"/>
          <w:szCs w:val="20"/>
        </w:rPr>
        <w:t>Loza</w:t>
      </w:r>
      <w:proofErr w:type="spellEnd"/>
      <w:r w:rsidR="00DE69AC" w:rsidRPr="005C0994">
        <w:rPr>
          <w:rFonts w:asciiTheme="majorHAnsi" w:hAnsiTheme="majorHAnsi"/>
          <w:sz w:val="20"/>
          <w:szCs w:val="20"/>
        </w:rPr>
        <w:t xml:space="preserve"> presented this allegation before state and federal courts; he failed to provide sufficient evidence that racial discrimination tainted his investigation or prosecution.</w:t>
      </w:r>
    </w:p>
    <w:p w14:paraId="542B99C6" w14:textId="77777777" w:rsidR="006543B4" w:rsidRPr="005C0994" w:rsidRDefault="006543B4" w:rsidP="006543B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27B717A0" w14:textId="77777777" w:rsidR="002A555A" w:rsidRPr="005C0994" w:rsidRDefault="006543B4" w:rsidP="005C52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Regarding the </w:t>
      </w:r>
      <w:r w:rsidR="00D15377" w:rsidRPr="005C0994">
        <w:rPr>
          <w:rFonts w:asciiTheme="majorHAnsi" w:hAnsiTheme="majorHAnsi"/>
          <w:sz w:val="20"/>
          <w:szCs w:val="20"/>
        </w:rPr>
        <w:t xml:space="preserve">claim of </w:t>
      </w:r>
      <w:r w:rsidRPr="005C0994">
        <w:rPr>
          <w:rFonts w:asciiTheme="majorHAnsi" w:hAnsiTheme="majorHAnsi"/>
          <w:sz w:val="20"/>
          <w:szCs w:val="20"/>
        </w:rPr>
        <w:t>ineffective assistance of trial counsel, the State alleges that this claim was raised in state and federal courts, where it received multiple layers of judicial review.</w:t>
      </w:r>
      <w:r w:rsidR="002A555A" w:rsidRPr="005C0994">
        <w:rPr>
          <w:rFonts w:asciiTheme="majorHAnsi" w:hAnsiTheme="majorHAnsi"/>
          <w:sz w:val="20"/>
          <w:szCs w:val="20"/>
        </w:rPr>
        <w:t xml:space="preserve"> The State emphasizes that domestic courts have carefully considered this claim on at least five occasions, and all found that Mr. </w:t>
      </w:r>
      <w:proofErr w:type="spellStart"/>
      <w:r w:rsidR="002A555A" w:rsidRPr="005C0994">
        <w:rPr>
          <w:rFonts w:asciiTheme="majorHAnsi" w:hAnsiTheme="majorHAnsi"/>
          <w:sz w:val="20"/>
          <w:szCs w:val="20"/>
        </w:rPr>
        <w:t>Loza’s</w:t>
      </w:r>
      <w:proofErr w:type="spellEnd"/>
      <w:r w:rsidR="002A555A" w:rsidRPr="005C0994">
        <w:rPr>
          <w:rFonts w:asciiTheme="majorHAnsi" w:hAnsiTheme="majorHAnsi"/>
          <w:sz w:val="20"/>
          <w:szCs w:val="20"/>
        </w:rPr>
        <w:t xml:space="preserve"> due process rights had not been violated.</w:t>
      </w:r>
    </w:p>
    <w:p w14:paraId="36120EAC" w14:textId="77777777" w:rsidR="002A555A" w:rsidRPr="005C0994" w:rsidRDefault="002A555A" w:rsidP="002A555A">
      <w:pPr>
        <w:pStyle w:val="ListParagraph"/>
        <w:rPr>
          <w:rFonts w:asciiTheme="majorHAnsi" w:hAnsiTheme="majorHAnsi"/>
          <w:sz w:val="20"/>
          <w:szCs w:val="20"/>
        </w:rPr>
      </w:pPr>
    </w:p>
    <w:p w14:paraId="6DC9A324" w14:textId="77777777" w:rsidR="00596EFF" w:rsidRPr="005C0994" w:rsidRDefault="00297630" w:rsidP="002976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The State asserts that the petition’s challenge to the Ohio execution protocol </w:t>
      </w:r>
      <w:r w:rsidR="00860E35" w:rsidRPr="005C0994">
        <w:rPr>
          <w:rFonts w:asciiTheme="majorHAnsi" w:hAnsiTheme="majorHAnsi"/>
          <w:sz w:val="20"/>
          <w:szCs w:val="20"/>
        </w:rPr>
        <w:t xml:space="preserve">is without </w:t>
      </w:r>
      <w:r w:rsidR="008E1322" w:rsidRPr="005C0994">
        <w:rPr>
          <w:rFonts w:asciiTheme="majorHAnsi" w:hAnsiTheme="majorHAnsi"/>
          <w:sz w:val="20"/>
          <w:szCs w:val="20"/>
        </w:rPr>
        <w:t xml:space="preserve">merits </w:t>
      </w:r>
      <w:r w:rsidRPr="005C0994">
        <w:rPr>
          <w:rFonts w:asciiTheme="majorHAnsi" w:hAnsiTheme="majorHAnsi"/>
          <w:sz w:val="20"/>
          <w:szCs w:val="20"/>
        </w:rPr>
        <w:t xml:space="preserve">and fails to allege facts that tend to establish a violation of the American Declaration. </w:t>
      </w:r>
      <w:r w:rsidR="00860E35" w:rsidRPr="005C0994">
        <w:rPr>
          <w:rFonts w:asciiTheme="majorHAnsi" w:hAnsiTheme="majorHAnsi"/>
          <w:sz w:val="20"/>
          <w:szCs w:val="20"/>
        </w:rPr>
        <w:t>The United States asserts that the Commission should provide the State with a margin of appreciation, deferring to the discretion of local actors who are required to make difficult decisions based on their own factual assessments. It considers that the complicated medical and scientific circumstances in this matter counsel strongly in favor of deferring to the discretion of those responsible for decision-making and international bodies use this “margin of appreciation” standard to respec</w:t>
      </w:r>
      <w:r w:rsidR="00596EFF" w:rsidRPr="005C0994">
        <w:rPr>
          <w:rFonts w:asciiTheme="majorHAnsi" w:hAnsiTheme="majorHAnsi"/>
          <w:sz w:val="20"/>
          <w:szCs w:val="20"/>
        </w:rPr>
        <w:t xml:space="preserve">t state sovereignty. </w:t>
      </w:r>
    </w:p>
    <w:p w14:paraId="6B8480EE" w14:textId="77777777" w:rsidR="00596EFF" w:rsidRPr="005C0994" w:rsidRDefault="00596EFF" w:rsidP="00596EFF">
      <w:pPr>
        <w:pStyle w:val="ListParagraph"/>
        <w:rPr>
          <w:rFonts w:asciiTheme="majorHAnsi" w:hAnsiTheme="majorHAnsi"/>
          <w:sz w:val="20"/>
          <w:szCs w:val="20"/>
        </w:rPr>
      </w:pPr>
    </w:p>
    <w:p w14:paraId="5553172E" w14:textId="77777777" w:rsidR="00860E35" w:rsidRPr="005C0994" w:rsidRDefault="00596EFF" w:rsidP="002976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According to the United States, Ohio has complied with constitutional requirements by seeking to make lethal injections as humane as possible. It is asserted that lethal injection has been the state’s only method of execution and the Ohio Revised Code 2949.22 does not allow for an alternative method of execution unless (a) lethal injection is found unconstitutional, and (b) the alternative method is constitutional and subsequently prescribed by law. State claims that the petition does not provide a factual basis for the claim and relies on allegations that other states import and combine drugs. It alleges that this conclusion was reaffirmed by the U.S. Court of Appeals for the Sixth Circuit in 2017 which found that Ohio’s lethal injection procedure is the same as that which the U.S. Supreme Court had already upheld. </w:t>
      </w:r>
    </w:p>
    <w:p w14:paraId="6FAD2F20" w14:textId="77777777" w:rsidR="00860E35" w:rsidRPr="005C0994" w:rsidRDefault="00860E35" w:rsidP="00860E35">
      <w:pPr>
        <w:pStyle w:val="ListParagraph"/>
        <w:rPr>
          <w:rFonts w:asciiTheme="majorHAnsi" w:hAnsiTheme="majorHAnsi"/>
          <w:sz w:val="20"/>
          <w:szCs w:val="20"/>
        </w:rPr>
      </w:pPr>
    </w:p>
    <w:p w14:paraId="61F5E2A6" w14:textId="77777777" w:rsidR="006360C4" w:rsidRPr="005C0994" w:rsidRDefault="00C44A35" w:rsidP="006360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Finally, t</w:t>
      </w:r>
      <w:r w:rsidR="00A062DD" w:rsidRPr="005C0994">
        <w:rPr>
          <w:rFonts w:asciiTheme="majorHAnsi" w:hAnsiTheme="majorHAnsi"/>
          <w:sz w:val="20"/>
          <w:szCs w:val="20"/>
        </w:rPr>
        <w:t xml:space="preserve">he United States does not consider the Commission’s request for precautionary measures to be </w:t>
      </w:r>
      <w:r w:rsidR="00C548F2" w:rsidRPr="005C0994">
        <w:rPr>
          <w:rFonts w:asciiTheme="majorHAnsi" w:hAnsiTheme="majorHAnsi"/>
          <w:sz w:val="20"/>
          <w:szCs w:val="20"/>
        </w:rPr>
        <w:t>binding</w:t>
      </w:r>
      <w:r w:rsidR="00A062DD" w:rsidRPr="005C0994">
        <w:rPr>
          <w:rFonts w:asciiTheme="majorHAnsi" w:hAnsiTheme="majorHAnsi"/>
          <w:sz w:val="20"/>
          <w:szCs w:val="20"/>
        </w:rPr>
        <w:t xml:space="preserve"> upon it under international law, because the Commission does not have the authority to require that the United States adopt such measures</w:t>
      </w:r>
      <w:r w:rsidR="00162778" w:rsidRPr="005C0994">
        <w:rPr>
          <w:rFonts w:asciiTheme="majorHAnsi" w:hAnsiTheme="majorHAnsi"/>
          <w:sz w:val="20"/>
          <w:szCs w:val="20"/>
        </w:rPr>
        <w:t xml:space="preserve">. </w:t>
      </w:r>
    </w:p>
    <w:p w14:paraId="3104D63E" w14:textId="77777777" w:rsidR="00DD7F29" w:rsidRPr="005C0994" w:rsidRDefault="00DD7F29" w:rsidP="00DD7F2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219BDD7F" w14:textId="77777777" w:rsidR="009F382B" w:rsidRPr="005C0994" w:rsidRDefault="00DD7F29" w:rsidP="00AA7A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The State concludes that</w:t>
      </w:r>
      <w:r w:rsidR="00365C45" w:rsidRPr="005C0994">
        <w:rPr>
          <w:rFonts w:asciiTheme="majorHAnsi" w:hAnsiTheme="majorHAnsi"/>
          <w:sz w:val="20"/>
          <w:szCs w:val="20"/>
        </w:rPr>
        <w:t>,</w:t>
      </w:r>
      <w:r w:rsidRPr="005C0994">
        <w:rPr>
          <w:rFonts w:asciiTheme="majorHAnsi" w:hAnsiTheme="majorHAnsi"/>
          <w:sz w:val="20"/>
          <w:szCs w:val="20"/>
        </w:rPr>
        <w:t xml:space="preserve"> if admitted</w:t>
      </w:r>
      <w:r w:rsidR="00365C45" w:rsidRPr="005C0994">
        <w:rPr>
          <w:rFonts w:asciiTheme="majorHAnsi" w:hAnsiTheme="majorHAnsi"/>
          <w:sz w:val="20"/>
          <w:szCs w:val="20"/>
        </w:rPr>
        <w:t>,</w:t>
      </w:r>
      <w:r w:rsidRPr="005C0994">
        <w:rPr>
          <w:rFonts w:asciiTheme="majorHAnsi" w:hAnsiTheme="majorHAnsi"/>
          <w:sz w:val="20"/>
          <w:szCs w:val="20"/>
        </w:rPr>
        <w:t xml:space="preserve"> the petition is entirely without merit because it does not demonstrate a failure to live up to any United States commitments under the American Declaration. The State affirms that the Declaration is a nonbinding instrument that does not create legal rights or impose legal obligations on Member States of the Organization of American States (OAS), and that the Commission may issue recommendations but not binding orders. </w:t>
      </w:r>
      <w:r w:rsidR="00E272A4" w:rsidRPr="005C0994">
        <w:rPr>
          <w:rFonts w:asciiTheme="majorHAnsi" w:hAnsiTheme="majorHAnsi"/>
          <w:sz w:val="20"/>
          <w:szCs w:val="20"/>
        </w:rPr>
        <w:t>Moreover, it claims that the review of the arguments presented in the petition is also precluded by the Commission’s fourth instance formula and the Commission therefore lacks jurisdiction to review, as this would amount to mere disagreement with considered determinations of the United States state and federal courts, rendered in full conformity with United States commitments under the Declaration.</w:t>
      </w:r>
      <w:r w:rsidR="00122709" w:rsidRPr="005C0994">
        <w:rPr>
          <w:rFonts w:asciiTheme="majorHAnsi" w:hAnsiTheme="majorHAnsi"/>
          <w:sz w:val="20"/>
          <w:szCs w:val="20"/>
        </w:rPr>
        <w:t xml:space="preserve"> </w:t>
      </w:r>
    </w:p>
    <w:p w14:paraId="738D03DC" w14:textId="77777777" w:rsidR="005A0B5A" w:rsidRPr="005C0994" w:rsidRDefault="005A0B5A" w:rsidP="00E961D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03DA0E01" w14:textId="77777777" w:rsidR="00A473E3" w:rsidRPr="005C0994" w:rsidRDefault="00F516D3" w:rsidP="0081365E">
      <w:pPr>
        <w:pStyle w:val="Heading1"/>
        <w:tabs>
          <w:tab w:val="left" w:pos="360"/>
        </w:tabs>
        <w:spacing w:before="0"/>
        <w:ind w:hanging="720"/>
        <w:rPr>
          <w:color w:val="auto"/>
          <w:sz w:val="20"/>
          <w:szCs w:val="20"/>
        </w:rPr>
      </w:pPr>
      <w:bookmarkStart w:id="4" w:name="_Toc90297863"/>
      <w:r w:rsidRPr="005C0994">
        <w:rPr>
          <w:color w:val="auto"/>
          <w:sz w:val="20"/>
          <w:szCs w:val="20"/>
        </w:rPr>
        <w:t>ADMISSIBILITY</w:t>
      </w:r>
      <w:bookmarkEnd w:id="4"/>
      <w:r w:rsidR="0081365E" w:rsidRPr="005C0994">
        <w:rPr>
          <w:sz w:val="20"/>
          <w:szCs w:val="20"/>
        </w:rPr>
        <w:tab/>
      </w:r>
    </w:p>
    <w:p w14:paraId="5F57F23C" w14:textId="77777777" w:rsidR="00F516D3" w:rsidRPr="005C0994" w:rsidRDefault="00F516D3" w:rsidP="00F516D3">
      <w:pPr>
        <w:rPr>
          <w:rFonts w:asciiTheme="majorHAnsi" w:hAnsiTheme="majorHAnsi"/>
          <w:sz w:val="20"/>
          <w:szCs w:val="20"/>
        </w:rPr>
      </w:pPr>
    </w:p>
    <w:p w14:paraId="4BF4D8A3" w14:textId="77777777" w:rsidR="00F516D3" w:rsidRPr="005C0994" w:rsidRDefault="00F516D3" w:rsidP="001D75F2">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5" w:name="_Toc7602623"/>
      <w:bookmarkStart w:id="6" w:name="_Toc90297864"/>
      <w:bookmarkStart w:id="7" w:name="_Toc6349142"/>
      <w:r w:rsidRPr="005C0994">
        <w:rPr>
          <w:rFonts w:cs="Times New Roman"/>
          <w:color w:val="auto"/>
          <w:sz w:val="20"/>
          <w:szCs w:val="20"/>
        </w:rPr>
        <w:t xml:space="preserve">Competence, duplication of procedures and international </w:t>
      </w:r>
      <w:r w:rsidRPr="005C0994">
        <w:rPr>
          <w:rFonts w:cs="Times New Roman"/>
          <w:i/>
          <w:color w:val="auto"/>
          <w:sz w:val="20"/>
          <w:szCs w:val="20"/>
        </w:rPr>
        <w:t>res judicata</w:t>
      </w:r>
      <w:bookmarkEnd w:id="5"/>
      <w:bookmarkEnd w:id="6"/>
      <w:r w:rsidRPr="005C0994">
        <w:rPr>
          <w:rFonts w:cs="Times New Roman"/>
          <w:color w:val="auto"/>
          <w:sz w:val="20"/>
          <w:szCs w:val="20"/>
        </w:rPr>
        <w:t xml:space="preserve"> </w:t>
      </w:r>
      <w:bookmarkEnd w:id="7"/>
    </w:p>
    <w:p w14:paraId="0B27D430" w14:textId="77777777" w:rsidR="00947B86" w:rsidRPr="005C0994" w:rsidRDefault="00947B86" w:rsidP="00947B86">
      <w:pPr>
        <w:rPr>
          <w:rFonts w:asciiTheme="majorHAnsi" w:hAnsiTheme="majorHAnsi"/>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947B86" w:rsidRPr="005C0994" w14:paraId="5DD1400D" w14:textId="77777777" w:rsidTr="001D5FE4">
        <w:trPr>
          <w:cantSplit/>
        </w:trPr>
        <w:tc>
          <w:tcPr>
            <w:tcW w:w="3600" w:type="dxa"/>
            <w:tcBorders>
              <w:top w:val="single" w:sz="4" w:space="0" w:color="auto"/>
              <w:bottom w:val="single" w:sz="6" w:space="0" w:color="auto"/>
            </w:tcBorders>
            <w:shd w:val="clear" w:color="auto" w:fill="67AE3C"/>
            <w:vAlign w:val="center"/>
          </w:tcPr>
          <w:p w14:paraId="1203E94A" w14:textId="77777777" w:rsidR="00947B86" w:rsidRPr="005C0994" w:rsidRDefault="00947B86" w:rsidP="00E15217">
            <w:pPr>
              <w:jc w:val="center"/>
              <w:rPr>
                <w:rFonts w:asciiTheme="majorHAnsi" w:hAnsiTheme="majorHAnsi"/>
                <w:b/>
                <w:bCs/>
                <w:i/>
                <w:color w:val="FFFFFF" w:themeColor="background1"/>
                <w:sz w:val="20"/>
                <w:szCs w:val="20"/>
              </w:rPr>
            </w:pPr>
            <w:r w:rsidRPr="005C0994">
              <w:rPr>
                <w:rFonts w:asciiTheme="majorHAnsi" w:hAnsiTheme="majorHAnsi"/>
                <w:b/>
                <w:bCs/>
                <w:color w:val="FFFFFF" w:themeColor="background1"/>
                <w:sz w:val="20"/>
                <w:szCs w:val="20"/>
              </w:rPr>
              <w:t>Competence</w:t>
            </w:r>
            <w:r w:rsidRPr="005C0994">
              <w:rPr>
                <w:rFonts w:asciiTheme="majorHAnsi" w:hAnsiTheme="majorHAnsi"/>
                <w:b/>
                <w:bCs/>
                <w:i/>
                <w:color w:val="FFFFFF" w:themeColor="background1"/>
                <w:sz w:val="20"/>
                <w:szCs w:val="20"/>
              </w:rPr>
              <w:t xml:space="preserve"> </w:t>
            </w:r>
            <w:proofErr w:type="spellStart"/>
            <w:r w:rsidRPr="005C0994">
              <w:rPr>
                <w:rFonts w:asciiTheme="majorHAnsi" w:hAnsiTheme="majorHAnsi"/>
                <w:b/>
                <w:bCs/>
                <w:i/>
                <w:color w:val="FFFFFF" w:themeColor="background1"/>
                <w:sz w:val="20"/>
                <w:szCs w:val="20"/>
              </w:rPr>
              <w:t>Ratione</w:t>
            </w:r>
            <w:proofErr w:type="spellEnd"/>
            <w:r w:rsidRPr="005C0994">
              <w:rPr>
                <w:rFonts w:asciiTheme="majorHAnsi" w:hAnsiTheme="majorHAnsi"/>
                <w:b/>
                <w:bCs/>
                <w:i/>
                <w:color w:val="FFFFFF" w:themeColor="background1"/>
                <w:sz w:val="20"/>
                <w:szCs w:val="20"/>
              </w:rPr>
              <w:t xml:space="preserve"> personae:</w:t>
            </w:r>
          </w:p>
        </w:tc>
        <w:tc>
          <w:tcPr>
            <w:tcW w:w="5760" w:type="dxa"/>
            <w:vAlign w:val="center"/>
          </w:tcPr>
          <w:p w14:paraId="3B198A09" w14:textId="77777777" w:rsidR="00947B86" w:rsidRPr="005C0994" w:rsidRDefault="00947B86" w:rsidP="00E15217">
            <w:pPr>
              <w:rPr>
                <w:rFonts w:asciiTheme="majorHAnsi" w:hAnsiTheme="majorHAnsi"/>
                <w:bCs/>
                <w:sz w:val="20"/>
                <w:szCs w:val="20"/>
              </w:rPr>
            </w:pPr>
            <w:r w:rsidRPr="005C0994">
              <w:rPr>
                <w:rFonts w:asciiTheme="majorHAnsi" w:hAnsiTheme="majorHAnsi"/>
                <w:bCs/>
                <w:sz w:val="20"/>
                <w:szCs w:val="20"/>
              </w:rPr>
              <w:t>Yes</w:t>
            </w:r>
          </w:p>
        </w:tc>
      </w:tr>
      <w:tr w:rsidR="00947B86" w:rsidRPr="005C0994" w14:paraId="0D11BC2C" w14:textId="77777777" w:rsidTr="001D5FE4">
        <w:trPr>
          <w:cantSplit/>
        </w:trPr>
        <w:tc>
          <w:tcPr>
            <w:tcW w:w="3600" w:type="dxa"/>
            <w:tcBorders>
              <w:top w:val="single" w:sz="6" w:space="0" w:color="auto"/>
              <w:bottom w:val="single" w:sz="6" w:space="0" w:color="auto"/>
            </w:tcBorders>
            <w:shd w:val="clear" w:color="auto" w:fill="67AE3C"/>
            <w:vAlign w:val="center"/>
          </w:tcPr>
          <w:p w14:paraId="3F93292F" w14:textId="77777777" w:rsidR="00947B86" w:rsidRPr="005C0994" w:rsidRDefault="00947B86" w:rsidP="00E15217">
            <w:pPr>
              <w:jc w:val="center"/>
              <w:rPr>
                <w:rFonts w:asciiTheme="majorHAnsi" w:hAnsiTheme="majorHAnsi"/>
                <w:b/>
                <w:bCs/>
                <w:color w:val="FFFFFF" w:themeColor="background1"/>
                <w:sz w:val="20"/>
                <w:szCs w:val="20"/>
              </w:rPr>
            </w:pPr>
            <w:r w:rsidRPr="005C0994">
              <w:rPr>
                <w:rFonts w:asciiTheme="majorHAnsi" w:hAnsiTheme="majorHAnsi"/>
                <w:b/>
                <w:bCs/>
                <w:color w:val="FFFFFF" w:themeColor="background1"/>
                <w:sz w:val="20"/>
                <w:szCs w:val="20"/>
              </w:rPr>
              <w:t>Competence</w:t>
            </w:r>
            <w:r w:rsidRPr="005C0994">
              <w:rPr>
                <w:rFonts w:asciiTheme="majorHAnsi" w:hAnsiTheme="majorHAnsi"/>
                <w:b/>
                <w:bCs/>
                <w:i/>
                <w:color w:val="FFFFFF" w:themeColor="background1"/>
                <w:sz w:val="20"/>
                <w:szCs w:val="20"/>
              </w:rPr>
              <w:t xml:space="preserve"> </w:t>
            </w:r>
            <w:proofErr w:type="spellStart"/>
            <w:r w:rsidRPr="005C0994">
              <w:rPr>
                <w:rFonts w:asciiTheme="majorHAnsi" w:hAnsiTheme="majorHAnsi"/>
                <w:b/>
                <w:bCs/>
                <w:i/>
                <w:color w:val="FFFFFF" w:themeColor="background1"/>
                <w:sz w:val="20"/>
                <w:szCs w:val="20"/>
              </w:rPr>
              <w:t>Ratione</w:t>
            </w:r>
            <w:proofErr w:type="spellEnd"/>
            <w:r w:rsidRPr="005C0994">
              <w:rPr>
                <w:rFonts w:asciiTheme="majorHAnsi" w:hAnsiTheme="majorHAnsi"/>
                <w:b/>
                <w:bCs/>
                <w:i/>
                <w:color w:val="FFFFFF" w:themeColor="background1"/>
                <w:sz w:val="20"/>
                <w:szCs w:val="20"/>
              </w:rPr>
              <w:t xml:space="preserve"> loci</w:t>
            </w:r>
            <w:r w:rsidRPr="005C0994">
              <w:rPr>
                <w:rFonts w:asciiTheme="majorHAnsi" w:hAnsiTheme="majorHAnsi"/>
                <w:b/>
                <w:bCs/>
                <w:color w:val="FFFFFF" w:themeColor="background1"/>
                <w:sz w:val="20"/>
                <w:szCs w:val="20"/>
              </w:rPr>
              <w:t>:</w:t>
            </w:r>
          </w:p>
        </w:tc>
        <w:tc>
          <w:tcPr>
            <w:tcW w:w="5760" w:type="dxa"/>
            <w:vAlign w:val="center"/>
          </w:tcPr>
          <w:p w14:paraId="0B9FD096" w14:textId="77777777" w:rsidR="00947B86" w:rsidRPr="005C0994" w:rsidRDefault="00947B86" w:rsidP="00E15217">
            <w:pPr>
              <w:rPr>
                <w:rFonts w:asciiTheme="majorHAnsi" w:hAnsiTheme="majorHAnsi"/>
                <w:bCs/>
                <w:sz w:val="20"/>
                <w:szCs w:val="20"/>
              </w:rPr>
            </w:pPr>
            <w:r w:rsidRPr="005C0994">
              <w:rPr>
                <w:rFonts w:asciiTheme="majorHAnsi" w:hAnsiTheme="majorHAnsi"/>
                <w:bCs/>
                <w:sz w:val="20"/>
                <w:szCs w:val="20"/>
              </w:rPr>
              <w:t>Yes</w:t>
            </w:r>
          </w:p>
        </w:tc>
      </w:tr>
      <w:tr w:rsidR="00947B86" w:rsidRPr="005C0994" w14:paraId="58302CA7" w14:textId="77777777" w:rsidTr="001D5FE4">
        <w:trPr>
          <w:cantSplit/>
        </w:trPr>
        <w:tc>
          <w:tcPr>
            <w:tcW w:w="3600" w:type="dxa"/>
            <w:tcBorders>
              <w:top w:val="single" w:sz="6" w:space="0" w:color="auto"/>
              <w:bottom w:val="single" w:sz="6" w:space="0" w:color="auto"/>
            </w:tcBorders>
            <w:shd w:val="clear" w:color="auto" w:fill="67AE3C"/>
            <w:vAlign w:val="center"/>
          </w:tcPr>
          <w:p w14:paraId="7C6CA7DE" w14:textId="77777777" w:rsidR="00947B86" w:rsidRPr="005C0994" w:rsidRDefault="00947B86" w:rsidP="00E15217">
            <w:pPr>
              <w:jc w:val="center"/>
              <w:rPr>
                <w:rFonts w:asciiTheme="majorHAnsi" w:hAnsiTheme="majorHAnsi"/>
                <w:b/>
                <w:bCs/>
                <w:color w:val="FFFFFF" w:themeColor="background1"/>
                <w:sz w:val="20"/>
                <w:szCs w:val="20"/>
              </w:rPr>
            </w:pPr>
            <w:r w:rsidRPr="005C0994">
              <w:rPr>
                <w:rFonts w:asciiTheme="majorHAnsi" w:hAnsiTheme="majorHAnsi"/>
                <w:b/>
                <w:bCs/>
                <w:color w:val="FFFFFF" w:themeColor="background1"/>
                <w:sz w:val="20"/>
                <w:szCs w:val="20"/>
              </w:rPr>
              <w:t>Competence</w:t>
            </w:r>
            <w:r w:rsidRPr="005C0994">
              <w:rPr>
                <w:rFonts w:asciiTheme="majorHAnsi" w:hAnsiTheme="majorHAnsi"/>
                <w:b/>
                <w:bCs/>
                <w:i/>
                <w:color w:val="FFFFFF" w:themeColor="background1"/>
                <w:sz w:val="20"/>
                <w:szCs w:val="20"/>
              </w:rPr>
              <w:t xml:space="preserve"> </w:t>
            </w:r>
            <w:proofErr w:type="spellStart"/>
            <w:r w:rsidRPr="005C0994">
              <w:rPr>
                <w:rFonts w:asciiTheme="majorHAnsi" w:hAnsiTheme="majorHAnsi"/>
                <w:b/>
                <w:bCs/>
                <w:i/>
                <w:color w:val="FFFFFF" w:themeColor="background1"/>
                <w:sz w:val="20"/>
                <w:szCs w:val="20"/>
              </w:rPr>
              <w:t>Ratione</w:t>
            </w:r>
            <w:proofErr w:type="spellEnd"/>
            <w:r w:rsidRPr="005C0994">
              <w:rPr>
                <w:rFonts w:asciiTheme="majorHAnsi" w:hAnsiTheme="majorHAnsi"/>
                <w:b/>
                <w:bCs/>
                <w:i/>
                <w:color w:val="FFFFFF" w:themeColor="background1"/>
                <w:sz w:val="20"/>
                <w:szCs w:val="20"/>
              </w:rPr>
              <w:t xml:space="preserve"> </w:t>
            </w:r>
            <w:proofErr w:type="spellStart"/>
            <w:r w:rsidRPr="005C0994">
              <w:rPr>
                <w:rFonts w:asciiTheme="majorHAnsi" w:hAnsiTheme="majorHAnsi"/>
                <w:b/>
                <w:bCs/>
                <w:i/>
                <w:color w:val="FFFFFF" w:themeColor="background1"/>
                <w:sz w:val="20"/>
                <w:szCs w:val="20"/>
              </w:rPr>
              <w:t>temporis</w:t>
            </w:r>
            <w:proofErr w:type="spellEnd"/>
            <w:r w:rsidRPr="005C0994">
              <w:rPr>
                <w:rFonts w:asciiTheme="majorHAnsi" w:hAnsiTheme="majorHAnsi"/>
                <w:b/>
                <w:bCs/>
                <w:color w:val="FFFFFF" w:themeColor="background1"/>
                <w:sz w:val="20"/>
                <w:szCs w:val="20"/>
              </w:rPr>
              <w:t>:</w:t>
            </w:r>
          </w:p>
        </w:tc>
        <w:tc>
          <w:tcPr>
            <w:tcW w:w="5760" w:type="dxa"/>
            <w:vAlign w:val="center"/>
          </w:tcPr>
          <w:p w14:paraId="6F70DF37" w14:textId="77777777" w:rsidR="00947B86" w:rsidRPr="005C0994" w:rsidRDefault="00947B86" w:rsidP="00E15217">
            <w:pPr>
              <w:rPr>
                <w:rFonts w:asciiTheme="majorHAnsi" w:hAnsiTheme="majorHAnsi"/>
                <w:bCs/>
                <w:sz w:val="20"/>
                <w:szCs w:val="20"/>
              </w:rPr>
            </w:pPr>
            <w:r w:rsidRPr="005C0994">
              <w:rPr>
                <w:rFonts w:asciiTheme="majorHAnsi" w:hAnsiTheme="majorHAnsi"/>
                <w:bCs/>
                <w:sz w:val="20"/>
                <w:szCs w:val="20"/>
              </w:rPr>
              <w:t>Yes</w:t>
            </w:r>
          </w:p>
        </w:tc>
      </w:tr>
      <w:tr w:rsidR="00947B86" w:rsidRPr="005C0994" w14:paraId="1660CBDB" w14:textId="77777777" w:rsidTr="001D5FE4">
        <w:trPr>
          <w:cantSplit/>
        </w:trPr>
        <w:tc>
          <w:tcPr>
            <w:tcW w:w="3600" w:type="dxa"/>
            <w:tcBorders>
              <w:top w:val="single" w:sz="6" w:space="0" w:color="auto"/>
              <w:bottom w:val="single" w:sz="6" w:space="0" w:color="auto"/>
            </w:tcBorders>
            <w:shd w:val="clear" w:color="auto" w:fill="67AE3C"/>
            <w:vAlign w:val="center"/>
          </w:tcPr>
          <w:p w14:paraId="4B2DDD42" w14:textId="77777777" w:rsidR="00947B86" w:rsidRPr="005C0994" w:rsidRDefault="00947B86" w:rsidP="00E15217">
            <w:pPr>
              <w:jc w:val="center"/>
              <w:rPr>
                <w:rFonts w:asciiTheme="majorHAnsi" w:hAnsiTheme="majorHAnsi"/>
                <w:b/>
                <w:bCs/>
                <w:color w:val="FFFFFF" w:themeColor="background1"/>
                <w:sz w:val="20"/>
                <w:szCs w:val="20"/>
              </w:rPr>
            </w:pPr>
            <w:r w:rsidRPr="005C0994">
              <w:rPr>
                <w:rFonts w:asciiTheme="majorHAnsi" w:hAnsiTheme="majorHAnsi"/>
                <w:b/>
                <w:bCs/>
                <w:color w:val="FFFFFF" w:themeColor="background1"/>
                <w:sz w:val="20"/>
                <w:szCs w:val="20"/>
              </w:rPr>
              <w:t>Competence</w:t>
            </w:r>
            <w:r w:rsidRPr="005C0994">
              <w:rPr>
                <w:rFonts w:asciiTheme="majorHAnsi" w:hAnsiTheme="majorHAnsi"/>
                <w:b/>
                <w:bCs/>
                <w:i/>
                <w:color w:val="FFFFFF" w:themeColor="background1"/>
                <w:sz w:val="20"/>
                <w:szCs w:val="20"/>
              </w:rPr>
              <w:t xml:space="preserve"> </w:t>
            </w:r>
            <w:proofErr w:type="spellStart"/>
            <w:r w:rsidRPr="005C0994">
              <w:rPr>
                <w:rFonts w:asciiTheme="majorHAnsi" w:hAnsiTheme="majorHAnsi"/>
                <w:b/>
                <w:bCs/>
                <w:i/>
                <w:color w:val="FFFFFF" w:themeColor="background1"/>
                <w:sz w:val="20"/>
                <w:szCs w:val="20"/>
              </w:rPr>
              <w:t>Ratione</w:t>
            </w:r>
            <w:proofErr w:type="spellEnd"/>
            <w:r w:rsidRPr="005C0994">
              <w:rPr>
                <w:rFonts w:asciiTheme="majorHAnsi" w:hAnsiTheme="majorHAnsi"/>
                <w:b/>
                <w:bCs/>
                <w:i/>
                <w:color w:val="FFFFFF" w:themeColor="background1"/>
                <w:sz w:val="20"/>
                <w:szCs w:val="20"/>
              </w:rPr>
              <w:t xml:space="preserve"> </w:t>
            </w:r>
            <w:proofErr w:type="spellStart"/>
            <w:r w:rsidRPr="005C0994">
              <w:rPr>
                <w:rFonts w:asciiTheme="majorHAnsi" w:hAnsiTheme="majorHAnsi"/>
                <w:b/>
                <w:bCs/>
                <w:i/>
                <w:color w:val="FFFFFF" w:themeColor="background1"/>
                <w:sz w:val="20"/>
                <w:szCs w:val="20"/>
              </w:rPr>
              <w:t>materiae</w:t>
            </w:r>
            <w:proofErr w:type="spellEnd"/>
            <w:r w:rsidRPr="005C0994">
              <w:rPr>
                <w:rFonts w:asciiTheme="majorHAnsi" w:hAnsiTheme="majorHAnsi"/>
                <w:b/>
                <w:bCs/>
                <w:color w:val="FFFFFF" w:themeColor="background1"/>
                <w:sz w:val="20"/>
                <w:szCs w:val="20"/>
              </w:rPr>
              <w:t>:</w:t>
            </w:r>
          </w:p>
        </w:tc>
        <w:tc>
          <w:tcPr>
            <w:tcW w:w="5760" w:type="dxa"/>
            <w:vAlign w:val="center"/>
          </w:tcPr>
          <w:p w14:paraId="398DF79B" w14:textId="77777777" w:rsidR="00947B86" w:rsidRPr="005C0994" w:rsidRDefault="00947B86" w:rsidP="0010625B">
            <w:pPr>
              <w:jc w:val="both"/>
              <w:rPr>
                <w:rFonts w:asciiTheme="majorHAnsi" w:hAnsiTheme="majorHAnsi"/>
                <w:bCs/>
                <w:sz w:val="20"/>
                <w:szCs w:val="20"/>
              </w:rPr>
            </w:pPr>
            <w:r w:rsidRPr="005C0994">
              <w:rPr>
                <w:rFonts w:asciiTheme="majorHAnsi" w:hAnsiTheme="majorHAnsi"/>
                <w:bCs/>
                <w:sz w:val="20"/>
                <w:szCs w:val="20"/>
              </w:rPr>
              <w:t>Yes, American Declaration of the Rights and Duties of Man (ratification of the OAS Charter on June 19, 1951)</w:t>
            </w:r>
          </w:p>
        </w:tc>
      </w:tr>
      <w:tr w:rsidR="00947B86" w:rsidRPr="005C0994" w14:paraId="5B1B2E6B" w14:textId="77777777" w:rsidTr="001D5FE4">
        <w:trPr>
          <w:cantSplit/>
        </w:trPr>
        <w:tc>
          <w:tcPr>
            <w:tcW w:w="3600" w:type="dxa"/>
            <w:tcBorders>
              <w:top w:val="single" w:sz="6" w:space="0" w:color="auto"/>
              <w:bottom w:val="single" w:sz="6" w:space="0" w:color="auto"/>
            </w:tcBorders>
            <w:shd w:val="clear" w:color="auto" w:fill="67AE3C"/>
            <w:vAlign w:val="center"/>
          </w:tcPr>
          <w:p w14:paraId="1A793C2B" w14:textId="77777777" w:rsidR="00947B86" w:rsidRPr="005C0994" w:rsidRDefault="00947B86" w:rsidP="00E15217">
            <w:pPr>
              <w:jc w:val="center"/>
              <w:rPr>
                <w:rFonts w:asciiTheme="majorHAnsi" w:hAnsiTheme="majorHAnsi"/>
                <w:b/>
                <w:bCs/>
                <w:color w:val="FFFFFF" w:themeColor="background1"/>
                <w:sz w:val="20"/>
                <w:szCs w:val="20"/>
              </w:rPr>
            </w:pPr>
            <w:r w:rsidRPr="005C0994">
              <w:rPr>
                <w:rFonts w:asciiTheme="majorHAnsi" w:hAnsiTheme="majorHAnsi"/>
                <w:b/>
                <w:bCs/>
                <w:color w:val="FFFFFF" w:themeColor="background1"/>
                <w:sz w:val="20"/>
                <w:szCs w:val="20"/>
              </w:rPr>
              <w:t xml:space="preserve">Duplication of procedures and international </w:t>
            </w:r>
            <w:r w:rsidRPr="005C0994">
              <w:rPr>
                <w:rFonts w:asciiTheme="majorHAnsi" w:hAnsiTheme="majorHAnsi"/>
                <w:b/>
                <w:bCs/>
                <w:i/>
                <w:iCs/>
                <w:color w:val="FFFFFF" w:themeColor="background1"/>
                <w:sz w:val="20"/>
                <w:szCs w:val="20"/>
              </w:rPr>
              <w:t>res judicata</w:t>
            </w:r>
            <w:r w:rsidRPr="005C0994">
              <w:rPr>
                <w:rFonts w:asciiTheme="majorHAnsi" w:hAnsiTheme="majorHAnsi"/>
                <w:b/>
                <w:bCs/>
                <w:color w:val="FFFFFF" w:themeColor="background1"/>
                <w:sz w:val="20"/>
                <w:szCs w:val="20"/>
              </w:rPr>
              <w:t>:</w:t>
            </w:r>
          </w:p>
        </w:tc>
        <w:tc>
          <w:tcPr>
            <w:tcW w:w="5760" w:type="dxa"/>
            <w:vAlign w:val="center"/>
          </w:tcPr>
          <w:p w14:paraId="38060C85" w14:textId="77777777" w:rsidR="00947B86" w:rsidRPr="005C0994" w:rsidRDefault="00947B86" w:rsidP="00E15217">
            <w:pPr>
              <w:jc w:val="both"/>
              <w:rPr>
                <w:rFonts w:asciiTheme="majorHAnsi" w:hAnsiTheme="majorHAnsi"/>
                <w:bCs/>
                <w:sz w:val="20"/>
                <w:szCs w:val="20"/>
              </w:rPr>
            </w:pPr>
            <w:r w:rsidRPr="005C0994">
              <w:rPr>
                <w:rFonts w:asciiTheme="majorHAnsi" w:hAnsiTheme="majorHAnsi"/>
                <w:bCs/>
                <w:sz w:val="20"/>
                <w:szCs w:val="20"/>
              </w:rPr>
              <w:t>No</w:t>
            </w:r>
          </w:p>
        </w:tc>
      </w:tr>
    </w:tbl>
    <w:p w14:paraId="3CD0B27C" w14:textId="77777777" w:rsidR="0081365E" w:rsidRPr="005C0994" w:rsidRDefault="0081365E" w:rsidP="0081365E">
      <w:pPr>
        <w:rPr>
          <w:rFonts w:asciiTheme="majorHAnsi" w:hAnsiTheme="majorHAnsi"/>
          <w:sz w:val="20"/>
          <w:szCs w:val="20"/>
        </w:rPr>
      </w:pPr>
    </w:p>
    <w:p w14:paraId="2D5C234D" w14:textId="77777777" w:rsidR="009D0B9F" w:rsidRPr="005C0994" w:rsidRDefault="00B3401D" w:rsidP="00626F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T</w:t>
      </w:r>
      <w:r w:rsidR="009D0B9F" w:rsidRPr="005C0994">
        <w:rPr>
          <w:rFonts w:asciiTheme="majorHAnsi" w:hAnsiTheme="majorHAnsi"/>
          <w:sz w:val="20"/>
          <w:szCs w:val="20"/>
        </w:rPr>
        <w:t>he IACHR notes the State’s position that the Commission does not have competence to review claims arising under the Vienna Convention. As it will be addressed below, while the Commission has no jurisdiction to find a violation of such provisions, it may consider them for the purpose of evaluating the State’s compliance with a foreign national’s due process rights under the American Declaration.</w:t>
      </w:r>
    </w:p>
    <w:p w14:paraId="42C31C29" w14:textId="77777777" w:rsidR="009D0B9F" w:rsidRPr="005C0994" w:rsidRDefault="009D0B9F" w:rsidP="009D0B9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jc w:val="both"/>
        <w:rPr>
          <w:rFonts w:asciiTheme="majorHAnsi" w:hAnsiTheme="majorHAnsi"/>
          <w:sz w:val="20"/>
          <w:szCs w:val="20"/>
        </w:rPr>
      </w:pPr>
    </w:p>
    <w:p w14:paraId="521C2CE8" w14:textId="77777777" w:rsidR="00F516D3" w:rsidRPr="005C0994" w:rsidRDefault="00317FC6"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ahoma"/>
          <w:color w:val="auto"/>
          <w:sz w:val="20"/>
          <w:szCs w:val="20"/>
          <w:shd w:val="clear" w:color="auto" w:fill="FFFFFF"/>
        </w:rPr>
      </w:pPr>
      <w:bookmarkStart w:id="8" w:name="_Toc90297865"/>
      <w:r w:rsidRPr="005C0994">
        <w:rPr>
          <w:rFonts w:cs="Tahoma"/>
          <w:color w:val="auto"/>
          <w:sz w:val="20"/>
          <w:szCs w:val="20"/>
          <w:shd w:val="clear" w:color="auto" w:fill="FFFFFF"/>
        </w:rPr>
        <w:t>Exhaustion of domestic remedies and timeliness of the petition</w:t>
      </w:r>
      <w:bookmarkEnd w:id="8"/>
    </w:p>
    <w:p w14:paraId="1DF39C38" w14:textId="77777777" w:rsidR="00D94F44" w:rsidRPr="005C0994" w:rsidRDefault="00D94F44" w:rsidP="00D94F44">
      <w:pPr>
        <w:rPr>
          <w:rFonts w:asciiTheme="majorHAnsi" w:hAnsiTheme="majorHAnsi"/>
          <w:color w:val="FF0000"/>
          <w:sz w:val="20"/>
          <w:szCs w:val="20"/>
        </w:rPr>
      </w:pPr>
    </w:p>
    <w:p w14:paraId="25BCE550" w14:textId="77777777" w:rsidR="00F652F0" w:rsidRPr="005C0994" w:rsidRDefault="00DA36AE" w:rsidP="009649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According to the information available, and as established in </w:t>
      </w:r>
      <w:r w:rsidR="00C5237D" w:rsidRPr="005C0994">
        <w:rPr>
          <w:rFonts w:asciiTheme="majorHAnsi" w:hAnsiTheme="majorHAnsi"/>
          <w:sz w:val="20"/>
          <w:szCs w:val="20"/>
        </w:rPr>
        <w:t>the facts described below</w:t>
      </w:r>
      <w:r w:rsidR="00FE5C4B" w:rsidRPr="005C0994">
        <w:rPr>
          <w:rFonts w:asciiTheme="majorHAnsi" w:hAnsiTheme="majorHAnsi"/>
          <w:sz w:val="20"/>
          <w:szCs w:val="20"/>
        </w:rPr>
        <w:t>,</w:t>
      </w:r>
      <w:r w:rsidR="00457974" w:rsidRPr="005C0994">
        <w:rPr>
          <w:rFonts w:asciiTheme="majorHAnsi" w:hAnsiTheme="majorHAnsi"/>
          <w:sz w:val="20"/>
          <w:szCs w:val="20"/>
        </w:rPr>
        <w:t xml:space="preserve"> Mr. </w:t>
      </w:r>
      <w:proofErr w:type="spellStart"/>
      <w:r w:rsidR="00457974" w:rsidRPr="005C0994">
        <w:rPr>
          <w:rFonts w:asciiTheme="majorHAnsi" w:hAnsiTheme="majorHAnsi"/>
          <w:sz w:val="20"/>
          <w:szCs w:val="20"/>
        </w:rPr>
        <w:t>Loza</w:t>
      </w:r>
      <w:proofErr w:type="spellEnd"/>
      <w:r w:rsidR="00457974" w:rsidRPr="005C0994">
        <w:rPr>
          <w:rFonts w:asciiTheme="majorHAnsi" w:hAnsiTheme="majorHAnsi"/>
          <w:sz w:val="20"/>
          <w:szCs w:val="20"/>
        </w:rPr>
        <w:t xml:space="preserve"> </w:t>
      </w:r>
      <w:r w:rsidR="00FE5C4B" w:rsidRPr="005C0994">
        <w:rPr>
          <w:rFonts w:asciiTheme="majorHAnsi" w:hAnsiTheme="majorHAnsi"/>
          <w:sz w:val="20"/>
          <w:szCs w:val="20"/>
        </w:rPr>
        <w:t>was found guilty on</w:t>
      </w:r>
      <w:r w:rsidR="00457974" w:rsidRPr="005C0994">
        <w:rPr>
          <w:rFonts w:asciiTheme="majorHAnsi" w:hAnsiTheme="majorHAnsi"/>
          <w:sz w:val="20"/>
          <w:szCs w:val="20"/>
        </w:rPr>
        <w:t xml:space="preserve"> four counts of aggravated murder</w:t>
      </w:r>
      <w:r w:rsidR="00FE5C4B" w:rsidRPr="005C0994">
        <w:rPr>
          <w:rFonts w:asciiTheme="majorHAnsi" w:hAnsiTheme="majorHAnsi"/>
          <w:sz w:val="20"/>
          <w:szCs w:val="20"/>
        </w:rPr>
        <w:t xml:space="preserve"> on October 31, 1991</w:t>
      </w:r>
      <w:r w:rsidR="00964917" w:rsidRPr="005C0994">
        <w:rPr>
          <w:rFonts w:asciiTheme="majorHAnsi" w:hAnsiTheme="majorHAnsi"/>
          <w:sz w:val="20"/>
          <w:szCs w:val="20"/>
        </w:rPr>
        <w:t xml:space="preserve"> and sentenced to death</w:t>
      </w:r>
      <w:r w:rsidR="00457974" w:rsidRPr="005C0994">
        <w:rPr>
          <w:rFonts w:asciiTheme="majorHAnsi" w:hAnsiTheme="majorHAnsi"/>
          <w:sz w:val="20"/>
          <w:szCs w:val="20"/>
        </w:rPr>
        <w:t>.</w:t>
      </w:r>
      <w:r w:rsidR="00457974" w:rsidRPr="005C0994">
        <w:rPr>
          <w:rStyle w:val="FootnoteReference"/>
          <w:rFonts w:asciiTheme="majorHAnsi" w:hAnsiTheme="majorHAnsi"/>
          <w:sz w:val="20"/>
          <w:szCs w:val="20"/>
        </w:rPr>
        <w:footnoteReference w:id="3"/>
      </w:r>
      <w:r w:rsidR="00457974" w:rsidRPr="005C0994">
        <w:rPr>
          <w:rFonts w:asciiTheme="majorHAnsi" w:hAnsiTheme="majorHAnsi"/>
          <w:sz w:val="20"/>
          <w:szCs w:val="20"/>
        </w:rPr>
        <w:t xml:space="preserve"> The Ohio Court of Appeals affirmed the convictions and sentences</w:t>
      </w:r>
      <w:r w:rsidR="00457974" w:rsidRPr="005C0994">
        <w:rPr>
          <w:rStyle w:val="FootnoteReference"/>
          <w:rFonts w:asciiTheme="majorHAnsi" w:hAnsiTheme="majorHAnsi"/>
          <w:sz w:val="20"/>
          <w:szCs w:val="20"/>
        </w:rPr>
        <w:footnoteReference w:id="4"/>
      </w:r>
      <w:r w:rsidR="00457974" w:rsidRPr="005C0994">
        <w:rPr>
          <w:rFonts w:asciiTheme="majorHAnsi" w:hAnsiTheme="majorHAnsi"/>
          <w:sz w:val="20"/>
          <w:szCs w:val="20"/>
        </w:rPr>
        <w:t xml:space="preserve"> </w:t>
      </w:r>
      <w:r w:rsidR="00FE5C4B" w:rsidRPr="005C0994">
        <w:rPr>
          <w:rFonts w:asciiTheme="majorHAnsi" w:hAnsiTheme="majorHAnsi"/>
          <w:sz w:val="20"/>
          <w:szCs w:val="20"/>
        </w:rPr>
        <w:t>and on</w:t>
      </w:r>
      <w:r w:rsidR="00457974" w:rsidRPr="005C0994">
        <w:rPr>
          <w:rFonts w:asciiTheme="majorHAnsi" w:hAnsiTheme="majorHAnsi"/>
          <w:sz w:val="20"/>
          <w:szCs w:val="20"/>
        </w:rPr>
        <w:t xml:space="preserve"> November 27, 1995, Mr. </w:t>
      </w:r>
      <w:proofErr w:type="spellStart"/>
      <w:r w:rsidR="00457974" w:rsidRPr="005C0994">
        <w:rPr>
          <w:rFonts w:asciiTheme="majorHAnsi" w:hAnsiTheme="majorHAnsi"/>
          <w:sz w:val="20"/>
          <w:szCs w:val="20"/>
        </w:rPr>
        <w:t>Loza</w:t>
      </w:r>
      <w:proofErr w:type="spellEnd"/>
      <w:r w:rsidR="00457974" w:rsidRPr="005C0994">
        <w:rPr>
          <w:rFonts w:asciiTheme="majorHAnsi" w:hAnsiTheme="majorHAnsi"/>
          <w:sz w:val="20"/>
          <w:szCs w:val="20"/>
        </w:rPr>
        <w:t xml:space="preserve"> filed a petition for post-conviction relief, a motion for discovery, and a motion requesting review of p</w:t>
      </w:r>
      <w:r w:rsidR="00FE5C4B" w:rsidRPr="005C0994">
        <w:rPr>
          <w:rFonts w:asciiTheme="majorHAnsi" w:hAnsiTheme="majorHAnsi"/>
          <w:sz w:val="20"/>
          <w:szCs w:val="20"/>
        </w:rPr>
        <w:t>rosecutorial and police files. Further, o</w:t>
      </w:r>
      <w:r w:rsidR="00457974" w:rsidRPr="005C0994">
        <w:rPr>
          <w:rFonts w:asciiTheme="majorHAnsi" w:hAnsiTheme="majorHAnsi"/>
          <w:sz w:val="20"/>
          <w:szCs w:val="20"/>
        </w:rPr>
        <w:t xml:space="preserve">n December 7, 1995, he filed a motion for discovery on the discriminatory enforcement of the death penalty in Butler County, Ohio. On September 24, 1996, the trial court, issued a decision that denied all of his motions and dismissed his petition for post-conviction relief. The decision was appealed </w:t>
      </w:r>
      <w:r w:rsidR="008B768E" w:rsidRPr="005C0994">
        <w:rPr>
          <w:rFonts w:asciiTheme="majorHAnsi" w:hAnsiTheme="majorHAnsi"/>
          <w:sz w:val="20"/>
          <w:szCs w:val="20"/>
        </w:rPr>
        <w:t>and on</w:t>
      </w:r>
      <w:r w:rsidR="00964917" w:rsidRPr="005C0994">
        <w:rPr>
          <w:rFonts w:asciiTheme="majorHAnsi" w:hAnsiTheme="majorHAnsi"/>
          <w:sz w:val="20"/>
          <w:szCs w:val="20"/>
        </w:rPr>
        <w:t xml:space="preserve"> </w:t>
      </w:r>
      <w:r w:rsidR="00457974" w:rsidRPr="005C0994">
        <w:rPr>
          <w:rFonts w:asciiTheme="majorHAnsi" w:hAnsiTheme="majorHAnsi"/>
          <w:sz w:val="20"/>
          <w:szCs w:val="20"/>
        </w:rPr>
        <w:t xml:space="preserve">October 13, 1997 the Ohio Court of Appeals affirmed the County Court’s denial of post-conviction relief and the Ohio </w:t>
      </w:r>
      <w:r w:rsidR="00457974" w:rsidRPr="005C0994">
        <w:rPr>
          <w:rFonts w:asciiTheme="majorHAnsi" w:hAnsiTheme="majorHAnsi"/>
          <w:sz w:val="20"/>
          <w:szCs w:val="20"/>
        </w:rPr>
        <w:lastRenderedPageBreak/>
        <w:t>Supreme Court declined discretion</w:t>
      </w:r>
      <w:r w:rsidR="007E2CB3" w:rsidRPr="005C0994">
        <w:rPr>
          <w:rFonts w:asciiTheme="majorHAnsi" w:hAnsiTheme="majorHAnsi"/>
          <w:sz w:val="20"/>
          <w:szCs w:val="20"/>
        </w:rPr>
        <w:t xml:space="preserve">ary review of Mr. </w:t>
      </w:r>
      <w:proofErr w:type="spellStart"/>
      <w:r w:rsidR="007E2CB3" w:rsidRPr="005C0994">
        <w:rPr>
          <w:rFonts w:asciiTheme="majorHAnsi" w:hAnsiTheme="majorHAnsi"/>
          <w:sz w:val="20"/>
          <w:szCs w:val="20"/>
        </w:rPr>
        <w:t>Loza’s</w:t>
      </w:r>
      <w:proofErr w:type="spellEnd"/>
      <w:r w:rsidR="007E2CB3" w:rsidRPr="005C0994">
        <w:rPr>
          <w:rFonts w:asciiTheme="majorHAnsi" w:hAnsiTheme="majorHAnsi"/>
          <w:sz w:val="20"/>
          <w:szCs w:val="20"/>
        </w:rPr>
        <w:t xml:space="preserve"> appeal</w:t>
      </w:r>
      <w:r w:rsidR="00457974" w:rsidRPr="005C0994">
        <w:rPr>
          <w:rFonts w:asciiTheme="majorHAnsi" w:hAnsiTheme="majorHAnsi"/>
          <w:sz w:val="20"/>
          <w:szCs w:val="20"/>
        </w:rPr>
        <w:t>.</w:t>
      </w:r>
      <w:r w:rsidR="00457974" w:rsidRPr="005C0994">
        <w:rPr>
          <w:rStyle w:val="FootnoteReference"/>
          <w:rFonts w:asciiTheme="majorHAnsi" w:hAnsiTheme="majorHAnsi"/>
          <w:sz w:val="20"/>
          <w:szCs w:val="20"/>
        </w:rPr>
        <w:footnoteReference w:id="5"/>
      </w:r>
      <w:r w:rsidR="00457974" w:rsidRPr="005C0994">
        <w:rPr>
          <w:rFonts w:asciiTheme="majorHAnsi" w:hAnsiTheme="majorHAnsi"/>
          <w:sz w:val="20"/>
          <w:szCs w:val="20"/>
        </w:rPr>
        <w:t xml:space="preserve"> Following th</w:t>
      </w:r>
      <w:r w:rsidR="007E2CB3" w:rsidRPr="005C0994">
        <w:rPr>
          <w:rFonts w:asciiTheme="majorHAnsi" w:hAnsiTheme="majorHAnsi"/>
          <w:sz w:val="20"/>
          <w:szCs w:val="20"/>
        </w:rPr>
        <w:t xml:space="preserve">e affirmance of his convictions, </w:t>
      </w:r>
      <w:r w:rsidR="00457974" w:rsidRPr="005C0994">
        <w:rPr>
          <w:rFonts w:asciiTheme="majorHAnsi" w:hAnsiTheme="majorHAnsi"/>
          <w:sz w:val="20"/>
          <w:szCs w:val="20"/>
        </w:rPr>
        <w:t xml:space="preserve">sentence and denial of </w:t>
      </w:r>
      <w:r w:rsidR="00964917" w:rsidRPr="005C0994">
        <w:rPr>
          <w:rFonts w:asciiTheme="majorHAnsi" w:hAnsiTheme="majorHAnsi"/>
          <w:sz w:val="20"/>
          <w:szCs w:val="20"/>
        </w:rPr>
        <w:t>post-conviction</w:t>
      </w:r>
      <w:r w:rsidR="00457974" w:rsidRPr="005C0994">
        <w:rPr>
          <w:rFonts w:asciiTheme="majorHAnsi" w:hAnsiTheme="majorHAnsi"/>
          <w:sz w:val="20"/>
          <w:szCs w:val="20"/>
        </w:rPr>
        <w:t xml:space="preserve"> relief, Mr. </w:t>
      </w:r>
      <w:proofErr w:type="spellStart"/>
      <w:r w:rsidR="00457974" w:rsidRPr="005C0994">
        <w:rPr>
          <w:rFonts w:asciiTheme="majorHAnsi" w:hAnsiTheme="majorHAnsi"/>
          <w:sz w:val="20"/>
          <w:szCs w:val="20"/>
        </w:rPr>
        <w:t>Loza</w:t>
      </w:r>
      <w:proofErr w:type="spellEnd"/>
      <w:r w:rsidR="00457974" w:rsidRPr="005C0994">
        <w:rPr>
          <w:rFonts w:asciiTheme="majorHAnsi" w:hAnsiTheme="majorHAnsi"/>
          <w:sz w:val="20"/>
          <w:szCs w:val="20"/>
        </w:rPr>
        <w:t xml:space="preserve"> then filed a habeas corpus petition in </w:t>
      </w:r>
      <w:r w:rsidR="00964917" w:rsidRPr="005C0994">
        <w:rPr>
          <w:rFonts w:asciiTheme="majorHAnsi" w:hAnsiTheme="majorHAnsi"/>
          <w:sz w:val="20"/>
          <w:szCs w:val="20"/>
        </w:rPr>
        <w:t>the</w:t>
      </w:r>
      <w:r w:rsidR="00457974" w:rsidRPr="005C0994">
        <w:rPr>
          <w:rFonts w:asciiTheme="majorHAnsi" w:hAnsiTheme="majorHAnsi"/>
          <w:sz w:val="20"/>
          <w:szCs w:val="20"/>
        </w:rPr>
        <w:t xml:space="preserve"> district court</w:t>
      </w:r>
      <w:r w:rsidR="00964917" w:rsidRPr="005C0994">
        <w:rPr>
          <w:rFonts w:asciiTheme="majorHAnsi" w:hAnsiTheme="majorHAnsi"/>
          <w:sz w:val="20"/>
          <w:szCs w:val="20"/>
        </w:rPr>
        <w:t xml:space="preserve">. </w:t>
      </w:r>
      <w:r w:rsidR="00457974" w:rsidRPr="005C0994">
        <w:rPr>
          <w:rFonts w:asciiTheme="majorHAnsi" w:hAnsiTheme="majorHAnsi"/>
          <w:sz w:val="20"/>
          <w:szCs w:val="20"/>
        </w:rPr>
        <w:t xml:space="preserve">The United States District Court for the Southern District of Ohio denied the </w:t>
      </w:r>
      <w:r w:rsidR="00895C72" w:rsidRPr="005C0994">
        <w:rPr>
          <w:rFonts w:asciiTheme="majorHAnsi" w:hAnsiTheme="majorHAnsi"/>
          <w:sz w:val="20"/>
          <w:szCs w:val="20"/>
        </w:rPr>
        <w:t>habeas corpus claims and dismissed the action on March 31 2010</w:t>
      </w:r>
      <w:r w:rsidR="006A5570" w:rsidRPr="005C0994">
        <w:rPr>
          <w:rFonts w:asciiTheme="majorHAnsi" w:hAnsiTheme="majorHAnsi"/>
          <w:sz w:val="20"/>
          <w:szCs w:val="20"/>
        </w:rPr>
        <w:t>.</w:t>
      </w:r>
      <w:r w:rsidR="00895C72" w:rsidRPr="005C0994">
        <w:rPr>
          <w:rFonts w:asciiTheme="majorHAnsi" w:hAnsiTheme="majorHAnsi"/>
          <w:sz w:val="20"/>
          <w:szCs w:val="20"/>
        </w:rPr>
        <w:t xml:space="preserve"> Mr. </w:t>
      </w:r>
      <w:proofErr w:type="spellStart"/>
      <w:r w:rsidR="00895C72" w:rsidRPr="005C0994">
        <w:rPr>
          <w:rFonts w:asciiTheme="majorHAnsi" w:hAnsiTheme="majorHAnsi"/>
          <w:sz w:val="20"/>
          <w:szCs w:val="20"/>
        </w:rPr>
        <w:t>Loza</w:t>
      </w:r>
      <w:proofErr w:type="spellEnd"/>
      <w:r w:rsidR="00895C72" w:rsidRPr="005C0994">
        <w:rPr>
          <w:rFonts w:asciiTheme="majorHAnsi" w:hAnsiTheme="majorHAnsi"/>
          <w:sz w:val="20"/>
          <w:szCs w:val="20"/>
        </w:rPr>
        <w:t xml:space="preserve"> then appealed against the denial and the United States Court of Appeals</w:t>
      </w:r>
      <w:r w:rsidR="009039DC" w:rsidRPr="005C0994">
        <w:rPr>
          <w:rFonts w:asciiTheme="majorHAnsi" w:hAnsiTheme="majorHAnsi"/>
          <w:sz w:val="20"/>
          <w:szCs w:val="20"/>
        </w:rPr>
        <w:t>, on October 24, 2014,</w:t>
      </w:r>
      <w:r w:rsidR="00895C72" w:rsidRPr="005C0994">
        <w:rPr>
          <w:rFonts w:asciiTheme="majorHAnsi" w:hAnsiTheme="majorHAnsi"/>
          <w:sz w:val="20"/>
          <w:szCs w:val="20"/>
        </w:rPr>
        <w:t xml:space="preserve"> affirmed the District Court’s dismissal of </w:t>
      </w:r>
      <w:r w:rsidR="009039DC" w:rsidRPr="005C0994">
        <w:rPr>
          <w:rFonts w:asciiTheme="majorHAnsi" w:hAnsiTheme="majorHAnsi"/>
          <w:sz w:val="20"/>
          <w:szCs w:val="20"/>
        </w:rPr>
        <w:t xml:space="preserve">Mr. </w:t>
      </w:r>
      <w:proofErr w:type="spellStart"/>
      <w:r w:rsidR="00895C72" w:rsidRPr="005C0994">
        <w:rPr>
          <w:rFonts w:asciiTheme="majorHAnsi" w:hAnsiTheme="majorHAnsi"/>
          <w:sz w:val="20"/>
          <w:szCs w:val="20"/>
        </w:rPr>
        <w:t>Loza’s</w:t>
      </w:r>
      <w:proofErr w:type="spellEnd"/>
      <w:r w:rsidR="00895C72" w:rsidRPr="005C0994">
        <w:rPr>
          <w:rFonts w:asciiTheme="majorHAnsi" w:hAnsiTheme="majorHAnsi"/>
          <w:sz w:val="20"/>
          <w:szCs w:val="20"/>
        </w:rPr>
        <w:t xml:space="preserve"> petition for habeas corpus. </w:t>
      </w:r>
      <w:r w:rsidR="005C566A" w:rsidRPr="005C0994">
        <w:rPr>
          <w:rFonts w:asciiTheme="majorHAnsi" w:hAnsiTheme="majorHAnsi"/>
          <w:sz w:val="20"/>
          <w:szCs w:val="20"/>
        </w:rPr>
        <w:t xml:space="preserve">On June 29, 2015 the Unites States Supreme Court denied Mr. </w:t>
      </w:r>
      <w:proofErr w:type="spellStart"/>
      <w:r w:rsidR="005C566A" w:rsidRPr="005C0994">
        <w:rPr>
          <w:rFonts w:asciiTheme="majorHAnsi" w:hAnsiTheme="majorHAnsi"/>
          <w:sz w:val="20"/>
          <w:szCs w:val="20"/>
        </w:rPr>
        <w:t>Loza’s</w:t>
      </w:r>
      <w:proofErr w:type="spellEnd"/>
      <w:r w:rsidR="005C566A" w:rsidRPr="005C0994">
        <w:rPr>
          <w:rFonts w:asciiTheme="majorHAnsi" w:hAnsiTheme="majorHAnsi"/>
          <w:sz w:val="20"/>
          <w:szCs w:val="20"/>
        </w:rPr>
        <w:t xml:space="preserve"> petition for a writ of certiorari. </w:t>
      </w:r>
    </w:p>
    <w:p w14:paraId="5AB60727" w14:textId="77777777" w:rsidR="00837EDD" w:rsidRPr="005C0994" w:rsidRDefault="00837EDD" w:rsidP="00837EDD">
      <w:pPr>
        <w:pStyle w:val="ListParagraph"/>
        <w:rPr>
          <w:rFonts w:asciiTheme="majorHAnsi" w:hAnsiTheme="majorHAnsi"/>
          <w:sz w:val="20"/>
          <w:szCs w:val="20"/>
        </w:rPr>
      </w:pPr>
    </w:p>
    <w:p w14:paraId="143D3BE3" w14:textId="77777777" w:rsidR="00C4237D" w:rsidRPr="005C0994" w:rsidRDefault="00FC5458" w:rsidP="00812C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color w:val="FF0000"/>
          <w:sz w:val="20"/>
          <w:szCs w:val="20"/>
        </w:rPr>
      </w:pPr>
      <w:r w:rsidRPr="005C0994">
        <w:rPr>
          <w:rFonts w:asciiTheme="majorHAnsi" w:hAnsiTheme="majorHAnsi"/>
          <w:sz w:val="20"/>
          <w:szCs w:val="20"/>
        </w:rPr>
        <w:t xml:space="preserve">Based on the available information, the IACHR notes that </w:t>
      </w:r>
      <w:r w:rsidR="00AF010B" w:rsidRPr="005C0994">
        <w:rPr>
          <w:rFonts w:asciiTheme="majorHAnsi" w:hAnsiTheme="majorHAnsi"/>
          <w:sz w:val="20"/>
          <w:szCs w:val="20"/>
        </w:rPr>
        <w:t>the alleged victim has not onl</w:t>
      </w:r>
      <w:r w:rsidR="00837EDD" w:rsidRPr="005C0994">
        <w:rPr>
          <w:rFonts w:asciiTheme="majorHAnsi" w:hAnsiTheme="majorHAnsi"/>
          <w:sz w:val="20"/>
          <w:szCs w:val="20"/>
        </w:rPr>
        <w:t xml:space="preserve">y exhausted all direct review proceeding, but also state and federal post-conviction proceedings. </w:t>
      </w:r>
      <w:r w:rsidR="00C02A78" w:rsidRPr="005C0994">
        <w:rPr>
          <w:rFonts w:asciiTheme="majorHAnsi" w:hAnsiTheme="majorHAnsi"/>
          <w:sz w:val="20"/>
          <w:szCs w:val="20"/>
        </w:rPr>
        <w:t xml:space="preserve">The IACHR also notes that the petitioner raised the </w:t>
      </w:r>
      <w:r w:rsidR="003070EA" w:rsidRPr="005C0994">
        <w:rPr>
          <w:rFonts w:asciiTheme="majorHAnsi" w:hAnsiTheme="majorHAnsi"/>
          <w:sz w:val="20"/>
          <w:szCs w:val="20"/>
        </w:rPr>
        <w:t xml:space="preserve">drugs used in </w:t>
      </w:r>
      <w:r w:rsidR="00C02A78" w:rsidRPr="005C0994">
        <w:rPr>
          <w:rFonts w:asciiTheme="majorHAnsi" w:hAnsiTheme="majorHAnsi"/>
          <w:sz w:val="20"/>
          <w:szCs w:val="20"/>
        </w:rPr>
        <w:t>lethal injection’s claim</w:t>
      </w:r>
      <w:r w:rsidR="003C4F69" w:rsidRPr="005C0994">
        <w:rPr>
          <w:rFonts w:asciiTheme="majorHAnsi" w:hAnsiTheme="majorHAnsi"/>
          <w:sz w:val="20"/>
          <w:szCs w:val="20"/>
        </w:rPr>
        <w:t xml:space="preserve"> before domestic courts.</w:t>
      </w:r>
      <w:r w:rsidR="00C02A78" w:rsidRPr="005C0994">
        <w:rPr>
          <w:rFonts w:asciiTheme="majorHAnsi" w:hAnsiTheme="majorHAnsi"/>
          <w:sz w:val="20"/>
          <w:szCs w:val="20"/>
        </w:rPr>
        <w:t xml:space="preserve"> </w:t>
      </w:r>
    </w:p>
    <w:p w14:paraId="0C2F2957" w14:textId="77777777" w:rsidR="00FB0135" w:rsidRPr="005C0994" w:rsidRDefault="00FB0135" w:rsidP="00FB0135">
      <w:pPr>
        <w:pStyle w:val="ListParagraph"/>
        <w:rPr>
          <w:rFonts w:asciiTheme="majorHAnsi" w:hAnsiTheme="majorHAnsi"/>
          <w:color w:val="FF0000"/>
          <w:sz w:val="20"/>
          <w:szCs w:val="20"/>
        </w:rPr>
      </w:pPr>
    </w:p>
    <w:p w14:paraId="0851B917" w14:textId="77777777" w:rsidR="00FB0135" w:rsidRPr="005C0994" w:rsidRDefault="00FB0135" w:rsidP="00FB0135">
      <w:pPr>
        <w:pStyle w:val="parrafos"/>
        <w:numPr>
          <w:ilvl w:val="0"/>
          <w:numId w:val="55"/>
        </w:numPr>
        <w:ind w:left="0" w:firstLine="0"/>
      </w:pPr>
      <w:r w:rsidRPr="005C0994">
        <w:t>Based on the above factors, the Inter-American Commission concludes that the petitioner properly exhausted domestic remedies available within the domestic legal system and, therefore, that the alleged victims’ claims before the Commission are not barred from consideration by the requirement of exhaustion of domestic remedies under Article 31(1) of its Rules of Procedure.</w:t>
      </w:r>
      <w:r w:rsidR="00C43943" w:rsidRPr="005C0994">
        <w:t xml:space="preserve"> The petition before the IACHR was presented on </w:t>
      </w:r>
      <w:r w:rsidR="001913E1" w:rsidRPr="005C0994">
        <w:t>July 17, 2015</w:t>
      </w:r>
      <w:r w:rsidR="00C43943" w:rsidRPr="005C0994">
        <w:t xml:space="preserve">, and </w:t>
      </w:r>
      <w:r w:rsidR="007E2CB3" w:rsidRPr="005C0994">
        <w:t xml:space="preserve">the </w:t>
      </w:r>
      <w:r w:rsidR="005C566A" w:rsidRPr="005C0994">
        <w:t xml:space="preserve">United States Supreme Court denied </w:t>
      </w:r>
      <w:r w:rsidR="007E2CB3" w:rsidRPr="005C0994">
        <w:t xml:space="preserve">the </w:t>
      </w:r>
      <w:r w:rsidR="005C566A" w:rsidRPr="005C0994">
        <w:t>writ of certiorari</w:t>
      </w:r>
      <w:r w:rsidR="007E2CB3" w:rsidRPr="005C0994">
        <w:t xml:space="preserve"> </w:t>
      </w:r>
      <w:r w:rsidR="005C566A" w:rsidRPr="005C0994">
        <w:t>on June 29, 2015</w:t>
      </w:r>
      <w:r w:rsidR="00D31A84" w:rsidRPr="005C0994">
        <w:t>. The Commission</w:t>
      </w:r>
      <w:r w:rsidRPr="005C0994">
        <w:t xml:space="preserve"> concludes that </w:t>
      </w:r>
      <w:r w:rsidR="00D31A84" w:rsidRPr="005C0994">
        <w:t xml:space="preserve">in the circumstances the petition has been submitted within </w:t>
      </w:r>
      <w:r w:rsidRPr="005C0994">
        <w:t>the requirement specified in Article 32(1) of its Rules of Procedure.</w:t>
      </w:r>
    </w:p>
    <w:p w14:paraId="42364999" w14:textId="77777777" w:rsidR="00D20BFA" w:rsidRPr="005C0994" w:rsidRDefault="00D20BFA" w:rsidP="00AD73A3">
      <w:pPr>
        <w:pStyle w:val="parrafos"/>
        <w:ind w:left="0" w:firstLine="0"/>
      </w:pPr>
    </w:p>
    <w:p w14:paraId="37B24CCC" w14:textId="77777777" w:rsidR="00F516D3" w:rsidRPr="005C0994" w:rsidRDefault="00F516D3"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9" w:name="_Toc7602625"/>
      <w:bookmarkStart w:id="10" w:name="_Toc90297866"/>
      <w:bookmarkStart w:id="11" w:name="_Toc6349144"/>
      <w:r w:rsidRPr="005C0994">
        <w:rPr>
          <w:rFonts w:cs="Times New Roman"/>
          <w:color w:val="auto"/>
          <w:sz w:val="20"/>
          <w:szCs w:val="20"/>
        </w:rPr>
        <w:t>Colorable claim</w:t>
      </w:r>
      <w:bookmarkEnd w:id="9"/>
      <w:bookmarkEnd w:id="10"/>
      <w:r w:rsidRPr="005C0994">
        <w:rPr>
          <w:rFonts w:cs="Times New Roman"/>
          <w:color w:val="auto"/>
          <w:sz w:val="20"/>
          <w:szCs w:val="20"/>
        </w:rPr>
        <w:t xml:space="preserve"> </w:t>
      </w:r>
      <w:bookmarkEnd w:id="11"/>
    </w:p>
    <w:p w14:paraId="4E38FC42" w14:textId="77777777" w:rsidR="00764470" w:rsidRPr="005C0994" w:rsidRDefault="00764470" w:rsidP="00764470">
      <w:pPr>
        <w:rPr>
          <w:rFonts w:asciiTheme="majorHAnsi" w:hAnsiTheme="majorHAnsi"/>
          <w:sz w:val="20"/>
          <w:szCs w:val="20"/>
        </w:rPr>
      </w:pPr>
    </w:p>
    <w:p w14:paraId="7B325B1F" w14:textId="77777777" w:rsidR="00F516D3" w:rsidRPr="005C0994" w:rsidRDefault="00764470" w:rsidP="007644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The Commission considers that, if proven, the facts alleged by the petitioner would tend to establish violations of the rights set forth in </w:t>
      </w:r>
      <w:r w:rsidR="00CF0A29" w:rsidRPr="005C0994">
        <w:rPr>
          <w:rFonts w:asciiTheme="majorHAnsi" w:hAnsiTheme="majorHAnsi"/>
          <w:sz w:val="20"/>
          <w:szCs w:val="20"/>
        </w:rPr>
        <w:t>Articles</w:t>
      </w:r>
      <w:r w:rsidR="00550FAA" w:rsidRPr="005C0994">
        <w:rPr>
          <w:rFonts w:asciiTheme="majorHAnsi" w:hAnsiTheme="majorHAnsi"/>
          <w:sz w:val="20"/>
          <w:szCs w:val="20"/>
        </w:rPr>
        <w:t xml:space="preserve"> I,</w:t>
      </w:r>
      <w:r w:rsidR="00967987" w:rsidRPr="005C0994">
        <w:rPr>
          <w:rFonts w:asciiTheme="majorHAnsi" w:hAnsiTheme="majorHAnsi"/>
          <w:sz w:val="20"/>
          <w:szCs w:val="20"/>
        </w:rPr>
        <w:t xml:space="preserve"> </w:t>
      </w:r>
      <w:r w:rsidR="00C67622" w:rsidRPr="005C0994">
        <w:rPr>
          <w:rFonts w:asciiTheme="majorHAnsi" w:hAnsiTheme="majorHAnsi"/>
          <w:sz w:val="20"/>
          <w:szCs w:val="20"/>
        </w:rPr>
        <w:t xml:space="preserve">II, </w:t>
      </w:r>
      <w:r w:rsidR="00550FAA" w:rsidRPr="005C0994">
        <w:rPr>
          <w:rFonts w:asciiTheme="majorHAnsi" w:hAnsiTheme="majorHAnsi"/>
          <w:sz w:val="20"/>
          <w:szCs w:val="20"/>
        </w:rPr>
        <w:t>XVIII,</w:t>
      </w:r>
      <w:r w:rsidR="0080231F" w:rsidRPr="005C0994">
        <w:rPr>
          <w:rFonts w:asciiTheme="majorHAnsi" w:hAnsiTheme="majorHAnsi"/>
          <w:sz w:val="20"/>
          <w:szCs w:val="20"/>
        </w:rPr>
        <w:t xml:space="preserve"> </w:t>
      </w:r>
      <w:r w:rsidR="00550FAA" w:rsidRPr="005C0994">
        <w:rPr>
          <w:rFonts w:asciiTheme="majorHAnsi" w:hAnsiTheme="majorHAnsi"/>
          <w:sz w:val="20"/>
          <w:szCs w:val="20"/>
        </w:rPr>
        <w:t>XXV and XXVI</w:t>
      </w:r>
      <w:r w:rsidR="00CF0A29" w:rsidRPr="005C0994">
        <w:rPr>
          <w:rFonts w:asciiTheme="majorHAnsi" w:hAnsiTheme="majorHAnsi"/>
          <w:sz w:val="20"/>
          <w:szCs w:val="20"/>
        </w:rPr>
        <w:t xml:space="preserve"> </w:t>
      </w:r>
      <w:r w:rsidRPr="005C0994">
        <w:rPr>
          <w:rFonts w:asciiTheme="majorHAnsi" w:hAnsiTheme="majorHAnsi"/>
          <w:sz w:val="20"/>
          <w:szCs w:val="20"/>
        </w:rPr>
        <w:t>of the American Declaration,</w:t>
      </w:r>
      <w:r w:rsidR="005B1DBA" w:rsidRPr="005C0994">
        <w:rPr>
          <w:rFonts w:asciiTheme="majorHAnsi" w:hAnsiTheme="majorHAnsi"/>
          <w:sz w:val="20"/>
          <w:szCs w:val="20"/>
        </w:rPr>
        <w:t xml:space="preserve"> to the detriment of Mr. </w:t>
      </w:r>
      <w:proofErr w:type="spellStart"/>
      <w:r w:rsidR="00F11EF1" w:rsidRPr="005C0994">
        <w:rPr>
          <w:rFonts w:asciiTheme="majorHAnsi" w:hAnsiTheme="majorHAnsi"/>
          <w:sz w:val="20"/>
          <w:szCs w:val="20"/>
        </w:rPr>
        <w:t>Loza</w:t>
      </w:r>
      <w:proofErr w:type="spellEnd"/>
      <w:r w:rsidRPr="005C0994">
        <w:rPr>
          <w:rFonts w:asciiTheme="majorHAnsi" w:hAnsiTheme="majorHAnsi"/>
          <w:sz w:val="20"/>
          <w:szCs w:val="20"/>
        </w:rPr>
        <w:t xml:space="preserve">. </w:t>
      </w:r>
    </w:p>
    <w:p w14:paraId="55DEAAB9" w14:textId="77777777" w:rsidR="0080231F" w:rsidRPr="005C0994" w:rsidRDefault="0080231F" w:rsidP="0080231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5A485BCA" w14:textId="77777777" w:rsidR="0080231F" w:rsidRPr="005C0994" w:rsidRDefault="0080231F" w:rsidP="007644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With regard to the alleged violation of Article XXIV of the Declaration, the Commission concludes tha</w:t>
      </w:r>
      <w:r w:rsidR="00135217" w:rsidRPr="005C0994">
        <w:rPr>
          <w:rFonts w:asciiTheme="majorHAnsi" w:hAnsiTheme="majorHAnsi"/>
          <w:sz w:val="20"/>
          <w:szCs w:val="20"/>
        </w:rPr>
        <w:t xml:space="preserve">t the information provided by the petitioners </w:t>
      </w:r>
      <w:r w:rsidRPr="005C0994">
        <w:rPr>
          <w:rFonts w:asciiTheme="majorHAnsi" w:hAnsiTheme="majorHAnsi"/>
          <w:sz w:val="20"/>
          <w:szCs w:val="20"/>
        </w:rPr>
        <w:t xml:space="preserve">is not sufficient to establish a colorable claim. </w:t>
      </w:r>
    </w:p>
    <w:p w14:paraId="24F63365" w14:textId="77777777" w:rsidR="00764470" w:rsidRPr="005C0994" w:rsidRDefault="00764470" w:rsidP="0076447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141E6975" w14:textId="77777777" w:rsidR="001C4006" w:rsidRPr="005C0994" w:rsidRDefault="00F516D3" w:rsidP="003676F1">
      <w:pPr>
        <w:pStyle w:val="Heading1"/>
        <w:tabs>
          <w:tab w:val="left" w:pos="360"/>
        </w:tabs>
        <w:spacing w:before="0"/>
        <w:ind w:hanging="720"/>
        <w:rPr>
          <w:color w:val="auto"/>
          <w:sz w:val="20"/>
          <w:szCs w:val="20"/>
        </w:rPr>
      </w:pPr>
      <w:bookmarkStart w:id="12" w:name="_Toc90297867"/>
      <w:r w:rsidRPr="005C0994">
        <w:rPr>
          <w:color w:val="auto"/>
          <w:sz w:val="20"/>
          <w:szCs w:val="20"/>
        </w:rPr>
        <w:t>FINDINGS OF FACT</w:t>
      </w:r>
      <w:bookmarkEnd w:id="12"/>
    </w:p>
    <w:p w14:paraId="6DC07715" w14:textId="77777777" w:rsidR="00853512" w:rsidRPr="005C0994" w:rsidRDefault="00853512" w:rsidP="00021557"/>
    <w:p w14:paraId="0BA548B5" w14:textId="77777777" w:rsidR="00021557" w:rsidRPr="005C0994" w:rsidRDefault="00021557" w:rsidP="00021557">
      <w:pPr>
        <w:pStyle w:val="Heading2"/>
        <w:numPr>
          <w:ilvl w:val="0"/>
          <w:numId w:val="58"/>
        </w:numPr>
        <w:tabs>
          <w:tab w:val="left" w:pos="360"/>
        </w:tabs>
        <w:spacing w:before="0"/>
        <w:ind w:hanging="720"/>
        <w:rPr>
          <w:color w:val="auto"/>
          <w:sz w:val="20"/>
          <w:szCs w:val="20"/>
        </w:rPr>
      </w:pPr>
      <w:bookmarkStart w:id="13" w:name="_Toc90297868"/>
      <w:r w:rsidRPr="005C0994">
        <w:rPr>
          <w:color w:val="auto"/>
          <w:sz w:val="20"/>
          <w:szCs w:val="20"/>
        </w:rPr>
        <w:t>Facts of the case</w:t>
      </w:r>
      <w:bookmarkEnd w:id="13"/>
    </w:p>
    <w:p w14:paraId="5EE306C4" w14:textId="77777777" w:rsidR="00021557" w:rsidRPr="005C0994" w:rsidRDefault="00021557" w:rsidP="00021557">
      <w:pPr>
        <w:rPr>
          <w:rFonts w:asciiTheme="majorHAnsi" w:hAnsiTheme="majorHAnsi"/>
          <w:sz w:val="20"/>
          <w:szCs w:val="20"/>
        </w:rPr>
      </w:pPr>
    </w:p>
    <w:p w14:paraId="46878430" w14:textId="77777777" w:rsidR="00501CF1" w:rsidRPr="005C0994" w:rsidRDefault="00021557" w:rsidP="00F112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Cambria" w:hAnsi="Cambria"/>
          <w:sz w:val="20"/>
          <w:szCs w:val="20"/>
        </w:rPr>
        <w:t xml:space="preserve">According to the information available, </w:t>
      </w:r>
      <w:r w:rsidR="00416614" w:rsidRPr="005C0994">
        <w:rPr>
          <w:rFonts w:ascii="Cambria" w:hAnsi="Cambria"/>
          <w:sz w:val="20"/>
          <w:szCs w:val="20"/>
        </w:rPr>
        <w:t xml:space="preserve">the facts </w:t>
      </w:r>
      <w:r w:rsidR="00C6323C" w:rsidRPr="005C0994">
        <w:rPr>
          <w:rFonts w:ascii="Cambria" w:hAnsi="Cambria"/>
          <w:sz w:val="20"/>
          <w:szCs w:val="20"/>
        </w:rPr>
        <w:t xml:space="preserve">of the matter are </w:t>
      </w:r>
      <w:r w:rsidR="00416614" w:rsidRPr="005C0994">
        <w:rPr>
          <w:rFonts w:ascii="Cambria" w:hAnsi="Cambria"/>
          <w:sz w:val="20"/>
          <w:szCs w:val="20"/>
        </w:rPr>
        <w:t>outline</w:t>
      </w:r>
      <w:r w:rsidR="00F6351B" w:rsidRPr="005C0994">
        <w:rPr>
          <w:rFonts w:ascii="Cambria" w:hAnsi="Cambria"/>
          <w:sz w:val="20"/>
          <w:szCs w:val="20"/>
        </w:rPr>
        <w:t>d</w:t>
      </w:r>
      <w:r w:rsidR="00F1129E" w:rsidRPr="005C0994">
        <w:rPr>
          <w:rFonts w:ascii="Cambria" w:hAnsi="Cambria"/>
          <w:sz w:val="20"/>
          <w:szCs w:val="20"/>
        </w:rPr>
        <w:t xml:space="preserve"> below, stemming from</w:t>
      </w:r>
      <w:r w:rsidR="00416614" w:rsidRPr="005C0994">
        <w:rPr>
          <w:rFonts w:ascii="Cambria" w:hAnsi="Cambria"/>
          <w:sz w:val="20"/>
          <w:szCs w:val="20"/>
        </w:rPr>
        <w:t xml:space="preserve"> </w:t>
      </w:r>
      <w:r w:rsidR="00F1129E" w:rsidRPr="005C0994">
        <w:rPr>
          <w:rFonts w:ascii="Cambria" w:hAnsi="Cambria"/>
          <w:sz w:val="20"/>
          <w:szCs w:val="20"/>
        </w:rPr>
        <w:t xml:space="preserve">incidents on </w:t>
      </w:r>
      <w:r w:rsidR="00C35423" w:rsidRPr="005C0994">
        <w:rPr>
          <w:rFonts w:asciiTheme="majorHAnsi" w:hAnsiTheme="majorHAnsi"/>
          <w:sz w:val="20"/>
          <w:szCs w:val="20"/>
        </w:rPr>
        <w:t xml:space="preserve">January 16, 1991, </w:t>
      </w:r>
      <w:r w:rsidR="00F1129E" w:rsidRPr="005C0994">
        <w:rPr>
          <w:rFonts w:asciiTheme="majorHAnsi" w:hAnsiTheme="majorHAnsi"/>
          <w:sz w:val="20"/>
          <w:szCs w:val="20"/>
        </w:rPr>
        <w:t xml:space="preserve">when </w:t>
      </w:r>
      <w:r w:rsidR="00C35423" w:rsidRPr="005C0994">
        <w:rPr>
          <w:rFonts w:asciiTheme="majorHAnsi" w:hAnsiTheme="majorHAnsi"/>
          <w:sz w:val="20"/>
          <w:szCs w:val="20"/>
        </w:rPr>
        <w:t xml:space="preserve">the alleged victim, Mr. </w:t>
      </w:r>
      <w:proofErr w:type="spellStart"/>
      <w:r w:rsidR="00C35423" w:rsidRPr="005C0994">
        <w:rPr>
          <w:rFonts w:asciiTheme="majorHAnsi" w:hAnsiTheme="majorHAnsi"/>
          <w:sz w:val="20"/>
          <w:szCs w:val="20"/>
        </w:rPr>
        <w:t>Loza</w:t>
      </w:r>
      <w:proofErr w:type="spellEnd"/>
      <w:r w:rsidR="00C35423" w:rsidRPr="005C0994">
        <w:rPr>
          <w:rFonts w:asciiTheme="majorHAnsi" w:hAnsiTheme="majorHAnsi"/>
          <w:sz w:val="20"/>
          <w:szCs w:val="20"/>
        </w:rPr>
        <w:t>, allegedly shot four family members of his girlfriend, Dorothy Jackson</w:t>
      </w:r>
      <w:r w:rsidR="0059234D" w:rsidRPr="005C0994">
        <w:rPr>
          <w:rFonts w:asciiTheme="majorHAnsi" w:hAnsiTheme="majorHAnsi"/>
          <w:sz w:val="20"/>
          <w:szCs w:val="20"/>
        </w:rPr>
        <w:t>, who was pregnant at the time</w:t>
      </w:r>
      <w:r w:rsidR="00C35423" w:rsidRPr="005C0994">
        <w:rPr>
          <w:rFonts w:asciiTheme="majorHAnsi" w:hAnsiTheme="majorHAnsi"/>
          <w:sz w:val="20"/>
          <w:szCs w:val="20"/>
        </w:rPr>
        <w:t xml:space="preserve">. The victims were </w:t>
      </w:r>
      <w:r w:rsidR="005E6203" w:rsidRPr="005C0994">
        <w:rPr>
          <w:rFonts w:asciiTheme="majorHAnsi" w:hAnsiTheme="majorHAnsi"/>
          <w:sz w:val="20"/>
          <w:szCs w:val="20"/>
        </w:rPr>
        <w:t>Ms. Jackson’s mother, her brother and two sisters</w:t>
      </w:r>
      <w:r w:rsidR="00C35423" w:rsidRPr="005C0994">
        <w:rPr>
          <w:rFonts w:asciiTheme="majorHAnsi" w:hAnsiTheme="majorHAnsi"/>
          <w:sz w:val="20"/>
          <w:szCs w:val="20"/>
        </w:rPr>
        <w:t xml:space="preserve">. </w:t>
      </w:r>
    </w:p>
    <w:p w14:paraId="57E7105C" w14:textId="77777777" w:rsidR="00501CF1" w:rsidRPr="005C0994" w:rsidRDefault="00501CF1" w:rsidP="00501CF1">
      <w:pPr>
        <w:pStyle w:val="ListParagraph"/>
        <w:rPr>
          <w:rFonts w:asciiTheme="majorHAnsi" w:hAnsiTheme="majorHAnsi"/>
          <w:sz w:val="20"/>
          <w:szCs w:val="20"/>
        </w:rPr>
      </w:pPr>
    </w:p>
    <w:p w14:paraId="566B7AFA" w14:textId="77777777" w:rsidR="0025755D" w:rsidRPr="005C0994" w:rsidRDefault="00C35423" w:rsidP="00C354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On the afternoon of January 16, 1991 G. </w:t>
      </w:r>
      <w:proofErr w:type="spellStart"/>
      <w:r w:rsidRPr="005C0994">
        <w:rPr>
          <w:rFonts w:asciiTheme="majorHAnsi" w:hAnsiTheme="majorHAnsi"/>
          <w:sz w:val="20"/>
          <w:szCs w:val="20"/>
        </w:rPr>
        <w:t>Hoertt</w:t>
      </w:r>
      <w:proofErr w:type="spellEnd"/>
      <w:r w:rsidRPr="005C0994">
        <w:rPr>
          <w:rFonts w:asciiTheme="majorHAnsi" w:hAnsiTheme="majorHAnsi"/>
          <w:sz w:val="20"/>
          <w:szCs w:val="20"/>
        </w:rPr>
        <w:t xml:space="preserve"> observed an individual in a white Mazda pickup truck with California plates loading trash into his dumpster at his shop; he searched the dumpster for something to identify the individual. A letter was found, signed by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indicating that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was involved in a drive-by shooting in Los Angeles and that he came to Ohio to avoid apprehension by the Los Angeles police. G. </w:t>
      </w:r>
      <w:proofErr w:type="spellStart"/>
      <w:r w:rsidRPr="005C0994">
        <w:rPr>
          <w:rFonts w:asciiTheme="majorHAnsi" w:hAnsiTheme="majorHAnsi"/>
          <w:sz w:val="20"/>
          <w:szCs w:val="20"/>
        </w:rPr>
        <w:t>Hoertt</w:t>
      </w:r>
      <w:proofErr w:type="spellEnd"/>
      <w:r w:rsidRPr="005C0994">
        <w:rPr>
          <w:rFonts w:asciiTheme="majorHAnsi" w:hAnsiTheme="majorHAnsi"/>
          <w:sz w:val="20"/>
          <w:szCs w:val="20"/>
        </w:rPr>
        <w:t xml:space="preserve"> called the Warren County Sherriff’s Department to report his discovery</w:t>
      </w:r>
      <w:r w:rsidR="006A6DB8" w:rsidRPr="005C0994">
        <w:rPr>
          <w:rFonts w:asciiTheme="majorHAnsi" w:hAnsiTheme="majorHAnsi"/>
          <w:sz w:val="20"/>
          <w:szCs w:val="20"/>
        </w:rPr>
        <w:t xml:space="preserve"> and was informed that the individual and a female companion were seen in the vicinity of the nearby Greyhound bus station. G. </w:t>
      </w:r>
      <w:proofErr w:type="spellStart"/>
      <w:r w:rsidR="006A6DB8" w:rsidRPr="005C0994">
        <w:rPr>
          <w:rFonts w:asciiTheme="majorHAnsi" w:hAnsiTheme="majorHAnsi"/>
          <w:sz w:val="20"/>
          <w:szCs w:val="20"/>
        </w:rPr>
        <w:t>Hoertt</w:t>
      </w:r>
      <w:proofErr w:type="spellEnd"/>
      <w:r w:rsidR="006A6DB8" w:rsidRPr="005C0994">
        <w:rPr>
          <w:rFonts w:asciiTheme="majorHAnsi" w:hAnsiTheme="majorHAnsi"/>
          <w:sz w:val="20"/>
          <w:szCs w:val="20"/>
        </w:rPr>
        <w:t xml:space="preserve"> then called the Middletown police detective Roger </w:t>
      </w:r>
      <w:proofErr w:type="spellStart"/>
      <w:r w:rsidR="006A6DB8" w:rsidRPr="005C0994">
        <w:rPr>
          <w:rFonts w:asciiTheme="majorHAnsi" w:hAnsiTheme="majorHAnsi"/>
          <w:sz w:val="20"/>
          <w:szCs w:val="20"/>
        </w:rPr>
        <w:t>Knable</w:t>
      </w:r>
      <w:proofErr w:type="spellEnd"/>
      <w:r w:rsidR="006A6DB8" w:rsidRPr="005C0994">
        <w:rPr>
          <w:rFonts w:asciiTheme="majorHAnsi" w:hAnsiTheme="majorHAnsi"/>
          <w:sz w:val="20"/>
          <w:szCs w:val="20"/>
        </w:rPr>
        <w:t xml:space="preserve">. </w:t>
      </w:r>
    </w:p>
    <w:p w14:paraId="7459B5B0" w14:textId="77777777" w:rsidR="0025755D" w:rsidRPr="005C0994" w:rsidRDefault="0025755D" w:rsidP="0025755D">
      <w:pPr>
        <w:pStyle w:val="ListParagraph"/>
        <w:rPr>
          <w:rFonts w:asciiTheme="majorHAnsi" w:hAnsiTheme="majorHAnsi"/>
          <w:sz w:val="20"/>
          <w:szCs w:val="20"/>
        </w:rPr>
      </w:pPr>
    </w:p>
    <w:p w14:paraId="309C1E38" w14:textId="77777777" w:rsidR="0025755D" w:rsidRPr="005C0994" w:rsidRDefault="006A6DB8" w:rsidP="00C354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After reading the letter, the detective and G. </w:t>
      </w:r>
      <w:proofErr w:type="spellStart"/>
      <w:r w:rsidRPr="005C0994">
        <w:rPr>
          <w:rFonts w:asciiTheme="majorHAnsi" w:hAnsiTheme="majorHAnsi"/>
          <w:sz w:val="20"/>
          <w:szCs w:val="20"/>
        </w:rPr>
        <w:t>Hoertt</w:t>
      </w:r>
      <w:proofErr w:type="spellEnd"/>
      <w:r w:rsidRPr="005C0994">
        <w:rPr>
          <w:rFonts w:asciiTheme="majorHAnsi" w:hAnsiTheme="majorHAnsi"/>
          <w:sz w:val="20"/>
          <w:szCs w:val="20"/>
        </w:rPr>
        <w:t xml:space="preserve"> went to the dumpster where they retrieved other items which included a knife, an empty box for a .25 caliber Raven automatic handgun; a receipt signed for the purchase of the handgun on January 15, 1991, a woman’s purse, a blank check on account of Georgia L. Davis</w:t>
      </w:r>
      <w:r w:rsidR="005E6203" w:rsidRPr="005C0994">
        <w:rPr>
          <w:rFonts w:asciiTheme="majorHAnsi" w:hAnsiTheme="majorHAnsi"/>
          <w:sz w:val="20"/>
          <w:szCs w:val="20"/>
        </w:rPr>
        <w:t xml:space="preserve"> (Ms. Jackson’s mother)</w:t>
      </w:r>
      <w:r w:rsidRPr="005C0994">
        <w:rPr>
          <w:rFonts w:asciiTheme="majorHAnsi" w:hAnsiTheme="majorHAnsi"/>
          <w:sz w:val="20"/>
          <w:szCs w:val="20"/>
        </w:rPr>
        <w:t xml:space="preserve">, a general money order made payable to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clothing and some other personal items. </w:t>
      </w:r>
      <w:r w:rsidR="006A288E" w:rsidRPr="005C0994">
        <w:rPr>
          <w:rFonts w:asciiTheme="majorHAnsi" w:hAnsiTheme="majorHAnsi"/>
          <w:sz w:val="20"/>
          <w:szCs w:val="20"/>
        </w:rPr>
        <w:t xml:space="preserve">As they were going through the items, G. </w:t>
      </w:r>
      <w:proofErr w:type="spellStart"/>
      <w:r w:rsidR="006A288E" w:rsidRPr="005C0994">
        <w:rPr>
          <w:rFonts w:asciiTheme="majorHAnsi" w:hAnsiTheme="majorHAnsi"/>
          <w:sz w:val="20"/>
          <w:szCs w:val="20"/>
        </w:rPr>
        <w:t>Hoertt</w:t>
      </w:r>
      <w:proofErr w:type="spellEnd"/>
      <w:r w:rsidR="006A288E" w:rsidRPr="005C0994">
        <w:rPr>
          <w:rFonts w:asciiTheme="majorHAnsi" w:hAnsiTheme="majorHAnsi"/>
          <w:sz w:val="20"/>
          <w:szCs w:val="20"/>
        </w:rPr>
        <w:t xml:space="preserve"> saw Mr. </w:t>
      </w:r>
      <w:proofErr w:type="spellStart"/>
      <w:r w:rsidR="006A288E" w:rsidRPr="005C0994">
        <w:rPr>
          <w:rFonts w:asciiTheme="majorHAnsi" w:hAnsiTheme="majorHAnsi"/>
          <w:sz w:val="20"/>
          <w:szCs w:val="20"/>
        </w:rPr>
        <w:t>Loza</w:t>
      </w:r>
      <w:proofErr w:type="spellEnd"/>
      <w:r w:rsidR="006A288E" w:rsidRPr="005C0994">
        <w:rPr>
          <w:rFonts w:asciiTheme="majorHAnsi" w:hAnsiTheme="majorHAnsi"/>
          <w:sz w:val="20"/>
          <w:szCs w:val="20"/>
        </w:rPr>
        <w:t xml:space="preserve"> approach the dumpster and the detective requested the dispatcher notify Warren County deputies that the individual had returned to the dumpster and that he, the detective, was going to speak to him. R. </w:t>
      </w:r>
      <w:proofErr w:type="spellStart"/>
      <w:r w:rsidR="006A288E" w:rsidRPr="005C0994">
        <w:rPr>
          <w:rFonts w:asciiTheme="majorHAnsi" w:hAnsiTheme="majorHAnsi"/>
          <w:sz w:val="20"/>
          <w:szCs w:val="20"/>
        </w:rPr>
        <w:t>Knable</w:t>
      </w:r>
      <w:proofErr w:type="spellEnd"/>
      <w:r w:rsidR="006A288E" w:rsidRPr="005C0994">
        <w:rPr>
          <w:rFonts w:asciiTheme="majorHAnsi" w:hAnsiTheme="majorHAnsi"/>
          <w:sz w:val="20"/>
          <w:szCs w:val="20"/>
        </w:rPr>
        <w:t xml:space="preserve"> identified himself as a police officer, approached Mr. </w:t>
      </w:r>
      <w:proofErr w:type="spellStart"/>
      <w:r w:rsidR="006A288E" w:rsidRPr="005C0994">
        <w:rPr>
          <w:rFonts w:asciiTheme="majorHAnsi" w:hAnsiTheme="majorHAnsi"/>
          <w:sz w:val="20"/>
          <w:szCs w:val="20"/>
        </w:rPr>
        <w:t>Loza</w:t>
      </w:r>
      <w:proofErr w:type="spellEnd"/>
      <w:r w:rsidR="006A288E" w:rsidRPr="005C0994">
        <w:rPr>
          <w:rFonts w:asciiTheme="majorHAnsi" w:hAnsiTheme="majorHAnsi"/>
          <w:sz w:val="20"/>
          <w:szCs w:val="20"/>
        </w:rPr>
        <w:t xml:space="preserve"> with his gun in his hand. He then searched Mr. </w:t>
      </w:r>
      <w:proofErr w:type="spellStart"/>
      <w:r w:rsidR="006A288E" w:rsidRPr="005C0994">
        <w:rPr>
          <w:rFonts w:asciiTheme="majorHAnsi" w:hAnsiTheme="majorHAnsi"/>
          <w:sz w:val="20"/>
          <w:szCs w:val="20"/>
        </w:rPr>
        <w:t>Loza</w:t>
      </w:r>
      <w:proofErr w:type="spellEnd"/>
      <w:r w:rsidR="006A288E" w:rsidRPr="005C0994">
        <w:rPr>
          <w:rFonts w:asciiTheme="majorHAnsi" w:hAnsiTheme="majorHAnsi"/>
          <w:sz w:val="20"/>
          <w:szCs w:val="20"/>
        </w:rPr>
        <w:t xml:space="preserve">. Mr. </w:t>
      </w:r>
      <w:proofErr w:type="spellStart"/>
      <w:r w:rsidR="006A288E" w:rsidRPr="005C0994">
        <w:rPr>
          <w:rFonts w:asciiTheme="majorHAnsi" w:hAnsiTheme="majorHAnsi"/>
          <w:sz w:val="20"/>
          <w:szCs w:val="20"/>
        </w:rPr>
        <w:t>Loza</w:t>
      </w:r>
      <w:proofErr w:type="spellEnd"/>
      <w:r w:rsidR="006A288E" w:rsidRPr="005C0994">
        <w:rPr>
          <w:rFonts w:asciiTheme="majorHAnsi" w:hAnsiTheme="majorHAnsi"/>
          <w:sz w:val="20"/>
          <w:szCs w:val="20"/>
        </w:rPr>
        <w:t xml:space="preserve"> identified himself as “Jose Rodriguez” and </w:t>
      </w:r>
      <w:r w:rsidR="006A288E" w:rsidRPr="005C0994">
        <w:rPr>
          <w:rFonts w:asciiTheme="majorHAnsi" w:hAnsiTheme="majorHAnsi"/>
          <w:sz w:val="20"/>
          <w:szCs w:val="20"/>
        </w:rPr>
        <w:lastRenderedPageBreak/>
        <w:t xml:space="preserve">that the woman with him was “Cynthia Rodriguez” who was his wife and they were headed to California. Mr. </w:t>
      </w:r>
      <w:proofErr w:type="spellStart"/>
      <w:r w:rsidR="006A288E" w:rsidRPr="005C0994">
        <w:rPr>
          <w:rFonts w:asciiTheme="majorHAnsi" w:hAnsiTheme="majorHAnsi"/>
          <w:sz w:val="20"/>
          <w:szCs w:val="20"/>
        </w:rPr>
        <w:t>Knable</w:t>
      </w:r>
      <w:proofErr w:type="spellEnd"/>
      <w:r w:rsidR="006A288E" w:rsidRPr="005C0994">
        <w:rPr>
          <w:rFonts w:asciiTheme="majorHAnsi" w:hAnsiTheme="majorHAnsi"/>
          <w:sz w:val="20"/>
          <w:szCs w:val="20"/>
        </w:rPr>
        <w:t xml:space="preserve"> informed Mr. </w:t>
      </w:r>
      <w:proofErr w:type="spellStart"/>
      <w:r w:rsidR="006A288E" w:rsidRPr="005C0994">
        <w:rPr>
          <w:rFonts w:asciiTheme="majorHAnsi" w:hAnsiTheme="majorHAnsi"/>
          <w:sz w:val="20"/>
          <w:szCs w:val="20"/>
        </w:rPr>
        <w:t>Loza</w:t>
      </w:r>
      <w:proofErr w:type="spellEnd"/>
      <w:r w:rsidR="006A288E" w:rsidRPr="005C0994">
        <w:rPr>
          <w:rFonts w:asciiTheme="majorHAnsi" w:hAnsiTheme="majorHAnsi"/>
          <w:sz w:val="20"/>
          <w:szCs w:val="20"/>
        </w:rPr>
        <w:t xml:space="preserve"> that he was stopped because of what he put in the dumpster, that the letter indicated that Mr. </w:t>
      </w:r>
      <w:proofErr w:type="spellStart"/>
      <w:r w:rsidR="006A288E" w:rsidRPr="005C0994">
        <w:rPr>
          <w:rFonts w:asciiTheme="majorHAnsi" w:hAnsiTheme="majorHAnsi"/>
          <w:sz w:val="20"/>
          <w:szCs w:val="20"/>
        </w:rPr>
        <w:t>Loza</w:t>
      </w:r>
      <w:proofErr w:type="spellEnd"/>
      <w:r w:rsidR="006A288E" w:rsidRPr="005C0994">
        <w:rPr>
          <w:rFonts w:asciiTheme="majorHAnsi" w:hAnsiTheme="majorHAnsi"/>
          <w:sz w:val="20"/>
          <w:szCs w:val="20"/>
        </w:rPr>
        <w:t xml:space="preserve"> may have been involved in a drive-by shooting and that Mr. </w:t>
      </w:r>
      <w:proofErr w:type="spellStart"/>
      <w:r w:rsidR="006A288E" w:rsidRPr="005C0994">
        <w:rPr>
          <w:rFonts w:asciiTheme="majorHAnsi" w:hAnsiTheme="majorHAnsi"/>
          <w:sz w:val="20"/>
          <w:szCs w:val="20"/>
        </w:rPr>
        <w:t>Knable</w:t>
      </w:r>
      <w:proofErr w:type="spellEnd"/>
      <w:r w:rsidR="006A288E" w:rsidRPr="005C0994">
        <w:rPr>
          <w:rFonts w:asciiTheme="majorHAnsi" w:hAnsiTheme="majorHAnsi"/>
          <w:sz w:val="20"/>
          <w:szCs w:val="20"/>
        </w:rPr>
        <w:t xml:space="preserve"> was going to handcuff him and detain him until Warren County deputies arrived. Mr. </w:t>
      </w:r>
      <w:proofErr w:type="spellStart"/>
      <w:r w:rsidR="006A288E" w:rsidRPr="005C0994">
        <w:rPr>
          <w:rFonts w:asciiTheme="majorHAnsi" w:hAnsiTheme="majorHAnsi"/>
          <w:sz w:val="20"/>
          <w:szCs w:val="20"/>
        </w:rPr>
        <w:t>Knable</w:t>
      </w:r>
      <w:proofErr w:type="spellEnd"/>
      <w:r w:rsidR="006A288E" w:rsidRPr="005C0994">
        <w:rPr>
          <w:rFonts w:asciiTheme="majorHAnsi" w:hAnsiTheme="majorHAnsi"/>
          <w:sz w:val="20"/>
          <w:szCs w:val="20"/>
        </w:rPr>
        <w:t xml:space="preserve"> went to locate the woman who had been seen with Mr. </w:t>
      </w:r>
      <w:proofErr w:type="spellStart"/>
      <w:r w:rsidR="006A288E" w:rsidRPr="005C0994">
        <w:rPr>
          <w:rFonts w:asciiTheme="majorHAnsi" w:hAnsiTheme="majorHAnsi"/>
          <w:sz w:val="20"/>
          <w:szCs w:val="20"/>
        </w:rPr>
        <w:t>Loza</w:t>
      </w:r>
      <w:proofErr w:type="spellEnd"/>
      <w:r w:rsidR="00416614" w:rsidRPr="005C0994">
        <w:rPr>
          <w:rFonts w:asciiTheme="majorHAnsi" w:hAnsiTheme="majorHAnsi"/>
          <w:sz w:val="20"/>
          <w:szCs w:val="20"/>
        </w:rPr>
        <w:t>.</w:t>
      </w:r>
    </w:p>
    <w:p w14:paraId="704018CB" w14:textId="77777777" w:rsidR="0025755D" w:rsidRPr="005C0994" w:rsidRDefault="0025755D" w:rsidP="002575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66040467" w14:textId="77777777" w:rsidR="0025755D" w:rsidRPr="005C0994" w:rsidRDefault="00416614" w:rsidP="00C354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 Dorothy Jackson identified herself as “Dorothy Jackson”,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as “Jose Rodriguez” and that they were not married. The Warren County deputies arrived and determined Ms. Jackson was under age and planned to travel to California with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Mr. </w:t>
      </w:r>
      <w:proofErr w:type="spellStart"/>
      <w:r w:rsidRPr="005C0994">
        <w:rPr>
          <w:rFonts w:asciiTheme="majorHAnsi" w:hAnsiTheme="majorHAnsi"/>
          <w:sz w:val="20"/>
          <w:szCs w:val="20"/>
        </w:rPr>
        <w:t>Knable</w:t>
      </w:r>
      <w:proofErr w:type="spellEnd"/>
      <w:r w:rsidRPr="005C0994">
        <w:rPr>
          <w:rFonts w:asciiTheme="majorHAnsi" w:hAnsiTheme="majorHAnsi"/>
          <w:sz w:val="20"/>
          <w:szCs w:val="20"/>
        </w:rPr>
        <w:t xml:space="preserve"> was unsuccessful in contacting Ms. Jackson’s mother by phone and </w:t>
      </w:r>
      <w:r w:rsidR="003729BF" w:rsidRPr="005C0994">
        <w:rPr>
          <w:rFonts w:asciiTheme="majorHAnsi" w:hAnsiTheme="majorHAnsi"/>
          <w:sz w:val="20"/>
          <w:szCs w:val="20"/>
        </w:rPr>
        <w:t>George Jeffrey</w:t>
      </w:r>
      <w:r w:rsidR="00233CCA" w:rsidRPr="005C0994">
        <w:rPr>
          <w:rFonts w:asciiTheme="majorHAnsi" w:hAnsiTheme="majorHAnsi"/>
          <w:sz w:val="20"/>
          <w:szCs w:val="20"/>
        </w:rPr>
        <w:t>, a detective,</w:t>
      </w:r>
      <w:r w:rsidR="003729BF" w:rsidRPr="005C0994">
        <w:rPr>
          <w:rFonts w:asciiTheme="majorHAnsi" w:hAnsiTheme="majorHAnsi"/>
          <w:sz w:val="20"/>
          <w:szCs w:val="20"/>
        </w:rPr>
        <w:t xml:space="preserve"> did not receive any response when he visited Georgia L. Davis’s home.</w:t>
      </w:r>
      <w:r w:rsidR="00E75F13" w:rsidRPr="005C0994">
        <w:rPr>
          <w:rFonts w:asciiTheme="majorHAnsi" w:hAnsiTheme="majorHAnsi"/>
          <w:sz w:val="20"/>
          <w:szCs w:val="20"/>
        </w:rPr>
        <w:t xml:space="preserve"> Unable to determine if Ms. Jackson had permission to travel out of state, she was arrested for being an unruly minor and was taken to the Warren County Juvenile Detention Center, and Mr. </w:t>
      </w:r>
      <w:proofErr w:type="spellStart"/>
      <w:r w:rsidR="00E75F13" w:rsidRPr="005C0994">
        <w:rPr>
          <w:rFonts w:asciiTheme="majorHAnsi" w:hAnsiTheme="majorHAnsi"/>
          <w:sz w:val="20"/>
          <w:szCs w:val="20"/>
        </w:rPr>
        <w:t>Loza</w:t>
      </w:r>
      <w:proofErr w:type="spellEnd"/>
      <w:r w:rsidR="00E75F13" w:rsidRPr="005C0994">
        <w:rPr>
          <w:rFonts w:asciiTheme="majorHAnsi" w:hAnsiTheme="majorHAnsi"/>
          <w:sz w:val="20"/>
          <w:szCs w:val="20"/>
        </w:rPr>
        <w:t xml:space="preserve"> was arrested for contributing to the delinquency or unruliness of a minor and was taken to the Warren County Justice Center. </w:t>
      </w:r>
    </w:p>
    <w:p w14:paraId="4329C98C" w14:textId="77777777" w:rsidR="0025755D" w:rsidRPr="005C0994" w:rsidRDefault="0025755D" w:rsidP="0025755D">
      <w:pPr>
        <w:pStyle w:val="ListParagraph"/>
        <w:rPr>
          <w:rFonts w:asciiTheme="majorHAnsi" w:hAnsiTheme="majorHAnsi"/>
          <w:sz w:val="20"/>
          <w:szCs w:val="20"/>
        </w:rPr>
      </w:pPr>
    </w:p>
    <w:p w14:paraId="3525C971" w14:textId="77777777" w:rsidR="002B7448" w:rsidRPr="005C0994" w:rsidRDefault="008D07D4" w:rsidP="001913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Upon being questioned by the detectives Ms. Jackson said that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w:t>
      </w:r>
      <w:r w:rsidR="00501CF1" w:rsidRPr="005C0994">
        <w:rPr>
          <w:rFonts w:asciiTheme="majorHAnsi" w:hAnsiTheme="majorHAnsi"/>
          <w:sz w:val="20"/>
          <w:szCs w:val="20"/>
        </w:rPr>
        <w:t>killed</w:t>
      </w:r>
      <w:r w:rsidRPr="005C0994">
        <w:rPr>
          <w:rFonts w:asciiTheme="majorHAnsi" w:hAnsiTheme="majorHAnsi"/>
          <w:sz w:val="20"/>
          <w:szCs w:val="20"/>
        </w:rPr>
        <w:t xml:space="preserve"> her family and that she knew about the murders. Based on the statement, Mr. </w:t>
      </w:r>
      <w:proofErr w:type="spellStart"/>
      <w:r w:rsidRPr="005C0994">
        <w:rPr>
          <w:rFonts w:asciiTheme="majorHAnsi" w:hAnsiTheme="majorHAnsi"/>
          <w:sz w:val="20"/>
          <w:szCs w:val="20"/>
        </w:rPr>
        <w:t>Knable</w:t>
      </w:r>
      <w:proofErr w:type="spellEnd"/>
      <w:r w:rsidRPr="005C0994">
        <w:rPr>
          <w:rFonts w:asciiTheme="majorHAnsi" w:hAnsiTheme="majorHAnsi"/>
          <w:sz w:val="20"/>
          <w:szCs w:val="20"/>
        </w:rPr>
        <w:t xml:space="preserve"> got a search warrant for the house, and police discovered the victims</w:t>
      </w:r>
      <w:r w:rsidR="0066333A" w:rsidRPr="005C0994">
        <w:rPr>
          <w:rFonts w:asciiTheme="majorHAnsi" w:hAnsiTheme="majorHAnsi"/>
          <w:sz w:val="20"/>
          <w:szCs w:val="20"/>
        </w:rPr>
        <w:t>’ bodies</w:t>
      </w:r>
      <w:r w:rsidRPr="005C0994">
        <w:rPr>
          <w:rFonts w:asciiTheme="majorHAnsi" w:hAnsiTheme="majorHAnsi"/>
          <w:sz w:val="20"/>
          <w:szCs w:val="20"/>
        </w:rPr>
        <w:t xml:space="preserve">. Mr. </w:t>
      </w:r>
      <w:proofErr w:type="spellStart"/>
      <w:r w:rsidRPr="005C0994">
        <w:rPr>
          <w:rFonts w:asciiTheme="majorHAnsi" w:hAnsiTheme="majorHAnsi"/>
          <w:sz w:val="20"/>
          <w:szCs w:val="20"/>
        </w:rPr>
        <w:t>Knable</w:t>
      </w:r>
      <w:proofErr w:type="spellEnd"/>
      <w:r w:rsidRPr="005C0994">
        <w:rPr>
          <w:rFonts w:asciiTheme="majorHAnsi" w:hAnsiTheme="majorHAnsi"/>
          <w:sz w:val="20"/>
          <w:szCs w:val="20"/>
        </w:rPr>
        <w:t xml:space="preserve"> and Jeffrey returned to the Warren County Justice Center and began questioning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and</w:t>
      </w:r>
      <w:r w:rsidR="00501CF1" w:rsidRPr="005C0994">
        <w:rPr>
          <w:rFonts w:asciiTheme="majorHAnsi" w:hAnsiTheme="majorHAnsi"/>
          <w:sz w:val="20"/>
          <w:szCs w:val="20"/>
        </w:rPr>
        <w:t xml:space="preserve"> the interview was videotaped. At</w:t>
      </w:r>
      <w:r w:rsidRPr="005C0994">
        <w:rPr>
          <w:rFonts w:asciiTheme="majorHAnsi" w:hAnsiTheme="majorHAnsi"/>
          <w:sz w:val="20"/>
          <w:szCs w:val="20"/>
        </w:rPr>
        <w:t xml:space="preserve"> the beginning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waived his Miranda rights. Initially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said that he and Ms. Jackson were traveling to California with her mother’s permission and after he was informed of the detectives’ knowledge of the deaths, and informed that it would be in his, Ms. Jackson and the baby’s best interests to tell the truth; one hour into the interview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confessed, stating that Ms. Jackson was not in the house at the time </w:t>
      </w:r>
      <w:r w:rsidR="00D7514B" w:rsidRPr="005C0994">
        <w:rPr>
          <w:rFonts w:asciiTheme="majorHAnsi" w:hAnsiTheme="majorHAnsi"/>
          <w:sz w:val="20"/>
          <w:szCs w:val="20"/>
        </w:rPr>
        <w:t>of</w:t>
      </w:r>
      <w:r w:rsidRPr="005C0994">
        <w:rPr>
          <w:rFonts w:asciiTheme="majorHAnsi" w:hAnsiTheme="majorHAnsi"/>
          <w:sz w:val="20"/>
          <w:szCs w:val="20"/>
        </w:rPr>
        <w:t xml:space="preserve"> the murders and she did not know he would kill her family.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explained that he shot Georgia Davis because of her threat to have him arrested if he tried to leave the state with Ms. Jackson. </w:t>
      </w:r>
    </w:p>
    <w:p w14:paraId="05ADB5C4" w14:textId="77777777" w:rsidR="00146E18" w:rsidRPr="005C0994" w:rsidRDefault="00146E18" w:rsidP="00146E18">
      <w:pPr>
        <w:rPr>
          <w:sz w:val="20"/>
          <w:szCs w:val="20"/>
        </w:rPr>
      </w:pPr>
    </w:p>
    <w:p w14:paraId="7422DF24" w14:textId="77777777" w:rsidR="00021557" w:rsidRPr="005C0994" w:rsidRDefault="00EB1CAE" w:rsidP="00146E18">
      <w:pPr>
        <w:pStyle w:val="Heading2"/>
        <w:numPr>
          <w:ilvl w:val="0"/>
          <w:numId w:val="58"/>
        </w:numPr>
        <w:tabs>
          <w:tab w:val="left" w:pos="360"/>
        </w:tabs>
        <w:spacing w:before="0"/>
        <w:ind w:hanging="720"/>
        <w:rPr>
          <w:color w:val="auto"/>
          <w:sz w:val="20"/>
          <w:szCs w:val="20"/>
        </w:rPr>
      </w:pPr>
      <w:bookmarkStart w:id="14" w:name="_Toc90297869"/>
      <w:r w:rsidRPr="005C0994">
        <w:rPr>
          <w:color w:val="auto"/>
          <w:sz w:val="20"/>
          <w:szCs w:val="20"/>
        </w:rPr>
        <w:t>T</w:t>
      </w:r>
      <w:r w:rsidR="00021557" w:rsidRPr="005C0994">
        <w:rPr>
          <w:color w:val="auto"/>
          <w:sz w:val="20"/>
          <w:szCs w:val="20"/>
        </w:rPr>
        <w:t>rial and death sentence</w:t>
      </w:r>
      <w:bookmarkEnd w:id="14"/>
    </w:p>
    <w:p w14:paraId="78D75818" w14:textId="77777777" w:rsidR="00021557" w:rsidRPr="005C0994"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785B7FD6" w14:textId="77777777" w:rsidR="0066333A" w:rsidRPr="005C0994" w:rsidRDefault="00DE3B4F" w:rsidP="008D07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was indicted on four counts of aggravated murder. He waived his right to a jury trial and proceeded to trial before a three-judge panel. The defense moved for a mistrial on the basis that the state had failed to disclose certain exculpatory evidence during discovery. </w:t>
      </w:r>
      <w:r w:rsidR="004A6629" w:rsidRPr="005C0994">
        <w:rPr>
          <w:rFonts w:asciiTheme="majorHAnsi" w:hAnsiTheme="majorHAnsi"/>
          <w:sz w:val="20"/>
          <w:szCs w:val="20"/>
        </w:rPr>
        <w:t xml:space="preserve">Such exculpatory evidence was the lack of scientific findings of gun powder residue or blood splatter onto Mr. </w:t>
      </w:r>
      <w:proofErr w:type="spellStart"/>
      <w:r w:rsidR="004A6629" w:rsidRPr="005C0994">
        <w:rPr>
          <w:rFonts w:asciiTheme="majorHAnsi" w:hAnsiTheme="majorHAnsi"/>
          <w:sz w:val="20"/>
          <w:szCs w:val="20"/>
        </w:rPr>
        <w:t>Loza’s</w:t>
      </w:r>
      <w:proofErr w:type="spellEnd"/>
      <w:r w:rsidR="004A6629" w:rsidRPr="005C0994">
        <w:rPr>
          <w:rFonts w:asciiTheme="majorHAnsi" w:hAnsiTheme="majorHAnsi"/>
          <w:sz w:val="20"/>
          <w:szCs w:val="20"/>
        </w:rPr>
        <w:t xml:space="preserve"> clothing as auxiliary evidence to the crime. </w:t>
      </w:r>
      <w:r w:rsidRPr="005C0994">
        <w:rPr>
          <w:rFonts w:asciiTheme="majorHAnsi" w:hAnsiTheme="majorHAnsi"/>
          <w:sz w:val="20"/>
          <w:szCs w:val="20"/>
        </w:rPr>
        <w:t>The Court grant</w:t>
      </w:r>
      <w:r w:rsidR="008A7460" w:rsidRPr="005C0994">
        <w:rPr>
          <w:rFonts w:asciiTheme="majorHAnsi" w:hAnsiTheme="majorHAnsi"/>
          <w:sz w:val="20"/>
          <w:szCs w:val="20"/>
        </w:rPr>
        <w:t>ed the</w:t>
      </w:r>
      <w:r w:rsidRPr="005C0994">
        <w:rPr>
          <w:rFonts w:asciiTheme="majorHAnsi" w:hAnsiTheme="majorHAnsi"/>
          <w:sz w:val="20"/>
          <w:szCs w:val="20"/>
        </w:rPr>
        <w:t xml:space="preserve"> mistrial without prejudice, denied the subsequent motion to bar his trial on double jeopardy grounds and denied the pretrial motion to suppress all statements and evidence seized in the matter. </w:t>
      </w:r>
    </w:p>
    <w:p w14:paraId="69441CF7" w14:textId="77777777" w:rsidR="0066333A" w:rsidRPr="005C0994" w:rsidRDefault="0066333A" w:rsidP="006633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7518230B" w14:textId="77777777" w:rsidR="00DE3B4F" w:rsidRPr="005C0994" w:rsidRDefault="00DE3B4F" w:rsidP="008D07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A trial by jury commenced on October 21, 1991.</w:t>
      </w:r>
      <w:r w:rsidR="00831D65" w:rsidRPr="005C0994">
        <w:rPr>
          <w:rFonts w:asciiTheme="majorHAnsi" w:hAnsiTheme="majorHAnsi"/>
          <w:sz w:val="20"/>
          <w:szCs w:val="20"/>
        </w:rPr>
        <w:t xml:space="preserve"> </w:t>
      </w:r>
      <w:r w:rsidR="00D7514B" w:rsidRPr="005C0994">
        <w:rPr>
          <w:rFonts w:asciiTheme="majorHAnsi" w:hAnsiTheme="majorHAnsi"/>
          <w:sz w:val="20"/>
          <w:szCs w:val="20"/>
        </w:rPr>
        <w:t>On October 31, 1991, t</w:t>
      </w:r>
      <w:r w:rsidR="00831D65" w:rsidRPr="005C0994">
        <w:rPr>
          <w:rFonts w:asciiTheme="majorHAnsi" w:hAnsiTheme="majorHAnsi"/>
          <w:sz w:val="20"/>
          <w:szCs w:val="20"/>
        </w:rPr>
        <w:t xml:space="preserve">he jury found Mr. </w:t>
      </w:r>
      <w:proofErr w:type="spellStart"/>
      <w:r w:rsidR="00831D65" w:rsidRPr="005C0994">
        <w:rPr>
          <w:rFonts w:asciiTheme="majorHAnsi" w:hAnsiTheme="majorHAnsi"/>
          <w:sz w:val="20"/>
          <w:szCs w:val="20"/>
        </w:rPr>
        <w:t>Loza</w:t>
      </w:r>
      <w:proofErr w:type="spellEnd"/>
      <w:r w:rsidR="00831D65" w:rsidRPr="005C0994">
        <w:rPr>
          <w:rFonts w:asciiTheme="majorHAnsi" w:hAnsiTheme="majorHAnsi"/>
          <w:sz w:val="20"/>
          <w:szCs w:val="20"/>
        </w:rPr>
        <w:t xml:space="preserve"> guilty on all four counts of aggravated murder</w:t>
      </w:r>
      <w:r w:rsidR="007611A5" w:rsidRPr="005C0994">
        <w:rPr>
          <w:rFonts w:asciiTheme="majorHAnsi" w:hAnsiTheme="majorHAnsi"/>
          <w:sz w:val="20"/>
          <w:szCs w:val="20"/>
        </w:rPr>
        <w:t>.</w:t>
      </w:r>
      <w:r w:rsidR="00D7514B" w:rsidRPr="005C0994">
        <w:rPr>
          <w:rStyle w:val="FootnoteReference"/>
          <w:rFonts w:asciiTheme="majorHAnsi" w:hAnsiTheme="majorHAnsi"/>
          <w:sz w:val="20"/>
          <w:szCs w:val="20"/>
        </w:rPr>
        <w:footnoteReference w:id="6"/>
      </w:r>
      <w:r w:rsidR="007611A5" w:rsidRPr="005C0994">
        <w:rPr>
          <w:rFonts w:asciiTheme="majorHAnsi" w:hAnsiTheme="majorHAnsi"/>
          <w:sz w:val="20"/>
          <w:szCs w:val="20"/>
        </w:rPr>
        <w:t xml:space="preserve"> The jury recommended the death sentence for the aggravated murders of Mullins, </w:t>
      </w:r>
      <w:proofErr w:type="spellStart"/>
      <w:r w:rsidR="007611A5" w:rsidRPr="005C0994">
        <w:rPr>
          <w:rFonts w:asciiTheme="majorHAnsi" w:hAnsiTheme="majorHAnsi"/>
          <w:sz w:val="20"/>
          <w:szCs w:val="20"/>
        </w:rPr>
        <w:t>Senteno</w:t>
      </w:r>
      <w:proofErr w:type="spellEnd"/>
      <w:r w:rsidR="007611A5" w:rsidRPr="005C0994">
        <w:rPr>
          <w:rFonts w:asciiTheme="majorHAnsi" w:hAnsiTheme="majorHAnsi"/>
          <w:sz w:val="20"/>
          <w:szCs w:val="20"/>
        </w:rPr>
        <w:t xml:space="preserve"> and Jerri Jackson; and thirty years to life imprisonment for the aggravated murder of Georgia Davis. The </w:t>
      </w:r>
      <w:r w:rsidR="008E1322" w:rsidRPr="005C0994">
        <w:rPr>
          <w:rFonts w:asciiTheme="majorHAnsi" w:hAnsiTheme="majorHAnsi"/>
          <w:sz w:val="20"/>
          <w:szCs w:val="20"/>
        </w:rPr>
        <w:t>Ohio Butler County Court of Common Pleas</w:t>
      </w:r>
      <w:r w:rsidR="007611A5" w:rsidRPr="005C0994">
        <w:rPr>
          <w:rFonts w:asciiTheme="majorHAnsi" w:hAnsiTheme="majorHAnsi"/>
          <w:sz w:val="20"/>
          <w:szCs w:val="20"/>
        </w:rPr>
        <w:t xml:space="preserve"> accepted the recommendations and sentenced Mr. </w:t>
      </w:r>
      <w:proofErr w:type="spellStart"/>
      <w:r w:rsidR="007611A5" w:rsidRPr="005C0994">
        <w:rPr>
          <w:rFonts w:asciiTheme="majorHAnsi" w:hAnsiTheme="majorHAnsi"/>
          <w:sz w:val="20"/>
          <w:szCs w:val="20"/>
        </w:rPr>
        <w:t>Loza</w:t>
      </w:r>
      <w:proofErr w:type="spellEnd"/>
      <w:r w:rsidR="007611A5" w:rsidRPr="005C0994">
        <w:rPr>
          <w:rFonts w:asciiTheme="majorHAnsi" w:hAnsiTheme="majorHAnsi"/>
          <w:sz w:val="20"/>
          <w:szCs w:val="20"/>
        </w:rPr>
        <w:t xml:space="preserve"> respectively.</w:t>
      </w:r>
      <w:r w:rsidRPr="005C0994">
        <w:rPr>
          <w:rStyle w:val="FootnoteReference"/>
          <w:rFonts w:asciiTheme="majorHAnsi" w:hAnsiTheme="majorHAnsi"/>
          <w:sz w:val="20"/>
          <w:szCs w:val="20"/>
        </w:rPr>
        <w:footnoteReference w:id="7"/>
      </w:r>
      <w:r w:rsidRPr="005C0994">
        <w:rPr>
          <w:rFonts w:asciiTheme="majorHAnsi" w:hAnsiTheme="majorHAnsi"/>
          <w:sz w:val="20"/>
          <w:szCs w:val="20"/>
        </w:rPr>
        <w:t xml:space="preserve"> </w:t>
      </w:r>
      <w:r w:rsidR="00A91578" w:rsidRPr="005C0994">
        <w:rPr>
          <w:rFonts w:asciiTheme="majorHAnsi" w:hAnsiTheme="majorHAnsi"/>
          <w:sz w:val="20"/>
          <w:szCs w:val="20"/>
        </w:rPr>
        <w:t>The Ohio Court of Appeals affirmed the convictions and sentences</w:t>
      </w:r>
      <w:r w:rsidR="00E47E00" w:rsidRPr="005C0994">
        <w:rPr>
          <w:rFonts w:asciiTheme="majorHAnsi" w:hAnsiTheme="majorHAnsi"/>
          <w:sz w:val="20"/>
          <w:szCs w:val="20"/>
        </w:rPr>
        <w:t xml:space="preserve"> on April 19, 1993</w:t>
      </w:r>
      <w:r w:rsidR="00A91578" w:rsidRPr="005C0994">
        <w:rPr>
          <w:rFonts w:asciiTheme="majorHAnsi" w:hAnsiTheme="majorHAnsi"/>
          <w:sz w:val="20"/>
          <w:szCs w:val="20"/>
        </w:rPr>
        <w:t>.</w:t>
      </w:r>
      <w:r w:rsidR="00A91578" w:rsidRPr="005C0994">
        <w:rPr>
          <w:rStyle w:val="FootnoteReference"/>
          <w:rFonts w:asciiTheme="majorHAnsi" w:hAnsiTheme="majorHAnsi"/>
          <w:sz w:val="20"/>
          <w:szCs w:val="20"/>
        </w:rPr>
        <w:footnoteReference w:id="8"/>
      </w:r>
    </w:p>
    <w:p w14:paraId="3A054BBE" w14:textId="77777777" w:rsidR="00051DB2" w:rsidRPr="005C0994" w:rsidRDefault="00051DB2" w:rsidP="00D7514B">
      <w:pPr>
        <w:rPr>
          <w:rFonts w:asciiTheme="majorHAnsi" w:hAnsiTheme="majorHAnsi"/>
          <w:sz w:val="20"/>
          <w:szCs w:val="20"/>
        </w:rPr>
      </w:pPr>
    </w:p>
    <w:p w14:paraId="78377D7B" w14:textId="77777777" w:rsidR="00006693" w:rsidRPr="005C0994" w:rsidRDefault="008E1322" w:rsidP="00CA04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On direct a</w:t>
      </w:r>
      <w:r w:rsidR="00051DB2" w:rsidRPr="005C0994">
        <w:rPr>
          <w:rFonts w:asciiTheme="majorHAnsi" w:hAnsiTheme="majorHAnsi"/>
          <w:sz w:val="20"/>
          <w:szCs w:val="20"/>
        </w:rPr>
        <w:t xml:space="preserve">ppeal, the Supreme Court of Ohio </w:t>
      </w:r>
      <w:r w:rsidR="00D620D2" w:rsidRPr="005C0994">
        <w:rPr>
          <w:rFonts w:asciiTheme="majorHAnsi" w:hAnsiTheme="majorHAnsi"/>
          <w:sz w:val="20"/>
          <w:szCs w:val="20"/>
        </w:rPr>
        <w:t>affirmed the convictions and sentences</w:t>
      </w:r>
      <w:r w:rsidR="00E47E00" w:rsidRPr="005C0994">
        <w:rPr>
          <w:rFonts w:asciiTheme="majorHAnsi" w:hAnsiTheme="majorHAnsi"/>
          <w:sz w:val="20"/>
          <w:szCs w:val="20"/>
        </w:rPr>
        <w:t xml:space="preserve"> on November 30, 1994</w:t>
      </w:r>
      <w:r w:rsidR="00D620D2" w:rsidRPr="005C0994">
        <w:rPr>
          <w:rFonts w:asciiTheme="majorHAnsi" w:hAnsiTheme="majorHAnsi"/>
          <w:sz w:val="20"/>
          <w:szCs w:val="20"/>
        </w:rPr>
        <w:t>,</w:t>
      </w:r>
      <w:r w:rsidR="00051DB2" w:rsidRPr="005C0994">
        <w:rPr>
          <w:rStyle w:val="FootnoteReference"/>
          <w:rFonts w:asciiTheme="majorHAnsi" w:hAnsiTheme="majorHAnsi"/>
          <w:sz w:val="20"/>
          <w:szCs w:val="20"/>
        </w:rPr>
        <w:footnoteReference w:id="9"/>
      </w:r>
      <w:r w:rsidR="00D620D2" w:rsidRPr="005C0994">
        <w:rPr>
          <w:rFonts w:asciiTheme="majorHAnsi" w:hAnsiTheme="majorHAnsi"/>
          <w:sz w:val="20"/>
          <w:szCs w:val="20"/>
        </w:rPr>
        <w:t xml:space="preserve"> and denied the motion for reconsideration.</w:t>
      </w:r>
      <w:r w:rsidR="00D620D2" w:rsidRPr="005C0994">
        <w:rPr>
          <w:rStyle w:val="FootnoteReference"/>
          <w:rFonts w:asciiTheme="majorHAnsi" w:hAnsiTheme="majorHAnsi"/>
          <w:sz w:val="20"/>
          <w:szCs w:val="20"/>
        </w:rPr>
        <w:footnoteReference w:id="10"/>
      </w:r>
      <w:r w:rsidR="006912EE" w:rsidRPr="005C0994">
        <w:rPr>
          <w:rFonts w:asciiTheme="majorHAnsi" w:hAnsiTheme="majorHAnsi"/>
          <w:sz w:val="20"/>
          <w:szCs w:val="20"/>
        </w:rPr>
        <w:t xml:space="preserve"> </w:t>
      </w:r>
      <w:r w:rsidR="009B76BF" w:rsidRPr="005C0994">
        <w:rPr>
          <w:rFonts w:asciiTheme="majorHAnsi" w:hAnsiTheme="majorHAnsi"/>
          <w:sz w:val="20"/>
          <w:szCs w:val="20"/>
        </w:rPr>
        <w:t>T</w:t>
      </w:r>
      <w:r w:rsidR="00006693" w:rsidRPr="005C0994">
        <w:rPr>
          <w:rFonts w:asciiTheme="majorHAnsi" w:hAnsiTheme="majorHAnsi"/>
          <w:sz w:val="20"/>
          <w:szCs w:val="20"/>
        </w:rPr>
        <w:t xml:space="preserve">he United States Supreme Court denied </w:t>
      </w:r>
      <w:r w:rsidRPr="005C0994">
        <w:rPr>
          <w:rFonts w:asciiTheme="majorHAnsi" w:hAnsiTheme="majorHAnsi"/>
          <w:sz w:val="20"/>
          <w:szCs w:val="20"/>
        </w:rPr>
        <w:t xml:space="preserve">Mr. </w:t>
      </w:r>
      <w:proofErr w:type="spellStart"/>
      <w:r w:rsidRPr="005C0994">
        <w:rPr>
          <w:rFonts w:asciiTheme="majorHAnsi" w:hAnsiTheme="majorHAnsi"/>
          <w:sz w:val="20"/>
          <w:szCs w:val="20"/>
        </w:rPr>
        <w:t>Loza’s</w:t>
      </w:r>
      <w:proofErr w:type="spellEnd"/>
      <w:r w:rsidR="00006693" w:rsidRPr="005C0994">
        <w:rPr>
          <w:rFonts w:asciiTheme="majorHAnsi" w:hAnsiTheme="majorHAnsi"/>
          <w:sz w:val="20"/>
          <w:szCs w:val="20"/>
        </w:rPr>
        <w:t xml:space="preserve"> writ of certiorari.</w:t>
      </w:r>
      <w:r w:rsidR="00006693" w:rsidRPr="005C0994">
        <w:rPr>
          <w:rStyle w:val="FootnoteReference"/>
          <w:rFonts w:asciiTheme="majorHAnsi" w:hAnsiTheme="majorHAnsi"/>
          <w:sz w:val="20"/>
          <w:szCs w:val="20"/>
        </w:rPr>
        <w:footnoteReference w:id="11"/>
      </w:r>
      <w:r w:rsidR="00006693" w:rsidRPr="005C0994">
        <w:rPr>
          <w:rFonts w:asciiTheme="majorHAnsi" w:hAnsiTheme="majorHAnsi"/>
          <w:sz w:val="20"/>
          <w:szCs w:val="20"/>
        </w:rPr>
        <w:t xml:space="preserve"> </w:t>
      </w:r>
    </w:p>
    <w:p w14:paraId="03D5C023" w14:textId="77777777" w:rsidR="008E1322" w:rsidRPr="005C0994" w:rsidRDefault="008E1322" w:rsidP="008E13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2D4F4582" w14:textId="77777777" w:rsidR="0066333A" w:rsidRPr="005C0994" w:rsidRDefault="0066333A" w:rsidP="00146E18">
      <w:pPr>
        <w:pStyle w:val="Heading2"/>
        <w:numPr>
          <w:ilvl w:val="0"/>
          <w:numId w:val="58"/>
        </w:numPr>
        <w:tabs>
          <w:tab w:val="left" w:pos="360"/>
        </w:tabs>
        <w:spacing w:before="0"/>
        <w:ind w:hanging="720"/>
        <w:rPr>
          <w:color w:val="auto"/>
          <w:sz w:val="20"/>
          <w:szCs w:val="20"/>
        </w:rPr>
      </w:pPr>
      <w:bookmarkStart w:id="15" w:name="_Toc90297870"/>
      <w:r w:rsidRPr="005C0994">
        <w:rPr>
          <w:color w:val="auto"/>
          <w:sz w:val="20"/>
          <w:szCs w:val="20"/>
        </w:rPr>
        <w:t>Post-conviction</w:t>
      </w:r>
      <w:bookmarkEnd w:id="15"/>
    </w:p>
    <w:p w14:paraId="552A4E8A" w14:textId="77777777" w:rsidR="0066333A" w:rsidRPr="005C0994" w:rsidRDefault="0066333A" w:rsidP="00A265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5313D475" w14:textId="77777777" w:rsidR="00F86ACE" w:rsidRPr="005C0994" w:rsidRDefault="00003AC1" w:rsidP="001B65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On November 27, 1995,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filed a petition for post-conviction relief, a motion for discovery, and a motion requesting review of prosecutorial and police files. On December 7, 1995, he filed a motion for discovery </w:t>
      </w:r>
      <w:r w:rsidRPr="005C0994">
        <w:rPr>
          <w:rFonts w:asciiTheme="majorHAnsi" w:hAnsiTheme="majorHAnsi"/>
          <w:sz w:val="20"/>
          <w:szCs w:val="20"/>
        </w:rPr>
        <w:lastRenderedPageBreak/>
        <w:t>on the discriminatory enforcement of the death penalty in Butler County, Ohio. On September 24, 1996, the trial court</w:t>
      </w:r>
      <w:r w:rsidR="00B31391" w:rsidRPr="005C0994">
        <w:rPr>
          <w:rFonts w:asciiTheme="majorHAnsi" w:hAnsiTheme="majorHAnsi"/>
          <w:sz w:val="20"/>
          <w:szCs w:val="20"/>
        </w:rPr>
        <w:t xml:space="preserve"> </w:t>
      </w:r>
      <w:r w:rsidRPr="005C0994">
        <w:rPr>
          <w:rFonts w:asciiTheme="majorHAnsi" w:hAnsiTheme="majorHAnsi"/>
          <w:sz w:val="20"/>
          <w:szCs w:val="20"/>
        </w:rPr>
        <w:t xml:space="preserve">issued a decision that denied all of his motions and dismissed his petition for post-conviction relief. </w:t>
      </w:r>
    </w:p>
    <w:p w14:paraId="3ACA5B8E" w14:textId="77777777" w:rsidR="00F86ACE" w:rsidRPr="005C0994" w:rsidRDefault="00F86ACE" w:rsidP="00F86A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00272245" w14:textId="77777777" w:rsidR="001B658D" w:rsidRPr="005C0994" w:rsidRDefault="00B31391" w:rsidP="001B65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The decision was appealed to the Ohio Court of Appeals with claims concerning </w:t>
      </w:r>
      <w:r w:rsidR="00E833E9" w:rsidRPr="005C0994">
        <w:rPr>
          <w:rFonts w:asciiTheme="majorHAnsi" w:hAnsiTheme="majorHAnsi"/>
          <w:sz w:val="20"/>
          <w:szCs w:val="20"/>
        </w:rPr>
        <w:t xml:space="preserve">a breach of </w:t>
      </w:r>
      <w:r w:rsidRPr="005C0994">
        <w:rPr>
          <w:rFonts w:asciiTheme="majorHAnsi" w:hAnsiTheme="majorHAnsi"/>
          <w:sz w:val="20"/>
          <w:szCs w:val="20"/>
        </w:rPr>
        <w:t xml:space="preserve">the Vienna Convention on Consular Relations, ineffective assistance of counsel, selective prosecution based on race; and </w:t>
      </w:r>
      <w:r w:rsidR="008E1322" w:rsidRPr="005C0994">
        <w:rPr>
          <w:rFonts w:asciiTheme="majorHAnsi" w:hAnsiTheme="majorHAnsi"/>
          <w:sz w:val="20"/>
          <w:szCs w:val="20"/>
        </w:rPr>
        <w:t xml:space="preserve">Mr. </w:t>
      </w:r>
      <w:proofErr w:type="spellStart"/>
      <w:r w:rsidR="008E1322" w:rsidRPr="005C0994">
        <w:rPr>
          <w:rFonts w:asciiTheme="majorHAnsi" w:hAnsiTheme="majorHAnsi"/>
          <w:sz w:val="20"/>
          <w:szCs w:val="20"/>
        </w:rPr>
        <w:t>Loza’s</w:t>
      </w:r>
      <w:proofErr w:type="spellEnd"/>
      <w:r w:rsidRPr="005C0994">
        <w:rPr>
          <w:rFonts w:asciiTheme="majorHAnsi" w:hAnsiTheme="majorHAnsi"/>
          <w:sz w:val="20"/>
          <w:szCs w:val="20"/>
        </w:rPr>
        <w:t xml:space="preserve"> right to have a jury from a fair cross- section, among others. </w:t>
      </w:r>
      <w:r w:rsidR="00E833E9" w:rsidRPr="005C0994">
        <w:rPr>
          <w:rFonts w:asciiTheme="majorHAnsi" w:hAnsiTheme="majorHAnsi"/>
          <w:sz w:val="20"/>
          <w:szCs w:val="20"/>
        </w:rPr>
        <w:t xml:space="preserve">On </w:t>
      </w:r>
      <w:r w:rsidR="00BB4212" w:rsidRPr="005C0994">
        <w:rPr>
          <w:rFonts w:asciiTheme="majorHAnsi" w:hAnsiTheme="majorHAnsi"/>
          <w:sz w:val="20"/>
          <w:szCs w:val="20"/>
        </w:rPr>
        <w:t xml:space="preserve">October 13, 1997 the Ohio Court of Appeals affirmed the County Court’s denial of post-conviction relief and the Ohio Supreme Court declined discretionary review of Mr. </w:t>
      </w:r>
      <w:proofErr w:type="spellStart"/>
      <w:r w:rsidR="00BB4212" w:rsidRPr="005C0994">
        <w:rPr>
          <w:rFonts w:asciiTheme="majorHAnsi" w:hAnsiTheme="majorHAnsi"/>
          <w:sz w:val="20"/>
          <w:szCs w:val="20"/>
        </w:rPr>
        <w:t>Loza’s</w:t>
      </w:r>
      <w:proofErr w:type="spellEnd"/>
      <w:r w:rsidR="00BB4212" w:rsidRPr="005C0994">
        <w:rPr>
          <w:rFonts w:asciiTheme="majorHAnsi" w:hAnsiTheme="majorHAnsi"/>
          <w:sz w:val="20"/>
          <w:szCs w:val="20"/>
        </w:rPr>
        <w:t xml:space="preserve"> appeal, stating that it posed no substantial constitutional question.</w:t>
      </w:r>
      <w:r w:rsidR="00BB4212" w:rsidRPr="005C0994">
        <w:rPr>
          <w:rStyle w:val="FootnoteReference"/>
          <w:rFonts w:asciiTheme="majorHAnsi" w:hAnsiTheme="majorHAnsi"/>
          <w:sz w:val="20"/>
          <w:szCs w:val="20"/>
        </w:rPr>
        <w:footnoteReference w:id="12"/>
      </w:r>
    </w:p>
    <w:p w14:paraId="785A4FB5" w14:textId="77777777" w:rsidR="00146E18" w:rsidRPr="005C0994" w:rsidRDefault="00146E18" w:rsidP="00146E18"/>
    <w:p w14:paraId="3BB0DE1F" w14:textId="77777777" w:rsidR="00021557" w:rsidRPr="005C0994" w:rsidRDefault="00F86ACE" w:rsidP="00146E18">
      <w:pPr>
        <w:pStyle w:val="Heading2"/>
        <w:numPr>
          <w:ilvl w:val="0"/>
          <w:numId w:val="58"/>
        </w:numPr>
        <w:tabs>
          <w:tab w:val="left" w:pos="360"/>
        </w:tabs>
        <w:spacing w:before="0"/>
        <w:ind w:hanging="720"/>
        <w:rPr>
          <w:color w:val="auto"/>
          <w:sz w:val="20"/>
          <w:szCs w:val="20"/>
        </w:rPr>
      </w:pPr>
      <w:bookmarkStart w:id="16" w:name="_Toc90297871"/>
      <w:r w:rsidRPr="005C0994">
        <w:rPr>
          <w:color w:val="auto"/>
          <w:sz w:val="20"/>
          <w:szCs w:val="20"/>
        </w:rPr>
        <w:t>Federal habeas</w:t>
      </w:r>
      <w:r w:rsidR="00372AD5" w:rsidRPr="005C0994">
        <w:rPr>
          <w:color w:val="auto"/>
          <w:sz w:val="20"/>
          <w:szCs w:val="20"/>
        </w:rPr>
        <w:t xml:space="preserve"> </w:t>
      </w:r>
      <w:r w:rsidR="00021557" w:rsidRPr="005C0994">
        <w:rPr>
          <w:color w:val="auto"/>
          <w:sz w:val="20"/>
          <w:szCs w:val="20"/>
        </w:rPr>
        <w:t>proceedings</w:t>
      </w:r>
      <w:bookmarkEnd w:id="16"/>
    </w:p>
    <w:p w14:paraId="0B462DCC" w14:textId="77777777" w:rsidR="00021557" w:rsidRPr="005C0994" w:rsidRDefault="00021557" w:rsidP="00021557">
      <w:pPr>
        <w:pStyle w:val="ListParagraph"/>
        <w:rPr>
          <w:rFonts w:asciiTheme="majorHAnsi" w:hAnsiTheme="majorHAnsi"/>
          <w:sz w:val="20"/>
          <w:szCs w:val="20"/>
        </w:rPr>
      </w:pPr>
    </w:p>
    <w:p w14:paraId="1E57991E" w14:textId="77777777" w:rsidR="00C25B0D" w:rsidRPr="005C0994" w:rsidRDefault="00E7193A" w:rsidP="002F4F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filed a habeas corpus petition in </w:t>
      </w:r>
      <w:r w:rsidR="00E833E9" w:rsidRPr="005C0994">
        <w:rPr>
          <w:rFonts w:asciiTheme="majorHAnsi" w:hAnsiTheme="majorHAnsi"/>
          <w:sz w:val="20"/>
          <w:szCs w:val="20"/>
        </w:rPr>
        <w:t>the</w:t>
      </w:r>
      <w:r w:rsidRPr="005C0994">
        <w:rPr>
          <w:rFonts w:asciiTheme="majorHAnsi" w:hAnsiTheme="majorHAnsi"/>
          <w:sz w:val="20"/>
          <w:szCs w:val="20"/>
        </w:rPr>
        <w:t xml:space="preserve"> district court</w:t>
      </w:r>
      <w:r w:rsidR="007C0F3E" w:rsidRPr="005C0994">
        <w:rPr>
          <w:rFonts w:asciiTheme="majorHAnsi" w:hAnsiTheme="majorHAnsi"/>
          <w:sz w:val="20"/>
          <w:szCs w:val="20"/>
        </w:rPr>
        <w:t xml:space="preserve"> on April 17, 1998</w:t>
      </w:r>
      <w:r w:rsidR="00F86ACE" w:rsidRPr="005C0994">
        <w:rPr>
          <w:rFonts w:asciiTheme="majorHAnsi" w:hAnsiTheme="majorHAnsi"/>
          <w:sz w:val="20"/>
          <w:szCs w:val="20"/>
        </w:rPr>
        <w:t>.</w:t>
      </w:r>
      <w:r w:rsidR="007C0F3E" w:rsidRPr="005C0994">
        <w:rPr>
          <w:rStyle w:val="FootnoteReference"/>
          <w:rFonts w:asciiTheme="majorHAnsi" w:hAnsiTheme="majorHAnsi"/>
          <w:sz w:val="20"/>
          <w:szCs w:val="20"/>
        </w:rPr>
        <w:footnoteReference w:id="13"/>
      </w:r>
      <w:r w:rsidRPr="005C0994">
        <w:rPr>
          <w:rFonts w:asciiTheme="majorHAnsi" w:hAnsiTheme="majorHAnsi"/>
          <w:sz w:val="20"/>
          <w:szCs w:val="20"/>
        </w:rPr>
        <w:t xml:space="preserve"> </w:t>
      </w:r>
      <w:r w:rsidR="00CA0428" w:rsidRPr="005C0994">
        <w:rPr>
          <w:rFonts w:asciiTheme="majorHAnsi" w:hAnsiTheme="majorHAnsi"/>
          <w:sz w:val="20"/>
          <w:szCs w:val="20"/>
        </w:rPr>
        <w:t xml:space="preserve">This petition raised claims for review of the court rulings on the claims raised within the Ohio Court of Appeal. </w:t>
      </w:r>
      <w:r w:rsidRPr="005C0994">
        <w:rPr>
          <w:rFonts w:asciiTheme="majorHAnsi" w:hAnsiTheme="majorHAnsi"/>
          <w:sz w:val="20"/>
          <w:szCs w:val="20"/>
        </w:rPr>
        <w:t>T</w:t>
      </w:r>
      <w:r w:rsidR="00E31AAE" w:rsidRPr="005C0994">
        <w:rPr>
          <w:rFonts w:asciiTheme="majorHAnsi" w:hAnsiTheme="majorHAnsi"/>
          <w:sz w:val="20"/>
          <w:szCs w:val="20"/>
        </w:rPr>
        <w:t xml:space="preserve">he United States District Court for the Southern District of Ohio </w:t>
      </w:r>
      <w:r w:rsidR="00CA0428" w:rsidRPr="005C0994">
        <w:rPr>
          <w:rFonts w:asciiTheme="majorHAnsi" w:hAnsiTheme="majorHAnsi"/>
          <w:sz w:val="20"/>
          <w:szCs w:val="20"/>
        </w:rPr>
        <w:t xml:space="preserve">denied the habeas corpus claims and dismissed the action on March 31 2010. Mr. </w:t>
      </w:r>
      <w:proofErr w:type="spellStart"/>
      <w:r w:rsidR="00CA0428" w:rsidRPr="005C0994">
        <w:rPr>
          <w:rFonts w:asciiTheme="majorHAnsi" w:hAnsiTheme="majorHAnsi"/>
          <w:sz w:val="20"/>
          <w:szCs w:val="20"/>
        </w:rPr>
        <w:t>Loza</w:t>
      </w:r>
      <w:proofErr w:type="spellEnd"/>
      <w:r w:rsidR="00CA0428" w:rsidRPr="005C0994">
        <w:rPr>
          <w:rFonts w:asciiTheme="majorHAnsi" w:hAnsiTheme="majorHAnsi"/>
          <w:sz w:val="20"/>
          <w:szCs w:val="20"/>
        </w:rPr>
        <w:t xml:space="preserve"> then appealed against the denial and the United States Court of Appeals, on October 24, 2014, affirmed the District Court’s dismissal.</w:t>
      </w:r>
      <w:r w:rsidR="00C63585" w:rsidRPr="005C0994">
        <w:rPr>
          <w:rFonts w:asciiTheme="majorHAnsi" w:hAnsiTheme="majorHAnsi"/>
          <w:sz w:val="20"/>
          <w:szCs w:val="20"/>
        </w:rPr>
        <w:t xml:space="preserve"> Be</w:t>
      </w:r>
      <w:r w:rsidR="008E1322" w:rsidRPr="005C0994">
        <w:rPr>
          <w:rFonts w:asciiTheme="majorHAnsi" w:hAnsiTheme="majorHAnsi"/>
          <w:sz w:val="20"/>
          <w:szCs w:val="20"/>
        </w:rPr>
        <w:t>low are the c</w:t>
      </w:r>
      <w:r w:rsidR="00C63585" w:rsidRPr="005C0994">
        <w:rPr>
          <w:rFonts w:asciiTheme="majorHAnsi" w:hAnsiTheme="majorHAnsi"/>
          <w:sz w:val="20"/>
          <w:szCs w:val="20"/>
        </w:rPr>
        <w:t>ourt’s conclusions.</w:t>
      </w:r>
    </w:p>
    <w:p w14:paraId="2199DB9B" w14:textId="77777777" w:rsidR="007A51E3" w:rsidRPr="005C0994" w:rsidRDefault="007A51E3" w:rsidP="00C25B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268A9CA1" w14:textId="77777777" w:rsidR="00E7193A" w:rsidRPr="005C0994" w:rsidRDefault="00E7193A" w:rsidP="00E719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On appeal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argued that he was entitle</w:t>
      </w:r>
      <w:r w:rsidR="008E1322" w:rsidRPr="005C0994">
        <w:rPr>
          <w:rFonts w:asciiTheme="majorHAnsi" w:hAnsiTheme="majorHAnsi"/>
          <w:sz w:val="20"/>
          <w:szCs w:val="20"/>
        </w:rPr>
        <w:t>d to habeas corpus relief. The c</w:t>
      </w:r>
      <w:r w:rsidRPr="005C0994">
        <w:rPr>
          <w:rFonts w:asciiTheme="majorHAnsi" w:hAnsiTheme="majorHAnsi"/>
          <w:sz w:val="20"/>
          <w:szCs w:val="20"/>
        </w:rPr>
        <w:t xml:space="preserve">ourt reviewed the district court’s legal conclusions </w:t>
      </w:r>
      <w:r w:rsidRPr="005C0994">
        <w:rPr>
          <w:rFonts w:asciiTheme="majorHAnsi" w:hAnsiTheme="majorHAnsi"/>
          <w:i/>
          <w:sz w:val="20"/>
          <w:szCs w:val="20"/>
        </w:rPr>
        <w:t>de novo</w:t>
      </w:r>
      <w:r w:rsidRPr="005C0994">
        <w:rPr>
          <w:rFonts w:asciiTheme="majorHAnsi" w:hAnsiTheme="majorHAnsi"/>
          <w:sz w:val="20"/>
          <w:szCs w:val="20"/>
        </w:rPr>
        <w:t>.</w:t>
      </w:r>
      <w:r w:rsidRPr="005C0994">
        <w:rPr>
          <w:rStyle w:val="FootnoteReference"/>
          <w:rFonts w:asciiTheme="majorHAnsi" w:hAnsiTheme="majorHAnsi"/>
          <w:sz w:val="20"/>
          <w:szCs w:val="20"/>
        </w:rPr>
        <w:footnoteReference w:id="14"/>
      </w:r>
      <w:r w:rsidRPr="005C0994">
        <w:rPr>
          <w:rFonts w:asciiTheme="majorHAnsi" w:hAnsiTheme="majorHAnsi"/>
          <w:sz w:val="20"/>
          <w:szCs w:val="20"/>
        </w:rPr>
        <w:t xml:space="preserve"> </w:t>
      </w:r>
      <w:r w:rsidR="00C25B0D" w:rsidRPr="005C0994">
        <w:rPr>
          <w:rFonts w:asciiTheme="majorHAnsi" w:hAnsiTheme="majorHAnsi"/>
          <w:sz w:val="20"/>
          <w:szCs w:val="20"/>
        </w:rPr>
        <w:t xml:space="preserve">The court </w:t>
      </w:r>
      <w:r w:rsidR="00E31AAE" w:rsidRPr="005C0994">
        <w:rPr>
          <w:rFonts w:asciiTheme="majorHAnsi" w:hAnsiTheme="majorHAnsi"/>
          <w:sz w:val="20"/>
          <w:szCs w:val="20"/>
        </w:rPr>
        <w:t xml:space="preserve">held that </w:t>
      </w:r>
      <w:r w:rsidR="00AD1293" w:rsidRPr="005C0994">
        <w:rPr>
          <w:rFonts w:asciiTheme="majorHAnsi" w:hAnsiTheme="majorHAnsi"/>
          <w:sz w:val="20"/>
          <w:szCs w:val="20"/>
        </w:rPr>
        <w:t xml:space="preserve">the </w:t>
      </w:r>
      <w:r w:rsidR="00E31AAE" w:rsidRPr="005C0994">
        <w:rPr>
          <w:rFonts w:asciiTheme="majorHAnsi" w:hAnsiTheme="majorHAnsi"/>
          <w:sz w:val="20"/>
          <w:szCs w:val="20"/>
        </w:rPr>
        <w:t>police officer questioned petitioner pursuant to lawful Terry stop, that police detectives did not threaten petitioner’s girlfriend or his unborn child to coerce him to confess, that petitioner’s confession was voluntary, that exclusion of psychologist’s testimony regarding credibility of petitioner’s confession at guilt phase did not violate petitioner’s right to present relevant evidence, that petitioner was not denied effective assistance due to counsel’s failure to present additional evidence from cultural expert and petitioner’s fam</w:t>
      </w:r>
      <w:r w:rsidR="00C63585" w:rsidRPr="005C0994">
        <w:rPr>
          <w:rFonts w:asciiTheme="majorHAnsi" w:hAnsiTheme="majorHAnsi"/>
          <w:sz w:val="20"/>
          <w:szCs w:val="20"/>
        </w:rPr>
        <w:t>ily members at mitigation phase</w:t>
      </w:r>
      <w:r w:rsidR="00E31AAE" w:rsidRPr="005C0994">
        <w:rPr>
          <w:rFonts w:asciiTheme="majorHAnsi" w:hAnsiTheme="majorHAnsi"/>
          <w:sz w:val="20"/>
          <w:szCs w:val="20"/>
        </w:rPr>
        <w:t xml:space="preserve">, and </w:t>
      </w:r>
      <w:r w:rsidR="00C63585" w:rsidRPr="005C0994">
        <w:rPr>
          <w:rFonts w:asciiTheme="majorHAnsi" w:hAnsiTheme="majorHAnsi"/>
          <w:sz w:val="20"/>
          <w:szCs w:val="20"/>
        </w:rPr>
        <w:t>t</w:t>
      </w:r>
      <w:r w:rsidR="00E31AAE" w:rsidRPr="005C0994">
        <w:rPr>
          <w:rFonts w:asciiTheme="majorHAnsi" w:hAnsiTheme="majorHAnsi"/>
          <w:sz w:val="20"/>
          <w:szCs w:val="20"/>
        </w:rPr>
        <w:t xml:space="preserve">hat petitioner was not selectively prosecuted for capital offense based on invidious racial discrimination. </w:t>
      </w:r>
    </w:p>
    <w:p w14:paraId="2EA7A5BB" w14:textId="77777777" w:rsidR="00416AD8" w:rsidRPr="005C0994" w:rsidRDefault="00416AD8" w:rsidP="00553A04">
      <w:pPr>
        <w:rPr>
          <w:rFonts w:asciiTheme="majorHAnsi" w:hAnsiTheme="majorHAnsi"/>
          <w:sz w:val="20"/>
          <w:szCs w:val="20"/>
        </w:rPr>
      </w:pPr>
    </w:p>
    <w:p w14:paraId="708DB738" w14:textId="77777777" w:rsidR="0065723A" w:rsidRPr="005C0994" w:rsidRDefault="00416AD8" w:rsidP="004A56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Mr. </w:t>
      </w:r>
      <w:proofErr w:type="spellStart"/>
      <w:r w:rsidRPr="005C0994">
        <w:rPr>
          <w:rFonts w:asciiTheme="majorHAnsi" w:hAnsiTheme="majorHAnsi"/>
          <w:sz w:val="20"/>
          <w:szCs w:val="20"/>
        </w:rPr>
        <w:t>Loza</w:t>
      </w:r>
      <w:r w:rsidR="00C63585" w:rsidRPr="005C0994">
        <w:rPr>
          <w:rFonts w:asciiTheme="majorHAnsi" w:hAnsiTheme="majorHAnsi"/>
          <w:sz w:val="20"/>
          <w:szCs w:val="20"/>
        </w:rPr>
        <w:t>’s</w:t>
      </w:r>
      <w:proofErr w:type="spellEnd"/>
      <w:r w:rsidR="00C63585" w:rsidRPr="005C0994">
        <w:rPr>
          <w:rFonts w:asciiTheme="majorHAnsi" w:hAnsiTheme="majorHAnsi"/>
          <w:sz w:val="20"/>
          <w:szCs w:val="20"/>
        </w:rPr>
        <w:t xml:space="preserve"> argue</w:t>
      </w:r>
      <w:r w:rsidR="006B6C00" w:rsidRPr="005C0994">
        <w:rPr>
          <w:rFonts w:asciiTheme="majorHAnsi" w:hAnsiTheme="majorHAnsi"/>
          <w:sz w:val="20"/>
          <w:szCs w:val="20"/>
        </w:rPr>
        <w:t>d</w:t>
      </w:r>
      <w:r w:rsidRPr="005C0994">
        <w:rPr>
          <w:rFonts w:asciiTheme="majorHAnsi" w:hAnsiTheme="majorHAnsi"/>
          <w:sz w:val="20"/>
          <w:szCs w:val="20"/>
        </w:rPr>
        <w:t xml:space="preserve"> that the Ohio Supreme Court unreasonably applied clearly established federal law when it held that the trial court properly refused to suppress statements that 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made to Mr. </w:t>
      </w:r>
      <w:proofErr w:type="spellStart"/>
      <w:r w:rsidRPr="005C0994">
        <w:rPr>
          <w:rFonts w:asciiTheme="majorHAnsi" w:hAnsiTheme="majorHAnsi"/>
          <w:sz w:val="20"/>
          <w:szCs w:val="20"/>
        </w:rPr>
        <w:t>Knable</w:t>
      </w:r>
      <w:proofErr w:type="spellEnd"/>
      <w:r w:rsidRPr="005C0994">
        <w:rPr>
          <w:rFonts w:asciiTheme="majorHAnsi" w:hAnsiTheme="majorHAnsi"/>
          <w:sz w:val="20"/>
          <w:szCs w:val="20"/>
        </w:rPr>
        <w:t xml:space="preserve"> shortly after the encounter by the trash </w:t>
      </w:r>
      <w:r w:rsidR="00A23E45" w:rsidRPr="005C0994">
        <w:rPr>
          <w:rFonts w:asciiTheme="majorHAnsi" w:hAnsiTheme="majorHAnsi"/>
          <w:sz w:val="20"/>
          <w:szCs w:val="20"/>
        </w:rPr>
        <w:t xml:space="preserve">bin on the day of his arrest; </w:t>
      </w:r>
      <w:r w:rsidR="0065723A" w:rsidRPr="005C0994">
        <w:rPr>
          <w:rFonts w:asciiTheme="majorHAnsi" w:hAnsiTheme="majorHAnsi"/>
          <w:sz w:val="20"/>
          <w:szCs w:val="20"/>
        </w:rPr>
        <w:t>of the</w:t>
      </w:r>
      <w:r w:rsidR="00A23E45" w:rsidRPr="005C0994">
        <w:rPr>
          <w:rFonts w:asciiTheme="majorHAnsi" w:hAnsiTheme="majorHAnsi"/>
          <w:sz w:val="20"/>
          <w:szCs w:val="20"/>
        </w:rPr>
        <w:t xml:space="preserve"> false names </w:t>
      </w:r>
      <w:r w:rsidR="0065723A" w:rsidRPr="005C0994">
        <w:rPr>
          <w:rFonts w:asciiTheme="majorHAnsi" w:hAnsiTheme="majorHAnsi"/>
          <w:sz w:val="20"/>
          <w:szCs w:val="20"/>
        </w:rPr>
        <w:t xml:space="preserve">provided </w:t>
      </w:r>
      <w:r w:rsidR="00A23E45" w:rsidRPr="005C0994">
        <w:rPr>
          <w:rFonts w:asciiTheme="majorHAnsi" w:hAnsiTheme="majorHAnsi"/>
          <w:sz w:val="20"/>
          <w:szCs w:val="20"/>
        </w:rPr>
        <w:t xml:space="preserve">for himself and Dorothy Jackson. </w:t>
      </w:r>
      <w:r w:rsidR="00D81F73" w:rsidRPr="005C0994">
        <w:rPr>
          <w:rFonts w:asciiTheme="majorHAnsi" w:hAnsiTheme="majorHAnsi"/>
          <w:sz w:val="20"/>
          <w:szCs w:val="20"/>
        </w:rPr>
        <w:t xml:space="preserve">Mr. </w:t>
      </w:r>
      <w:proofErr w:type="spellStart"/>
      <w:r w:rsidR="00D81F73" w:rsidRPr="005C0994">
        <w:rPr>
          <w:rFonts w:asciiTheme="majorHAnsi" w:hAnsiTheme="majorHAnsi"/>
          <w:sz w:val="20"/>
          <w:szCs w:val="20"/>
        </w:rPr>
        <w:t>Loza</w:t>
      </w:r>
      <w:proofErr w:type="spellEnd"/>
      <w:r w:rsidR="00D81F73" w:rsidRPr="005C0994">
        <w:rPr>
          <w:rFonts w:asciiTheme="majorHAnsi" w:hAnsiTheme="majorHAnsi"/>
          <w:sz w:val="20"/>
          <w:szCs w:val="20"/>
        </w:rPr>
        <w:t xml:space="preserve"> argued that </w:t>
      </w:r>
      <w:proofErr w:type="spellStart"/>
      <w:r w:rsidR="00D81F73" w:rsidRPr="005C0994">
        <w:rPr>
          <w:rFonts w:asciiTheme="majorHAnsi" w:hAnsiTheme="majorHAnsi"/>
          <w:sz w:val="20"/>
          <w:szCs w:val="20"/>
        </w:rPr>
        <w:t>Knable’s</w:t>
      </w:r>
      <w:proofErr w:type="spellEnd"/>
      <w:r w:rsidR="00D81F73" w:rsidRPr="005C0994">
        <w:rPr>
          <w:rFonts w:asciiTheme="majorHAnsi" w:hAnsiTheme="majorHAnsi"/>
          <w:sz w:val="20"/>
          <w:szCs w:val="20"/>
        </w:rPr>
        <w:t xml:space="preserve"> seizure if him violated the Fourth Amendment; he also argued that </w:t>
      </w:r>
      <w:proofErr w:type="spellStart"/>
      <w:r w:rsidR="00D81F73" w:rsidRPr="005C0994">
        <w:rPr>
          <w:rFonts w:asciiTheme="majorHAnsi" w:hAnsiTheme="majorHAnsi"/>
          <w:sz w:val="20"/>
          <w:szCs w:val="20"/>
        </w:rPr>
        <w:t>Knable</w:t>
      </w:r>
      <w:proofErr w:type="spellEnd"/>
      <w:r w:rsidR="00D81F73" w:rsidRPr="005C0994">
        <w:rPr>
          <w:rFonts w:asciiTheme="majorHAnsi" w:hAnsiTheme="majorHAnsi"/>
          <w:sz w:val="20"/>
          <w:szCs w:val="20"/>
        </w:rPr>
        <w:t xml:space="preserve"> failed to provide him with his Miranda rights, prior to questioning him, in violation of his Fifth Amendment privilege against self-incrimination. </w:t>
      </w:r>
      <w:r w:rsidR="00015472" w:rsidRPr="005C0994">
        <w:rPr>
          <w:rFonts w:asciiTheme="majorHAnsi" w:hAnsiTheme="majorHAnsi"/>
          <w:sz w:val="20"/>
          <w:szCs w:val="20"/>
        </w:rPr>
        <w:t>The US Court of Appeals reasoned that the Ohio Supreme Court’s determination was not unreasonable</w:t>
      </w:r>
      <w:r w:rsidR="006B6C00" w:rsidRPr="005C0994">
        <w:rPr>
          <w:rFonts w:asciiTheme="majorHAnsi" w:hAnsiTheme="majorHAnsi"/>
          <w:sz w:val="20"/>
          <w:szCs w:val="20"/>
        </w:rPr>
        <w:t>. I</w:t>
      </w:r>
      <w:r w:rsidR="00015472" w:rsidRPr="005C0994">
        <w:rPr>
          <w:rFonts w:asciiTheme="majorHAnsi" w:hAnsiTheme="majorHAnsi"/>
          <w:sz w:val="20"/>
          <w:szCs w:val="20"/>
        </w:rPr>
        <w:t xml:space="preserve">t noted that Mr. </w:t>
      </w:r>
      <w:proofErr w:type="spellStart"/>
      <w:r w:rsidR="00015472" w:rsidRPr="005C0994">
        <w:rPr>
          <w:rFonts w:asciiTheme="majorHAnsi" w:hAnsiTheme="majorHAnsi"/>
          <w:sz w:val="20"/>
          <w:szCs w:val="20"/>
        </w:rPr>
        <w:t>Knable</w:t>
      </w:r>
      <w:proofErr w:type="spellEnd"/>
      <w:r w:rsidR="00015472" w:rsidRPr="005C0994">
        <w:rPr>
          <w:rFonts w:asciiTheme="majorHAnsi" w:hAnsiTheme="majorHAnsi"/>
          <w:sz w:val="20"/>
          <w:szCs w:val="20"/>
        </w:rPr>
        <w:t xml:space="preserve"> had a reasonable, articulable suspicion that criminal activity was afoot, had reason to suspect that </w:t>
      </w:r>
      <w:proofErr w:type="spellStart"/>
      <w:r w:rsidR="00015472" w:rsidRPr="005C0994">
        <w:rPr>
          <w:rFonts w:asciiTheme="majorHAnsi" w:hAnsiTheme="majorHAnsi"/>
          <w:sz w:val="20"/>
          <w:szCs w:val="20"/>
        </w:rPr>
        <w:t>Loza</w:t>
      </w:r>
      <w:proofErr w:type="spellEnd"/>
      <w:r w:rsidR="00015472" w:rsidRPr="005C0994">
        <w:rPr>
          <w:rFonts w:asciiTheme="majorHAnsi" w:hAnsiTheme="majorHAnsi"/>
          <w:sz w:val="20"/>
          <w:szCs w:val="20"/>
        </w:rPr>
        <w:t xml:space="preserve"> may have been involved; therefore it was not unreasonable for the court to conclude that </w:t>
      </w:r>
      <w:proofErr w:type="spellStart"/>
      <w:r w:rsidR="00015472" w:rsidRPr="005C0994">
        <w:rPr>
          <w:rFonts w:asciiTheme="majorHAnsi" w:hAnsiTheme="majorHAnsi"/>
          <w:sz w:val="20"/>
          <w:szCs w:val="20"/>
        </w:rPr>
        <w:t>Knable</w:t>
      </w:r>
      <w:proofErr w:type="spellEnd"/>
      <w:r w:rsidR="00015472" w:rsidRPr="005C0994">
        <w:rPr>
          <w:rFonts w:asciiTheme="majorHAnsi" w:hAnsiTheme="majorHAnsi"/>
          <w:sz w:val="20"/>
          <w:szCs w:val="20"/>
        </w:rPr>
        <w:t xml:space="preserve"> permissibly approached Mr. </w:t>
      </w:r>
      <w:proofErr w:type="spellStart"/>
      <w:r w:rsidR="00015472" w:rsidRPr="005C0994">
        <w:rPr>
          <w:rFonts w:asciiTheme="majorHAnsi" w:hAnsiTheme="majorHAnsi"/>
          <w:sz w:val="20"/>
          <w:szCs w:val="20"/>
        </w:rPr>
        <w:t>Loza</w:t>
      </w:r>
      <w:proofErr w:type="spellEnd"/>
      <w:r w:rsidR="00015472" w:rsidRPr="005C0994">
        <w:rPr>
          <w:rFonts w:asciiTheme="majorHAnsi" w:hAnsiTheme="majorHAnsi"/>
          <w:sz w:val="20"/>
          <w:szCs w:val="20"/>
        </w:rPr>
        <w:t xml:space="preserve">, patted him down and asked him for his name and the name of his companion. Mr. </w:t>
      </w:r>
      <w:proofErr w:type="spellStart"/>
      <w:r w:rsidR="00015472" w:rsidRPr="005C0994">
        <w:rPr>
          <w:rFonts w:asciiTheme="majorHAnsi" w:hAnsiTheme="majorHAnsi"/>
          <w:sz w:val="20"/>
          <w:szCs w:val="20"/>
        </w:rPr>
        <w:t>Loza</w:t>
      </w:r>
      <w:proofErr w:type="spellEnd"/>
      <w:r w:rsidR="00015472" w:rsidRPr="005C0994">
        <w:rPr>
          <w:rFonts w:asciiTheme="majorHAnsi" w:hAnsiTheme="majorHAnsi"/>
          <w:sz w:val="20"/>
          <w:szCs w:val="20"/>
        </w:rPr>
        <w:t xml:space="preserve"> argued that the encounter was more coercive than a typical Terry stop, noting that </w:t>
      </w:r>
      <w:proofErr w:type="spellStart"/>
      <w:r w:rsidR="00015472" w:rsidRPr="005C0994">
        <w:rPr>
          <w:rFonts w:asciiTheme="majorHAnsi" w:hAnsiTheme="majorHAnsi"/>
          <w:sz w:val="20"/>
          <w:szCs w:val="20"/>
        </w:rPr>
        <w:t>Knable</w:t>
      </w:r>
      <w:proofErr w:type="spellEnd"/>
      <w:r w:rsidR="00015472" w:rsidRPr="005C0994">
        <w:rPr>
          <w:rFonts w:asciiTheme="majorHAnsi" w:hAnsiTheme="majorHAnsi"/>
          <w:sz w:val="20"/>
          <w:szCs w:val="20"/>
        </w:rPr>
        <w:t xml:space="preserve"> was holding his firearm when he approached </w:t>
      </w:r>
      <w:proofErr w:type="spellStart"/>
      <w:r w:rsidR="00015472" w:rsidRPr="005C0994">
        <w:rPr>
          <w:rFonts w:asciiTheme="majorHAnsi" w:hAnsiTheme="majorHAnsi"/>
          <w:sz w:val="20"/>
          <w:szCs w:val="20"/>
        </w:rPr>
        <w:t>Loza</w:t>
      </w:r>
      <w:proofErr w:type="spellEnd"/>
      <w:r w:rsidR="00015472" w:rsidRPr="005C0994">
        <w:rPr>
          <w:rFonts w:asciiTheme="majorHAnsi" w:hAnsiTheme="majorHAnsi"/>
          <w:sz w:val="20"/>
          <w:szCs w:val="20"/>
        </w:rPr>
        <w:t xml:space="preserve"> and that he handcuffed </w:t>
      </w:r>
      <w:proofErr w:type="spellStart"/>
      <w:r w:rsidR="00015472" w:rsidRPr="005C0994">
        <w:rPr>
          <w:rFonts w:asciiTheme="majorHAnsi" w:hAnsiTheme="majorHAnsi"/>
          <w:sz w:val="20"/>
          <w:szCs w:val="20"/>
        </w:rPr>
        <w:t>Loza</w:t>
      </w:r>
      <w:proofErr w:type="spellEnd"/>
      <w:r w:rsidR="00015472" w:rsidRPr="005C0994">
        <w:rPr>
          <w:rFonts w:asciiTheme="majorHAnsi" w:hAnsiTheme="majorHAnsi"/>
          <w:sz w:val="20"/>
          <w:szCs w:val="20"/>
        </w:rPr>
        <w:t xml:space="preserve"> and placed him in the back of his patrol car. The US Court of Appeals reasoned that, to the extent that the law is not clearly established with regards to Terry stops and custodial interrogations subject to Miranda, the Ohio Supreme Court’s decision was not unreasonable. </w:t>
      </w:r>
    </w:p>
    <w:p w14:paraId="07BAD9B5" w14:textId="77777777" w:rsidR="0065723A" w:rsidRPr="005C0994" w:rsidRDefault="0065723A" w:rsidP="0065723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263E99B2" w14:textId="77777777" w:rsidR="0065723A" w:rsidRPr="005C0994" w:rsidRDefault="0065723A" w:rsidP="004A56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a</w:t>
      </w:r>
      <w:r w:rsidR="000F51DA" w:rsidRPr="005C0994">
        <w:rPr>
          <w:rFonts w:asciiTheme="majorHAnsi" w:hAnsiTheme="majorHAnsi"/>
          <w:sz w:val="20"/>
          <w:szCs w:val="20"/>
        </w:rPr>
        <w:t xml:space="preserve">rgued that the Ohio Supreme Court’s decision upholding the voluntariness and admissibility of his confession was based on an unreasonable determination of the facts and was contrary to or an unreasonable application of clearly established federal law. Mr. </w:t>
      </w:r>
      <w:proofErr w:type="spellStart"/>
      <w:r w:rsidR="000F51DA" w:rsidRPr="005C0994">
        <w:rPr>
          <w:rFonts w:asciiTheme="majorHAnsi" w:hAnsiTheme="majorHAnsi"/>
          <w:sz w:val="20"/>
          <w:szCs w:val="20"/>
        </w:rPr>
        <w:t>Loza</w:t>
      </w:r>
      <w:proofErr w:type="spellEnd"/>
      <w:r w:rsidR="000F51DA" w:rsidRPr="005C0994">
        <w:rPr>
          <w:rFonts w:asciiTheme="majorHAnsi" w:hAnsiTheme="majorHAnsi"/>
          <w:sz w:val="20"/>
          <w:szCs w:val="20"/>
        </w:rPr>
        <w:t xml:space="preserve"> referenced the Court’s finding of no threats made concerning Ms. Jackson, during the interrogation, </w:t>
      </w:r>
      <w:r w:rsidR="00296BE8" w:rsidRPr="005C0994">
        <w:rPr>
          <w:rFonts w:asciiTheme="majorHAnsi" w:hAnsiTheme="majorHAnsi"/>
          <w:sz w:val="20"/>
          <w:szCs w:val="20"/>
        </w:rPr>
        <w:t>as being</w:t>
      </w:r>
      <w:r w:rsidR="000F51DA" w:rsidRPr="005C0994">
        <w:rPr>
          <w:rFonts w:asciiTheme="majorHAnsi" w:hAnsiTheme="majorHAnsi"/>
          <w:sz w:val="20"/>
          <w:szCs w:val="20"/>
        </w:rPr>
        <w:t xml:space="preserve"> contrary to the record. </w:t>
      </w:r>
      <w:r w:rsidR="001C3FE4" w:rsidRPr="005C0994">
        <w:rPr>
          <w:rFonts w:asciiTheme="majorHAnsi" w:hAnsiTheme="majorHAnsi"/>
          <w:sz w:val="20"/>
          <w:szCs w:val="20"/>
        </w:rPr>
        <w:t xml:space="preserve">The statements referenced were questions of whether Mr. </w:t>
      </w:r>
      <w:proofErr w:type="spellStart"/>
      <w:r w:rsidR="001C3FE4" w:rsidRPr="005C0994">
        <w:rPr>
          <w:rFonts w:asciiTheme="majorHAnsi" w:hAnsiTheme="majorHAnsi"/>
          <w:sz w:val="20"/>
          <w:szCs w:val="20"/>
        </w:rPr>
        <w:t>Loza</w:t>
      </w:r>
      <w:proofErr w:type="spellEnd"/>
      <w:r w:rsidR="001C3FE4" w:rsidRPr="005C0994">
        <w:rPr>
          <w:rFonts w:asciiTheme="majorHAnsi" w:hAnsiTheme="majorHAnsi"/>
          <w:sz w:val="20"/>
          <w:szCs w:val="20"/>
        </w:rPr>
        <w:t xml:space="preserve"> “want[ed] Dorothy to have her baby in a penitentiary”, “[his] baby put up for adoption to somebody you’ve never heard of” and statement that “[w]hat you’re trying to do is put yourself in an electric chair or a gas chamber right along with Dorothy, and this child is going to go off into never, never land and never be seen again.”</w:t>
      </w:r>
      <w:r w:rsidR="001C3FE4" w:rsidRPr="005C0994">
        <w:rPr>
          <w:rStyle w:val="FootnoteReference"/>
          <w:rFonts w:asciiTheme="majorHAnsi" w:hAnsiTheme="majorHAnsi"/>
          <w:sz w:val="20"/>
          <w:szCs w:val="20"/>
        </w:rPr>
        <w:footnoteReference w:id="15"/>
      </w:r>
      <w:r w:rsidR="000F51DA" w:rsidRPr="005C0994">
        <w:rPr>
          <w:rFonts w:asciiTheme="majorHAnsi" w:hAnsiTheme="majorHAnsi"/>
          <w:sz w:val="20"/>
          <w:szCs w:val="20"/>
        </w:rPr>
        <w:t xml:space="preserve">The court reasoned that the statements made by the detectives did not constitute threats and concluded this was not unreasonable holding that the record supports the court’s </w:t>
      </w:r>
      <w:r w:rsidR="000F51DA" w:rsidRPr="005C0994">
        <w:rPr>
          <w:rFonts w:asciiTheme="majorHAnsi" w:hAnsiTheme="majorHAnsi"/>
          <w:sz w:val="20"/>
          <w:szCs w:val="20"/>
        </w:rPr>
        <w:lastRenderedPageBreak/>
        <w:t>conclusion that “detectives merely informed appellant of the possible consequences of his action”.</w:t>
      </w:r>
      <w:r w:rsidR="000F51DA" w:rsidRPr="005C0994">
        <w:rPr>
          <w:rStyle w:val="FootnoteReference"/>
          <w:rFonts w:asciiTheme="majorHAnsi" w:hAnsiTheme="majorHAnsi"/>
          <w:sz w:val="20"/>
          <w:szCs w:val="20"/>
        </w:rPr>
        <w:footnoteReference w:id="16"/>
      </w:r>
      <w:r w:rsidR="0038262B" w:rsidRPr="005C0994">
        <w:rPr>
          <w:rFonts w:asciiTheme="majorHAnsi" w:hAnsiTheme="majorHAnsi"/>
          <w:sz w:val="20"/>
          <w:szCs w:val="20"/>
        </w:rPr>
        <w:t xml:space="preserve"> Mr. </w:t>
      </w:r>
      <w:proofErr w:type="spellStart"/>
      <w:r w:rsidR="0038262B" w:rsidRPr="005C0994">
        <w:rPr>
          <w:rFonts w:asciiTheme="majorHAnsi" w:hAnsiTheme="majorHAnsi"/>
          <w:sz w:val="20"/>
          <w:szCs w:val="20"/>
        </w:rPr>
        <w:t>Loza</w:t>
      </w:r>
      <w:proofErr w:type="spellEnd"/>
      <w:r w:rsidR="0038262B" w:rsidRPr="005C0994">
        <w:rPr>
          <w:rFonts w:asciiTheme="majorHAnsi" w:hAnsiTheme="majorHAnsi"/>
          <w:sz w:val="20"/>
          <w:szCs w:val="20"/>
        </w:rPr>
        <w:t xml:space="preserve"> argued that the detectives lied to him when they falsely told him that they had spoken with Jerri </w:t>
      </w:r>
      <w:r w:rsidRPr="005C0994">
        <w:rPr>
          <w:rFonts w:asciiTheme="majorHAnsi" w:hAnsiTheme="majorHAnsi"/>
          <w:sz w:val="20"/>
          <w:szCs w:val="20"/>
        </w:rPr>
        <w:t>Jackson</w:t>
      </w:r>
      <w:r w:rsidR="0038262B" w:rsidRPr="005C0994">
        <w:rPr>
          <w:rFonts w:asciiTheme="majorHAnsi" w:hAnsiTheme="majorHAnsi"/>
          <w:sz w:val="20"/>
          <w:szCs w:val="20"/>
        </w:rPr>
        <w:t>, who was alive but unresponsive when police arrived</w:t>
      </w:r>
      <w:r w:rsidR="00692F79" w:rsidRPr="005C0994">
        <w:rPr>
          <w:rFonts w:asciiTheme="majorHAnsi" w:hAnsiTheme="majorHAnsi"/>
          <w:sz w:val="20"/>
          <w:szCs w:val="20"/>
        </w:rPr>
        <w:t>, however the court reasoned that this did not compel a conclusion of an involuntary confession and that Miranda case law does not prohibit “mere strategic deception”.</w:t>
      </w:r>
      <w:r w:rsidR="00692F79" w:rsidRPr="005C0994">
        <w:rPr>
          <w:rStyle w:val="FootnoteReference"/>
          <w:rFonts w:asciiTheme="majorHAnsi" w:hAnsiTheme="majorHAnsi"/>
          <w:sz w:val="20"/>
          <w:szCs w:val="20"/>
        </w:rPr>
        <w:footnoteReference w:id="17"/>
      </w:r>
    </w:p>
    <w:p w14:paraId="4A9B0A32" w14:textId="77777777" w:rsidR="0065723A" w:rsidRPr="005C0994" w:rsidRDefault="0065723A" w:rsidP="0065723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38E2F369" w14:textId="77777777" w:rsidR="0065723A" w:rsidRPr="005C0994" w:rsidRDefault="00AE653F" w:rsidP="006572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argued that the upholding of the exclusion of the testimony of Dr. Roger Fisher at the guilt phase of trial was contrary to and an unreasonable application of established law.</w:t>
      </w:r>
      <w:r w:rsidR="00D46FBE" w:rsidRPr="005C0994">
        <w:rPr>
          <w:rFonts w:asciiTheme="majorHAnsi" w:hAnsiTheme="majorHAnsi"/>
          <w:sz w:val="20"/>
          <w:szCs w:val="20"/>
        </w:rPr>
        <w:t xml:space="preserve"> The Court of Appeal did deem that the state’s supreme court’s reasoning was flawed in</w:t>
      </w:r>
      <w:r w:rsidR="00271104" w:rsidRPr="005C0994">
        <w:rPr>
          <w:rFonts w:asciiTheme="majorHAnsi" w:hAnsiTheme="majorHAnsi"/>
          <w:sz w:val="20"/>
          <w:szCs w:val="20"/>
        </w:rPr>
        <w:t xml:space="preserve"> that it was not the case that evidence of a defendant’s mental state is not relevant to the credibility of a defendant’s confession. Further, the court reasoned that the fact that the trial court had ruled on the voluntariness of </w:t>
      </w:r>
      <w:proofErr w:type="spellStart"/>
      <w:r w:rsidR="00271104" w:rsidRPr="005C0994">
        <w:rPr>
          <w:rFonts w:asciiTheme="majorHAnsi" w:hAnsiTheme="majorHAnsi"/>
          <w:sz w:val="20"/>
          <w:szCs w:val="20"/>
        </w:rPr>
        <w:t>Loza’s</w:t>
      </w:r>
      <w:proofErr w:type="spellEnd"/>
      <w:r w:rsidR="00271104" w:rsidRPr="005C0994">
        <w:rPr>
          <w:rFonts w:asciiTheme="majorHAnsi" w:hAnsiTheme="majorHAnsi"/>
          <w:sz w:val="20"/>
          <w:szCs w:val="20"/>
        </w:rPr>
        <w:t xml:space="preserve"> confession did not provide a basis for excluding Fisher’s testimony, to the extent that it was relevant to credibility. However the court determined that the Ohio Supreme Court clearly and in detail noted the evidence in record other than Dr. Fisher’s testimony pertaining to credibility and had reasonably concluded </w:t>
      </w:r>
      <w:r w:rsidR="00342FA8" w:rsidRPr="005C0994">
        <w:rPr>
          <w:rFonts w:asciiTheme="majorHAnsi" w:hAnsiTheme="majorHAnsi"/>
          <w:sz w:val="20"/>
          <w:szCs w:val="20"/>
        </w:rPr>
        <w:t>that the law did not require this evidence to be admitted, and the decision is properly characterized as a determination that, given the ample evidence going to credibility, the rule did not require the test</w:t>
      </w:r>
      <w:r w:rsidR="0065723A" w:rsidRPr="005C0994">
        <w:rPr>
          <w:rFonts w:asciiTheme="majorHAnsi" w:hAnsiTheme="majorHAnsi"/>
          <w:sz w:val="20"/>
          <w:szCs w:val="20"/>
        </w:rPr>
        <w:t xml:space="preserve">imony, embodying the law that </w:t>
      </w:r>
      <w:r w:rsidR="00342FA8" w:rsidRPr="005C0994">
        <w:rPr>
          <w:rFonts w:asciiTheme="majorHAnsi" w:hAnsiTheme="majorHAnsi"/>
          <w:sz w:val="20"/>
          <w:szCs w:val="20"/>
        </w:rPr>
        <w:t>the “introduction of relevant evidence can be limited by the state for a valid reason”.</w:t>
      </w:r>
      <w:r w:rsidR="00342FA8" w:rsidRPr="005C0994">
        <w:rPr>
          <w:rStyle w:val="FootnoteReference"/>
          <w:rFonts w:asciiTheme="majorHAnsi" w:hAnsiTheme="majorHAnsi"/>
          <w:sz w:val="20"/>
          <w:szCs w:val="20"/>
        </w:rPr>
        <w:footnoteReference w:id="18"/>
      </w:r>
      <w:r w:rsidR="0065723A" w:rsidRPr="005C0994">
        <w:rPr>
          <w:rFonts w:asciiTheme="majorHAnsi" w:hAnsiTheme="majorHAnsi"/>
          <w:sz w:val="20"/>
          <w:szCs w:val="20"/>
        </w:rPr>
        <w:t xml:space="preserve"> It was c</w:t>
      </w:r>
      <w:r w:rsidR="00342FA8" w:rsidRPr="005C0994">
        <w:rPr>
          <w:rFonts w:asciiTheme="majorHAnsi" w:hAnsiTheme="majorHAnsi"/>
          <w:sz w:val="20"/>
          <w:szCs w:val="20"/>
        </w:rPr>
        <w:t xml:space="preserve">oncluded that the Supreme court did not exclude the testimony arbitrarily. </w:t>
      </w:r>
    </w:p>
    <w:p w14:paraId="75A0D56A" w14:textId="77777777" w:rsidR="0065723A" w:rsidRPr="005C0994" w:rsidRDefault="0065723A" w:rsidP="0065723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36282E48" w14:textId="77777777" w:rsidR="002F4FE5" w:rsidRPr="005C0994" w:rsidRDefault="0065723A" w:rsidP="002571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It was a</w:t>
      </w:r>
      <w:r w:rsidR="0041384F" w:rsidRPr="005C0994">
        <w:rPr>
          <w:rFonts w:asciiTheme="majorHAnsi" w:hAnsiTheme="majorHAnsi"/>
          <w:sz w:val="20"/>
          <w:szCs w:val="20"/>
        </w:rPr>
        <w:t xml:space="preserve">rgued that the Ohio Court of Appeals decision that trial counsel was not ineffective for failing to adequately investigate and present evidence on Mr. </w:t>
      </w:r>
      <w:proofErr w:type="spellStart"/>
      <w:r w:rsidR="0041384F" w:rsidRPr="005C0994">
        <w:rPr>
          <w:rFonts w:asciiTheme="majorHAnsi" w:hAnsiTheme="majorHAnsi"/>
          <w:sz w:val="20"/>
          <w:szCs w:val="20"/>
        </w:rPr>
        <w:t>Loza’s</w:t>
      </w:r>
      <w:proofErr w:type="spellEnd"/>
      <w:r w:rsidR="0041384F" w:rsidRPr="005C0994">
        <w:rPr>
          <w:rFonts w:asciiTheme="majorHAnsi" w:hAnsiTheme="majorHAnsi"/>
          <w:sz w:val="20"/>
          <w:szCs w:val="20"/>
        </w:rPr>
        <w:t xml:space="preserve"> cultural background and family history was based on an unreasonable determination of the facts and was an unreasonable application of the law assessing ineffective assistance claims. </w:t>
      </w:r>
      <w:r w:rsidR="008E62A4" w:rsidRPr="005C0994">
        <w:rPr>
          <w:rFonts w:asciiTheme="majorHAnsi" w:hAnsiTheme="majorHAnsi"/>
          <w:sz w:val="20"/>
          <w:szCs w:val="20"/>
        </w:rPr>
        <w:t>He argued that in the petition for post-conviction relief in state court that his trial counsel failed to consult a cultural expert who could have testified regarding the cultural factors infl</w:t>
      </w:r>
      <w:r w:rsidR="00824ACC" w:rsidRPr="005C0994">
        <w:rPr>
          <w:rFonts w:asciiTheme="majorHAnsi" w:hAnsiTheme="majorHAnsi"/>
          <w:sz w:val="20"/>
          <w:szCs w:val="20"/>
        </w:rPr>
        <w:t xml:space="preserve">uencing Mr. </w:t>
      </w:r>
      <w:proofErr w:type="spellStart"/>
      <w:r w:rsidR="00824ACC" w:rsidRPr="005C0994">
        <w:rPr>
          <w:rFonts w:asciiTheme="majorHAnsi" w:hAnsiTheme="majorHAnsi"/>
          <w:sz w:val="20"/>
          <w:szCs w:val="20"/>
        </w:rPr>
        <w:t>Loza’s</w:t>
      </w:r>
      <w:proofErr w:type="spellEnd"/>
      <w:r w:rsidR="00824ACC" w:rsidRPr="005C0994">
        <w:rPr>
          <w:rFonts w:asciiTheme="majorHAnsi" w:hAnsiTheme="majorHAnsi"/>
          <w:sz w:val="20"/>
          <w:szCs w:val="20"/>
        </w:rPr>
        <w:t xml:space="preserve"> confession. He a</w:t>
      </w:r>
      <w:r w:rsidR="008E62A4" w:rsidRPr="005C0994">
        <w:rPr>
          <w:rFonts w:asciiTheme="majorHAnsi" w:hAnsiTheme="majorHAnsi"/>
          <w:sz w:val="20"/>
          <w:szCs w:val="20"/>
        </w:rPr>
        <w:t xml:space="preserve">lso argued that trial counsel failed to present additional mitigating evidence from his family. The court assessed that Mr. </w:t>
      </w:r>
      <w:proofErr w:type="spellStart"/>
      <w:r w:rsidR="008E62A4" w:rsidRPr="005C0994">
        <w:rPr>
          <w:rFonts w:asciiTheme="majorHAnsi" w:hAnsiTheme="majorHAnsi"/>
          <w:sz w:val="20"/>
          <w:szCs w:val="20"/>
        </w:rPr>
        <w:t>Loza’s</w:t>
      </w:r>
      <w:proofErr w:type="spellEnd"/>
      <w:r w:rsidR="008E62A4" w:rsidRPr="005C0994">
        <w:rPr>
          <w:rFonts w:asciiTheme="majorHAnsi" w:hAnsiTheme="majorHAnsi"/>
          <w:sz w:val="20"/>
          <w:szCs w:val="20"/>
        </w:rPr>
        <w:t xml:space="preserve"> trial counsel requested funds which were granted to travel to Los Angeles to investigate Mr. </w:t>
      </w:r>
      <w:proofErr w:type="spellStart"/>
      <w:r w:rsidR="008E62A4" w:rsidRPr="005C0994">
        <w:rPr>
          <w:rFonts w:asciiTheme="majorHAnsi" w:hAnsiTheme="majorHAnsi"/>
          <w:sz w:val="20"/>
          <w:szCs w:val="20"/>
        </w:rPr>
        <w:t>Loza’s</w:t>
      </w:r>
      <w:proofErr w:type="spellEnd"/>
      <w:r w:rsidR="008E62A4" w:rsidRPr="005C0994">
        <w:rPr>
          <w:rFonts w:asciiTheme="majorHAnsi" w:hAnsiTheme="majorHAnsi"/>
          <w:sz w:val="20"/>
          <w:szCs w:val="20"/>
        </w:rPr>
        <w:t xml:space="preserve"> background and family history. Further, </w:t>
      </w:r>
      <w:r w:rsidR="00824ACC" w:rsidRPr="005C0994">
        <w:rPr>
          <w:rFonts w:asciiTheme="majorHAnsi" w:hAnsiTheme="majorHAnsi"/>
          <w:sz w:val="20"/>
          <w:szCs w:val="20"/>
        </w:rPr>
        <w:t>the Court accounted</w:t>
      </w:r>
      <w:r w:rsidR="008E62A4" w:rsidRPr="005C0994">
        <w:rPr>
          <w:rFonts w:asciiTheme="majorHAnsi" w:hAnsiTheme="majorHAnsi"/>
          <w:sz w:val="20"/>
          <w:szCs w:val="20"/>
        </w:rPr>
        <w:t xml:space="preserve"> for trial counsel’s attempt to introduce the testimony of Dr. Fisher at the guilt phase</w:t>
      </w:r>
      <w:r w:rsidR="00824ACC" w:rsidRPr="005C0994">
        <w:rPr>
          <w:rFonts w:asciiTheme="majorHAnsi" w:hAnsiTheme="majorHAnsi"/>
          <w:sz w:val="20"/>
          <w:szCs w:val="20"/>
        </w:rPr>
        <w:t>,</w:t>
      </w:r>
      <w:r w:rsidR="008E62A4" w:rsidRPr="005C0994">
        <w:rPr>
          <w:rFonts w:asciiTheme="majorHAnsi" w:hAnsiTheme="majorHAnsi"/>
          <w:sz w:val="20"/>
          <w:szCs w:val="20"/>
        </w:rPr>
        <w:t xml:space="preserve"> </w:t>
      </w:r>
      <w:r w:rsidR="00824ACC" w:rsidRPr="005C0994">
        <w:rPr>
          <w:rFonts w:asciiTheme="majorHAnsi" w:hAnsiTheme="majorHAnsi"/>
          <w:sz w:val="20"/>
          <w:szCs w:val="20"/>
        </w:rPr>
        <w:t>but noted that</w:t>
      </w:r>
      <w:r w:rsidR="008E62A4" w:rsidRPr="005C0994">
        <w:rPr>
          <w:rFonts w:asciiTheme="majorHAnsi" w:hAnsiTheme="majorHAnsi"/>
          <w:sz w:val="20"/>
          <w:szCs w:val="20"/>
        </w:rPr>
        <w:t xml:space="preserve"> this was excluded by the </w:t>
      </w:r>
      <w:r w:rsidR="00824ACC" w:rsidRPr="005C0994">
        <w:rPr>
          <w:rFonts w:asciiTheme="majorHAnsi" w:hAnsiTheme="majorHAnsi"/>
          <w:sz w:val="20"/>
          <w:szCs w:val="20"/>
        </w:rPr>
        <w:t xml:space="preserve">trial </w:t>
      </w:r>
      <w:r w:rsidR="008E62A4" w:rsidRPr="005C0994">
        <w:rPr>
          <w:rFonts w:asciiTheme="majorHAnsi" w:hAnsiTheme="majorHAnsi"/>
          <w:sz w:val="20"/>
          <w:szCs w:val="20"/>
        </w:rPr>
        <w:t>court. Moreover</w:t>
      </w:r>
      <w:r w:rsidR="00824ACC" w:rsidRPr="005C0994">
        <w:rPr>
          <w:rFonts w:asciiTheme="majorHAnsi" w:hAnsiTheme="majorHAnsi"/>
          <w:sz w:val="20"/>
          <w:szCs w:val="20"/>
        </w:rPr>
        <w:t>, the court recognized</w:t>
      </w:r>
      <w:r w:rsidR="008E62A4" w:rsidRPr="005C0994">
        <w:rPr>
          <w:rFonts w:asciiTheme="majorHAnsi" w:hAnsiTheme="majorHAnsi"/>
          <w:sz w:val="20"/>
          <w:szCs w:val="20"/>
        </w:rPr>
        <w:t xml:space="preserve"> that counsel presented testimonies from several family members at the mitigation phase of trial. </w:t>
      </w:r>
      <w:r w:rsidR="00824ACC" w:rsidRPr="005C0994">
        <w:rPr>
          <w:rFonts w:asciiTheme="majorHAnsi" w:hAnsiTheme="majorHAnsi"/>
          <w:sz w:val="20"/>
          <w:szCs w:val="20"/>
        </w:rPr>
        <w:t xml:space="preserve">The United </w:t>
      </w:r>
      <w:r w:rsidR="008E62A4" w:rsidRPr="005C0994">
        <w:rPr>
          <w:rFonts w:asciiTheme="majorHAnsi" w:hAnsiTheme="majorHAnsi"/>
          <w:sz w:val="20"/>
          <w:szCs w:val="20"/>
        </w:rPr>
        <w:t>S</w:t>
      </w:r>
      <w:r w:rsidR="00824ACC" w:rsidRPr="005C0994">
        <w:rPr>
          <w:rFonts w:asciiTheme="majorHAnsi" w:hAnsiTheme="majorHAnsi"/>
          <w:sz w:val="20"/>
          <w:szCs w:val="20"/>
        </w:rPr>
        <w:t>tates</w:t>
      </w:r>
      <w:r w:rsidR="008E62A4" w:rsidRPr="005C0994">
        <w:rPr>
          <w:rFonts w:asciiTheme="majorHAnsi" w:hAnsiTheme="majorHAnsi"/>
          <w:sz w:val="20"/>
          <w:szCs w:val="20"/>
        </w:rPr>
        <w:t xml:space="preserve"> Court of Appeals did not find the courts’ factual determ</w:t>
      </w:r>
      <w:r w:rsidR="00824ACC" w:rsidRPr="005C0994">
        <w:rPr>
          <w:rFonts w:asciiTheme="majorHAnsi" w:hAnsiTheme="majorHAnsi"/>
          <w:sz w:val="20"/>
          <w:szCs w:val="20"/>
        </w:rPr>
        <w:t>inations unreasonable. Moreover, it reasoned</w:t>
      </w:r>
      <w:r w:rsidR="008E62A4" w:rsidRPr="005C0994">
        <w:rPr>
          <w:rFonts w:asciiTheme="majorHAnsi" w:hAnsiTheme="majorHAnsi"/>
          <w:sz w:val="20"/>
          <w:szCs w:val="20"/>
        </w:rPr>
        <w:t xml:space="preserve"> that the testimonies excluded</w:t>
      </w:r>
      <w:r w:rsidR="00824ACC" w:rsidRPr="005C0994">
        <w:rPr>
          <w:rFonts w:asciiTheme="majorHAnsi" w:hAnsiTheme="majorHAnsi"/>
          <w:sz w:val="20"/>
          <w:szCs w:val="20"/>
        </w:rPr>
        <w:t>,</w:t>
      </w:r>
      <w:r w:rsidR="008E62A4" w:rsidRPr="005C0994">
        <w:rPr>
          <w:rFonts w:asciiTheme="majorHAnsi" w:hAnsiTheme="majorHAnsi"/>
          <w:sz w:val="20"/>
          <w:szCs w:val="20"/>
        </w:rPr>
        <w:t xml:space="preserve"> resembled evidence the jury had before it</w:t>
      </w:r>
      <w:r w:rsidR="00824ACC" w:rsidRPr="005C0994">
        <w:rPr>
          <w:rFonts w:asciiTheme="majorHAnsi" w:hAnsiTheme="majorHAnsi"/>
          <w:sz w:val="20"/>
          <w:szCs w:val="20"/>
        </w:rPr>
        <w:t>,</w:t>
      </w:r>
      <w:r w:rsidR="008E62A4" w:rsidRPr="005C0994">
        <w:rPr>
          <w:rFonts w:asciiTheme="majorHAnsi" w:hAnsiTheme="majorHAnsi"/>
          <w:sz w:val="20"/>
          <w:szCs w:val="20"/>
        </w:rPr>
        <w:t xml:space="preserve"> to weigh aggravating and mitigating factors and would not have changed the calculations when weighing the circumstances of murder. </w:t>
      </w:r>
    </w:p>
    <w:p w14:paraId="3E8453DA" w14:textId="77777777" w:rsidR="002F4FE5" w:rsidRPr="005C0994" w:rsidRDefault="002F4FE5" w:rsidP="002F4FE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7591A7E9" w14:textId="77777777" w:rsidR="00B64CF2" w:rsidRPr="005C0994" w:rsidRDefault="0025711C" w:rsidP="005313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argued that the Ohio Supreme Court unreasonably applied clearly established federal law when it held that the trial court’s charge to the jury did not coerce the jury’s verdict. When</w:t>
      </w:r>
      <w:r w:rsidR="003F19D4" w:rsidRPr="005C0994">
        <w:rPr>
          <w:rFonts w:asciiTheme="majorHAnsi" w:hAnsiTheme="majorHAnsi"/>
          <w:sz w:val="20"/>
          <w:szCs w:val="20"/>
        </w:rPr>
        <w:t xml:space="preserve"> the</w:t>
      </w:r>
      <w:r w:rsidRPr="005C0994">
        <w:rPr>
          <w:rFonts w:asciiTheme="majorHAnsi" w:hAnsiTheme="majorHAnsi"/>
          <w:sz w:val="20"/>
          <w:szCs w:val="20"/>
        </w:rPr>
        <w:t xml:space="preserve"> jury sought clarification on how to decide a verdict when a unanimo</w:t>
      </w:r>
      <w:r w:rsidR="00F227E6" w:rsidRPr="005C0994">
        <w:rPr>
          <w:rFonts w:asciiTheme="majorHAnsi" w:hAnsiTheme="majorHAnsi"/>
          <w:sz w:val="20"/>
          <w:szCs w:val="20"/>
        </w:rPr>
        <w:t>us decision cannot be reached, t</w:t>
      </w:r>
      <w:r w:rsidRPr="005C0994">
        <w:rPr>
          <w:rFonts w:asciiTheme="majorHAnsi" w:hAnsiTheme="majorHAnsi"/>
          <w:sz w:val="20"/>
          <w:szCs w:val="20"/>
        </w:rPr>
        <w:t xml:space="preserve">he court advised the jury to exhaust all reasonable efforts to reach a unanimous verdict, </w:t>
      </w:r>
      <w:r w:rsidR="00F227E6" w:rsidRPr="005C0994">
        <w:rPr>
          <w:rFonts w:asciiTheme="majorHAnsi" w:hAnsiTheme="majorHAnsi"/>
          <w:sz w:val="20"/>
          <w:szCs w:val="20"/>
        </w:rPr>
        <w:t xml:space="preserve">provided </w:t>
      </w:r>
      <w:r w:rsidRPr="005C0994">
        <w:rPr>
          <w:rFonts w:asciiTheme="majorHAnsi" w:hAnsiTheme="majorHAnsi"/>
          <w:sz w:val="20"/>
          <w:szCs w:val="20"/>
        </w:rPr>
        <w:t xml:space="preserve">the </w:t>
      </w:r>
      <w:r w:rsidR="00F227E6" w:rsidRPr="005C0994">
        <w:rPr>
          <w:rFonts w:asciiTheme="majorHAnsi" w:hAnsiTheme="majorHAnsi"/>
          <w:sz w:val="20"/>
          <w:szCs w:val="20"/>
        </w:rPr>
        <w:t>‘</w:t>
      </w:r>
      <w:r w:rsidRPr="005C0994">
        <w:rPr>
          <w:rFonts w:asciiTheme="majorHAnsi" w:hAnsiTheme="majorHAnsi"/>
          <w:sz w:val="20"/>
          <w:szCs w:val="20"/>
        </w:rPr>
        <w:t>Howard charge</w:t>
      </w:r>
      <w:r w:rsidR="00F227E6" w:rsidRPr="005C0994">
        <w:rPr>
          <w:rFonts w:asciiTheme="majorHAnsi" w:hAnsiTheme="majorHAnsi"/>
          <w:sz w:val="20"/>
          <w:szCs w:val="20"/>
        </w:rPr>
        <w:t>’</w:t>
      </w:r>
      <w:r w:rsidRPr="005C0994">
        <w:rPr>
          <w:rFonts w:asciiTheme="majorHAnsi" w:hAnsiTheme="majorHAnsi"/>
          <w:sz w:val="20"/>
          <w:szCs w:val="20"/>
        </w:rPr>
        <w:t>, and told the foreman to note on the verdict any failure to reach a unanimous verdict. After further deliberation the jury reached a unanimous verdict. The US Court of Appeal concluded that the trial court gave a supplemental instruction that</w:t>
      </w:r>
      <w:r w:rsidR="00F227E6" w:rsidRPr="005C0994">
        <w:rPr>
          <w:rFonts w:asciiTheme="majorHAnsi" w:hAnsiTheme="majorHAnsi"/>
          <w:sz w:val="20"/>
          <w:szCs w:val="20"/>
        </w:rPr>
        <w:t xml:space="preserve"> was previously approved by the</w:t>
      </w:r>
      <w:r w:rsidRPr="005C0994">
        <w:rPr>
          <w:rFonts w:asciiTheme="majorHAnsi" w:hAnsiTheme="majorHAnsi"/>
          <w:sz w:val="20"/>
          <w:szCs w:val="20"/>
        </w:rPr>
        <w:t xml:space="preserve"> court.</w:t>
      </w:r>
      <w:r w:rsidR="00F227E6" w:rsidRPr="005C0994">
        <w:rPr>
          <w:rStyle w:val="FootnoteReference"/>
          <w:rFonts w:asciiTheme="majorHAnsi" w:hAnsiTheme="majorHAnsi"/>
          <w:sz w:val="20"/>
          <w:szCs w:val="20"/>
        </w:rPr>
        <w:footnoteReference w:id="19"/>
      </w:r>
      <w:r w:rsidRPr="005C0994">
        <w:rPr>
          <w:rFonts w:asciiTheme="majorHAnsi" w:hAnsiTheme="majorHAnsi"/>
          <w:sz w:val="20"/>
          <w:szCs w:val="20"/>
        </w:rPr>
        <w:t xml:space="preserve"> The </w:t>
      </w:r>
      <w:r w:rsidR="00F227E6" w:rsidRPr="005C0994">
        <w:rPr>
          <w:rFonts w:asciiTheme="majorHAnsi" w:hAnsiTheme="majorHAnsi"/>
          <w:sz w:val="20"/>
          <w:szCs w:val="20"/>
        </w:rPr>
        <w:t>court</w:t>
      </w:r>
      <w:r w:rsidRPr="005C0994">
        <w:rPr>
          <w:rFonts w:asciiTheme="majorHAnsi" w:hAnsiTheme="majorHAnsi"/>
          <w:sz w:val="20"/>
          <w:szCs w:val="20"/>
        </w:rPr>
        <w:t xml:space="preserve"> explained that when a jury is deadlocked, a trial court may give a supplemental instruction encouraging the jury t</w:t>
      </w:r>
      <w:r w:rsidR="00F227E6" w:rsidRPr="005C0994">
        <w:rPr>
          <w:rFonts w:asciiTheme="majorHAnsi" w:hAnsiTheme="majorHAnsi"/>
          <w:sz w:val="20"/>
          <w:szCs w:val="20"/>
        </w:rPr>
        <w:t xml:space="preserve">o reach a verdict if possible. </w:t>
      </w:r>
      <w:r w:rsidRPr="005C0994">
        <w:rPr>
          <w:rFonts w:asciiTheme="majorHAnsi" w:hAnsiTheme="majorHAnsi"/>
          <w:sz w:val="20"/>
          <w:szCs w:val="20"/>
        </w:rPr>
        <w:t>Quoti</w:t>
      </w:r>
      <w:r w:rsidR="00F227E6" w:rsidRPr="005C0994">
        <w:rPr>
          <w:rFonts w:asciiTheme="majorHAnsi" w:hAnsiTheme="majorHAnsi"/>
          <w:sz w:val="20"/>
          <w:szCs w:val="20"/>
        </w:rPr>
        <w:t>ng from the reasoning in Brown v</w:t>
      </w:r>
      <w:r w:rsidRPr="005C0994">
        <w:rPr>
          <w:rFonts w:asciiTheme="majorHAnsi" w:hAnsiTheme="majorHAnsi"/>
          <w:sz w:val="20"/>
          <w:szCs w:val="20"/>
        </w:rPr>
        <w:t xml:space="preserve"> Bradshaw,</w:t>
      </w:r>
      <w:r w:rsidR="00D975F8" w:rsidRPr="005C0994">
        <w:rPr>
          <w:rStyle w:val="FootnoteReference"/>
          <w:rFonts w:asciiTheme="majorHAnsi" w:hAnsiTheme="majorHAnsi"/>
          <w:sz w:val="20"/>
          <w:szCs w:val="20"/>
        </w:rPr>
        <w:footnoteReference w:id="20"/>
      </w:r>
      <w:r w:rsidRPr="005C0994">
        <w:rPr>
          <w:rFonts w:asciiTheme="majorHAnsi" w:hAnsiTheme="majorHAnsi"/>
          <w:sz w:val="20"/>
          <w:szCs w:val="20"/>
        </w:rPr>
        <w:t xml:space="preserve"> “the [Howard charge] merely encourage[s] the jurors to consider each other’s views and to ask themselves whether their own views [are] reasonable under the circumstances</w:t>
      </w:r>
      <w:r w:rsidR="00540DC8" w:rsidRPr="005C0994">
        <w:rPr>
          <w:rFonts w:asciiTheme="majorHAnsi" w:hAnsiTheme="majorHAnsi"/>
          <w:sz w:val="20"/>
          <w:szCs w:val="20"/>
        </w:rPr>
        <w:t>,</w:t>
      </w:r>
      <w:r w:rsidRPr="005C0994">
        <w:rPr>
          <w:rFonts w:asciiTheme="majorHAnsi" w:hAnsiTheme="majorHAnsi"/>
          <w:sz w:val="20"/>
          <w:szCs w:val="20"/>
        </w:rPr>
        <w:t xml:space="preserve">” </w:t>
      </w:r>
      <w:r w:rsidR="00F227E6" w:rsidRPr="005C0994">
        <w:rPr>
          <w:rFonts w:asciiTheme="majorHAnsi" w:hAnsiTheme="majorHAnsi"/>
          <w:sz w:val="20"/>
          <w:szCs w:val="20"/>
        </w:rPr>
        <w:t>the court viewed that</w:t>
      </w:r>
      <w:r w:rsidRPr="005C0994">
        <w:rPr>
          <w:rFonts w:asciiTheme="majorHAnsi" w:hAnsiTheme="majorHAnsi"/>
          <w:sz w:val="20"/>
          <w:szCs w:val="20"/>
        </w:rPr>
        <w:t xml:space="preserve"> the Ohio Supreme Court did </w:t>
      </w:r>
      <w:r w:rsidR="004B2429" w:rsidRPr="005C0994">
        <w:rPr>
          <w:rFonts w:asciiTheme="majorHAnsi" w:hAnsiTheme="majorHAnsi"/>
          <w:sz w:val="20"/>
          <w:szCs w:val="20"/>
        </w:rPr>
        <w:t xml:space="preserve">not unreasonably apply the law </w:t>
      </w:r>
      <w:r w:rsidRPr="005C0994">
        <w:rPr>
          <w:rFonts w:asciiTheme="majorHAnsi" w:hAnsiTheme="majorHAnsi"/>
          <w:sz w:val="20"/>
          <w:szCs w:val="20"/>
        </w:rPr>
        <w:t xml:space="preserve">in determining the </w:t>
      </w:r>
      <w:r w:rsidR="00F227E6" w:rsidRPr="005C0994">
        <w:rPr>
          <w:rFonts w:asciiTheme="majorHAnsi" w:hAnsiTheme="majorHAnsi"/>
          <w:sz w:val="20"/>
          <w:szCs w:val="20"/>
        </w:rPr>
        <w:t>Howard</w:t>
      </w:r>
      <w:r w:rsidRPr="005C0994">
        <w:rPr>
          <w:rFonts w:asciiTheme="majorHAnsi" w:hAnsiTheme="majorHAnsi"/>
          <w:sz w:val="20"/>
          <w:szCs w:val="20"/>
        </w:rPr>
        <w:t xml:space="preserve"> charge was appropriate as guidance to the jury on how to resolve a deadlock. </w:t>
      </w:r>
    </w:p>
    <w:p w14:paraId="6FE38E0D" w14:textId="77777777" w:rsidR="00B64CF2" w:rsidRPr="005C0994" w:rsidRDefault="00B64CF2" w:rsidP="00B64CF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07CD8508" w14:textId="77777777" w:rsidR="005C3DAB" w:rsidRPr="005C0994" w:rsidRDefault="00D539A6" w:rsidP="005313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Mr. </w:t>
      </w:r>
      <w:proofErr w:type="spellStart"/>
      <w:r w:rsidRPr="005C0994">
        <w:rPr>
          <w:rFonts w:asciiTheme="majorHAnsi" w:hAnsiTheme="majorHAnsi"/>
          <w:sz w:val="20"/>
          <w:szCs w:val="20"/>
        </w:rPr>
        <w:t>Loza</w:t>
      </w:r>
      <w:proofErr w:type="spellEnd"/>
      <w:r w:rsidRPr="005C0994">
        <w:rPr>
          <w:rFonts w:asciiTheme="majorHAnsi" w:hAnsiTheme="majorHAnsi"/>
          <w:sz w:val="20"/>
          <w:szCs w:val="20"/>
        </w:rPr>
        <w:t xml:space="preserve"> argued</w:t>
      </w:r>
      <w:r w:rsidR="005313DA" w:rsidRPr="005C0994">
        <w:rPr>
          <w:rFonts w:asciiTheme="majorHAnsi" w:hAnsiTheme="majorHAnsi"/>
          <w:sz w:val="20"/>
          <w:szCs w:val="20"/>
        </w:rPr>
        <w:t xml:space="preserve"> that the Ohio court of appeal unreasonably applied clearly established federal law when it rejected his claim that he was selectively prosecuted for capital offenses based on </w:t>
      </w:r>
      <w:r w:rsidRPr="005C0994">
        <w:rPr>
          <w:rFonts w:asciiTheme="majorHAnsi" w:hAnsiTheme="majorHAnsi"/>
          <w:sz w:val="20"/>
          <w:szCs w:val="20"/>
        </w:rPr>
        <w:t>invidious</w:t>
      </w:r>
      <w:r w:rsidR="005313DA" w:rsidRPr="005C0994">
        <w:rPr>
          <w:rFonts w:asciiTheme="majorHAnsi" w:hAnsiTheme="majorHAnsi"/>
          <w:sz w:val="20"/>
          <w:szCs w:val="20"/>
        </w:rPr>
        <w:t xml:space="preserve"> racial discrimination. The District Court in his habeas corpus</w:t>
      </w:r>
      <w:r w:rsidRPr="005C0994">
        <w:rPr>
          <w:rFonts w:asciiTheme="majorHAnsi" w:hAnsiTheme="majorHAnsi"/>
          <w:sz w:val="20"/>
          <w:szCs w:val="20"/>
        </w:rPr>
        <w:t xml:space="preserve"> petition</w:t>
      </w:r>
      <w:r w:rsidR="005313DA" w:rsidRPr="005C0994">
        <w:rPr>
          <w:rFonts w:asciiTheme="majorHAnsi" w:hAnsiTheme="majorHAnsi"/>
          <w:sz w:val="20"/>
          <w:szCs w:val="20"/>
        </w:rPr>
        <w:t xml:space="preserve">, </w:t>
      </w:r>
      <w:r w:rsidRPr="005C0994">
        <w:rPr>
          <w:rFonts w:asciiTheme="majorHAnsi" w:hAnsiTheme="majorHAnsi"/>
          <w:sz w:val="20"/>
          <w:szCs w:val="20"/>
        </w:rPr>
        <w:t>granted a</w:t>
      </w:r>
      <w:r w:rsidR="005313DA" w:rsidRPr="005C0994">
        <w:rPr>
          <w:rFonts w:asciiTheme="majorHAnsi" w:hAnsiTheme="majorHAnsi"/>
          <w:sz w:val="20"/>
          <w:szCs w:val="20"/>
        </w:rPr>
        <w:t xml:space="preserve"> motion for leave to conduct discovery </w:t>
      </w:r>
      <w:r w:rsidR="005313DA" w:rsidRPr="005C0994">
        <w:rPr>
          <w:rFonts w:asciiTheme="majorHAnsi" w:hAnsiTheme="majorHAnsi"/>
          <w:sz w:val="20"/>
          <w:szCs w:val="20"/>
        </w:rPr>
        <w:lastRenderedPageBreak/>
        <w:t xml:space="preserve">on the claim; the evidence produced was considered and the selective prosecution claim was denied. </w:t>
      </w:r>
      <w:r w:rsidRPr="005C0994">
        <w:rPr>
          <w:rFonts w:asciiTheme="majorHAnsi" w:hAnsiTheme="majorHAnsi"/>
          <w:sz w:val="20"/>
          <w:szCs w:val="20"/>
        </w:rPr>
        <w:t>The United States Court of Appeal considered that a</w:t>
      </w:r>
      <w:r w:rsidR="005313DA" w:rsidRPr="005C0994">
        <w:rPr>
          <w:rFonts w:asciiTheme="majorHAnsi" w:hAnsiTheme="majorHAnsi"/>
          <w:sz w:val="20"/>
          <w:szCs w:val="20"/>
        </w:rPr>
        <w:t xml:space="preserve"> criminal defendant bears the burden of proving that his prosecution viola</w:t>
      </w:r>
      <w:r w:rsidRPr="005C0994">
        <w:rPr>
          <w:rFonts w:asciiTheme="majorHAnsi" w:hAnsiTheme="majorHAnsi"/>
          <w:sz w:val="20"/>
          <w:szCs w:val="20"/>
        </w:rPr>
        <w:t>ted equal protection standards, and</w:t>
      </w:r>
      <w:r w:rsidR="005313DA" w:rsidRPr="005C0994">
        <w:rPr>
          <w:rFonts w:asciiTheme="majorHAnsi" w:hAnsiTheme="majorHAnsi"/>
          <w:sz w:val="20"/>
          <w:szCs w:val="20"/>
        </w:rPr>
        <w:t xml:space="preserve"> must demonstrate that the prosecutorial policy “’had a discriminatory effect and that it was motivated</w:t>
      </w:r>
      <w:r w:rsidRPr="005C0994">
        <w:rPr>
          <w:rFonts w:asciiTheme="majorHAnsi" w:hAnsiTheme="majorHAnsi"/>
          <w:sz w:val="20"/>
          <w:szCs w:val="20"/>
        </w:rPr>
        <w:t xml:space="preserve"> by a discriminatory purpose.’”</w:t>
      </w:r>
      <w:r w:rsidRPr="005C0994">
        <w:rPr>
          <w:rStyle w:val="FootnoteReference"/>
          <w:rFonts w:asciiTheme="majorHAnsi" w:hAnsiTheme="majorHAnsi"/>
          <w:sz w:val="20"/>
          <w:szCs w:val="20"/>
        </w:rPr>
        <w:footnoteReference w:id="21"/>
      </w:r>
      <w:r w:rsidR="005313DA" w:rsidRPr="005C0994">
        <w:rPr>
          <w:rFonts w:asciiTheme="majorHAnsi" w:hAnsiTheme="majorHAnsi"/>
          <w:sz w:val="20"/>
          <w:szCs w:val="20"/>
        </w:rPr>
        <w:t xml:space="preserve"> </w:t>
      </w:r>
      <w:r w:rsidR="008D0D4E" w:rsidRPr="005C0994">
        <w:rPr>
          <w:rFonts w:asciiTheme="majorHAnsi" w:hAnsiTheme="majorHAnsi"/>
          <w:sz w:val="20"/>
          <w:szCs w:val="20"/>
        </w:rPr>
        <w:t>The Court further accounted that where a</w:t>
      </w:r>
      <w:r w:rsidR="005313DA" w:rsidRPr="005C0994">
        <w:rPr>
          <w:rFonts w:asciiTheme="majorHAnsi" w:hAnsiTheme="majorHAnsi"/>
          <w:sz w:val="20"/>
          <w:szCs w:val="20"/>
        </w:rPr>
        <w:t xml:space="preserve"> defendant alleges unlawful discrimination based on race, he “must show that similarly situated individuals of a different race were not prosecuted” in order to es</w:t>
      </w:r>
      <w:r w:rsidR="006A15B5" w:rsidRPr="005C0994">
        <w:rPr>
          <w:rFonts w:asciiTheme="majorHAnsi" w:hAnsiTheme="majorHAnsi"/>
          <w:sz w:val="20"/>
          <w:szCs w:val="20"/>
        </w:rPr>
        <w:t>tablish discriminatory effect.</w:t>
      </w:r>
      <w:r w:rsidR="006A15B5" w:rsidRPr="005C0994">
        <w:rPr>
          <w:rStyle w:val="FootnoteReference"/>
          <w:rFonts w:asciiTheme="majorHAnsi" w:hAnsiTheme="majorHAnsi"/>
          <w:sz w:val="20"/>
          <w:szCs w:val="20"/>
        </w:rPr>
        <w:footnoteReference w:id="22"/>
      </w:r>
      <w:r w:rsidR="00B86D99" w:rsidRPr="005C0994">
        <w:rPr>
          <w:rFonts w:asciiTheme="majorHAnsi" w:hAnsiTheme="majorHAnsi"/>
          <w:sz w:val="20"/>
          <w:szCs w:val="20"/>
        </w:rPr>
        <w:t xml:space="preserve"> Regarding the claim that Mr. </w:t>
      </w:r>
      <w:proofErr w:type="spellStart"/>
      <w:r w:rsidR="00B86D99" w:rsidRPr="005C0994">
        <w:rPr>
          <w:rFonts w:asciiTheme="majorHAnsi" w:hAnsiTheme="majorHAnsi"/>
          <w:sz w:val="20"/>
          <w:szCs w:val="20"/>
        </w:rPr>
        <w:t>Loza</w:t>
      </w:r>
      <w:proofErr w:type="spellEnd"/>
      <w:r w:rsidR="00B86D99" w:rsidRPr="005C0994">
        <w:rPr>
          <w:rFonts w:asciiTheme="majorHAnsi" w:hAnsiTheme="majorHAnsi"/>
          <w:sz w:val="20"/>
          <w:szCs w:val="20"/>
        </w:rPr>
        <w:t xml:space="preserve"> and Ms. Jackson were similarly situated to be prosecuted for murder, t</w:t>
      </w:r>
      <w:r w:rsidR="00850933" w:rsidRPr="005C0994">
        <w:rPr>
          <w:rFonts w:asciiTheme="majorHAnsi" w:hAnsiTheme="majorHAnsi"/>
          <w:sz w:val="20"/>
          <w:szCs w:val="20"/>
        </w:rPr>
        <w:t xml:space="preserve">he Court highlighted the “significant and substantial evidence” implicating Mr. </w:t>
      </w:r>
      <w:proofErr w:type="spellStart"/>
      <w:r w:rsidR="00850933" w:rsidRPr="005C0994">
        <w:rPr>
          <w:rFonts w:asciiTheme="majorHAnsi" w:hAnsiTheme="majorHAnsi"/>
          <w:sz w:val="20"/>
          <w:szCs w:val="20"/>
        </w:rPr>
        <w:t>Loza</w:t>
      </w:r>
      <w:proofErr w:type="spellEnd"/>
      <w:r w:rsidR="00850933" w:rsidRPr="005C0994">
        <w:rPr>
          <w:rFonts w:asciiTheme="majorHAnsi" w:hAnsiTheme="majorHAnsi"/>
          <w:sz w:val="20"/>
          <w:szCs w:val="20"/>
        </w:rPr>
        <w:t xml:space="preserve"> in the killings, including his confession and Dorothy Jackson’s statement to investigators that Mr. </w:t>
      </w:r>
      <w:proofErr w:type="spellStart"/>
      <w:r w:rsidR="00850933" w:rsidRPr="005C0994">
        <w:rPr>
          <w:rFonts w:asciiTheme="majorHAnsi" w:hAnsiTheme="majorHAnsi"/>
          <w:sz w:val="20"/>
          <w:szCs w:val="20"/>
        </w:rPr>
        <w:t>Loza</w:t>
      </w:r>
      <w:proofErr w:type="spellEnd"/>
      <w:r w:rsidR="00850933" w:rsidRPr="005C0994">
        <w:rPr>
          <w:rFonts w:asciiTheme="majorHAnsi" w:hAnsiTheme="majorHAnsi"/>
          <w:sz w:val="20"/>
          <w:szCs w:val="20"/>
        </w:rPr>
        <w:t xml:space="preserve"> killed her family; and </w:t>
      </w:r>
      <w:r w:rsidR="00B86D99" w:rsidRPr="005C0994">
        <w:rPr>
          <w:rFonts w:asciiTheme="majorHAnsi" w:hAnsiTheme="majorHAnsi"/>
          <w:sz w:val="20"/>
          <w:szCs w:val="20"/>
        </w:rPr>
        <w:t>concluded that</w:t>
      </w:r>
      <w:r w:rsidR="00850933" w:rsidRPr="005C0994">
        <w:rPr>
          <w:rFonts w:asciiTheme="majorHAnsi" w:hAnsiTheme="majorHAnsi"/>
          <w:sz w:val="20"/>
          <w:szCs w:val="20"/>
        </w:rPr>
        <w:t xml:space="preserve"> the court was not unreasonable in </w:t>
      </w:r>
      <w:r w:rsidR="00B86D99" w:rsidRPr="005C0994">
        <w:rPr>
          <w:rFonts w:asciiTheme="majorHAnsi" w:hAnsiTheme="majorHAnsi"/>
          <w:sz w:val="20"/>
          <w:szCs w:val="20"/>
        </w:rPr>
        <w:t>its determination</w:t>
      </w:r>
      <w:r w:rsidR="00850933" w:rsidRPr="005C0994">
        <w:rPr>
          <w:rFonts w:asciiTheme="majorHAnsi" w:hAnsiTheme="majorHAnsi"/>
          <w:sz w:val="20"/>
          <w:szCs w:val="20"/>
        </w:rPr>
        <w:t xml:space="preserve"> that Mr. </w:t>
      </w:r>
      <w:proofErr w:type="spellStart"/>
      <w:r w:rsidR="00850933" w:rsidRPr="005C0994">
        <w:rPr>
          <w:rFonts w:asciiTheme="majorHAnsi" w:hAnsiTheme="majorHAnsi"/>
          <w:sz w:val="20"/>
          <w:szCs w:val="20"/>
        </w:rPr>
        <w:t>Loza</w:t>
      </w:r>
      <w:proofErr w:type="spellEnd"/>
      <w:r w:rsidR="00850933" w:rsidRPr="005C0994">
        <w:rPr>
          <w:rFonts w:asciiTheme="majorHAnsi" w:hAnsiTheme="majorHAnsi"/>
          <w:sz w:val="20"/>
          <w:szCs w:val="20"/>
        </w:rPr>
        <w:t xml:space="preserve"> and Ms. Jackson were not similarly situated, as no such evidence implicated Ms. Jackson in the killings. The court </w:t>
      </w:r>
      <w:r w:rsidR="00540DC8" w:rsidRPr="005C0994">
        <w:rPr>
          <w:rFonts w:asciiTheme="majorHAnsi" w:hAnsiTheme="majorHAnsi"/>
          <w:sz w:val="20"/>
          <w:szCs w:val="20"/>
        </w:rPr>
        <w:t xml:space="preserve">also </w:t>
      </w:r>
      <w:r w:rsidR="00850933" w:rsidRPr="005C0994">
        <w:rPr>
          <w:rFonts w:asciiTheme="majorHAnsi" w:hAnsiTheme="majorHAnsi"/>
          <w:sz w:val="20"/>
          <w:szCs w:val="20"/>
        </w:rPr>
        <w:t xml:space="preserve">determined Mr. </w:t>
      </w:r>
      <w:proofErr w:type="spellStart"/>
      <w:r w:rsidR="00850933" w:rsidRPr="005C0994">
        <w:rPr>
          <w:rFonts w:asciiTheme="majorHAnsi" w:hAnsiTheme="majorHAnsi"/>
          <w:sz w:val="20"/>
          <w:szCs w:val="20"/>
        </w:rPr>
        <w:t>Loza</w:t>
      </w:r>
      <w:proofErr w:type="spellEnd"/>
      <w:r w:rsidR="00850933" w:rsidRPr="005C0994">
        <w:rPr>
          <w:rFonts w:asciiTheme="majorHAnsi" w:hAnsiTheme="majorHAnsi"/>
          <w:sz w:val="20"/>
          <w:szCs w:val="20"/>
        </w:rPr>
        <w:t xml:space="preserve"> could not demonstrate the discriminatory effect necessary to succeed on his selective prosecution claim. Further</w:t>
      </w:r>
      <w:r w:rsidR="00B86D99" w:rsidRPr="005C0994">
        <w:rPr>
          <w:rFonts w:asciiTheme="majorHAnsi" w:hAnsiTheme="majorHAnsi"/>
          <w:sz w:val="20"/>
          <w:szCs w:val="20"/>
        </w:rPr>
        <w:t>,</w:t>
      </w:r>
      <w:r w:rsidR="00850933" w:rsidRPr="005C0994">
        <w:rPr>
          <w:rFonts w:asciiTheme="majorHAnsi" w:hAnsiTheme="majorHAnsi"/>
          <w:sz w:val="20"/>
          <w:szCs w:val="20"/>
        </w:rPr>
        <w:t xml:space="preserve"> that the statistical data provided was insufficient to establish discriminatory purpose</w:t>
      </w:r>
      <w:r w:rsidR="00A2130F" w:rsidRPr="005C0994">
        <w:rPr>
          <w:rFonts w:asciiTheme="majorHAnsi" w:hAnsiTheme="majorHAnsi"/>
          <w:sz w:val="20"/>
          <w:szCs w:val="20"/>
        </w:rPr>
        <w:t xml:space="preserve">, emphasizing that a defendant must show discriminatory purpose and effect. </w:t>
      </w:r>
      <w:r w:rsidR="00850933" w:rsidRPr="005C0994">
        <w:rPr>
          <w:rFonts w:asciiTheme="majorHAnsi" w:hAnsiTheme="majorHAnsi"/>
          <w:sz w:val="20"/>
          <w:szCs w:val="20"/>
        </w:rPr>
        <w:t xml:space="preserve"> </w:t>
      </w:r>
    </w:p>
    <w:p w14:paraId="72754491" w14:textId="77777777" w:rsidR="005C3DAB" w:rsidRPr="005C0994" w:rsidRDefault="005C3DAB" w:rsidP="005C3DA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17D46584" w14:textId="77777777" w:rsidR="00FC28E6" w:rsidRPr="005C0994" w:rsidRDefault="007E59F7" w:rsidP="005313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Lastly</w:t>
      </w:r>
      <w:r w:rsidR="005C3DAB" w:rsidRPr="005C0994">
        <w:rPr>
          <w:rFonts w:asciiTheme="majorHAnsi" w:hAnsiTheme="majorHAnsi"/>
          <w:sz w:val="20"/>
          <w:szCs w:val="20"/>
        </w:rPr>
        <w:t xml:space="preserve">, Mr. </w:t>
      </w:r>
      <w:proofErr w:type="spellStart"/>
      <w:r w:rsidR="005C3DAB" w:rsidRPr="005C0994">
        <w:rPr>
          <w:rFonts w:asciiTheme="majorHAnsi" w:hAnsiTheme="majorHAnsi"/>
          <w:sz w:val="20"/>
          <w:szCs w:val="20"/>
        </w:rPr>
        <w:t>Loza</w:t>
      </w:r>
      <w:proofErr w:type="spellEnd"/>
      <w:r w:rsidR="005C3DAB" w:rsidRPr="005C0994">
        <w:rPr>
          <w:rFonts w:asciiTheme="majorHAnsi" w:hAnsiTheme="majorHAnsi"/>
          <w:sz w:val="20"/>
          <w:szCs w:val="20"/>
        </w:rPr>
        <w:t xml:space="preserve"> argued that he was</w:t>
      </w:r>
      <w:r w:rsidR="00287B22" w:rsidRPr="005C0994">
        <w:rPr>
          <w:rFonts w:asciiTheme="majorHAnsi" w:hAnsiTheme="majorHAnsi"/>
          <w:sz w:val="20"/>
          <w:szCs w:val="20"/>
        </w:rPr>
        <w:t xml:space="preserve"> entitled to habeas relief because officials failed to inform him after his arrest that he had a right to contact the Mexican consulate pursuant to the Vienna Convention on Consular Relations. </w:t>
      </w:r>
      <w:r w:rsidR="008E06C9" w:rsidRPr="005C0994">
        <w:rPr>
          <w:rFonts w:asciiTheme="majorHAnsi" w:hAnsiTheme="majorHAnsi"/>
          <w:sz w:val="20"/>
          <w:szCs w:val="20"/>
        </w:rPr>
        <w:t xml:space="preserve">The court held that “the Vienna Convention does not create a right for a detained foreign national to consult with the diplomatic representatives of his nation that the federal courts can enforce.” </w:t>
      </w:r>
      <w:r w:rsidR="008E06C9" w:rsidRPr="005C0994">
        <w:rPr>
          <w:rStyle w:val="FootnoteReference"/>
          <w:rFonts w:asciiTheme="majorHAnsi" w:hAnsiTheme="majorHAnsi"/>
          <w:sz w:val="20"/>
          <w:szCs w:val="20"/>
        </w:rPr>
        <w:footnoteReference w:id="23"/>
      </w:r>
      <w:r w:rsidR="00D82760" w:rsidRPr="005C0994">
        <w:rPr>
          <w:rFonts w:asciiTheme="majorHAnsi" w:hAnsiTheme="majorHAnsi"/>
          <w:sz w:val="20"/>
          <w:szCs w:val="20"/>
        </w:rPr>
        <w:t xml:space="preserve"> </w:t>
      </w:r>
      <w:r w:rsidR="001171CF" w:rsidRPr="005C0994">
        <w:rPr>
          <w:rFonts w:asciiTheme="majorHAnsi" w:hAnsiTheme="majorHAnsi"/>
          <w:sz w:val="20"/>
          <w:szCs w:val="20"/>
        </w:rPr>
        <w:t xml:space="preserve">The Court affirmed the District Court’s dismissal. </w:t>
      </w:r>
      <w:r w:rsidR="007A51E3" w:rsidRPr="005C0994">
        <w:rPr>
          <w:rFonts w:asciiTheme="majorHAnsi" w:hAnsiTheme="majorHAnsi"/>
          <w:sz w:val="20"/>
          <w:szCs w:val="20"/>
        </w:rPr>
        <w:t>The United States Supreme Court denied his writ of certiorari.</w:t>
      </w:r>
      <w:r w:rsidR="007A51E3" w:rsidRPr="005C0994">
        <w:rPr>
          <w:rStyle w:val="FootnoteReference"/>
          <w:rFonts w:asciiTheme="majorHAnsi" w:hAnsiTheme="majorHAnsi"/>
          <w:sz w:val="20"/>
          <w:szCs w:val="20"/>
        </w:rPr>
        <w:footnoteReference w:id="24"/>
      </w:r>
      <w:r w:rsidR="00D82760" w:rsidRPr="005C0994">
        <w:rPr>
          <w:rFonts w:asciiTheme="majorHAnsi" w:hAnsiTheme="majorHAnsi"/>
          <w:sz w:val="20"/>
          <w:szCs w:val="20"/>
        </w:rPr>
        <w:t xml:space="preserve"> </w:t>
      </w:r>
    </w:p>
    <w:p w14:paraId="4A472FBA" w14:textId="77777777" w:rsidR="00FC28E6" w:rsidRPr="005C0994" w:rsidRDefault="00FC28E6" w:rsidP="00FC28E6">
      <w:pPr>
        <w:pStyle w:val="ListParagraph"/>
        <w:rPr>
          <w:rFonts w:asciiTheme="majorHAnsi" w:hAnsiTheme="majorHAnsi"/>
          <w:sz w:val="20"/>
          <w:szCs w:val="20"/>
        </w:rPr>
      </w:pPr>
    </w:p>
    <w:p w14:paraId="27FEC3F2" w14:textId="77777777" w:rsidR="00E524D4" w:rsidRPr="005C0994" w:rsidRDefault="0043073C" w:rsidP="005313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The petitioners explain that o</w:t>
      </w:r>
      <w:r w:rsidR="00FC28E6" w:rsidRPr="005C0994">
        <w:rPr>
          <w:rFonts w:asciiTheme="majorHAnsi" w:hAnsiTheme="majorHAnsi"/>
          <w:sz w:val="20"/>
          <w:szCs w:val="20"/>
        </w:rPr>
        <w:t xml:space="preserve">n May 21, 2018, Mr. </w:t>
      </w:r>
      <w:proofErr w:type="spellStart"/>
      <w:r w:rsidR="00FC28E6" w:rsidRPr="005C0994">
        <w:rPr>
          <w:rFonts w:asciiTheme="majorHAnsi" w:hAnsiTheme="majorHAnsi"/>
          <w:sz w:val="20"/>
          <w:szCs w:val="20"/>
        </w:rPr>
        <w:t>Loza</w:t>
      </w:r>
      <w:proofErr w:type="spellEnd"/>
      <w:r w:rsidR="00FC28E6" w:rsidRPr="005C0994">
        <w:rPr>
          <w:rFonts w:asciiTheme="majorHAnsi" w:hAnsiTheme="majorHAnsi"/>
          <w:sz w:val="20"/>
          <w:szCs w:val="20"/>
        </w:rPr>
        <w:t xml:space="preserve"> filed a clemency petition with Ohio’s Governor.</w:t>
      </w:r>
      <w:r w:rsidR="00FC28E6" w:rsidRPr="005C0994">
        <w:rPr>
          <w:rStyle w:val="FootnoteReference"/>
          <w:rFonts w:asciiTheme="majorHAnsi" w:hAnsiTheme="majorHAnsi"/>
          <w:sz w:val="20"/>
          <w:szCs w:val="20"/>
        </w:rPr>
        <w:footnoteReference w:id="25"/>
      </w:r>
      <w:r w:rsidR="00FC28E6" w:rsidRPr="005C0994">
        <w:rPr>
          <w:rFonts w:asciiTheme="majorHAnsi" w:hAnsiTheme="majorHAnsi"/>
          <w:sz w:val="20"/>
          <w:szCs w:val="20"/>
        </w:rPr>
        <w:t xml:space="preserve"> The Commission has no infor</w:t>
      </w:r>
      <w:r w:rsidRPr="005C0994">
        <w:rPr>
          <w:rFonts w:asciiTheme="majorHAnsi" w:hAnsiTheme="majorHAnsi"/>
          <w:sz w:val="20"/>
          <w:szCs w:val="20"/>
        </w:rPr>
        <w:t>mation about the outcome of the</w:t>
      </w:r>
      <w:r w:rsidR="00FC28E6" w:rsidRPr="005C0994">
        <w:rPr>
          <w:rFonts w:asciiTheme="majorHAnsi" w:hAnsiTheme="majorHAnsi"/>
          <w:sz w:val="20"/>
          <w:szCs w:val="20"/>
        </w:rPr>
        <w:t xml:space="preserve">. </w:t>
      </w:r>
      <w:r w:rsidR="00D82760" w:rsidRPr="005C0994">
        <w:rPr>
          <w:rFonts w:asciiTheme="majorHAnsi" w:hAnsiTheme="majorHAnsi"/>
          <w:sz w:val="20"/>
          <w:szCs w:val="20"/>
        </w:rPr>
        <w:t xml:space="preserve">Mr. </w:t>
      </w:r>
      <w:proofErr w:type="spellStart"/>
      <w:r w:rsidR="00D82760" w:rsidRPr="005C0994">
        <w:rPr>
          <w:rFonts w:asciiTheme="majorHAnsi" w:hAnsiTheme="majorHAnsi"/>
          <w:sz w:val="20"/>
          <w:szCs w:val="20"/>
        </w:rPr>
        <w:t>Loza</w:t>
      </w:r>
      <w:proofErr w:type="spellEnd"/>
      <w:r w:rsidR="00D82760" w:rsidRPr="005C0994">
        <w:rPr>
          <w:rFonts w:asciiTheme="majorHAnsi" w:hAnsiTheme="majorHAnsi"/>
          <w:sz w:val="20"/>
          <w:szCs w:val="20"/>
        </w:rPr>
        <w:t xml:space="preserve"> is currently detained pending further details on execution.</w:t>
      </w:r>
    </w:p>
    <w:p w14:paraId="73AFD86D" w14:textId="77777777" w:rsidR="00146E18" w:rsidRPr="00705E5C" w:rsidRDefault="00146E18" w:rsidP="00146E18">
      <w:pPr>
        <w:rPr>
          <w:sz w:val="20"/>
          <w:szCs w:val="20"/>
        </w:rPr>
      </w:pPr>
    </w:p>
    <w:p w14:paraId="3C0ED2AC" w14:textId="77777777" w:rsidR="00021557" w:rsidRPr="005C0994" w:rsidRDefault="00021557" w:rsidP="00146E18">
      <w:pPr>
        <w:pStyle w:val="Heading2"/>
        <w:numPr>
          <w:ilvl w:val="0"/>
          <w:numId w:val="58"/>
        </w:numPr>
        <w:tabs>
          <w:tab w:val="left" w:pos="360"/>
        </w:tabs>
        <w:spacing w:before="0"/>
        <w:ind w:hanging="720"/>
        <w:rPr>
          <w:color w:val="auto"/>
          <w:sz w:val="20"/>
          <w:szCs w:val="20"/>
        </w:rPr>
      </w:pPr>
      <w:bookmarkStart w:id="17" w:name="_Toc90297872"/>
      <w:r w:rsidRPr="005C0994">
        <w:rPr>
          <w:color w:val="auto"/>
          <w:sz w:val="20"/>
          <w:szCs w:val="20"/>
        </w:rPr>
        <w:t>Method of execution</w:t>
      </w:r>
      <w:bookmarkEnd w:id="17"/>
    </w:p>
    <w:p w14:paraId="1FB4DABE" w14:textId="77777777" w:rsidR="00021557" w:rsidRPr="005C0994"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78385EB9" w14:textId="77777777" w:rsidR="00C36568" w:rsidRPr="005C0994" w:rsidRDefault="00300F38" w:rsidP="00C365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At the time of the filing of the petition, </w:t>
      </w:r>
      <w:r w:rsidR="00DC2F9D" w:rsidRPr="005C0994">
        <w:rPr>
          <w:rFonts w:asciiTheme="majorHAnsi" w:hAnsiTheme="majorHAnsi"/>
          <w:sz w:val="20"/>
          <w:szCs w:val="20"/>
        </w:rPr>
        <w:t xml:space="preserve">the drugs used in lethal injections, specified by </w:t>
      </w:r>
      <w:r w:rsidRPr="005C0994">
        <w:rPr>
          <w:rFonts w:asciiTheme="majorHAnsi" w:hAnsiTheme="majorHAnsi"/>
          <w:sz w:val="20"/>
          <w:szCs w:val="20"/>
        </w:rPr>
        <w:t>t</w:t>
      </w:r>
      <w:r w:rsidR="007775C0" w:rsidRPr="005C0994">
        <w:rPr>
          <w:rFonts w:asciiTheme="majorHAnsi" w:hAnsiTheme="majorHAnsi"/>
          <w:sz w:val="20"/>
          <w:szCs w:val="20"/>
        </w:rPr>
        <w:t xml:space="preserve">he </w:t>
      </w:r>
      <w:r w:rsidR="00C36568" w:rsidRPr="005C0994">
        <w:rPr>
          <w:rFonts w:asciiTheme="majorHAnsi" w:hAnsiTheme="majorHAnsi"/>
          <w:sz w:val="20"/>
          <w:szCs w:val="20"/>
        </w:rPr>
        <w:t>State of Ohio</w:t>
      </w:r>
      <w:r w:rsidR="00540DC8" w:rsidRPr="005C0994">
        <w:rPr>
          <w:rFonts w:asciiTheme="majorHAnsi" w:hAnsiTheme="majorHAnsi"/>
          <w:sz w:val="20"/>
          <w:szCs w:val="20"/>
        </w:rPr>
        <w:t>’s</w:t>
      </w:r>
      <w:r w:rsidR="00C36568" w:rsidRPr="005C0994">
        <w:rPr>
          <w:rFonts w:asciiTheme="majorHAnsi" w:hAnsiTheme="majorHAnsi"/>
          <w:sz w:val="20"/>
          <w:szCs w:val="20"/>
        </w:rPr>
        <w:t xml:space="preserve"> Execution Policy</w:t>
      </w:r>
      <w:r w:rsidR="00DC2F9D" w:rsidRPr="005C0994">
        <w:rPr>
          <w:rFonts w:asciiTheme="majorHAnsi" w:hAnsiTheme="majorHAnsi"/>
          <w:sz w:val="20"/>
          <w:szCs w:val="20"/>
        </w:rPr>
        <w:t>, were sodium thiopental and pentobarbital.</w:t>
      </w:r>
      <w:r w:rsidR="00DC2F9D" w:rsidRPr="005C0994">
        <w:rPr>
          <w:rStyle w:val="FootnoteReference"/>
          <w:rFonts w:asciiTheme="majorHAnsi" w:hAnsiTheme="majorHAnsi"/>
          <w:sz w:val="20"/>
          <w:szCs w:val="20"/>
        </w:rPr>
        <w:footnoteReference w:id="26"/>
      </w:r>
      <w:r w:rsidR="00DC2F9D" w:rsidRPr="005C0994">
        <w:rPr>
          <w:rFonts w:asciiTheme="majorHAnsi" w:hAnsiTheme="majorHAnsi"/>
          <w:sz w:val="20"/>
          <w:szCs w:val="20"/>
        </w:rPr>
        <w:t xml:space="preserve"> However, </w:t>
      </w:r>
      <w:r w:rsidR="00483801" w:rsidRPr="005C0994">
        <w:rPr>
          <w:rFonts w:asciiTheme="majorHAnsi" w:hAnsiTheme="majorHAnsi"/>
          <w:sz w:val="20"/>
          <w:szCs w:val="20"/>
        </w:rPr>
        <w:t xml:space="preserve">the original manufacturer of sodium thiopental </w:t>
      </w:r>
      <w:r w:rsidR="00DC2F9D" w:rsidRPr="005C0994">
        <w:rPr>
          <w:rFonts w:asciiTheme="majorHAnsi" w:hAnsiTheme="majorHAnsi"/>
          <w:sz w:val="20"/>
          <w:szCs w:val="20"/>
        </w:rPr>
        <w:t xml:space="preserve">had </w:t>
      </w:r>
      <w:r w:rsidR="00483801" w:rsidRPr="005C0994">
        <w:rPr>
          <w:rFonts w:asciiTheme="majorHAnsi" w:hAnsiTheme="majorHAnsi"/>
          <w:sz w:val="20"/>
          <w:szCs w:val="20"/>
        </w:rPr>
        <w:t>stopped the production of the drug and the manufacturers and suppliers of pentobarbital ha</w:t>
      </w:r>
      <w:r w:rsidR="00DC2F9D" w:rsidRPr="005C0994">
        <w:rPr>
          <w:rFonts w:asciiTheme="majorHAnsi" w:hAnsiTheme="majorHAnsi"/>
          <w:sz w:val="20"/>
          <w:szCs w:val="20"/>
        </w:rPr>
        <w:t>d</w:t>
      </w:r>
      <w:r w:rsidR="00483801" w:rsidRPr="005C0994">
        <w:rPr>
          <w:rFonts w:asciiTheme="majorHAnsi" w:hAnsiTheme="majorHAnsi"/>
          <w:sz w:val="20"/>
          <w:szCs w:val="20"/>
        </w:rPr>
        <w:t xml:space="preserve"> contractually prohibited its sale to corrections departments</w:t>
      </w:r>
      <w:r w:rsidR="00DC2F9D" w:rsidRPr="005C0994">
        <w:rPr>
          <w:rFonts w:asciiTheme="majorHAnsi" w:hAnsiTheme="majorHAnsi"/>
          <w:sz w:val="20"/>
          <w:szCs w:val="20"/>
        </w:rPr>
        <w:t>.</w:t>
      </w:r>
      <w:r w:rsidR="00DC2F9D" w:rsidRPr="005C0994">
        <w:rPr>
          <w:rStyle w:val="FootnoteReference"/>
          <w:rFonts w:asciiTheme="majorHAnsi" w:hAnsiTheme="majorHAnsi"/>
          <w:sz w:val="20"/>
          <w:szCs w:val="20"/>
        </w:rPr>
        <w:footnoteReference w:id="27"/>
      </w:r>
    </w:p>
    <w:p w14:paraId="2596C5C9" w14:textId="77777777" w:rsidR="007775C0" w:rsidRPr="005C0994" w:rsidRDefault="007775C0" w:rsidP="007775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jc w:val="both"/>
        <w:rPr>
          <w:rFonts w:asciiTheme="majorHAnsi" w:hAnsiTheme="majorHAnsi"/>
          <w:sz w:val="20"/>
          <w:szCs w:val="20"/>
        </w:rPr>
      </w:pPr>
    </w:p>
    <w:p w14:paraId="242E7D1F" w14:textId="77777777" w:rsidR="00C36568" w:rsidRPr="005C0994" w:rsidRDefault="00C771AA" w:rsidP="003820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5C0994">
        <w:rPr>
          <w:rFonts w:asciiTheme="majorHAnsi" w:hAnsiTheme="majorHAnsi"/>
          <w:sz w:val="20"/>
          <w:szCs w:val="20"/>
        </w:rPr>
        <w:t xml:space="preserve">According to the information provided by the petitioners, not contested by the State, </w:t>
      </w:r>
      <w:r w:rsidR="00830FDA" w:rsidRPr="005C0994">
        <w:rPr>
          <w:rFonts w:asciiTheme="majorHAnsi" w:hAnsiTheme="majorHAnsi"/>
          <w:sz w:val="20"/>
          <w:szCs w:val="20"/>
        </w:rPr>
        <w:t>Ohio has changed its lethal injection protocol at least three times in the last four years. In 2017 Ohio reverted to a three-drug protocol using a combination of midazolam, potassium chloride and rocuronium bromide.</w:t>
      </w:r>
      <w:r w:rsidR="00415929" w:rsidRPr="005C0994">
        <w:rPr>
          <w:rStyle w:val="FootnoteReference"/>
          <w:rFonts w:asciiTheme="majorHAnsi" w:hAnsiTheme="majorHAnsi"/>
          <w:sz w:val="20"/>
          <w:szCs w:val="20"/>
        </w:rPr>
        <w:footnoteReference w:id="28"/>
      </w:r>
      <w:r w:rsidR="00830FDA" w:rsidRPr="005C0994">
        <w:rPr>
          <w:rFonts w:asciiTheme="majorHAnsi" w:hAnsiTheme="majorHAnsi"/>
          <w:sz w:val="20"/>
          <w:szCs w:val="20"/>
        </w:rPr>
        <w:t xml:space="preserve"> </w:t>
      </w:r>
      <w:r w:rsidR="00415929" w:rsidRPr="005C0994">
        <w:rPr>
          <w:rFonts w:asciiTheme="majorHAnsi" w:hAnsiTheme="majorHAnsi"/>
          <w:sz w:val="20"/>
          <w:szCs w:val="20"/>
        </w:rPr>
        <w:t>In January 2017, a</w:t>
      </w:r>
      <w:r w:rsidR="00830FDA" w:rsidRPr="005C0994">
        <w:rPr>
          <w:rFonts w:asciiTheme="majorHAnsi" w:hAnsiTheme="majorHAnsi"/>
          <w:sz w:val="20"/>
          <w:szCs w:val="20"/>
        </w:rPr>
        <w:t xml:space="preserve"> federal district court stayed all executions in Ohio after hearing testimony regarding the risks of using midazolam to kill human beings.</w:t>
      </w:r>
      <w:r w:rsidR="00415929" w:rsidRPr="005C0994">
        <w:rPr>
          <w:rStyle w:val="FootnoteReference"/>
          <w:rFonts w:asciiTheme="majorHAnsi" w:hAnsiTheme="majorHAnsi"/>
          <w:sz w:val="20"/>
          <w:szCs w:val="20"/>
        </w:rPr>
        <w:footnoteReference w:id="29"/>
      </w:r>
      <w:r w:rsidR="00830FDA" w:rsidRPr="005C0994">
        <w:rPr>
          <w:rFonts w:asciiTheme="majorHAnsi" w:hAnsiTheme="majorHAnsi"/>
          <w:sz w:val="20"/>
          <w:szCs w:val="20"/>
        </w:rPr>
        <w:t xml:space="preserve"> This opinion was vacated by the Sixth Circuit Court of Appeals on the grounds that petitioners had failed to show that the use of the three-drug protocol presents a risk that is “sure or very likely” to cause serious pain and “needless suffering.”</w:t>
      </w:r>
      <w:r w:rsidR="00415929" w:rsidRPr="005C0994">
        <w:rPr>
          <w:rStyle w:val="FootnoteReference"/>
          <w:rFonts w:asciiTheme="majorHAnsi" w:hAnsiTheme="majorHAnsi"/>
          <w:sz w:val="20"/>
          <w:szCs w:val="20"/>
        </w:rPr>
        <w:footnoteReference w:id="30"/>
      </w:r>
      <w:r w:rsidR="00830FDA" w:rsidRPr="005C0994">
        <w:rPr>
          <w:rFonts w:asciiTheme="majorHAnsi" w:hAnsiTheme="majorHAnsi"/>
          <w:sz w:val="20"/>
          <w:szCs w:val="20"/>
        </w:rPr>
        <w:t xml:space="preserve"> Five judges dissented. </w:t>
      </w:r>
      <w:r w:rsidR="00415929" w:rsidRPr="005C0994">
        <w:rPr>
          <w:rFonts w:asciiTheme="majorHAnsi" w:hAnsiTheme="majorHAnsi"/>
          <w:sz w:val="20"/>
          <w:szCs w:val="20"/>
        </w:rPr>
        <w:t>O</w:t>
      </w:r>
      <w:r w:rsidR="00830FDA" w:rsidRPr="005C0994">
        <w:rPr>
          <w:rFonts w:asciiTheme="majorHAnsi" w:hAnsiTheme="majorHAnsi"/>
          <w:sz w:val="20"/>
          <w:szCs w:val="20"/>
        </w:rPr>
        <w:t>n November 15, 2017, the new execution protocol led to another botched execution.</w:t>
      </w:r>
    </w:p>
    <w:p w14:paraId="2682E495" w14:textId="77777777" w:rsidR="00382073" w:rsidRPr="005C0994" w:rsidRDefault="00382073" w:rsidP="003820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0687E533" w14:textId="77777777" w:rsidR="00027675" w:rsidRPr="005C0994" w:rsidRDefault="00300F38" w:rsidP="00103A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On January 15, 2019, a magistrate judge in Ohio ruled that the State’s use of a mixture of three drugs to execute prisoners would constitute cruel and unusual punishment.</w:t>
      </w:r>
      <w:r w:rsidR="006E436B" w:rsidRPr="005C0994">
        <w:rPr>
          <w:rStyle w:val="FootnoteReference"/>
          <w:rFonts w:asciiTheme="majorHAnsi" w:hAnsiTheme="majorHAnsi"/>
          <w:sz w:val="20"/>
          <w:szCs w:val="20"/>
        </w:rPr>
        <w:footnoteReference w:id="31"/>
      </w:r>
      <w:r w:rsidRPr="005C0994">
        <w:rPr>
          <w:rFonts w:asciiTheme="majorHAnsi" w:hAnsiTheme="majorHAnsi"/>
          <w:sz w:val="20"/>
          <w:szCs w:val="20"/>
        </w:rPr>
        <w:t xml:space="preserve"> On February 19, 2019, Governor Mike </w:t>
      </w:r>
      <w:r w:rsidRPr="005C0994">
        <w:rPr>
          <w:rFonts w:asciiTheme="majorHAnsi" w:hAnsiTheme="majorHAnsi"/>
          <w:sz w:val="20"/>
          <w:szCs w:val="20"/>
        </w:rPr>
        <w:lastRenderedPageBreak/>
        <w:t>DeWine announced that Ohio will not carry out any of the scheduled executions until it devises a new execution protocol that is approved by the courts.</w:t>
      </w:r>
      <w:r w:rsidRPr="005C0994">
        <w:rPr>
          <w:rStyle w:val="FootnoteReference"/>
          <w:rFonts w:asciiTheme="majorHAnsi" w:hAnsiTheme="majorHAnsi"/>
          <w:sz w:val="20"/>
          <w:szCs w:val="20"/>
        </w:rPr>
        <w:footnoteReference w:id="32"/>
      </w:r>
      <w:r w:rsidR="00AB5E60" w:rsidRPr="005C0994">
        <w:rPr>
          <w:rFonts w:asciiTheme="majorHAnsi" w:hAnsiTheme="majorHAnsi"/>
          <w:sz w:val="20"/>
          <w:szCs w:val="20"/>
        </w:rPr>
        <w:t xml:space="preserve"> </w:t>
      </w:r>
    </w:p>
    <w:p w14:paraId="26708A6E" w14:textId="77777777" w:rsidR="00027675" w:rsidRPr="005C0994" w:rsidRDefault="00027675" w:rsidP="00027675">
      <w:pPr>
        <w:pStyle w:val="ListParagraph"/>
        <w:rPr>
          <w:rFonts w:asciiTheme="majorHAnsi" w:hAnsiTheme="majorHAnsi"/>
          <w:sz w:val="20"/>
          <w:szCs w:val="20"/>
        </w:rPr>
      </w:pPr>
    </w:p>
    <w:p w14:paraId="467B5A94" w14:textId="77777777" w:rsidR="00300F38" w:rsidRPr="005C0994" w:rsidRDefault="00AB5E60" w:rsidP="00103A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 xml:space="preserve">On September 11, 2019, a three-judge panel of the Sixth Circuit Court of Appeals reversed this finding, noting, citing the U.S. Supreme Court’s decision in </w:t>
      </w:r>
      <w:proofErr w:type="spellStart"/>
      <w:r w:rsidRPr="005C0994">
        <w:rPr>
          <w:rFonts w:asciiTheme="majorHAnsi" w:hAnsiTheme="majorHAnsi"/>
          <w:sz w:val="20"/>
          <w:szCs w:val="20"/>
        </w:rPr>
        <w:t>Bucklew</w:t>
      </w:r>
      <w:proofErr w:type="spellEnd"/>
      <w:r w:rsidRPr="005C0994">
        <w:rPr>
          <w:rFonts w:asciiTheme="majorHAnsi" w:hAnsiTheme="majorHAnsi"/>
          <w:sz w:val="20"/>
          <w:szCs w:val="20"/>
        </w:rPr>
        <w:t xml:space="preserve"> v. </w:t>
      </w:r>
      <w:proofErr w:type="spellStart"/>
      <w:r w:rsidRPr="005C0994">
        <w:rPr>
          <w:rFonts w:asciiTheme="majorHAnsi" w:hAnsiTheme="majorHAnsi"/>
          <w:sz w:val="20"/>
          <w:szCs w:val="20"/>
        </w:rPr>
        <w:t>Precythe</w:t>
      </w:r>
      <w:proofErr w:type="spellEnd"/>
      <w:r w:rsidRPr="005C0994">
        <w:rPr>
          <w:rFonts w:asciiTheme="majorHAnsi" w:hAnsiTheme="majorHAnsi"/>
          <w:sz w:val="20"/>
          <w:szCs w:val="20"/>
        </w:rPr>
        <w:t>, that death by suffocation was not “constitutionally problematic” since “suffocation does not qualify as “severe pain and needless suffering.””</w:t>
      </w:r>
      <w:r w:rsidR="001D41F3" w:rsidRPr="005C0994">
        <w:rPr>
          <w:rStyle w:val="FootnoteReference"/>
          <w:rFonts w:asciiTheme="majorHAnsi" w:hAnsiTheme="majorHAnsi"/>
          <w:sz w:val="20"/>
          <w:szCs w:val="20"/>
        </w:rPr>
        <w:footnoteReference w:id="33"/>
      </w:r>
      <w:r w:rsidR="00E65711" w:rsidRPr="005C0994">
        <w:rPr>
          <w:rFonts w:asciiTheme="majorHAnsi" w:hAnsiTheme="majorHAnsi"/>
          <w:sz w:val="20"/>
          <w:szCs w:val="20"/>
        </w:rPr>
        <w:t xml:space="preserve"> </w:t>
      </w:r>
      <w:r w:rsidR="00027675" w:rsidRPr="005C0994">
        <w:rPr>
          <w:rFonts w:asciiTheme="majorHAnsi" w:hAnsiTheme="majorHAnsi"/>
          <w:sz w:val="20"/>
          <w:szCs w:val="20"/>
        </w:rPr>
        <w:t xml:space="preserve">The panel upheld the magistrate judge’s finding rejecting the method proposed by the plaintiff; namely, execution by a single injection of secobarbital, a true analgesic drug, because it may take days to cause death and because no state had ever used it in an execution. The petitioners allege that secobarbital has an extensive record of success </w:t>
      </w:r>
      <w:r w:rsidR="009B71EF" w:rsidRPr="005C0994">
        <w:rPr>
          <w:rFonts w:asciiTheme="majorHAnsi" w:hAnsiTheme="majorHAnsi"/>
          <w:sz w:val="20"/>
          <w:szCs w:val="20"/>
        </w:rPr>
        <w:t>in “Medical Aid in Dying” states.</w:t>
      </w:r>
      <w:r w:rsidR="00027675" w:rsidRPr="005C0994">
        <w:rPr>
          <w:rFonts w:asciiTheme="majorHAnsi" w:hAnsiTheme="majorHAnsi"/>
          <w:sz w:val="20"/>
          <w:szCs w:val="20"/>
        </w:rPr>
        <w:t xml:space="preserve"> </w:t>
      </w:r>
      <w:r w:rsidR="00E65711" w:rsidRPr="005C0994">
        <w:rPr>
          <w:rFonts w:asciiTheme="majorHAnsi" w:hAnsiTheme="majorHAnsi"/>
          <w:sz w:val="20"/>
          <w:szCs w:val="20"/>
        </w:rPr>
        <w:t xml:space="preserve">The </w:t>
      </w:r>
      <w:r w:rsidR="00027675" w:rsidRPr="005C0994">
        <w:rPr>
          <w:rFonts w:asciiTheme="majorHAnsi" w:hAnsiTheme="majorHAnsi"/>
          <w:sz w:val="20"/>
          <w:szCs w:val="20"/>
        </w:rPr>
        <w:t>c</w:t>
      </w:r>
      <w:r w:rsidR="00E65711" w:rsidRPr="005C0994">
        <w:rPr>
          <w:rFonts w:asciiTheme="majorHAnsi" w:hAnsiTheme="majorHAnsi"/>
          <w:sz w:val="20"/>
          <w:szCs w:val="20"/>
        </w:rPr>
        <w:t xml:space="preserve">ourt declined to address the risk of severe pain posed by the execution protocol as a whole. </w:t>
      </w:r>
    </w:p>
    <w:p w14:paraId="054EB796" w14:textId="77777777" w:rsidR="00D72ED0" w:rsidRPr="005C0994" w:rsidRDefault="00D72ED0" w:rsidP="00D72ED0">
      <w:pPr>
        <w:pStyle w:val="ListParagraph"/>
        <w:rPr>
          <w:rFonts w:asciiTheme="majorHAnsi" w:hAnsiTheme="majorHAnsi"/>
          <w:sz w:val="20"/>
          <w:szCs w:val="20"/>
        </w:rPr>
      </w:pPr>
    </w:p>
    <w:p w14:paraId="37E5A479" w14:textId="77777777" w:rsidR="00D72ED0" w:rsidRPr="005C0994" w:rsidRDefault="00D72ED0" w:rsidP="00103A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5C0994">
        <w:rPr>
          <w:rFonts w:asciiTheme="majorHAnsi" w:hAnsiTheme="majorHAnsi"/>
          <w:sz w:val="20"/>
          <w:szCs w:val="20"/>
        </w:rPr>
        <w:t>On October 30, 2019, Governor Mike DeWine announced Ohio would not hold anymore executions in 2019 due to the State’s “continuing problems with finding a pharmaceutical company willing to sell drugs for use in executions.</w:t>
      </w:r>
    </w:p>
    <w:p w14:paraId="7FE38B86" w14:textId="77777777" w:rsidR="00AB5E60" w:rsidRPr="005C0994" w:rsidRDefault="00AB5E60" w:rsidP="00AB5E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576C7E27" w14:textId="77777777" w:rsidR="00677DA7" w:rsidRPr="005C0994" w:rsidRDefault="00677DA7" w:rsidP="003676F1">
      <w:pPr>
        <w:pStyle w:val="Heading1"/>
        <w:tabs>
          <w:tab w:val="left" w:pos="360"/>
        </w:tabs>
        <w:spacing w:before="0"/>
        <w:ind w:hanging="720"/>
        <w:rPr>
          <w:color w:val="auto"/>
          <w:sz w:val="20"/>
          <w:szCs w:val="20"/>
        </w:rPr>
      </w:pPr>
      <w:bookmarkStart w:id="18" w:name="_Toc90297873"/>
      <w:r w:rsidRPr="005C0994">
        <w:rPr>
          <w:color w:val="auto"/>
          <w:sz w:val="20"/>
          <w:szCs w:val="20"/>
        </w:rPr>
        <w:t>ANALYSIS OF LAW</w:t>
      </w:r>
      <w:bookmarkEnd w:id="18"/>
    </w:p>
    <w:p w14:paraId="78307C5A" w14:textId="77777777" w:rsidR="00E57AC6" w:rsidRPr="005C0994" w:rsidRDefault="00E57AC6" w:rsidP="00E57AC6"/>
    <w:p w14:paraId="771F6EE5" w14:textId="77777777" w:rsidR="00677DA7" w:rsidRPr="005C0994" w:rsidRDefault="00677DA7" w:rsidP="009C6457">
      <w:pPr>
        <w:pStyle w:val="Heading2"/>
        <w:numPr>
          <w:ilvl w:val="0"/>
          <w:numId w:val="61"/>
        </w:numPr>
        <w:tabs>
          <w:tab w:val="left" w:pos="360"/>
        </w:tabs>
        <w:spacing w:before="0"/>
        <w:ind w:left="0" w:firstLine="0"/>
        <w:rPr>
          <w:color w:val="auto"/>
          <w:sz w:val="20"/>
          <w:szCs w:val="20"/>
        </w:rPr>
      </w:pPr>
      <w:bookmarkStart w:id="19" w:name="_Toc90297874"/>
      <w:r w:rsidRPr="005C0994">
        <w:rPr>
          <w:color w:val="auto"/>
          <w:sz w:val="20"/>
          <w:szCs w:val="20"/>
        </w:rPr>
        <w:t>Preliminary considerations</w:t>
      </w:r>
      <w:bookmarkEnd w:id="19"/>
    </w:p>
    <w:p w14:paraId="0BEE3E1B" w14:textId="77777777" w:rsidR="00E57AC6" w:rsidRPr="005C0994" w:rsidRDefault="00E57AC6" w:rsidP="00E57AC6">
      <w:pPr>
        <w:pStyle w:val="ListParagraph"/>
      </w:pPr>
    </w:p>
    <w:p w14:paraId="4DD14F79" w14:textId="77777777" w:rsidR="00E57AC6" w:rsidRPr="005C0994" w:rsidRDefault="00E57AC6" w:rsidP="00B44448">
      <w:pPr>
        <w:pStyle w:val="parrafos"/>
        <w:numPr>
          <w:ilvl w:val="0"/>
          <w:numId w:val="55"/>
        </w:numPr>
        <w:ind w:left="0" w:firstLine="0"/>
      </w:pPr>
      <w:r w:rsidRPr="005C0994">
        <w:t xml:space="preserve">Before embarking on its analysis of the merits in the case of </w:t>
      </w:r>
      <w:r w:rsidR="00565C1A" w:rsidRPr="005C0994">
        <w:t xml:space="preserve">José Trinidad </w:t>
      </w:r>
      <w:proofErr w:type="spellStart"/>
      <w:r w:rsidR="00565C1A" w:rsidRPr="005C0994">
        <w:t>Loza</w:t>
      </w:r>
      <w:proofErr w:type="spellEnd"/>
      <w:r w:rsidR="00565C1A" w:rsidRPr="005C0994">
        <w:t xml:space="preserve"> Ventura</w:t>
      </w:r>
      <w:r w:rsidRPr="005C0994">
        <w:t xml:space="preserve">, the Inter-American Commission believes it should reiterate its previous rulings regarding the heightened scrutiny to be used in cases involving the death penalty. The right to life has received broad recognition as the supreme human right and as a sine qua non for the enjoyment of all other rights. </w:t>
      </w:r>
    </w:p>
    <w:p w14:paraId="71E2C19A" w14:textId="77777777" w:rsidR="00E57AC6" w:rsidRPr="005C0994" w:rsidRDefault="00E57AC6" w:rsidP="00B444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232A1953" w14:textId="77777777" w:rsidR="00E57AC6" w:rsidRPr="005C0994" w:rsidRDefault="00E57AC6" w:rsidP="00B44448">
      <w:pPr>
        <w:pStyle w:val="parrafos"/>
        <w:numPr>
          <w:ilvl w:val="0"/>
          <w:numId w:val="55"/>
        </w:numPr>
        <w:ind w:left="0" w:firstLine="0"/>
      </w:pPr>
      <w:r w:rsidRPr="005C0994">
        <w:t>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international human rights bodies in cases involving the imposition of the death penalty,</w:t>
      </w:r>
      <w:r w:rsidRPr="005C0994">
        <w:rPr>
          <w:rStyle w:val="FootnoteReference"/>
        </w:rPr>
        <w:footnoteReference w:id="34"/>
      </w:r>
      <w:r w:rsidRPr="005C0994">
        <w:t xml:space="preserve"> and it has been set out and applied by the Inter-American Commission in previous capital cases brought before it.</w:t>
      </w:r>
      <w:r w:rsidRPr="005C0994">
        <w:rPr>
          <w:rStyle w:val="FootnoteReference"/>
        </w:rPr>
        <w:footnoteReference w:id="35"/>
      </w:r>
      <w:r w:rsidRPr="005C0994">
        <w:t xml:space="preserve"> As the Inter-American Commission has explained, this standard of review is the necessary consequence of the specific penalty at issue and the right to a fair trial and all attendant due process guarantees, among others.</w:t>
      </w:r>
      <w:r w:rsidRPr="005C0994">
        <w:rPr>
          <w:rStyle w:val="FootnoteReference"/>
        </w:rPr>
        <w:footnoteReference w:id="36"/>
      </w:r>
      <w:r w:rsidRPr="005C0994">
        <w:t xml:space="preserve"> In the words of the Commission:</w:t>
      </w:r>
    </w:p>
    <w:p w14:paraId="211A39AE" w14:textId="77777777" w:rsidR="00E57AC6" w:rsidRPr="005C0994" w:rsidRDefault="00E57AC6" w:rsidP="00E57AC6">
      <w:pPr>
        <w:pStyle w:val="ListParagraph"/>
        <w:rPr>
          <w:sz w:val="20"/>
          <w:szCs w:val="20"/>
        </w:rPr>
      </w:pPr>
    </w:p>
    <w:p w14:paraId="0623885A" w14:textId="77777777" w:rsidR="00E57AC6" w:rsidRPr="005C0994" w:rsidRDefault="00E57AC6" w:rsidP="00E57AC6">
      <w:pPr>
        <w:autoSpaceDE w:val="0"/>
        <w:autoSpaceDN w:val="0"/>
        <w:adjustRightInd w:val="0"/>
        <w:ind w:left="360" w:right="360"/>
        <w:jc w:val="both"/>
        <w:rPr>
          <w:rFonts w:ascii="Cambria" w:hAnsi="Cambria" w:cs="Calibri"/>
          <w:sz w:val="18"/>
          <w:szCs w:val="18"/>
        </w:rPr>
      </w:pPr>
      <w:r w:rsidRPr="005C0994">
        <w:rPr>
          <w:rFonts w:ascii="Cambria" w:hAnsi="Cambria" w:cs="Calibri"/>
          <w:sz w:val="18"/>
          <w:szCs w:val="18"/>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5C0994">
        <w:rPr>
          <w:rStyle w:val="FootnoteReference"/>
          <w:rFonts w:ascii="Cambria" w:hAnsi="Cambria"/>
          <w:sz w:val="18"/>
          <w:szCs w:val="18"/>
        </w:rPr>
        <w:footnoteReference w:id="37"/>
      </w:r>
    </w:p>
    <w:p w14:paraId="1C32AAC1" w14:textId="77777777" w:rsidR="00E57AC6" w:rsidRPr="005C0994" w:rsidRDefault="00E57AC6" w:rsidP="00E57AC6">
      <w:pPr>
        <w:jc w:val="both"/>
        <w:rPr>
          <w:rFonts w:ascii="Cambria" w:hAnsi="Cambria"/>
          <w:sz w:val="20"/>
          <w:szCs w:val="20"/>
        </w:rPr>
      </w:pPr>
    </w:p>
    <w:p w14:paraId="5ECD8195" w14:textId="77777777" w:rsidR="00E57AC6" w:rsidRPr="005C0994" w:rsidRDefault="00E57AC6" w:rsidP="00B44448">
      <w:pPr>
        <w:pStyle w:val="NormalWeb"/>
        <w:numPr>
          <w:ilvl w:val="0"/>
          <w:numId w:val="55"/>
        </w:numPr>
        <w:shd w:val="clear" w:color="auto" w:fill="FFFFFF"/>
        <w:tabs>
          <w:tab w:val="left" w:pos="360"/>
        </w:tabs>
        <w:spacing w:before="0" w:beforeAutospacing="0" w:after="0" w:afterAutospacing="0"/>
        <w:ind w:left="0" w:firstLine="0"/>
        <w:jc w:val="both"/>
        <w:rPr>
          <w:rFonts w:ascii="Cambria" w:eastAsia="Arial Unicode MS" w:hAnsi="Cambria"/>
          <w:sz w:val="20"/>
          <w:szCs w:val="20"/>
          <w:bdr w:val="nil"/>
        </w:rPr>
      </w:pPr>
      <w:r w:rsidRPr="005C0994">
        <w:rPr>
          <w:rFonts w:asciiTheme="majorHAnsi" w:hAnsiTheme="majorHAnsi"/>
          <w:sz w:val="20"/>
          <w:szCs w:val="20"/>
        </w:rPr>
        <w:t xml:space="preserve">The Inter-American Commission will therefore review the petitioner’s allegations in the present case with a heightened level of scrutiny, to ensure in particular that the rights to life, </w:t>
      </w:r>
      <w:r w:rsidR="003B1D61" w:rsidRPr="005C0994">
        <w:rPr>
          <w:rFonts w:asciiTheme="majorHAnsi" w:hAnsiTheme="majorHAnsi"/>
          <w:sz w:val="20"/>
          <w:szCs w:val="20"/>
        </w:rPr>
        <w:t xml:space="preserve">not to receive cruel, infamous or </w:t>
      </w:r>
      <w:r w:rsidR="003B1D61" w:rsidRPr="005C0994">
        <w:rPr>
          <w:rFonts w:asciiTheme="majorHAnsi" w:hAnsiTheme="majorHAnsi"/>
          <w:sz w:val="20"/>
          <w:szCs w:val="20"/>
        </w:rPr>
        <w:lastRenderedPageBreak/>
        <w:t xml:space="preserve">unusual punishment, to </w:t>
      </w:r>
      <w:r w:rsidRPr="005C0994">
        <w:rPr>
          <w:rFonts w:asciiTheme="majorHAnsi" w:hAnsiTheme="majorHAnsi"/>
          <w:sz w:val="20"/>
          <w:szCs w:val="20"/>
        </w:rPr>
        <w:t>due process, and to a fair trial as prescribed under the American Declaration</w:t>
      </w:r>
      <w:r w:rsidR="003B1D61" w:rsidRPr="005C0994">
        <w:rPr>
          <w:rFonts w:asciiTheme="majorHAnsi" w:hAnsiTheme="majorHAnsi"/>
          <w:sz w:val="20"/>
          <w:szCs w:val="20"/>
        </w:rPr>
        <w:t>,</w:t>
      </w:r>
      <w:r w:rsidRPr="005C0994">
        <w:rPr>
          <w:rFonts w:asciiTheme="majorHAnsi" w:hAnsiTheme="majorHAnsi"/>
          <w:sz w:val="20"/>
          <w:szCs w:val="20"/>
        </w:rPr>
        <w:t xml:space="preserve"> have been respected by the State. With regard to the legal status of the American</w:t>
      </w:r>
      <w:r w:rsidRPr="005C0994">
        <w:rPr>
          <w:rFonts w:ascii="Cambria" w:hAnsi="Cambria"/>
          <w:sz w:val="20"/>
        </w:rPr>
        <w:t xml:space="preserve"> Declaration, the IACHR reiterates that:</w:t>
      </w:r>
      <w:r w:rsidRPr="005C0994">
        <w:rPr>
          <w:rStyle w:val="FootnoteReference"/>
          <w:rFonts w:ascii="Cambria" w:hAnsi="Cambria"/>
          <w:sz w:val="20"/>
          <w:szCs w:val="20"/>
        </w:rPr>
        <w:footnoteReference w:id="38"/>
      </w:r>
      <w:r w:rsidRPr="005C0994">
        <w:rPr>
          <w:rFonts w:ascii="Cambria" w:hAnsi="Cambria" w:cs="Tahoma"/>
          <w:color w:val="262626"/>
          <w:sz w:val="20"/>
          <w:szCs w:val="20"/>
        </w:rPr>
        <w:t xml:space="preserve"> </w:t>
      </w:r>
    </w:p>
    <w:p w14:paraId="0CF1184F" w14:textId="77777777" w:rsidR="00E57AC6" w:rsidRPr="005C0994" w:rsidRDefault="00E57AC6" w:rsidP="00E57AC6">
      <w:pPr>
        <w:tabs>
          <w:tab w:val="left" w:pos="630"/>
          <w:tab w:val="left" w:pos="810"/>
        </w:tabs>
        <w:autoSpaceDE w:val="0"/>
        <w:autoSpaceDN w:val="0"/>
        <w:adjustRightInd w:val="0"/>
        <w:jc w:val="both"/>
        <w:rPr>
          <w:rFonts w:ascii="Cambria" w:hAnsi="Cambria" w:cs="Calibri"/>
          <w:sz w:val="20"/>
          <w:szCs w:val="20"/>
        </w:rPr>
      </w:pPr>
    </w:p>
    <w:p w14:paraId="183E46C0" w14:textId="77777777" w:rsidR="00E57AC6" w:rsidRPr="005C0994" w:rsidRDefault="00E57AC6" w:rsidP="00E57AC6">
      <w:pPr>
        <w:tabs>
          <w:tab w:val="left" w:pos="630"/>
          <w:tab w:val="left" w:pos="810"/>
        </w:tabs>
        <w:autoSpaceDE w:val="0"/>
        <w:autoSpaceDN w:val="0"/>
        <w:adjustRightInd w:val="0"/>
        <w:ind w:left="360" w:right="360"/>
        <w:jc w:val="both"/>
        <w:rPr>
          <w:rFonts w:ascii="Cambria" w:hAnsi="Cambria" w:cs="Calibri"/>
          <w:sz w:val="18"/>
          <w:szCs w:val="18"/>
        </w:rPr>
      </w:pPr>
      <w:r w:rsidRPr="005C0994">
        <w:rPr>
          <w:rFonts w:ascii="Cambria" w:hAnsi="Cambria"/>
          <w:sz w:val="18"/>
          <w:szCs w:val="18"/>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p>
    <w:p w14:paraId="282CE222" w14:textId="77777777" w:rsidR="00E57AC6" w:rsidRPr="005C0994" w:rsidRDefault="00E57AC6" w:rsidP="00E57AC6">
      <w:pPr>
        <w:pStyle w:val="ListParagraph"/>
        <w:rPr>
          <w:sz w:val="20"/>
          <w:szCs w:val="20"/>
        </w:rPr>
      </w:pPr>
    </w:p>
    <w:p w14:paraId="5CEBF689" w14:textId="77777777" w:rsidR="00E57AC6" w:rsidRPr="005C0994" w:rsidRDefault="00E57AC6" w:rsidP="00B44448">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5C0994">
        <w:rPr>
          <w:rFonts w:asciiTheme="majorHAnsi" w:hAnsiTheme="majorHAnsi"/>
          <w:sz w:val="20"/>
        </w:rPr>
        <w:t xml:space="preserve">Finally, the Commission recalls that its review does not consist of determining that the death penalty in and of itself violates the American Declaration. What this section addresses is the standard of review of the alleged human rights violations in the context of </w:t>
      </w:r>
      <w:r w:rsidR="002E3921" w:rsidRPr="005C0994">
        <w:rPr>
          <w:rFonts w:asciiTheme="majorHAnsi" w:hAnsiTheme="majorHAnsi"/>
          <w:sz w:val="20"/>
        </w:rPr>
        <w:t>criminal proceedings in a case involving the application of t</w:t>
      </w:r>
      <w:r w:rsidRPr="005C0994">
        <w:rPr>
          <w:rFonts w:asciiTheme="majorHAnsi" w:hAnsiTheme="majorHAnsi"/>
          <w:sz w:val="20"/>
        </w:rPr>
        <w:t>he death penalty.</w:t>
      </w:r>
    </w:p>
    <w:p w14:paraId="635DCAD9" w14:textId="77777777" w:rsidR="00E57AC6" w:rsidRPr="005C0994" w:rsidRDefault="00E57AC6" w:rsidP="00B55F23">
      <w:pPr>
        <w:pStyle w:val="Heading2"/>
        <w:tabs>
          <w:tab w:val="left" w:pos="360"/>
        </w:tabs>
        <w:spacing w:before="0"/>
        <w:rPr>
          <w:sz w:val="20"/>
          <w:szCs w:val="20"/>
        </w:rPr>
      </w:pPr>
    </w:p>
    <w:p w14:paraId="203BC1F2" w14:textId="77777777" w:rsidR="00677DA7" w:rsidRPr="005C0994" w:rsidRDefault="00582D0D" w:rsidP="009C6457">
      <w:pPr>
        <w:pStyle w:val="Heading2"/>
        <w:numPr>
          <w:ilvl w:val="0"/>
          <w:numId w:val="61"/>
        </w:numPr>
        <w:tabs>
          <w:tab w:val="left" w:pos="360"/>
        </w:tabs>
        <w:spacing w:before="0"/>
        <w:ind w:left="0" w:firstLine="0"/>
        <w:jc w:val="both"/>
        <w:rPr>
          <w:color w:val="auto"/>
          <w:sz w:val="20"/>
          <w:szCs w:val="20"/>
        </w:rPr>
      </w:pPr>
      <w:bookmarkStart w:id="20" w:name="_Toc90297875"/>
      <w:r w:rsidRPr="005C0994">
        <w:rPr>
          <w:color w:val="auto"/>
          <w:sz w:val="20"/>
          <w:szCs w:val="20"/>
        </w:rPr>
        <w:t>R</w:t>
      </w:r>
      <w:r w:rsidR="00AB2ECE" w:rsidRPr="005C0994">
        <w:rPr>
          <w:color w:val="auto"/>
          <w:sz w:val="20"/>
          <w:szCs w:val="20"/>
        </w:rPr>
        <w:t>ight to a fair trial</w:t>
      </w:r>
      <w:r w:rsidR="00F61B4C" w:rsidRPr="005C0994">
        <w:rPr>
          <w:rStyle w:val="FootnoteReference"/>
          <w:color w:val="auto"/>
          <w:sz w:val="20"/>
          <w:szCs w:val="20"/>
        </w:rPr>
        <w:footnoteReference w:id="39"/>
      </w:r>
      <w:r w:rsidR="002E3921" w:rsidRPr="005C0994">
        <w:rPr>
          <w:color w:val="auto"/>
          <w:sz w:val="20"/>
          <w:szCs w:val="20"/>
        </w:rPr>
        <w:t xml:space="preserve"> </w:t>
      </w:r>
      <w:r w:rsidR="00BE66B0" w:rsidRPr="005C0994">
        <w:rPr>
          <w:color w:val="auto"/>
          <w:sz w:val="20"/>
          <w:szCs w:val="20"/>
        </w:rPr>
        <w:t>and</w:t>
      </w:r>
      <w:r w:rsidR="00AB2ECE" w:rsidRPr="005C0994">
        <w:rPr>
          <w:color w:val="auto"/>
          <w:sz w:val="20"/>
          <w:szCs w:val="20"/>
        </w:rPr>
        <w:t xml:space="preserve"> </w:t>
      </w:r>
      <w:r w:rsidR="00B55F23" w:rsidRPr="005C0994">
        <w:rPr>
          <w:color w:val="auto"/>
          <w:sz w:val="20"/>
          <w:szCs w:val="20"/>
        </w:rPr>
        <w:t>right to due process of law</w:t>
      </w:r>
      <w:r w:rsidR="00F61B4C" w:rsidRPr="005C0994">
        <w:rPr>
          <w:rStyle w:val="FootnoteReference"/>
          <w:color w:val="auto"/>
          <w:sz w:val="20"/>
          <w:szCs w:val="20"/>
        </w:rPr>
        <w:footnoteReference w:id="40"/>
      </w:r>
      <w:bookmarkEnd w:id="20"/>
      <w:r w:rsidR="00B55F23" w:rsidRPr="005C0994">
        <w:rPr>
          <w:color w:val="auto"/>
          <w:sz w:val="20"/>
          <w:szCs w:val="20"/>
        </w:rPr>
        <w:t xml:space="preserve"> </w:t>
      </w:r>
    </w:p>
    <w:p w14:paraId="2F8C35F6" w14:textId="77777777" w:rsidR="002C6C33" w:rsidRPr="005C0994" w:rsidRDefault="002C6C33" w:rsidP="002C6C33">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30FED810" w14:textId="77777777" w:rsidR="00B9441F" w:rsidRPr="005C0994" w:rsidRDefault="00B9441F" w:rsidP="00B9441F">
      <w:pPr>
        <w:pStyle w:val="Heading3"/>
        <w:numPr>
          <w:ilvl w:val="1"/>
          <w:numId w:val="53"/>
        </w:numPr>
        <w:spacing w:before="0"/>
        <w:ind w:left="360"/>
        <w:rPr>
          <w:color w:val="auto"/>
          <w:sz w:val="20"/>
          <w:szCs w:val="20"/>
        </w:rPr>
      </w:pPr>
      <w:bookmarkStart w:id="21" w:name="_Toc90297876"/>
      <w:r w:rsidRPr="005C0994">
        <w:rPr>
          <w:color w:val="auto"/>
          <w:sz w:val="20"/>
          <w:szCs w:val="20"/>
        </w:rPr>
        <w:t>General considerations on the right to consular notification</w:t>
      </w:r>
      <w:bookmarkEnd w:id="21"/>
      <w:r w:rsidRPr="005C0994">
        <w:rPr>
          <w:color w:val="auto"/>
          <w:sz w:val="20"/>
          <w:szCs w:val="20"/>
        </w:rPr>
        <w:t xml:space="preserve"> </w:t>
      </w:r>
    </w:p>
    <w:p w14:paraId="3BB3B268" w14:textId="77777777" w:rsidR="002F12A8" w:rsidRPr="005C0994" w:rsidRDefault="002F12A8" w:rsidP="002F12A8">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77D01C64" w14:textId="77777777" w:rsidR="002F12A8" w:rsidRPr="005C0994" w:rsidRDefault="002F12A8" w:rsidP="002F12A8">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5C0994">
        <w:rPr>
          <w:rFonts w:asciiTheme="majorHAnsi" w:hAnsiTheme="majorHAnsi"/>
          <w:sz w:val="20"/>
          <w:szCs w:val="20"/>
        </w:rPr>
        <w:t>The Commission has determined in previous cases that it is necessary and appropriate to consider the extent to which a state party has given effect to the requirements of Article 36 of the Vienna Convention for the purpose of evaluating that state’s compliance with a foreign national’s due process rights under Articles XVIII and XXVI of the American Declaration. Therefore, it does consider compliance with Article 36 of the Vienna Convention when interpreting and applying the provisions of the American Declaration to a foreign national who has been arrested, committed to trial or to custody pending trial, or is detained in any other manner by that state.</w:t>
      </w:r>
      <w:r w:rsidRPr="005C0994">
        <w:rPr>
          <w:rStyle w:val="FootnoteReference"/>
          <w:rFonts w:asciiTheme="majorHAnsi" w:hAnsiTheme="majorHAnsi"/>
          <w:sz w:val="20"/>
          <w:szCs w:val="20"/>
        </w:rPr>
        <w:footnoteReference w:id="41"/>
      </w:r>
    </w:p>
    <w:p w14:paraId="05DE15A7" w14:textId="77777777" w:rsidR="002F12A8" w:rsidRPr="005C0994" w:rsidRDefault="002F12A8" w:rsidP="002F12A8">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33F15BBF" w14:textId="77777777" w:rsidR="002F12A8" w:rsidRPr="005C0994" w:rsidRDefault="002F12A8" w:rsidP="002F12A8">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5C0994">
        <w:rPr>
          <w:rFonts w:ascii="Cambria" w:hAnsi="Cambria" w:cs="Arial"/>
          <w:sz w:val="20"/>
          <w:szCs w:val="20"/>
        </w:rPr>
        <w:t xml:space="preserve">On March 31, 2004, the International Court of Justice found in the </w:t>
      </w:r>
      <w:r w:rsidRPr="005C0994">
        <w:rPr>
          <w:rFonts w:ascii="Cambria" w:hAnsi="Cambria" w:cs="Arial"/>
          <w:i/>
          <w:sz w:val="20"/>
          <w:szCs w:val="20"/>
        </w:rPr>
        <w:t xml:space="preserve">Case concerning </w:t>
      </w:r>
      <w:proofErr w:type="spellStart"/>
      <w:r w:rsidRPr="005C0994">
        <w:rPr>
          <w:rFonts w:ascii="Cambria" w:hAnsi="Cambria" w:cs="Arial"/>
          <w:i/>
          <w:sz w:val="20"/>
          <w:szCs w:val="20"/>
        </w:rPr>
        <w:t>Avena</w:t>
      </w:r>
      <w:proofErr w:type="spellEnd"/>
      <w:r w:rsidRPr="005C0994">
        <w:rPr>
          <w:rFonts w:ascii="Cambria" w:hAnsi="Cambria" w:cs="Arial"/>
          <w:i/>
          <w:sz w:val="20"/>
          <w:szCs w:val="20"/>
        </w:rPr>
        <w:t xml:space="preserve"> and Other Mexican Nationals (Mexico v. the United States of America)</w:t>
      </w:r>
      <w:r w:rsidRPr="005C0994">
        <w:rPr>
          <w:rFonts w:ascii="Cambria" w:hAnsi="Cambria" w:cs="Arial"/>
          <w:sz w:val="20"/>
          <w:szCs w:val="20"/>
        </w:rPr>
        <w:t xml:space="preserve"> that the United States of America had breached its obligations under the Vienna Convention with respect to Mr. </w:t>
      </w:r>
      <w:proofErr w:type="spellStart"/>
      <w:r w:rsidRPr="005C0994">
        <w:rPr>
          <w:rFonts w:ascii="Cambria" w:hAnsi="Cambria" w:cs="Arial"/>
          <w:sz w:val="20"/>
          <w:szCs w:val="20"/>
        </w:rPr>
        <w:t>Avena</w:t>
      </w:r>
      <w:proofErr w:type="spellEnd"/>
      <w:r w:rsidRPr="005C0994">
        <w:rPr>
          <w:rFonts w:ascii="Cambria" w:hAnsi="Cambria" w:cs="Arial"/>
          <w:sz w:val="20"/>
          <w:szCs w:val="20"/>
        </w:rPr>
        <w:t xml:space="preserve"> and 50 other Mexican nationals arrested and imprisoned for crimes in the United States by failing to inform them, without delay upon their detention, of their rights under Article 36 paragraph 1 (b) of the Vienna Convention.</w:t>
      </w:r>
      <w:r w:rsidRPr="005C0994">
        <w:rPr>
          <w:rStyle w:val="FootnoteReference"/>
          <w:rFonts w:ascii="Cambria" w:hAnsi="Cambria"/>
          <w:sz w:val="20"/>
          <w:szCs w:val="20"/>
        </w:rPr>
        <w:footnoteReference w:id="42"/>
      </w:r>
      <w:r w:rsidRPr="005C0994">
        <w:rPr>
          <w:rFonts w:ascii="Cambria" w:hAnsi="Cambria" w:cs="Arial"/>
          <w:sz w:val="20"/>
          <w:szCs w:val="20"/>
        </w:rPr>
        <w:t xml:space="preserve"> The Court found that those individuals were entitled to review and reconsideration of their convictions and sentences regardless of their failure to comply with generally applicable state rules governing challenges to criminal convictions</w:t>
      </w:r>
      <w:r w:rsidRPr="005C0994">
        <w:rPr>
          <w:rFonts w:ascii="Cambria" w:hAnsi="Cambria" w:cs="Century Schoolbook"/>
          <w:color w:val="000000"/>
          <w:sz w:val="20"/>
          <w:szCs w:val="20"/>
        </w:rPr>
        <w:t>.</w:t>
      </w:r>
      <w:r w:rsidRPr="005C0994">
        <w:rPr>
          <w:rFonts w:ascii="Cambria" w:hAnsi="Cambria"/>
          <w:b/>
          <w:bCs/>
          <w:sz w:val="20"/>
          <w:szCs w:val="20"/>
        </w:rPr>
        <w:t xml:space="preserve"> </w:t>
      </w:r>
      <w:r w:rsidRPr="005C0994">
        <w:rPr>
          <w:rFonts w:ascii="Cambria" w:hAnsi="Cambria" w:cs="Arial"/>
          <w:sz w:val="20"/>
          <w:szCs w:val="20"/>
        </w:rPr>
        <w:t xml:space="preserve">Mr. </w:t>
      </w:r>
      <w:proofErr w:type="spellStart"/>
      <w:r w:rsidRPr="005C0994">
        <w:rPr>
          <w:rFonts w:ascii="Cambria" w:hAnsi="Cambria" w:cs="Arial"/>
          <w:sz w:val="20"/>
          <w:szCs w:val="20"/>
        </w:rPr>
        <w:t>Loza</w:t>
      </w:r>
      <w:proofErr w:type="spellEnd"/>
      <w:r w:rsidRPr="005C0994">
        <w:rPr>
          <w:rFonts w:ascii="Cambria" w:hAnsi="Cambria" w:cs="Arial"/>
          <w:sz w:val="20"/>
          <w:szCs w:val="20"/>
        </w:rPr>
        <w:t xml:space="preserve"> was one of the 51 Mexican nationals named in the ICJ judgment.</w:t>
      </w:r>
    </w:p>
    <w:p w14:paraId="4D596B14" w14:textId="77777777" w:rsidR="002F12A8" w:rsidRPr="005C0994" w:rsidRDefault="002F12A8" w:rsidP="002F12A8">
      <w:pPr>
        <w:pStyle w:val="ListParagraph"/>
        <w:rPr>
          <w:sz w:val="20"/>
          <w:szCs w:val="20"/>
        </w:rPr>
      </w:pPr>
    </w:p>
    <w:p w14:paraId="7A6DBD0C" w14:textId="77777777" w:rsidR="002F12A8" w:rsidRPr="005C0994" w:rsidRDefault="002F12A8" w:rsidP="002F12A8">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5C0994">
        <w:rPr>
          <w:rFonts w:ascii="Cambria" w:hAnsi="Cambria"/>
          <w:sz w:val="20"/>
          <w:szCs w:val="20"/>
        </w:rPr>
        <w:t xml:space="preserve">On March 25, 2008, the United States Supreme Court held, in </w:t>
      </w:r>
      <w:r w:rsidRPr="005C0994">
        <w:rPr>
          <w:rFonts w:ascii="Cambria" w:hAnsi="Cambria"/>
          <w:i/>
          <w:sz w:val="20"/>
          <w:szCs w:val="20"/>
        </w:rPr>
        <w:t>Medellín v. Texas</w:t>
      </w:r>
      <w:r w:rsidRPr="005C0994">
        <w:rPr>
          <w:rFonts w:ascii="Cambria" w:hAnsi="Cambria"/>
          <w:sz w:val="20"/>
          <w:szCs w:val="20"/>
        </w:rPr>
        <w:t xml:space="preserve">, that in the absence of congressional legislation, the ICJ judgment in </w:t>
      </w:r>
      <w:proofErr w:type="spellStart"/>
      <w:r w:rsidRPr="005C0994">
        <w:rPr>
          <w:rFonts w:ascii="Cambria" w:hAnsi="Cambria"/>
          <w:i/>
          <w:sz w:val="20"/>
          <w:szCs w:val="20"/>
        </w:rPr>
        <w:t>Avena</w:t>
      </w:r>
      <w:proofErr w:type="spellEnd"/>
      <w:r w:rsidRPr="005C0994">
        <w:rPr>
          <w:rFonts w:ascii="Cambria" w:hAnsi="Cambria"/>
          <w:sz w:val="20"/>
          <w:szCs w:val="20"/>
        </w:rPr>
        <w:t xml:space="preserve"> was not directly enforceable as domestic law in state courts because the Optional Protocol to the Vienna Convention was not “self-executing.”</w:t>
      </w:r>
      <w:r w:rsidRPr="005C0994">
        <w:rPr>
          <w:rStyle w:val="FootnoteReference"/>
          <w:rFonts w:ascii="Cambria" w:hAnsi="Cambria"/>
          <w:sz w:val="20"/>
          <w:szCs w:val="20"/>
        </w:rPr>
        <w:footnoteReference w:id="43"/>
      </w:r>
      <w:r w:rsidRPr="005C0994">
        <w:rPr>
          <w:rFonts w:ascii="Cambria" w:hAnsi="Cambria"/>
          <w:sz w:val="20"/>
          <w:szCs w:val="20"/>
        </w:rPr>
        <w:t xml:space="preserve"> However, the opinions agreed that compliance with </w:t>
      </w:r>
      <w:proofErr w:type="spellStart"/>
      <w:r w:rsidRPr="005C0994">
        <w:rPr>
          <w:rFonts w:ascii="Cambria" w:hAnsi="Cambria"/>
          <w:i/>
          <w:sz w:val="20"/>
          <w:szCs w:val="20"/>
        </w:rPr>
        <w:t>Avena</w:t>
      </w:r>
      <w:proofErr w:type="spellEnd"/>
      <w:r w:rsidRPr="005C0994">
        <w:rPr>
          <w:rFonts w:ascii="Cambria" w:hAnsi="Cambria"/>
          <w:sz w:val="20"/>
          <w:szCs w:val="20"/>
        </w:rPr>
        <w:t xml:space="preserve"> is an international legal obligation of the United States and that Congress has the authority to implement that obligation.</w:t>
      </w:r>
      <w:r w:rsidRPr="005C0994">
        <w:rPr>
          <w:rStyle w:val="FootnoteReference"/>
          <w:rFonts w:ascii="Cambria" w:hAnsi="Cambria"/>
          <w:sz w:val="20"/>
          <w:szCs w:val="20"/>
        </w:rPr>
        <w:footnoteReference w:id="44"/>
      </w:r>
    </w:p>
    <w:p w14:paraId="5EFA6CF2" w14:textId="77777777" w:rsidR="002F12A8" w:rsidRPr="005C0994" w:rsidRDefault="002F12A8" w:rsidP="002F12A8">
      <w:pPr>
        <w:tabs>
          <w:tab w:val="left" w:pos="0"/>
        </w:tabs>
        <w:jc w:val="both"/>
        <w:rPr>
          <w:rFonts w:ascii="Cambria" w:hAnsi="Cambria"/>
          <w:sz w:val="20"/>
          <w:szCs w:val="20"/>
        </w:rPr>
      </w:pPr>
    </w:p>
    <w:p w14:paraId="483255DB" w14:textId="77777777" w:rsidR="00B9441F" w:rsidRPr="005C0994" w:rsidRDefault="00B9441F" w:rsidP="00B9441F">
      <w:pPr>
        <w:pStyle w:val="Heading3"/>
        <w:numPr>
          <w:ilvl w:val="1"/>
          <w:numId w:val="53"/>
        </w:numPr>
        <w:spacing w:before="0"/>
        <w:ind w:left="360"/>
        <w:rPr>
          <w:color w:val="auto"/>
          <w:sz w:val="20"/>
          <w:szCs w:val="20"/>
        </w:rPr>
      </w:pPr>
      <w:bookmarkStart w:id="22" w:name="_Toc90297877"/>
      <w:r w:rsidRPr="005C0994">
        <w:rPr>
          <w:color w:val="auto"/>
          <w:sz w:val="20"/>
          <w:szCs w:val="20"/>
        </w:rPr>
        <w:t>Analysis of the case</w:t>
      </w:r>
      <w:bookmarkEnd w:id="22"/>
    </w:p>
    <w:p w14:paraId="4E149982" w14:textId="77777777" w:rsidR="00B9441F" w:rsidRPr="005C0994" w:rsidRDefault="00B9441F" w:rsidP="002F12A8">
      <w:pPr>
        <w:tabs>
          <w:tab w:val="left" w:pos="0"/>
        </w:tabs>
        <w:jc w:val="both"/>
        <w:rPr>
          <w:rFonts w:ascii="Cambria" w:hAnsi="Cambria"/>
          <w:sz w:val="20"/>
          <w:szCs w:val="20"/>
        </w:rPr>
      </w:pPr>
    </w:p>
    <w:p w14:paraId="07520019" w14:textId="77777777" w:rsidR="002F12A8" w:rsidRPr="005C0994" w:rsidRDefault="002F12A8" w:rsidP="002F12A8">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 xml:space="preserve">In the present case, the </w:t>
      </w:r>
      <w:r w:rsidR="00B9441F" w:rsidRPr="005C0994">
        <w:rPr>
          <w:rFonts w:ascii="Cambria" w:hAnsi="Cambria"/>
          <w:sz w:val="20"/>
          <w:szCs w:val="20"/>
        </w:rPr>
        <w:t>p</w:t>
      </w:r>
      <w:r w:rsidRPr="005C0994">
        <w:rPr>
          <w:rFonts w:ascii="Cambria" w:hAnsi="Cambria"/>
          <w:sz w:val="20"/>
          <w:szCs w:val="20"/>
        </w:rPr>
        <w:t xml:space="preserve">etitioners allege that Mr. </w:t>
      </w:r>
      <w:proofErr w:type="spellStart"/>
      <w:r w:rsidRPr="005C0994">
        <w:rPr>
          <w:rFonts w:ascii="Cambria" w:hAnsi="Cambria"/>
          <w:sz w:val="20"/>
          <w:szCs w:val="20"/>
        </w:rPr>
        <w:t>Loza</w:t>
      </w:r>
      <w:proofErr w:type="spellEnd"/>
      <w:r w:rsidRPr="005C0994">
        <w:rPr>
          <w:rFonts w:ascii="Cambria" w:hAnsi="Cambria"/>
          <w:sz w:val="20"/>
          <w:szCs w:val="20"/>
        </w:rPr>
        <w:t xml:space="preserve"> is a national of Mexico and that law enforcement authorities in Ohio were aware of this fact. Mr. </w:t>
      </w:r>
      <w:proofErr w:type="spellStart"/>
      <w:r w:rsidRPr="005C0994">
        <w:rPr>
          <w:rFonts w:ascii="Cambria" w:hAnsi="Cambria"/>
          <w:sz w:val="20"/>
          <w:szCs w:val="20"/>
        </w:rPr>
        <w:t>Loza</w:t>
      </w:r>
      <w:proofErr w:type="spellEnd"/>
      <w:r w:rsidRPr="005C0994">
        <w:rPr>
          <w:rFonts w:ascii="Cambria" w:hAnsi="Cambria"/>
          <w:sz w:val="20"/>
          <w:szCs w:val="20"/>
        </w:rPr>
        <w:t xml:space="preserve"> has stated that he was never informed of his right to consular notification when arrested or subsequent thereto. The State has not disputed the petitioners’ contentions in this regard save for attesting to the Convention’s non-binding provisions. Accordingly, based upon the information and arguments presented, the Commission concludes that Mr. </w:t>
      </w:r>
      <w:proofErr w:type="spellStart"/>
      <w:r w:rsidRPr="005C0994">
        <w:rPr>
          <w:rFonts w:ascii="Cambria" w:hAnsi="Cambria"/>
          <w:sz w:val="20"/>
          <w:szCs w:val="20"/>
        </w:rPr>
        <w:t>Loza</w:t>
      </w:r>
      <w:proofErr w:type="spellEnd"/>
      <w:r w:rsidRPr="005C0994">
        <w:rPr>
          <w:rFonts w:ascii="Cambria" w:hAnsi="Cambria"/>
          <w:sz w:val="20"/>
          <w:szCs w:val="20"/>
        </w:rPr>
        <w:t xml:space="preserve"> was not notified of his right to consular assistance at or subsequent to the time of his arrest and did not have access to consular officials until after his trial had ended. </w:t>
      </w:r>
    </w:p>
    <w:p w14:paraId="6FDA79D3" w14:textId="77777777" w:rsidR="002F12A8" w:rsidRPr="005C0994" w:rsidRDefault="002F12A8" w:rsidP="002F12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s="Cambria"/>
          <w:color w:val="000000"/>
          <w:lang w:eastAsia="es-ES"/>
        </w:rPr>
      </w:pPr>
    </w:p>
    <w:p w14:paraId="2B807D14" w14:textId="77777777" w:rsidR="002F12A8" w:rsidRPr="005C0994" w:rsidRDefault="002F12A8" w:rsidP="002F12A8">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 xml:space="preserve">As the Commission has determined in previous cases, given the comprehensive assistance provided by the Mexican Government to its citizens in death penalty cases in the United States, the IACHR believes that there is a reasonable probability that, had Mr. </w:t>
      </w:r>
      <w:proofErr w:type="spellStart"/>
      <w:r w:rsidRPr="005C0994">
        <w:rPr>
          <w:rFonts w:ascii="Cambria" w:hAnsi="Cambria"/>
          <w:sz w:val="20"/>
          <w:szCs w:val="20"/>
        </w:rPr>
        <w:t>Loza</w:t>
      </w:r>
      <w:proofErr w:type="spellEnd"/>
      <w:r w:rsidRPr="005C0994">
        <w:rPr>
          <w:rFonts w:ascii="Cambria" w:hAnsi="Cambria"/>
          <w:sz w:val="20"/>
          <w:szCs w:val="20"/>
        </w:rPr>
        <w:t xml:space="preserve"> received consular assistance at the time of his arrest, this would have had a positive impact in the development of his criminal case. More specifically, it may well have had a positive impact on his right to an adequate defense.</w:t>
      </w:r>
      <w:r w:rsidRPr="005C0994">
        <w:rPr>
          <w:rStyle w:val="FootnoteReference"/>
          <w:rFonts w:ascii="Cambria" w:hAnsi="Cambria"/>
          <w:sz w:val="20"/>
          <w:szCs w:val="20"/>
        </w:rPr>
        <w:footnoteReference w:id="45"/>
      </w:r>
      <w:r w:rsidRPr="005C0994">
        <w:rPr>
          <w:rFonts w:ascii="Cambria" w:hAnsi="Cambria"/>
          <w:sz w:val="20"/>
          <w:szCs w:val="20"/>
        </w:rPr>
        <w:t xml:space="preserve"> </w:t>
      </w:r>
    </w:p>
    <w:p w14:paraId="7B4B319E" w14:textId="77777777" w:rsidR="002F12A8" w:rsidRPr="005C0994" w:rsidRDefault="002F12A8" w:rsidP="002F12A8">
      <w:pPr>
        <w:rPr>
          <w:sz w:val="20"/>
          <w:szCs w:val="20"/>
        </w:rPr>
      </w:pPr>
    </w:p>
    <w:p w14:paraId="0EBB73EF" w14:textId="77777777" w:rsidR="002F12A8" w:rsidRPr="005C0994" w:rsidRDefault="002F12A8" w:rsidP="002F12A8">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 xml:space="preserve">Based upon the foregoing, the Commission concludes that the State’s obligation under Article 36 of the Vienna Convention to inform Mr. </w:t>
      </w:r>
      <w:proofErr w:type="spellStart"/>
      <w:r w:rsidRPr="005C0994">
        <w:rPr>
          <w:rFonts w:ascii="Cambria" w:hAnsi="Cambria"/>
          <w:sz w:val="20"/>
          <w:szCs w:val="20"/>
        </w:rPr>
        <w:t>Loza</w:t>
      </w:r>
      <w:proofErr w:type="spellEnd"/>
      <w:r w:rsidRPr="005C0994">
        <w:rPr>
          <w:rFonts w:ascii="Cambria" w:hAnsi="Cambria"/>
          <w:sz w:val="20"/>
          <w:szCs w:val="20"/>
        </w:rPr>
        <w:t xml:space="preserve"> of his right to consular notification constituted a fundamental component of the due process standards to which he is entitled under Articles XVIII and XXVI of the Declaration, and that the State’s failure to respect and ensure this obligation deprived Mr. </w:t>
      </w:r>
      <w:proofErr w:type="spellStart"/>
      <w:r w:rsidRPr="005C0994">
        <w:rPr>
          <w:rFonts w:ascii="Cambria" w:hAnsi="Cambria"/>
          <w:sz w:val="20"/>
          <w:szCs w:val="20"/>
        </w:rPr>
        <w:t>Loza</w:t>
      </w:r>
      <w:proofErr w:type="spellEnd"/>
      <w:r w:rsidRPr="005C0994">
        <w:rPr>
          <w:rFonts w:ascii="Cambria" w:hAnsi="Cambria"/>
          <w:sz w:val="20"/>
          <w:szCs w:val="20"/>
        </w:rPr>
        <w:t xml:space="preserve"> of a criminal process that satisfied the minimum standards of due process and a fair trial required under Articles XVIII and XXVI of the Declaration. </w:t>
      </w:r>
    </w:p>
    <w:p w14:paraId="485B6347" w14:textId="77777777" w:rsidR="002F12A8" w:rsidRPr="005C0994" w:rsidRDefault="002F12A8" w:rsidP="002F12A8">
      <w:pPr>
        <w:pStyle w:val="NormalWeb"/>
        <w:shd w:val="clear" w:color="auto" w:fill="FFFFFF"/>
        <w:tabs>
          <w:tab w:val="left" w:pos="360"/>
        </w:tabs>
        <w:spacing w:before="0" w:beforeAutospacing="0" w:after="0" w:afterAutospacing="0"/>
        <w:jc w:val="both"/>
        <w:rPr>
          <w:rFonts w:ascii="Cambria" w:hAnsi="Cambria"/>
          <w:sz w:val="20"/>
          <w:szCs w:val="20"/>
        </w:rPr>
      </w:pPr>
    </w:p>
    <w:p w14:paraId="74FC7142" w14:textId="77777777" w:rsidR="006E1407" w:rsidRPr="005C0994" w:rsidRDefault="00B9441F" w:rsidP="00224AA7">
      <w:pPr>
        <w:pStyle w:val="Heading3"/>
        <w:numPr>
          <w:ilvl w:val="1"/>
          <w:numId w:val="53"/>
        </w:numPr>
        <w:spacing w:before="0"/>
        <w:ind w:left="360"/>
        <w:rPr>
          <w:color w:val="auto"/>
          <w:sz w:val="20"/>
          <w:szCs w:val="20"/>
        </w:rPr>
      </w:pPr>
      <w:bookmarkStart w:id="23" w:name="_Toc90297878"/>
      <w:r w:rsidRPr="005C0994">
        <w:rPr>
          <w:color w:val="auto"/>
          <w:sz w:val="20"/>
          <w:szCs w:val="20"/>
        </w:rPr>
        <w:t>General considerations on i</w:t>
      </w:r>
      <w:r w:rsidR="002C6C33" w:rsidRPr="005C0994">
        <w:rPr>
          <w:color w:val="auto"/>
          <w:sz w:val="20"/>
          <w:szCs w:val="20"/>
        </w:rPr>
        <w:t>neffective assistance</w:t>
      </w:r>
      <w:r w:rsidR="000C5DEE" w:rsidRPr="005C0994">
        <w:rPr>
          <w:color w:val="auto"/>
          <w:sz w:val="20"/>
          <w:szCs w:val="20"/>
        </w:rPr>
        <w:t xml:space="preserve"> of </w:t>
      </w:r>
      <w:r w:rsidR="00AB6F62" w:rsidRPr="005C0994">
        <w:rPr>
          <w:color w:val="auto"/>
          <w:sz w:val="20"/>
          <w:szCs w:val="20"/>
        </w:rPr>
        <w:t xml:space="preserve">court-appointed </w:t>
      </w:r>
      <w:r w:rsidR="000C5DEE" w:rsidRPr="005C0994">
        <w:rPr>
          <w:color w:val="auto"/>
          <w:sz w:val="20"/>
          <w:szCs w:val="20"/>
        </w:rPr>
        <w:t>counsel</w:t>
      </w:r>
      <w:bookmarkEnd w:id="23"/>
      <w:r w:rsidR="000C5DEE" w:rsidRPr="005C0994">
        <w:rPr>
          <w:color w:val="auto"/>
          <w:sz w:val="20"/>
          <w:szCs w:val="20"/>
        </w:rPr>
        <w:t xml:space="preserve"> </w:t>
      </w:r>
    </w:p>
    <w:p w14:paraId="1391E259" w14:textId="77777777" w:rsidR="000C5DEE" w:rsidRPr="005C0994" w:rsidRDefault="000C5DEE" w:rsidP="000C5DEE">
      <w:pPr>
        <w:pStyle w:val="NormalWeb"/>
        <w:shd w:val="clear" w:color="auto" w:fill="FFFFFF"/>
        <w:tabs>
          <w:tab w:val="left" w:pos="360"/>
        </w:tabs>
        <w:spacing w:before="0" w:beforeAutospacing="0" w:after="0" w:afterAutospacing="0"/>
        <w:jc w:val="both"/>
        <w:rPr>
          <w:rFonts w:asciiTheme="majorHAnsi" w:hAnsiTheme="majorHAnsi"/>
          <w:b/>
          <w:sz w:val="20"/>
          <w:szCs w:val="20"/>
        </w:rPr>
      </w:pPr>
    </w:p>
    <w:p w14:paraId="5EA51D10" w14:textId="77777777" w:rsidR="00D12883" w:rsidRPr="005C0994" w:rsidRDefault="00D12883" w:rsidP="00D128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5C0994">
        <w:rPr>
          <w:rFonts w:asciiTheme="majorHAnsi" w:hAnsiTheme="majorHAnsi"/>
          <w:sz w:val="20"/>
          <w:szCs w:val="20"/>
        </w:rPr>
        <w:t>Adequate legal representation is a fundamental component of the right to a fair trial. The IACHR has found that “[t]he right to due process and to a fair trial includes the right to adequate means for the preparation of a defense, assisted by adequate legal counsel.”</w:t>
      </w:r>
      <w:r w:rsidRPr="005C0994">
        <w:rPr>
          <w:rStyle w:val="FootnoteReference"/>
          <w:rFonts w:asciiTheme="majorHAnsi" w:eastAsia="Arial Unicode MS" w:hAnsiTheme="majorHAnsi"/>
          <w:sz w:val="20"/>
          <w:szCs w:val="20"/>
          <w:bdr w:val="nil"/>
        </w:rPr>
        <w:footnoteReference w:id="46"/>
      </w:r>
      <w:r w:rsidRPr="005C0994">
        <w:rPr>
          <w:rFonts w:asciiTheme="majorHAnsi" w:hAnsiTheme="majorHAnsi"/>
          <w:sz w:val="20"/>
          <w:szCs w:val="20"/>
        </w:rPr>
        <w:t xml:space="preserve"> According to the Commission, “[t]he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5C0994">
        <w:rPr>
          <w:rStyle w:val="FootnoteReference"/>
          <w:rFonts w:asciiTheme="majorHAnsi" w:eastAsia="Arial Unicode MS" w:hAnsiTheme="majorHAnsi"/>
          <w:sz w:val="20"/>
          <w:szCs w:val="20"/>
          <w:bdr w:val="nil"/>
        </w:rPr>
        <w:footnoteReference w:id="47"/>
      </w:r>
    </w:p>
    <w:p w14:paraId="7F58D982" w14:textId="77777777" w:rsidR="00D12883" w:rsidRPr="005C0994" w:rsidRDefault="00D12883" w:rsidP="00565C1A">
      <w:pPr>
        <w:rPr>
          <w:sz w:val="20"/>
          <w:szCs w:val="20"/>
        </w:rPr>
      </w:pPr>
    </w:p>
    <w:p w14:paraId="0E9D433F" w14:textId="77777777" w:rsidR="00095A0A" w:rsidRPr="005C0994" w:rsidRDefault="00D12883" w:rsidP="00B36330">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rPr>
      </w:pPr>
      <w:r w:rsidRPr="005C0994">
        <w:rPr>
          <w:rFonts w:ascii="Cambria" w:hAnsi="Cambria"/>
          <w:sz w:val="20"/>
          <w:szCs w:val="20"/>
        </w:rPr>
        <w:t>The Commission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5C0994">
        <w:rPr>
          <w:rStyle w:val="FootnoteReference"/>
          <w:rFonts w:asciiTheme="majorHAnsi" w:hAnsiTheme="majorHAnsi"/>
          <w:sz w:val="20"/>
        </w:rPr>
        <w:footnoteReference w:id="48"/>
      </w:r>
      <w:r w:rsidRPr="005C0994">
        <w:rPr>
          <w:rFonts w:ascii="Cambria" w:hAnsi="Cambria"/>
          <w:sz w:val="20"/>
          <w:szCs w:val="20"/>
        </w:rPr>
        <w:t xml:space="preserve"> </w:t>
      </w:r>
      <w:r w:rsidR="00095A0A" w:rsidRPr="005C0994">
        <w:rPr>
          <w:rFonts w:ascii="Cambria" w:hAnsi="Cambria"/>
          <w:sz w:val="20"/>
          <w:szCs w:val="20"/>
        </w:rPr>
        <w:t xml:space="preserve">The Commission has also indicated that due process protections, under the Declaration: </w:t>
      </w:r>
    </w:p>
    <w:p w14:paraId="42297478" w14:textId="77777777" w:rsidR="00095A0A" w:rsidRPr="005C0994" w:rsidRDefault="00095A0A" w:rsidP="00095A0A">
      <w:pPr>
        <w:pStyle w:val="ListParagraph"/>
        <w:tabs>
          <w:tab w:val="left" w:pos="360"/>
        </w:tabs>
        <w:autoSpaceDE w:val="0"/>
        <w:autoSpaceDN w:val="0"/>
        <w:adjustRightInd w:val="0"/>
        <w:ind w:left="0"/>
        <w:jc w:val="both"/>
        <w:rPr>
          <w:sz w:val="20"/>
        </w:rPr>
      </w:pPr>
    </w:p>
    <w:p w14:paraId="4B65FC5B" w14:textId="77777777" w:rsidR="00095A0A" w:rsidRPr="005C0994" w:rsidRDefault="00095A0A" w:rsidP="00095A0A">
      <w:pPr>
        <w:pStyle w:val="ListParagraph"/>
        <w:tabs>
          <w:tab w:val="left" w:pos="360"/>
        </w:tabs>
        <w:autoSpaceDE w:val="0"/>
        <w:autoSpaceDN w:val="0"/>
        <w:adjustRightInd w:val="0"/>
        <w:ind w:left="360" w:right="360"/>
        <w:jc w:val="both"/>
        <w:rPr>
          <w:sz w:val="18"/>
          <w:szCs w:val="18"/>
        </w:rPr>
      </w:pPr>
      <w:r w:rsidRPr="005C0994">
        <w:rPr>
          <w:sz w:val="18"/>
          <w:szCs w:val="18"/>
        </w:rPr>
        <w:t>guarantee an opportunity to make submissions and present evidence as to whether a death sentence may not be a permissible or appropriate punishment in the circumstances of the defendant’s case, in light of such considerations as the offender’s character and record, subjective factors that might have motivated his or her conduct, the design and manner of execution of the particular offense, and the possibility of reform and social readaptation of the offender.</w:t>
      </w:r>
      <w:r w:rsidRPr="005C0994">
        <w:rPr>
          <w:rStyle w:val="FootnoteReference"/>
          <w:sz w:val="18"/>
          <w:szCs w:val="18"/>
        </w:rPr>
        <w:footnoteReference w:id="49"/>
      </w:r>
    </w:p>
    <w:p w14:paraId="228F03F4" w14:textId="77777777" w:rsidR="00095A0A" w:rsidRPr="005C0994" w:rsidRDefault="00095A0A" w:rsidP="00095A0A">
      <w:pPr>
        <w:pStyle w:val="ListParagraph"/>
        <w:tabs>
          <w:tab w:val="left" w:pos="360"/>
        </w:tabs>
        <w:autoSpaceDE w:val="0"/>
        <w:autoSpaceDN w:val="0"/>
        <w:adjustRightInd w:val="0"/>
        <w:ind w:left="0"/>
        <w:jc w:val="both"/>
        <w:rPr>
          <w:sz w:val="20"/>
        </w:rPr>
      </w:pPr>
    </w:p>
    <w:p w14:paraId="639779C3" w14:textId="77777777" w:rsidR="009F0885" w:rsidRPr="005C0994" w:rsidRDefault="00095A0A" w:rsidP="009F0885">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5C0994">
        <w:rPr>
          <w:rFonts w:ascii="Cambria" w:hAnsi="Cambria"/>
          <w:sz w:val="20"/>
          <w:szCs w:val="20"/>
        </w:rPr>
        <w:t xml:space="preserve">It may be noted that the fundamental nature of this guarantee has been reflected in practice guidelines for lawyers. The American Bar Association has prepared and adopted guidelines and related commentaries that </w:t>
      </w:r>
      <w:r w:rsidRPr="005C0994">
        <w:rPr>
          <w:rFonts w:ascii="Cambria" w:hAnsi="Cambria"/>
          <w:sz w:val="20"/>
          <w:szCs w:val="20"/>
        </w:rPr>
        <w:lastRenderedPageBreak/>
        <w:t>emphasize the importance of investigating and presenting mitigating evidence in death penalty cases.</w:t>
      </w:r>
      <w:r w:rsidRPr="005C0994">
        <w:rPr>
          <w:rStyle w:val="FootnoteReference"/>
          <w:rFonts w:asciiTheme="majorHAnsi" w:hAnsiTheme="majorHAnsi"/>
          <w:sz w:val="20"/>
        </w:rPr>
        <w:footnoteReference w:id="50"/>
      </w:r>
      <w:r w:rsidRPr="005C0994">
        <w:rPr>
          <w:rFonts w:ascii="Cambria" w:hAnsi="Cambria"/>
          <w:sz w:val="20"/>
          <w:szCs w:val="20"/>
        </w:rPr>
        <w:t xml:space="preserve"> According to these guidelines, the duty of counsel in the United States to investigate and present mitigating evidence is now well-established and “[b]</w:t>
      </w:r>
      <w:proofErr w:type="spellStart"/>
      <w:r w:rsidRPr="005C0994">
        <w:rPr>
          <w:rFonts w:ascii="Cambria" w:hAnsi="Cambria"/>
          <w:sz w:val="20"/>
          <w:szCs w:val="20"/>
        </w:rPr>
        <w:t>ecause</w:t>
      </w:r>
      <w:proofErr w:type="spellEnd"/>
      <w:r w:rsidRPr="005C0994">
        <w:rPr>
          <w:rFonts w:ascii="Cambria" w:hAnsi="Cambria"/>
          <w:sz w:val="20"/>
          <w:szCs w:val="20"/>
        </w:rPr>
        <w:t xml:space="preserve"> the sentencer in a capital case must consider in mitigation, anything in the life of the defendant which might militate against the appropriateness of the death penalty for the defendant,” penalty phase preparation requires extensive and generally unparalleled investigation into personal and family history.</w:t>
      </w:r>
      <w:r w:rsidRPr="005C0994">
        <w:rPr>
          <w:rStyle w:val="FootnoteReference"/>
          <w:rFonts w:asciiTheme="majorHAnsi" w:hAnsiTheme="majorHAnsi"/>
          <w:sz w:val="20"/>
        </w:rPr>
        <w:footnoteReference w:id="51"/>
      </w:r>
      <w:r w:rsidR="009F0885" w:rsidRPr="005C0994">
        <w:rPr>
          <w:rFonts w:ascii="Cambria" w:hAnsi="Cambria"/>
          <w:sz w:val="20"/>
          <w:szCs w:val="20"/>
        </w:rPr>
        <w:t xml:space="preserve"> </w:t>
      </w:r>
      <w:r w:rsidR="009F0885" w:rsidRPr="005C0994">
        <w:rPr>
          <w:rFonts w:ascii="Cambria" w:hAnsi="Cambria" w:cs="Cambria"/>
          <w:color w:val="000000"/>
          <w:sz w:val="20"/>
          <w:szCs w:val="20"/>
          <w:lang w:eastAsia="es-ES"/>
        </w:rPr>
        <w:t xml:space="preserve">The ABA has also reflected the significance of consular notification in its guidelines: </w:t>
      </w:r>
    </w:p>
    <w:p w14:paraId="45270AAD" w14:textId="77777777" w:rsidR="009F0885" w:rsidRPr="005C0994" w:rsidRDefault="009F0885" w:rsidP="009F0885">
      <w:pPr>
        <w:pStyle w:val="NormalWeb"/>
        <w:shd w:val="clear" w:color="auto" w:fill="FFFFFF"/>
        <w:tabs>
          <w:tab w:val="left" w:pos="360"/>
        </w:tabs>
        <w:spacing w:before="0" w:beforeAutospacing="0" w:after="0" w:afterAutospacing="0"/>
        <w:jc w:val="both"/>
        <w:rPr>
          <w:rFonts w:ascii="Cambria" w:eastAsia="Arial Unicode MS" w:hAnsi="Cambria" w:cs="Cambria"/>
          <w:color w:val="000000"/>
          <w:sz w:val="20"/>
          <w:szCs w:val="20"/>
          <w:bdr w:val="nil"/>
          <w:lang w:eastAsia="es-ES"/>
        </w:rPr>
      </w:pPr>
    </w:p>
    <w:p w14:paraId="05D16AB7" w14:textId="77777777" w:rsidR="009F0885" w:rsidRPr="005C0994" w:rsidRDefault="009F0885" w:rsidP="009F0885">
      <w:pPr>
        <w:pStyle w:val="NormalWeb"/>
        <w:shd w:val="clear" w:color="auto" w:fill="FFFFFF"/>
        <w:tabs>
          <w:tab w:val="left" w:pos="360"/>
        </w:tabs>
        <w:spacing w:before="0" w:beforeAutospacing="0" w:after="0" w:afterAutospacing="0"/>
        <w:ind w:left="360" w:right="360"/>
        <w:jc w:val="both"/>
        <w:rPr>
          <w:rFonts w:asciiTheme="majorHAnsi" w:hAnsiTheme="majorHAnsi"/>
          <w:sz w:val="18"/>
          <w:szCs w:val="18"/>
        </w:rPr>
      </w:pPr>
      <w:r w:rsidRPr="005C0994">
        <w:rPr>
          <w:rFonts w:ascii="Cambria" w:eastAsia="Arial Unicode MS" w:hAnsi="Cambria" w:cs="Cambria"/>
          <w:color w:val="000000"/>
          <w:sz w:val="18"/>
          <w:szCs w:val="18"/>
          <w:bdr w:val="nil"/>
          <w:lang w:eastAsia="es-ES"/>
        </w:rPr>
        <w:t>[u]</w:t>
      </w:r>
      <w:proofErr w:type="spellStart"/>
      <w:r w:rsidRPr="005C0994">
        <w:rPr>
          <w:rFonts w:ascii="Cambria" w:eastAsia="Arial Unicode MS" w:hAnsi="Cambria" w:cs="Cambria"/>
          <w:color w:val="000000"/>
          <w:sz w:val="18"/>
          <w:szCs w:val="18"/>
          <w:bdr w:val="nil"/>
          <w:lang w:eastAsia="es-ES"/>
        </w:rPr>
        <w:t>nless</w:t>
      </w:r>
      <w:proofErr w:type="spellEnd"/>
      <w:r w:rsidRPr="005C0994">
        <w:rPr>
          <w:rFonts w:ascii="Cambria" w:eastAsia="Arial Unicode MS" w:hAnsi="Cambria" w:cs="Cambria"/>
          <w:color w:val="000000"/>
          <w:sz w:val="18"/>
          <w:szCs w:val="18"/>
          <w:bdr w:val="nil"/>
          <w:lang w:eastAsia="es-ES"/>
        </w:rPr>
        <w:t xml:space="preserve"> predecessor counsel has already done so, counsel representing a foreign national should: 1. immediately advise the client of his or her right to communicate with the relevant consular office; and 2. obtain the consent of the client to contact the consular office. After obtaining consent, counsel should immediately contact the client’s consular office and inform it of the client’s detention or arrest […]</w:t>
      </w:r>
      <w:r w:rsidRPr="005C0994">
        <w:rPr>
          <w:rStyle w:val="FootnoteReference"/>
          <w:rFonts w:ascii="Cambria" w:eastAsia="Arial Unicode MS" w:hAnsi="Cambria"/>
          <w:color w:val="000000"/>
          <w:sz w:val="18"/>
          <w:szCs w:val="18"/>
          <w:bdr w:val="nil"/>
          <w:lang w:eastAsia="es-ES"/>
        </w:rPr>
        <w:footnoteReference w:id="52"/>
      </w:r>
    </w:p>
    <w:p w14:paraId="4DF7961E" w14:textId="77777777" w:rsidR="00E070DA" w:rsidRPr="005C0994" w:rsidRDefault="00E070DA"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2E46DA1C" w14:textId="77777777" w:rsidR="00B9441F" w:rsidRPr="005C0994" w:rsidRDefault="00B9441F" w:rsidP="00B9441F">
      <w:pPr>
        <w:pStyle w:val="Heading3"/>
        <w:numPr>
          <w:ilvl w:val="1"/>
          <w:numId w:val="53"/>
        </w:numPr>
        <w:spacing w:before="0"/>
        <w:ind w:left="360"/>
        <w:rPr>
          <w:color w:val="auto"/>
          <w:sz w:val="20"/>
          <w:szCs w:val="20"/>
        </w:rPr>
      </w:pPr>
      <w:bookmarkStart w:id="24" w:name="_Toc90297879"/>
      <w:r w:rsidRPr="005C0994">
        <w:rPr>
          <w:color w:val="auto"/>
          <w:sz w:val="20"/>
          <w:szCs w:val="20"/>
        </w:rPr>
        <w:t>Analysis of the case</w:t>
      </w:r>
      <w:bookmarkEnd w:id="24"/>
    </w:p>
    <w:p w14:paraId="6F2A3C83" w14:textId="77777777" w:rsidR="00B9441F" w:rsidRPr="005C0994" w:rsidRDefault="00B9441F"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42604D59" w14:textId="77777777" w:rsidR="00AB6F62" w:rsidRPr="005C0994" w:rsidRDefault="00E54100" w:rsidP="00D128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Theme="majorHAnsi" w:hAnsiTheme="majorHAnsi"/>
          <w:sz w:val="20"/>
          <w:szCs w:val="20"/>
        </w:rPr>
        <w:t>In the instant case, the petitioner</w:t>
      </w:r>
      <w:r w:rsidR="00CC1157" w:rsidRPr="005C0994">
        <w:rPr>
          <w:rFonts w:asciiTheme="majorHAnsi" w:hAnsiTheme="majorHAnsi"/>
          <w:sz w:val="20"/>
          <w:szCs w:val="20"/>
        </w:rPr>
        <w:t>s</w:t>
      </w:r>
      <w:r w:rsidRPr="005C0994">
        <w:rPr>
          <w:rFonts w:asciiTheme="majorHAnsi" w:hAnsiTheme="majorHAnsi"/>
          <w:sz w:val="20"/>
          <w:szCs w:val="20"/>
        </w:rPr>
        <w:t xml:space="preserve"> </w:t>
      </w:r>
      <w:r w:rsidR="005B12C2" w:rsidRPr="005C0994">
        <w:rPr>
          <w:rFonts w:asciiTheme="majorHAnsi" w:hAnsiTheme="majorHAnsi"/>
          <w:sz w:val="20"/>
          <w:szCs w:val="20"/>
        </w:rPr>
        <w:t>claim</w:t>
      </w:r>
      <w:r w:rsidRPr="005C0994">
        <w:rPr>
          <w:rFonts w:asciiTheme="majorHAnsi" w:hAnsiTheme="majorHAnsi"/>
          <w:sz w:val="20"/>
          <w:szCs w:val="20"/>
        </w:rPr>
        <w:t xml:space="preserve"> that Mr. </w:t>
      </w:r>
      <w:proofErr w:type="spellStart"/>
      <w:r w:rsidR="00992D3D" w:rsidRPr="005C0994">
        <w:rPr>
          <w:rFonts w:asciiTheme="majorHAnsi" w:hAnsiTheme="majorHAnsi"/>
          <w:sz w:val="20"/>
          <w:szCs w:val="20"/>
        </w:rPr>
        <w:t>Loza</w:t>
      </w:r>
      <w:r w:rsidR="00CC1157" w:rsidRPr="005C0994">
        <w:rPr>
          <w:rFonts w:asciiTheme="majorHAnsi" w:hAnsiTheme="majorHAnsi"/>
          <w:sz w:val="20"/>
          <w:szCs w:val="20"/>
        </w:rPr>
        <w:t>’s</w:t>
      </w:r>
      <w:proofErr w:type="spellEnd"/>
      <w:r w:rsidR="00CC1157" w:rsidRPr="005C0994">
        <w:rPr>
          <w:rFonts w:asciiTheme="majorHAnsi" w:hAnsiTheme="majorHAnsi"/>
          <w:sz w:val="20"/>
          <w:szCs w:val="20"/>
        </w:rPr>
        <w:t xml:space="preserve"> court-appointed counsel failed to advise him of his consular communication and notification rights and to notify the consulate of Mr. </w:t>
      </w:r>
      <w:proofErr w:type="spellStart"/>
      <w:r w:rsidR="00CC1157" w:rsidRPr="005C0994">
        <w:rPr>
          <w:rFonts w:asciiTheme="majorHAnsi" w:hAnsiTheme="majorHAnsi"/>
          <w:sz w:val="20"/>
          <w:szCs w:val="20"/>
        </w:rPr>
        <w:t>Loza’s</w:t>
      </w:r>
      <w:proofErr w:type="spellEnd"/>
      <w:r w:rsidR="00CC1157" w:rsidRPr="005C0994">
        <w:rPr>
          <w:rFonts w:asciiTheme="majorHAnsi" w:hAnsiTheme="majorHAnsi"/>
          <w:sz w:val="20"/>
          <w:szCs w:val="20"/>
        </w:rPr>
        <w:t xml:space="preserve"> detention. They also allege that Mr. </w:t>
      </w:r>
      <w:proofErr w:type="spellStart"/>
      <w:r w:rsidR="00CC1157" w:rsidRPr="005C0994">
        <w:rPr>
          <w:rFonts w:asciiTheme="majorHAnsi" w:hAnsiTheme="majorHAnsi"/>
          <w:sz w:val="20"/>
          <w:szCs w:val="20"/>
        </w:rPr>
        <w:t>Loza’s</w:t>
      </w:r>
      <w:proofErr w:type="spellEnd"/>
      <w:r w:rsidR="00CC1157" w:rsidRPr="005C0994">
        <w:rPr>
          <w:rFonts w:asciiTheme="majorHAnsi" w:hAnsiTheme="majorHAnsi"/>
          <w:sz w:val="20"/>
          <w:szCs w:val="20"/>
        </w:rPr>
        <w:t xml:space="preserve"> counsel failed to retain a neuropsychologist and to conduct a thorough investigation of his social history.</w:t>
      </w:r>
      <w:r w:rsidRPr="005C0994">
        <w:rPr>
          <w:rFonts w:asciiTheme="majorHAnsi" w:hAnsiTheme="majorHAnsi"/>
          <w:sz w:val="20"/>
          <w:szCs w:val="20"/>
        </w:rPr>
        <w:t xml:space="preserve"> </w:t>
      </w:r>
      <w:r w:rsidR="00CC1157" w:rsidRPr="005C0994">
        <w:rPr>
          <w:rFonts w:asciiTheme="majorHAnsi" w:hAnsiTheme="majorHAnsi"/>
          <w:sz w:val="20"/>
          <w:szCs w:val="20"/>
        </w:rPr>
        <w:t>T</w:t>
      </w:r>
      <w:r w:rsidR="00992D3D" w:rsidRPr="005C0994">
        <w:rPr>
          <w:rFonts w:asciiTheme="majorHAnsi" w:hAnsiTheme="majorHAnsi"/>
          <w:sz w:val="20"/>
          <w:szCs w:val="20"/>
        </w:rPr>
        <w:t>he</w:t>
      </w:r>
      <w:r w:rsidR="005B12C2" w:rsidRPr="005C0994">
        <w:rPr>
          <w:rFonts w:asciiTheme="majorHAnsi" w:hAnsiTheme="majorHAnsi"/>
          <w:sz w:val="20"/>
          <w:szCs w:val="20"/>
        </w:rPr>
        <w:t xml:space="preserve"> State alleges that legal representation during trial, appellate, and post-conviction relie</w:t>
      </w:r>
      <w:r w:rsidR="002E5A58" w:rsidRPr="005C0994">
        <w:rPr>
          <w:rFonts w:asciiTheme="majorHAnsi" w:hAnsiTheme="majorHAnsi"/>
          <w:sz w:val="20"/>
          <w:szCs w:val="20"/>
        </w:rPr>
        <w:t>f</w:t>
      </w:r>
      <w:r w:rsidR="005B12C2" w:rsidRPr="005C0994">
        <w:rPr>
          <w:rFonts w:asciiTheme="majorHAnsi" w:hAnsiTheme="majorHAnsi"/>
          <w:sz w:val="20"/>
          <w:szCs w:val="20"/>
        </w:rPr>
        <w:t xml:space="preserve"> proceedings met constitutional standards of competence.</w:t>
      </w:r>
    </w:p>
    <w:p w14:paraId="03842E92" w14:textId="77777777" w:rsidR="00B11F9A" w:rsidRPr="005C0994" w:rsidRDefault="00B11F9A" w:rsidP="00E52427">
      <w:pPr>
        <w:rPr>
          <w:sz w:val="20"/>
          <w:szCs w:val="20"/>
        </w:rPr>
      </w:pPr>
    </w:p>
    <w:p w14:paraId="00FB4559" w14:textId="77777777" w:rsidR="00ED5284" w:rsidRPr="005C0994" w:rsidRDefault="00B11F9A" w:rsidP="00B11F9A">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The Commission notes that</w:t>
      </w:r>
      <w:r w:rsidR="00F75A39" w:rsidRPr="005C0994">
        <w:rPr>
          <w:rFonts w:ascii="Cambria" w:hAnsi="Cambria"/>
          <w:sz w:val="20"/>
          <w:szCs w:val="20"/>
        </w:rPr>
        <w:t xml:space="preserve"> court-appointed counsel </w:t>
      </w:r>
      <w:r w:rsidR="00ED5284" w:rsidRPr="005C0994">
        <w:rPr>
          <w:rFonts w:ascii="Cambria" w:hAnsi="Cambria"/>
          <w:sz w:val="20"/>
          <w:szCs w:val="20"/>
        </w:rPr>
        <w:t>knew</w:t>
      </w:r>
      <w:r w:rsidR="00F75A39" w:rsidRPr="005C0994">
        <w:rPr>
          <w:rFonts w:ascii="Cambria" w:hAnsi="Cambria"/>
          <w:sz w:val="20"/>
          <w:szCs w:val="20"/>
        </w:rPr>
        <w:t xml:space="preserve"> that</w:t>
      </w:r>
      <w:r w:rsidR="00797B54" w:rsidRPr="005C0994">
        <w:rPr>
          <w:rFonts w:ascii="Cambria" w:hAnsi="Cambria"/>
          <w:sz w:val="20"/>
          <w:szCs w:val="20"/>
        </w:rPr>
        <w:t xml:space="preserve"> Mr. </w:t>
      </w:r>
      <w:proofErr w:type="spellStart"/>
      <w:r w:rsidR="00797B54" w:rsidRPr="005C0994">
        <w:rPr>
          <w:rFonts w:ascii="Cambria" w:hAnsi="Cambria"/>
          <w:sz w:val="20"/>
          <w:szCs w:val="20"/>
        </w:rPr>
        <w:t>Loza</w:t>
      </w:r>
      <w:proofErr w:type="spellEnd"/>
      <w:r w:rsidR="00797B54" w:rsidRPr="005C0994">
        <w:rPr>
          <w:rFonts w:ascii="Cambria" w:hAnsi="Cambria"/>
          <w:sz w:val="20"/>
          <w:szCs w:val="20"/>
        </w:rPr>
        <w:t xml:space="preserve"> was a foreign national. In his first </w:t>
      </w:r>
      <w:r w:rsidR="00ED5284" w:rsidRPr="005C0994">
        <w:rPr>
          <w:rFonts w:ascii="Cambria" w:hAnsi="Cambria"/>
          <w:sz w:val="20"/>
          <w:szCs w:val="20"/>
        </w:rPr>
        <w:t>meeting</w:t>
      </w:r>
      <w:r w:rsidR="00797B54" w:rsidRPr="005C0994">
        <w:rPr>
          <w:rFonts w:ascii="Cambria" w:hAnsi="Cambria"/>
          <w:sz w:val="20"/>
          <w:szCs w:val="20"/>
        </w:rPr>
        <w:t xml:space="preserve"> with Mr. </w:t>
      </w:r>
      <w:proofErr w:type="spellStart"/>
      <w:r w:rsidR="00797B54" w:rsidRPr="005C0994">
        <w:rPr>
          <w:rFonts w:ascii="Cambria" w:hAnsi="Cambria"/>
          <w:sz w:val="20"/>
          <w:szCs w:val="20"/>
        </w:rPr>
        <w:t>Loza</w:t>
      </w:r>
      <w:proofErr w:type="spellEnd"/>
      <w:r w:rsidR="00797B54" w:rsidRPr="005C0994">
        <w:rPr>
          <w:rFonts w:ascii="Cambria" w:hAnsi="Cambria"/>
          <w:sz w:val="20"/>
          <w:szCs w:val="20"/>
        </w:rPr>
        <w:t xml:space="preserve">, counsel should have corroborated that he had been notified of his right to </w:t>
      </w:r>
      <w:r w:rsidR="001467E2" w:rsidRPr="005C0994">
        <w:rPr>
          <w:rFonts w:ascii="Cambria" w:hAnsi="Cambria"/>
          <w:sz w:val="20"/>
          <w:szCs w:val="20"/>
        </w:rPr>
        <w:t xml:space="preserve">request that </w:t>
      </w:r>
      <w:r w:rsidR="00797B54" w:rsidRPr="005C0994">
        <w:rPr>
          <w:rFonts w:ascii="Cambria" w:hAnsi="Cambria"/>
          <w:sz w:val="20"/>
          <w:szCs w:val="20"/>
        </w:rPr>
        <w:t>the Mexican consulate</w:t>
      </w:r>
      <w:r w:rsidR="001467E2" w:rsidRPr="005C0994">
        <w:rPr>
          <w:rFonts w:ascii="Cambria" w:hAnsi="Cambria"/>
          <w:sz w:val="20"/>
          <w:szCs w:val="20"/>
        </w:rPr>
        <w:t xml:space="preserve"> be immediately notified of his arrest</w:t>
      </w:r>
      <w:r w:rsidR="00ED5284" w:rsidRPr="005C0994">
        <w:rPr>
          <w:rFonts w:ascii="Cambria" w:hAnsi="Cambria"/>
          <w:sz w:val="20"/>
          <w:szCs w:val="20"/>
        </w:rPr>
        <w:t>, a fundamental component of a foreign national’s due process rights</w:t>
      </w:r>
      <w:r w:rsidR="00797B54" w:rsidRPr="005C0994">
        <w:rPr>
          <w:rFonts w:ascii="Cambria" w:hAnsi="Cambria"/>
          <w:sz w:val="20"/>
          <w:szCs w:val="20"/>
        </w:rPr>
        <w:t xml:space="preserve">. </w:t>
      </w:r>
      <w:r w:rsidR="00ED5284" w:rsidRPr="005C0994">
        <w:rPr>
          <w:rFonts w:ascii="Cambria" w:hAnsi="Cambria"/>
          <w:sz w:val="20"/>
          <w:szCs w:val="20"/>
        </w:rPr>
        <w:t xml:space="preserve">However, </w:t>
      </w:r>
      <w:r w:rsidR="00044C4E" w:rsidRPr="005C0994">
        <w:rPr>
          <w:rFonts w:ascii="Cambria" w:hAnsi="Cambria"/>
          <w:sz w:val="20"/>
          <w:szCs w:val="20"/>
        </w:rPr>
        <w:t xml:space="preserve">counsel failed to advise Mr. </w:t>
      </w:r>
      <w:proofErr w:type="spellStart"/>
      <w:r w:rsidR="00044C4E" w:rsidRPr="005C0994">
        <w:rPr>
          <w:rFonts w:ascii="Cambria" w:hAnsi="Cambria"/>
          <w:sz w:val="20"/>
          <w:szCs w:val="20"/>
        </w:rPr>
        <w:t>Loaza</w:t>
      </w:r>
      <w:proofErr w:type="spellEnd"/>
      <w:r w:rsidR="00044C4E" w:rsidRPr="005C0994">
        <w:rPr>
          <w:rFonts w:ascii="Cambria" w:hAnsi="Cambria"/>
          <w:sz w:val="20"/>
          <w:szCs w:val="20"/>
        </w:rPr>
        <w:t xml:space="preserve"> of his right or to </w:t>
      </w:r>
      <w:r w:rsidR="00ED2A53" w:rsidRPr="005C0994">
        <w:rPr>
          <w:rFonts w:ascii="Cambria" w:hAnsi="Cambria"/>
          <w:sz w:val="20"/>
          <w:szCs w:val="20"/>
        </w:rPr>
        <w:t xml:space="preserve">obtain his consent to contact the </w:t>
      </w:r>
      <w:r w:rsidR="00044C4E" w:rsidRPr="005C0994">
        <w:rPr>
          <w:rFonts w:ascii="Cambria" w:hAnsi="Cambria"/>
          <w:sz w:val="20"/>
          <w:szCs w:val="20"/>
        </w:rPr>
        <w:t>consula</w:t>
      </w:r>
      <w:r w:rsidR="00ED2A53" w:rsidRPr="005C0994">
        <w:rPr>
          <w:rFonts w:ascii="Cambria" w:hAnsi="Cambria"/>
          <w:sz w:val="20"/>
          <w:szCs w:val="20"/>
        </w:rPr>
        <w:t>r office</w:t>
      </w:r>
      <w:r w:rsidR="00044C4E" w:rsidRPr="005C0994">
        <w:rPr>
          <w:rFonts w:ascii="Cambria" w:hAnsi="Cambria"/>
          <w:sz w:val="20"/>
          <w:szCs w:val="20"/>
        </w:rPr>
        <w:t xml:space="preserve">. </w:t>
      </w:r>
      <w:r w:rsidR="003D33D6" w:rsidRPr="005C0994">
        <w:rPr>
          <w:rFonts w:ascii="Cambria" w:hAnsi="Cambria"/>
          <w:sz w:val="20"/>
          <w:szCs w:val="20"/>
        </w:rPr>
        <w:t xml:space="preserve">This, in turn, had a potential impact in Mr. </w:t>
      </w:r>
      <w:proofErr w:type="spellStart"/>
      <w:r w:rsidR="003D33D6" w:rsidRPr="005C0994">
        <w:rPr>
          <w:rFonts w:ascii="Cambria" w:hAnsi="Cambria"/>
          <w:sz w:val="20"/>
          <w:szCs w:val="20"/>
        </w:rPr>
        <w:t>Loza’s</w:t>
      </w:r>
      <w:proofErr w:type="spellEnd"/>
      <w:r w:rsidR="003D33D6" w:rsidRPr="005C0994">
        <w:rPr>
          <w:rFonts w:ascii="Cambria" w:hAnsi="Cambria"/>
          <w:sz w:val="20"/>
          <w:szCs w:val="20"/>
        </w:rPr>
        <w:t xml:space="preserve"> defense, as it will be addressed below.</w:t>
      </w:r>
    </w:p>
    <w:p w14:paraId="42A0248C" w14:textId="77777777" w:rsidR="00ED5284" w:rsidRPr="005C0994" w:rsidRDefault="00ED5284" w:rsidP="00ED5284">
      <w:pPr>
        <w:pStyle w:val="ListParagraph"/>
        <w:rPr>
          <w:sz w:val="20"/>
          <w:szCs w:val="20"/>
        </w:rPr>
      </w:pPr>
    </w:p>
    <w:p w14:paraId="14A6F810" w14:textId="77777777" w:rsidR="00C759BE" w:rsidRPr="005C0994" w:rsidRDefault="00044C4E" w:rsidP="00B11F9A">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 xml:space="preserve">The Commission also notes that </w:t>
      </w:r>
      <w:r w:rsidR="00B11F9A" w:rsidRPr="005C0994">
        <w:rPr>
          <w:rFonts w:ascii="Cambria" w:hAnsi="Cambria"/>
          <w:sz w:val="20"/>
          <w:szCs w:val="20"/>
        </w:rPr>
        <w:t>appointed counsel</w:t>
      </w:r>
      <w:r w:rsidRPr="005C0994">
        <w:rPr>
          <w:rFonts w:ascii="Cambria" w:hAnsi="Cambria"/>
          <w:sz w:val="20"/>
          <w:szCs w:val="20"/>
        </w:rPr>
        <w:t xml:space="preserve"> </w:t>
      </w:r>
      <w:r w:rsidR="00D66113" w:rsidRPr="005C0994">
        <w:rPr>
          <w:rFonts w:ascii="Cambria" w:hAnsi="Cambria"/>
          <w:sz w:val="20"/>
          <w:szCs w:val="20"/>
        </w:rPr>
        <w:t>sought</w:t>
      </w:r>
      <w:r w:rsidR="00B11F9A" w:rsidRPr="005C0994">
        <w:rPr>
          <w:rFonts w:ascii="Cambria" w:hAnsi="Cambria"/>
          <w:sz w:val="20"/>
          <w:szCs w:val="20"/>
        </w:rPr>
        <w:t xml:space="preserve"> expert and family testimonies to provide a narrative of Mr. </w:t>
      </w:r>
      <w:proofErr w:type="spellStart"/>
      <w:r w:rsidR="00B11F9A" w:rsidRPr="005C0994">
        <w:rPr>
          <w:rFonts w:ascii="Cambria" w:hAnsi="Cambria"/>
          <w:sz w:val="20"/>
          <w:szCs w:val="20"/>
        </w:rPr>
        <w:t>Loza’s</w:t>
      </w:r>
      <w:proofErr w:type="spellEnd"/>
      <w:r w:rsidR="00B11F9A" w:rsidRPr="005C0994">
        <w:rPr>
          <w:rFonts w:ascii="Cambria" w:hAnsi="Cambria"/>
          <w:sz w:val="20"/>
          <w:szCs w:val="20"/>
        </w:rPr>
        <w:t xml:space="preserve"> cultural, historical and family background</w:t>
      </w:r>
      <w:r w:rsidR="00F75A39" w:rsidRPr="005C0994">
        <w:rPr>
          <w:rFonts w:ascii="Cambria" w:hAnsi="Cambria"/>
          <w:sz w:val="20"/>
          <w:szCs w:val="20"/>
        </w:rPr>
        <w:t>.</w:t>
      </w:r>
      <w:r w:rsidRPr="005C0994">
        <w:rPr>
          <w:rFonts w:ascii="Cambria" w:hAnsi="Cambria"/>
          <w:sz w:val="20"/>
          <w:szCs w:val="20"/>
        </w:rPr>
        <w:t xml:space="preserve"> However,</w:t>
      </w:r>
      <w:r w:rsidR="00D66113" w:rsidRPr="005C0994">
        <w:rPr>
          <w:rFonts w:ascii="Cambria" w:hAnsi="Cambria"/>
          <w:sz w:val="20"/>
          <w:szCs w:val="20"/>
        </w:rPr>
        <w:t xml:space="preserve"> </w:t>
      </w:r>
      <w:r w:rsidR="003D33D6" w:rsidRPr="005C0994">
        <w:rPr>
          <w:rFonts w:ascii="Cambria" w:hAnsi="Cambria"/>
          <w:sz w:val="20"/>
          <w:szCs w:val="20"/>
        </w:rPr>
        <w:t xml:space="preserve">according to the above mentioned standards, </w:t>
      </w:r>
      <w:r w:rsidR="00F75A39" w:rsidRPr="005C0994">
        <w:rPr>
          <w:rFonts w:ascii="Cambria" w:hAnsi="Cambria"/>
          <w:sz w:val="20"/>
          <w:szCs w:val="20"/>
        </w:rPr>
        <w:t xml:space="preserve">penalty phase preparation </w:t>
      </w:r>
      <w:r w:rsidR="003D33D6" w:rsidRPr="005C0994">
        <w:rPr>
          <w:rFonts w:ascii="Cambria" w:hAnsi="Cambria"/>
          <w:sz w:val="20"/>
          <w:szCs w:val="20"/>
        </w:rPr>
        <w:t xml:space="preserve">in death penalty cases requires </w:t>
      </w:r>
      <w:r w:rsidR="00F75A39" w:rsidRPr="005C0994">
        <w:rPr>
          <w:rFonts w:ascii="Cambria" w:hAnsi="Cambria"/>
          <w:sz w:val="20"/>
          <w:szCs w:val="20"/>
        </w:rPr>
        <w:t>extensive and generally unparalleled investigation into personal and family history</w:t>
      </w:r>
      <w:r w:rsidR="003D33D6" w:rsidRPr="005C0994">
        <w:rPr>
          <w:rFonts w:ascii="Cambria" w:hAnsi="Cambria"/>
          <w:sz w:val="20"/>
          <w:szCs w:val="20"/>
        </w:rPr>
        <w:t>.</w:t>
      </w:r>
      <w:r w:rsidR="00F75A39" w:rsidRPr="005C0994">
        <w:rPr>
          <w:rFonts w:ascii="Cambria" w:hAnsi="Cambria"/>
          <w:sz w:val="20"/>
          <w:szCs w:val="20"/>
        </w:rPr>
        <w:t xml:space="preserve"> </w:t>
      </w:r>
    </w:p>
    <w:p w14:paraId="64873DA6" w14:textId="77777777" w:rsidR="00C759BE" w:rsidRPr="005C0994" w:rsidRDefault="00C759BE" w:rsidP="00C759BE">
      <w:pPr>
        <w:pStyle w:val="ListParagraph"/>
        <w:rPr>
          <w:sz w:val="20"/>
          <w:szCs w:val="20"/>
        </w:rPr>
      </w:pPr>
    </w:p>
    <w:p w14:paraId="33550038" w14:textId="77777777" w:rsidR="00B11F9A" w:rsidRPr="005C0994" w:rsidRDefault="00D64AAD" w:rsidP="00B11F9A">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 xml:space="preserve">Considering that the fundamental due process and fair trial requirements for capital trials include the obligation to afford adequate legal representation, and that the failure to inform a client of his rights to  consular </w:t>
      </w:r>
      <w:r w:rsidR="00657241" w:rsidRPr="005C0994">
        <w:rPr>
          <w:rFonts w:ascii="Cambria" w:hAnsi="Cambria"/>
          <w:sz w:val="20"/>
          <w:szCs w:val="20"/>
        </w:rPr>
        <w:t>notification</w:t>
      </w:r>
      <w:r w:rsidRPr="005C0994">
        <w:rPr>
          <w:rFonts w:ascii="Cambria" w:hAnsi="Cambria"/>
          <w:sz w:val="20"/>
          <w:szCs w:val="20"/>
        </w:rPr>
        <w:t xml:space="preserve"> would constitute inadequate representation</w:t>
      </w:r>
      <w:r w:rsidR="00657241" w:rsidRPr="005C0994">
        <w:rPr>
          <w:rFonts w:ascii="Cambria" w:hAnsi="Cambria"/>
          <w:sz w:val="20"/>
          <w:szCs w:val="20"/>
        </w:rPr>
        <w:t xml:space="preserve">, </w:t>
      </w:r>
      <w:r w:rsidR="00B11F9A" w:rsidRPr="005C0994">
        <w:rPr>
          <w:rFonts w:ascii="Cambria" w:hAnsi="Cambria"/>
          <w:sz w:val="20"/>
          <w:szCs w:val="20"/>
        </w:rPr>
        <w:t xml:space="preserve">the Commission concludes </w:t>
      </w:r>
      <w:r w:rsidR="00657241" w:rsidRPr="005C0994">
        <w:rPr>
          <w:rFonts w:ascii="Cambria" w:hAnsi="Cambria"/>
          <w:sz w:val="20"/>
          <w:szCs w:val="20"/>
        </w:rPr>
        <w:t xml:space="preserve">that </w:t>
      </w:r>
      <w:r w:rsidR="00B11F9A" w:rsidRPr="005C0994">
        <w:rPr>
          <w:rFonts w:ascii="Cambria" w:hAnsi="Cambria" w:cs="Arial"/>
          <w:sz w:val="20"/>
          <w:szCs w:val="20"/>
        </w:rPr>
        <w:t xml:space="preserve">the United States has violated Mr. </w:t>
      </w:r>
      <w:proofErr w:type="spellStart"/>
      <w:r w:rsidR="00B11F9A" w:rsidRPr="005C0994">
        <w:rPr>
          <w:rFonts w:ascii="Cambria" w:hAnsi="Cambria" w:cs="Arial"/>
          <w:sz w:val="20"/>
          <w:szCs w:val="20"/>
        </w:rPr>
        <w:t>Loza’s</w:t>
      </w:r>
      <w:proofErr w:type="spellEnd"/>
      <w:r w:rsidR="00B11F9A" w:rsidRPr="005C0994">
        <w:rPr>
          <w:rFonts w:ascii="Cambria" w:hAnsi="Cambria" w:cs="Arial"/>
          <w:sz w:val="20"/>
          <w:szCs w:val="20"/>
        </w:rPr>
        <w:t xml:space="preserve"> right to due process and to a fair trial under Articles XVIII and XXVI of the American Declaration.</w:t>
      </w:r>
    </w:p>
    <w:p w14:paraId="5EF621EF" w14:textId="77777777" w:rsidR="004C5505" w:rsidRPr="005C0994" w:rsidRDefault="004C5505" w:rsidP="001C460D">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2380B381" w14:textId="77777777" w:rsidR="00C4488B" w:rsidRPr="005C0994" w:rsidRDefault="00C4488B" w:rsidP="00C4488B">
      <w:pPr>
        <w:pStyle w:val="Heading3"/>
        <w:numPr>
          <w:ilvl w:val="1"/>
          <w:numId w:val="53"/>
        </w:numPr>
        <w:spacing w:before="0"/>
        <w:ind w:left="360"/>
        <w:rPr>
          <w:color w:val="auto"/>
          <w:sz w:val="20"/>
          <w:szCs w:val="20"/>
        </w:rPr>
      </w:pPr>
      <w:bookmarkStart w:id="25" w:name="_Toc90297880"/>
      <w:r w:rsidRPr="005C0994">
        <w:rPr>
          <w:color w:val="auto"/>
          <w:sz w:val="20"/>
          <w:szCs w:val="20"/>
        </w:rPr>
        <w:t>Confession obtained through coercion</w:t>
      </w:r>
      <w:r w:rsidR="00931F7C" w:rsidRPr="005C0994">
        <w:rPr>
          <w:color w:val="auto"/>
          <w:sz w:val="20"/>
          <w:szCs w:val="20"/>
        </w:rPr>
        <w:t xml:space="preserve"> and </w:t>
      </w:r>
      <w:r w:rsidR="00FC07EE" w:rsidRPr="005C0994">
        <w:rPr>
          <w:color w:val="auto"/>
          <w:sz w:val="20"/>
          <w:szCs w:val="20"/>
        </w:rPr>
        <w:t>prosecutorial misconduct</w:t>
      </w:r>
      <w:bookmarkEnd w:id="25"/>
    </w:p>
    <w:p w14:paraId="1B732200" w14:textId="77777777" w:rsidR="00C4488B" w:rsidRPr="005C0994" w:rsidRDefault="00C4488B" w:rsidP="00C4488B">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2AEC0E14" w14:textId="77777777" w:rsidR="00CA34BE" w:rsidRPr="005C0994" w:rsidRDefault="00C4488B" w:rsidP="00CA34BE">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Theme="majorHAnsi" w:hAnsiTheme="majorHAnsi"/>
          <w:sz w:val="20"/>
          <w:szCs w:val="20"/>
        </w:rPr>
        <w:t xml:space="preserve">The petitioners contend that Mr. </w:t>
      </w:r>
      <w:proofErr w:type="spellStart"/>
      <w:r w:rsidRPr="005C0994">
        <w:rPr>
          <w:rFonts w:asciiTheme="majorHAnsi" w:hAnsiTheme="majorHAnsi"/>
          <w:sz w:val="20"/>
          <w:szCs w:val="20"/>
        </w:rPr>
        <w:t>Loza’s</w:t>
      </w:r>
      <w:proofErr w:type="spellEnd"/>
      <w:r w:rsidRPr="005C0994">
        <w:rPr>
          <w:rFonts w:asciiTheme="majorHAnsi" w:hAnsiTheme="majorHAnsi"/>
          <w:sz w:val="20"/>
          <w:szCs w:val="20"/>
        </w:rPr>
        <w:t xml:space="preserve"> confession was coerced by threats of harm to be done to him, his girlfriend and their unborn baby; made by the detectives as aforementioned. The Commission acknowledges that the confession was fully ventilated before the trial and appellate courts, after which all statements were reaffirmed as voluntary and not coerced. The Commission also notes that the various domestic courts held that in addition to the confession, there were varied sources of evidence ventilated before the court, to which the jury coul</w:t>
      </w:r>
      <w:r w:rsidR="009C202F" w:rsidRPr="005C0994">
        <w:rPr>
          <w:rFonts w:asciiTheme="majorHAnsi" w:hAnsiTheme="majorHAnsi"/>
          <w:sz w:val="20"/>
          <w:szCs w:val="20"/>
        </w:rPr>
        <w:t>d have determined guilt</w:t>
      </w:r>
      <w:r w:rsidRPr="005C0994">
        <w:rPr>
          <w:rFonts w:asciiTheme="majorHAnsi" w:hAnsiTheme="majorHAnsi"/>
          <w:sz w:val="20"/>
          <w:szCs w:val="20"/>
        </w:rPr>
        <w:t xml:space="preserve">, aggravating and mitigating circumstances in order to determine conviction and an appropriate sentence. </w:t>
      </w:r>
    </w:p>
    <w:p w14:paraId="3CE4D1F5" w14:textId="77777777" w:rsidR="00CA34BE" w:rsidRPr="005C0994" w:rsidRDefault="00CA34BE" w:rsidP="00CA34BE">
      <w:pPr>
        <w:pStyle w:val="NormalWeb"/>
        <w:shd w:val="clear" w:color="auto" w:fill="FFFFFF"/>
        <w:tabs>
          <w:tab w:val="left" w:pos="360"/>
        </w:tabs>
        <w:spacing w:before="0" w:beforeAutospacing="0" w:after="0" w:afterAutospacing="0"/>
        <w:jc w:val="both"/>
        <w:rPr>
          <w:rFonts w:ascii="Cambria" w:hAnsi="Cambria"/>
          <w:sz w:val="20"/>
          <w:szCs w:val="20"/>
        </w:rPr>
      </w:pPr>
    </w:p>
    <w:p w14:paraId="315782CA" w14:textId="77777777" w:rsidR="00BD7D23" w:rsidRPr="005C0994" w:rsidRDefault="00CA34BE" w:rsidP="00BD7D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Cambria" w:hAnsi="Cambria"/>
          <w:sz w:val="20"/>
          <w:szCs w:val="20"/>
        </w:rPr>
        <w:lastRenderedPageBreak/>
        <w:t>The petitioners also allege that</w:t>
      </w:r>
      <w:r w:rsidR="00BD7D23" w:rsidRPr="005C0994">
        <w:rPr>
          <w:rFonts w:asciiTheme="majorHAnsi" w:hAnsiTheme="majorHAnsi"/>
          <w:sz w:val="20"/>
          <w:szCs w:val="20"/>
        </w:rPr>
        <w:t xml:space="preserve"> the prosecution failed to disclose that Dorothy Jackson had confessed to the murders, which is in violation of the due process rights of the alleged victim. However, as the petitioner indicates and as established in this report, the prosecutor’s misconduct resulted in a mistrial. </w:t>
      </w:r>
      <w:r w:rsidR="00F27C08" w:rsidRPr="005C0994">
        <w:rPr>
          <w:rFonts w:asciiTheme="majorHAnsi" w:hAnsiTheme="majorHAnsi"/>
          <w:sz w:val="20"/>
          <w:szCs w:val="20"/>
        </w:rPr>
        <w:t>Therefore, this due process violation was corrected by domestic courts.</w:t>
      </w:r>
    </w:p>
    <w:p w14:paraId="0541509C" w14:textId="77777777" w:rsidR="00BD7D23" w:rsidRPr="005C0994" w:rsidRDefault="00BD7D23" w:rsidP="00BD7D23">
      <w:pPr>
        <w:pStyle w:val="ListParagraph"/>
        <w:rPr>
          <w:rFonts w:asciiTheme="majorHAnsi" w:hAnsiTheme="majorHAnsi"/>
          <w:sz w:val="20"/>
          <w:szCs w:val="20"/>
        </w:rPr>
      </w:pPr>
    </w:p>
    <w:p w14:paraId="35BE2041" w14:textId="77777777" w:rsidR="00BD7D23" w:rsidRPr="005C0994" w:rsidRDefault="003752A9" w:rsidP="00BD7D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C0994">
        <w:rPr>
          <w:rFonts w:asciiTheme="majorHAnsi" w:hAnsiTheme="majorHAnsi"/>
          <w:sz w:val="20"/>
          <w:szCs w:val="20"/>
        </w:rPr>
        <w:t>B</w:t>
      </w:r>
      <w:r w:rsidR="00BD7D23" w:rsidRPr="005C0994">
        <w:rPr>
          <w:rFonts w:asciiTheme="majorHAnsi" w:hAnsiTheme="majorHAnsi"/>
          <w:sz w:val="20"/>
          <w:szCs w:val="20"/>
        </w:rPr>
        <w:t>ased on the</w:t>
      </w:r>
      <w:r w:rsidRPr="005C0994">
        <w:rPr>
          <w:rFonts w:asciiTheme="majorHAnsi" w:hAnsiTheme="majorHAnsi"/>
          <w:sz w:val="20"/>
          <w:szCs w:val="20"/>
        </w:rPr>
        <w:t xml:space="preserve"> above</w:t>
      </w:r>
      <w:r w:rsidR="00BD7D23" w:rsidRPr="005C0994">
        <w:rPr>
          <w:rFonts w:asciiTheme="majorHAnsi" w:hAnsiTheme="majorHAnsi"/>
          <w:sz w:val="20"/>
          <w:szCs w:val="20"/>
        </w:rPr>
        <w:t xml:space="preserve"> considerations</w:t>
      </w:r>
      <w:r w:rsidR="00F27C08" w:rsidRPr="005C0994">
        <w:rPr>
          <w:rFonts w:asciiTheme="majorHAnsi" w:hAnsiTheme="majorHAnsi"/>
          <w:sz w:val="20"/>
          <w:szCs w:val="20"/>
        </w:rPr>
        <w:t xml:space="preserve">, the Commission </w:t>
      </w:r>
      <w:r w:rsidR="005E61D1" w:rsidRPr="005C0994">
        <w:rPr>
          <w:rFonts w:asciiTheme="majorHAnsi" w:hAnsiTheme="majorHAnsi"/>
          <w:sz w:val="20"/>
          <w:szCs w:val="20"/>
        </w:rPr>
        <w:t>finds</w:t>
      </w:r>
      <w:r w:rsidR="00F27C08" w:rsidRPr="005C0994">
        <w:rPr>
          <w:rFonts w:asciiTheme="majorHAnsi" w:hAnsiTheme="majorHAnsi"/>
          <w:sz w:val="20"/>
          <w:szCs w:val="20"/>
        </w:rPr>
        <w:t xml:space="preserve"> that </w:t>
      </w:r>
      <w:r w:rsidR="00F2435F" w:rsidRPr="005C0994">
        <w:rPr>
          <w:rFonts w:asciiTheme="majorHAnsi" w:hAnsiTheme="majorHAnsi"/>
          <w:sz w:val="20"/>
          <w:szCs w:val="20"/>
        </w:rPr>
        <w:t>in both instances, the court allowed judicial process to prevail, and with regards to the instance of non-disclosure, the court ruled a mistrial and ordered another trial to proceed.</w:t>
      </w:r>
      <w:r w:rsidR="00905AD0" w:rsidRPr="005C0994">
        <w:rPr>
          <w:rFonts w:asciiTheme="majorHAnsi" w:hAnsiTheme="majorHAnsi"/>
          <w:sz w:val="20"/>
          <w:szCs w:val="20"/>
        </w:rPr>
        <w:t xml:space="preserve"> </w:t>
      </w:r>
      <w:r w:rsidR="00F2435F" w:rsidRPr="005C0994">
        <w:rPr>
          <w:rFonts w:asciiTheme="majorHAnsi" w:hAnsiTheme="majorHAnsi"/>
          <w:sz w:val="20"/>
          <w:szCs w:val="20"/>
        </w:rPr>
        <w:t>Given t</w:t>
      </w:r>
      <w:r w:rsidR="00F27C08" w:rsidRPr="005C0994">
        <w:rPr>
          <w:rFonts w:asciiTheme="majorHAnsi" w:hAnsiTheme="majorHAnsi"/>
          <w:sz w:val="20"/>
          <w:szCs w:val="20"/>
        </w:rPr>
        <w:t xml:space="preserve">he </w:t>
      </w:r>
      <w:r w:rsidRPr="005C0994">
        <w:rPr>
          <w:rFonts w:asciiTheme="majorHAnsi" w:hAnsiTheme="majorHAnsi"/>
          <w:sz w:val="20"/>
          <w:szCs w:val="20"/>
        </w:rPr>
        <w:t>available information</w:t>
      </w:r>
      <w:r w:rsidR="00F2435F" w:rsidRPr="005C0994">
        <w:rPr>
          <w:rFonts w:asciiTheme="majorHAnsi" w:hAnsiTheme="majorHAnsi"/>
          <w:sz w:val="20"/>
          <w:szCs w:val="20"/>
        </w:rPr>
        <w:t>,</w:t>
      </w:r>
      <w:r w:rsidRPr="005C0994">
        <w:rPr>
          <w:rFonts w:asciiTheme="majorHAnsi" w:hAnsiTheme="majorHAnsi"/>
          <w:sz w:val="20"/>
          <w:szCs w:val="20"/>
        </w:rPr>
        <w:t xml:space="preserve"> </w:t>
      </w:r>
      <w:r w:rsidR="005E61D1" w:rsidRPr="005C0994">
        <w:rPr>
          <w:rFonts w:asciiTheme="majorHAnsi" w:hAnsiTheme="majorHAnsi"/>
          <w:sz w:val="20"/>
          <w:szCs w:val="20"/>
        </w:rPr>
        <w:t xml:space="preserve">the Commission </w:t>
      </w:r>
      <w:r w:rsidR="00F2435F" w:rsidRPr="005C0994">
        <w:rPr>
          <w:rFonts w:asciiTheme="majorHAnsi" w:hAnsiTheme="majorHAnsi"/>
          <w:sz w:val="20"/>
          <w:szCs w:val="20"/>
        </w:rPr>
        <w:t>does not</w:t>
      </w:r>
      <w:r w:rsidR="005E61D1" w:rsidRPr="005C0994">
        <w:rPr>
          <w:rFonts w:asciiTheme="majorHAnsi" w:hAnsiTheme="majorHAnsi"/>
          <w:sz w:val="20"/>
          <w:szCs w:val="20"/>
        </w:rPr>
        <w:t xml:space="preserve"> conclude </w:t>
      </w:r>
      <w:r w:rsidRPr="005C0994">
        <w:rPr>
          <w:rFonts w:asciiTheme="majorHAnsi" w:hAnsiTheme="majorHAnsi"/>
          <w:sz w:val="20"/>
          <w:szCs w:val="20"/>
        </w:rPr>
        <w:t xml:space="preserve">that the United States violated Mr. </w:t>
      </w:r>
      <w:proofErr w:type="spellStart"/>
      <w:r w:rsidRPr="005C0994">
        <w:rPr>
          <w:rFonts w:asciiTheme="majorHAnsi" w:hAnsiTheme="majorHAnsi"/>
          <w:sz w:val="20"/>
          <w:szCs w:val="20"/>
        </w:rPr>
        <w:t>Loza’s</w:t>
      </w:r>
      <w:proofErr w:type="spellEnd"/>
      <w:r w:rsidRPr="005C0994">
        <w:rPr>
          <w:rFonts w:asciiTheme="majorHAnsi" w:hAnsiTheme="majorHAnsi"/>
          <w:sz w:val="20"/>
          <w:szCs w:val="20"/>
        </w:rPr>
        <w:t xml:space="preserve"> due process rights </w:t>
      </w:r>
      <w:r w:rsidR="005E61D1" w:rsidRPr="005C0994">
        <w:rPr>
          <w:rFonts w:asciiTheme="majorHAnsi" w:hAnsiTheme="majorHAnsi"/>
          <w:sz w:val="20"/>
          <w:szCs w:val="20"/>
        </w:rPr>
        <w:t>as alleged by the petitioners.</w:t>
      </w:r>
      <w:r w:rsidR="00BD7D23" w:rsidRPr="005C0994">
        <w:rPr>
          <w:rFonts w:asciiTheme="majorHAnsi" w:hAnsiTheme="majorHAnsi"/>
          <w:sz w:val="20"/>
          <w:szCs w:val="20"/>
        </w:rPr>
        <w:t xml:space="preserve"> </w:t>
      </w:r>
    </w:p>
    <w:p w14:paraId="59E81E33" w14:textId="77777777" w:rsidR="00C4488B" w:rsidRPr="005C0994" w:rsidRDefault="00C4488B" w:rsidP="003752A9">
      <w:pPr>
        <w:pStyle w:val="NormalWeb"/>
        <w:shd w:val="clear" w:color="auto" w:fill="FFFFFF"/>
        <w:tabs>
          <w:tab w:val="left" w:pos="360"/>
        </w:tabs>
        <w:spacing w:before="0" w:beforeAutospacing="0" w:after="0" w:afterAutospacing="0"/>
        <w:jc w:val="both"/>
        <w:rPr>
          <w:rFonts w:ascii="Cambria" w:hAnsi="Cambria"/>
          <w:sz w:val="20"/>
          <w:szCs w:val="20"/>
        </w:rPr>
      </w:pPr>
    </w:p>
    <w:p w14:paraId="38DB7A65" w14:textId="77777777" w:rsidR="00265BAE" w:rsidRPr="005C0994" w:rsidRDefault="00265BAE" w:rsidP="00265BAE">
      <w:pPr>
        <w:pStyle w:val="Heading2"/>
        <w:numPr>
          <w:ilvl w:val="0"/>
          <w:numId w:val="61"/>
        </w:numPr>
        <w:tabs>
          <w:tab w:val="left" w:pos="360"/>
        </w:tabs>
        <w:spacing w:before="0"/>
        <w:ind w:left="0" w:firstLine="0"/>
        <w:rPr>
          <w:color w:val="auto"/>
          <w:sz w:val="20"/>
          <w:szCs w:val="20"/>
        </w:rPr>
      </w:pPr>
      <w:bookmarkStart w:id="26" w:name="_Toc90297881"/>
      <w:bookmarkStart w:id="27" w:name="_Toc485650798"/>
      <w:bookmarkStart w:id="28" w:name="_Toc6226971"/>
      <w:bookmarkStart w:id="29" w:name="_Toc22915021"/>
      <w:r w:rsidRPr="005C0994">
        <w:rPr>
          <w:color w:val="auto"/>
          <w:sz w:val="20"/>
          <w:szCs w:val="20"/>
        </w:rPr>
        <w:t xml:space="preserve">Right to </w:t>
      </w:r>
      <w:r w:rsidR="002179AD" w:rsidRPr="005C0994">
        <w:rPr>
          <w:color w:val="auto"/>
          <w:sz w:val="20"/>
          <w:szCs w:val="20"/>
        </w:rPr>
        <w:t>protection from arbitrary arrest</w:t>
      </w:r>
      <w:r w:rsidR="002179AD" w:rsidRPr="005C0994">
        <w:rPr>
          <w:rStyle w:val="FootnoteReference"/>
          <w:color w:val="auto"/>
          <w:sz w:val="20"/>
          <w:szCs w:val="20"/>
        </w:rPr>
        <w:footnoteReference w:id="53"/>
      </w:r>
      <w:r w:rsidR="002179AD" w:rsidRPr="005C0994">
        <w:rPr>
          <w:color w:val="auto"/>
          <w:sz w:val="20"/>
          <w:szCs w:val="20"/>
        </w:rPr>
        <w:t xml:space="preserve"> and right to </w:t>
      </w:r>
      <w:r w:rsidRPr="005C0994">
        <w:rPr>
          <w:color w:val="auto"/>
          <w:sz w:val="20"/>
          <w:szCs w:val="20"/>
        </w:rPr>
        <w:t>equality before the law</w:t>
      </w:r>
      <w:r w:rsidRPr="005C0994">
        <w:rPr>
          <w:rStyle w:val="FootnoteReference"/>
          <w:color w:val="auto"/>
          <w:sz w:val="20"/>
          <w:szCs w:val="20"/>
        </w:rPr>
        <w:footnoteReference w:id="54"/>
      </w:r>
      <w:bookmarkEnd w:id="26"/>
      <w:r w:rsidRPr="005C0994">
        <w:rPr>
          <w:color w:val="auto"/>
          <w:sz w:val="20"/>
          <w:szCs w:val="20"/>
        </w:rPr>
        <w:t xml:space="preserve"> </w:t>
      </w:r>
      <w:bookmarkEnd w:id="27"/>
      <w:bookmarkEnd w:id="28"/>
      <w:bookmarkEnd w:id="29"/>
    </w:p>
    <w:p w14:paraId="56F355CC" w14:textId="77777777" w:rsidR="00265BAE" w:rsidRPr="005C0994" w:rsidRDefault="00265BAE" w:rsidP="00265BAE">
      <w:pPr>
        <w:pStyle w:val="ListParagraph"/>
        <w:ind w:left="1440" w:hanging="720"/>
        <w:jc w:val="both"/>
        <w:rPr>
          <w:rFonts w:asciiTheme="majorHAnsi" w:hAnsiTheme="majorHAnsi"/>
          <w:b/>
          <w:color w:val="auto"/>
          <w:sz w:val="20"/>
          <w:szCs w:val="20"/>
        </w:rPr>
      </w:pPr>
    </w:p>
    <w:p w14:paraId="502F5C88" w14:textId="77777777" w:rsidR="00B9441F" w:rsidRPr="005C0994" w:rsidRDefault="00B9441F" w:rsidP="00B9441F">
      <w:pPr>
        <w:pStyle w:val="ListParagraph"/>
        <w:numPr>
          <w:ilvl w:val="3"/>
          <w:numId w:val="53"/>
        </w:numPr>
        <w:ind w:left="360"/>
        <w:jc w:val="both"/>
        <w:rPr>
          <w:rFonts w:asciiTheme="majorHAnsi" w:hAnsiTheme="majorHAnsi"/>
          <w:b/>
          <w:color w:val="auto"/>
          <w:sz w:val="20"/>
          <w:szCs w:val="20"/>
        </w:rPr>
      </w:pPr>
      <w:r w:rsidRPr="005C0994">
        <w:rPr>
          <w:rFonts w:asciiTheme="majorHAnsi" w:hAnsiTheme="majorHAnsi"/>
          <w:b/>
          <w:color w:val="auto"/>
          <w:sz w:val="20"/>
          <w:szCs w:val="20"/>
        </w:rPr>
        <w:t>General considerations</w:t>
      </w:r>
    </w:p>
    <w:p w14:paraId="43FDBD0D" w14:textId="77777777" w:rsidR="00B9441F" w:rsidRPr="005C0994" w:rsidRDefault="00B9441F" w:rsidP="00265BAE">
      <w:pPr>
        <w:pStyle w:val="ListParagraph"/>
        <w:ind w:left="1440" w:hanging="720"/>
        <w:jc w:val="both"/>
        <w:rPr>
          <w:rFonts w:asciiTheme="majorHAnsi" w:hAnsiTheme="majorHAnsi"/>
          <w:b/>
          <w:color w:val="auto"/>
          <w:sz w:val="20"/>
          <w:szCs w:val="20"/>
        </w:rPr>
      </w:pPr>
    </w:p>
    <w:p w14:paraId="784A67EC" w14:textId="77777777" w:rsidR="00D941FB" w:rsidRPr="005C0994" w:rsidRDefault="002179AD" w:rsidP="002179A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rPr>
      </w:pPr>
      <w:r w:rsidRPr="005C0994">
        <w:rPr>
          <w:rFonts w:asciiTheme="majorHAnsi" w:hAnsiTheme="majorHAnsi"/>
          <w:sz w:val="20"/>
        </w:rPr>
        <w:t>Articles XXV of the American Declaration and 7.2 of the American Convention recognize the primary guarantee of the right to personal liberty: the reservation of law, according to which, only through a law can this right be affected.  Therefore, States have the duty to establish in advance the causes and conditions of the deprivation of liberty, so that any legal requirement that is not fulfilled renders the deprivation of liberty illegal. The IACHR has emphasized in this regard that the improper conduct of the police forces constitutes one of the main threats to individual freedom and security. Therefore, States must adopt measures to ensure that police officers carry out their duties in a manner that guarantees human rights and that arrests are carried out in accordance with domestic legislation.</w:t>
      </w:r>
      <w:r w:rsidRPr="005C0994">
        <w:rPr>
          <w:rStyle w:val="FootnoteReference"/>
          <w:rFonts w:asciiTheme="majorHAnsi" w:hAnsiTheme="majorHAnsi"/>
          <w:sz w:val="20"/>
        </w:rPr>
        <w:footnoteReference w:id="55"/>
      </w:r>
    </w:p>
    <w:p w14:paraId="5981BE85" w14:textId="77777777" w:rsidR="00D941FB" w:rsidRPr="005C0994" w:rsidRDefault="00D941FB" w:rsidP="00D941FB">
      <w:pPr>
        <w:pStyle w:val="NormalWeb"/>
        <w:shd w:val="clear" w:color="auto" w:fill="FFFFFF"/>
        <w:tabs>
          <w:tab w:val="left" w:pos="360"/>
        </w:tabs>
        <w:spacing w:before="0" w:beforeAutospacing="0" w:after="0" w:afterAutospacing="0"/>
        <w:jc w:val="both"/>
        <w:rPr>
          <w:rFonts w:asciiTheme="majorHAnsi" w:hAnsiTheme="majorHAnsi"/>
          <w:sz w:val="20"/>
        </w:rPr>
      </w:pPr>
    </w:p>
    <w:p w14:paraId="6176E2D5" w14:textId="77777777" w:rsidR="002179AD" w:rsidRPr="005C0994" w:rsidRDefault="00D941FB" w:rsidP="002179A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rPr>
      </w:pPr>
      <w:r w:rsidRPr="005C0994">
        <w:rPr>
          <w:rFonts w:asciiTheme="majorHAnsi" w:hAnsiTheme="majorHAnsi"/>
          <w:sz w:val="20"/>
        </w:rPr>
        <w:t>Further, according to inter-American standards, “</w:t>
      </w:r>
      <w:r w:rsidR="002179AD" w:rsidRPr="005C0994">
        <w:rPr>
          <w:rFonts w:asciiTheme="majorHAnsi" w:hAnsiTheme="majorHAnsi"/>
          <w:sz w:val="20"/>
        </w:rPr>
        <w:t xml:space="preserve">no one may be subjected to detention or imprisonment for causes and methods which, even if qualified as legal, may be considered incompatible with respect for the fundamental rights of the individual because they are, </w:t>
      </w:r>
      <w:r w:rsidR="002179AD" w:rsidRPr="005C0994">
        <w:rPr>
          <w:rFonts w:asciiTheme="majorHAnsi" w:hAnsiTheme="majorHAnsi"/>
          <w:i/>
          <w:iCs/>
          <w:sz w:val="20"/>
        </w:rPr>
        <w:t>inter alia</w:t>
      </w:r>
      <w:r w:rsidR="002179AD" w:rsidRPr="005C0994">
        <w:rPr>
          <w:rFonts w:asciiTheme="majorHAnsi" w:hAnsiTheme="majorHAnsi"/>
          <w:sz w:val="20"/>
        </w:rPr>
        <w:t>, unreasonable, unforeseeable, or lack proportionality</w:t>
      </w:r>
      <w:r w:rsidRPr="005C0994">
        <w:rPr>
          <w:rFonts w:asciiTheme="majorHAnsi" w:hAnsiTheme="majorHAnsi"/>
          <w:sz w:val="20"/>
        </w:rPr>
        <w:t>.”</w:t>
      </w:r>
      <w:r w:rsidRPr="005C0994">
        <w:rPr>
          <w:rStyle w:val="FootnoteReference"/>
          <w:rFonts w:asciiTheme="majorHAnsi" w:hAnsiTheme="majorHAnsi"/>
          <w:sz w:val="20"/>
        </w:rPr>
        <w:footnoteReference w:id="56"/>
      </w:r>
      <w:r w:rsidR="002179AD" w:rsidRPr="005C0994">
        <w:rPr>
          <w:rFonts w:asciiTheme="majorHAnsi" w:hAnsiTheme="majorHAnsi"/>
          <w:sz w:val="20"/>
        </w:rPr>
        <w:t xml:space="preserve"> </w:t>
      </w:r>
      <w:r w:rsidRPr="005C0994">
        <w:rPr>
          <w:rFonts w:asciiTheme="majorHAnsi" w:hAnsiTheme="majorHAnsi"/>
          <w:sz w:val="20"/>
        </w:rPr>
        <w:t xml:space="preserve">The concept of </w:t>
      </w:r>
      <w:r w:rsidR="002179AD" w:rsidRPr="005C0994">
        <w:rPr>
          <w:rFonts w:asciiTheme="majorHAnsi" w:hAnsiTheme="majorHAnsi"/>
          <w:sz w:val="20"/>
        </w:rPr>
        <w:t xml:space="preserve">arbitrariness of detention, should not be equated with that of </w:t>
      </w:r>
      <w:r w:rsidRPr="005C0994">
        <w:rPr>
          <w:rFonts w:asciiTheme="majorHAnsi" w:hAnsiTheme="majorHAnsi"/>
          <w:sz w:val="20"/>
        </w:rPr>
        <w:t>“</w:t>
      </w:r>
      <w:r w:rsidR="002179AD" w:rsidRPr="005C0994">
        <w:rPr>
          <w:rFonts w:asciiTheme="majorHAnsi" w:hAnsiTheme="majorHAnsi"/>
          <w:sz w:val="20"/>
        </w:rPr>
        <w:t>against the law</w:t>
      </w:r>
      <w:r w:rsidRPr="005C0994">
        <w:rPr>
          <w:rFonts w:asciiTheme="majorHAnsi" w:hAnsiTheme="majorHAnsi"/>
          <w:sz w:val="20"/>
        </w:rPr>
        <w:t>”</w:t>
      </w:r>
      <w:r w:rsidR="002179AD" w:rsidRPr="005C0994">
        <w:rPr>
          <w:rFonts w:asciiTheme="majorHAnsi" w:hAnsiTheme="majorHAnsi"/>
          <w:sz w:val="20"/>
        </w:rPr>
        <w:t>, but should be interpreted more broadly to include elements of impropriety, injustice and unpredictability, as well as the principle of due process. Therefore, any detention must be carried out not only in accordance with the provisions of domestic law, but it is also necessary that domestic law</w:t>
      </w:r>
      <w:r w:rsidRPr="005C0994">
        <w:rPr>
          <w:rFonts w:asciiTheme="majorHAnsi" w:hAnsiTheme="majorHAnsi"/>
          <w:sz w:val="20"/>
        </w:rPr>
        <w:t xml:space="preserve"> is</w:t>
      </w:r>
      <w:r w:rsidR="002179AD" w:rsidRPr="005C0994">
        <w:rPr>
          <w:rFonts w:asciiTheme="majorHAnsi" w:hAnsiTheme="majorHAnsi"/>
          <w:sz w:val="20"/>
        </w:rPr>
        <w:t xml:space="preserve"> compatible with the </w:t>
      </w:r>
      <w:r w:rsidRPr="005C0994">
        <w:rPr>
          <w:rFonts w:asciiTheme="majorHAnsi" w:hAnsiTheme="majorHAnsi"/>
          <w:sz w:val="20"/>
        </w:rPr>
        <w:t>American Declaration</w:t>
      </w:r>
      <w:r w:rsidR="002179AD" w:rsidRPr="005C0994">
        <w:rPr>
          <w:rFonts w:asciiTheme="majorHAnsi" w:hAnsiTheme="majorHAnsi"/>
          <w:sz w:val="20"/>
        </w:rPr>
        <w:t>.</w:t>
      </w:r>
      <w:r w:rsidRPr="005C0994">
        <w:rPr>
          <w:rStyle w:val="FootnoteReference"/>
          <w:rFonts w:asciiTheme="majorHAnsi" w:hAnsiTheme="majorHAnsi"/>
          <w:sz w:val="20"/>
        </w:rPr>
        <w:footnoteReference w:id="57"/>
      </w:r>
    </w:p>
    <w:p w14:paraId="28E90283" w14:textId="77777777" w:rsidR="00FD6361" w:rsidRPr="005C0994" w:rsidRDefault="00FD6361" w:rsidP="00FD6361">
      <w:pPr>
        <w:pStyle w:val="NormalWeb"/>
        <w:shd w:val="clear" w:color="auto" w:fill="FFFFFF"/>
        <w:tabs>
          <w:tab w:val="left" w:pos="360"/>
        </w:tabs>
        <w:spacing w:before="0" w:beforeAutospacing="0" w:after="0" w:afterAutospacing="0"/>
        <w:jc w:val="both"/>
        <w:rPr>
          <w:rFonts w:asciiTheme="majorHAnsi" w:hAnsiTheme="majorHAnsi"/>
          <w:sz w:val="20"/>
        </w:rPr>
      </w:pPr>
    </w:p>
    <w:p w14:paraId="0E121C1B" w14:textId="77777777" w:rsidR="002179AD" w:rsidRPr="005C0994" w:rsidRDefault="00FD6361" w:rsidP="002179A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rPr>
      </w:pPr>
      <w:r w:rsidRPr="005C0994">
        <w:rPr>
          <w:rFonts w:asciiTheme="majorHAnsi" w:hAnsiTheme="majorHAnsi"/>
          <w:sz w:val="20"/>
        </w:rPr>
        <w:t>Therefore, t</w:t>
      </w:r>
      <w:r w:rsidR="002179AD" w:rsidRPr="005C0994">
        <w:rPr>
          <w:rFonts w:asciiTheme="majorHAnsi" w:hAnsiTheme="majorHAnsi"/>
          <w:sz w:val="20"/>
        </w:rPr>
        <w:t>he legality of a detention implies the conformity to the substantive and procedural rules of domestic law, but also relates to the quality of the law, requiring it to be compatible with the rule of law. The “quality of the law”, according to the European Court of Human Rights, implies that where a national law authorizes a deprivation of liberty, it must be sufficiently accessible, precise and foreseeable in its application to avoid all risk of arbitrariness. The standard of “lawfulness” requires that all law be sufficiently precise to allow the person to foresee, to a degree that is reasonable in the circumstances, the consequences which a given action may entail. Where deprivation of liberty is concerned, it is essential that domestic law clearly</w:t>
      </w:r>
      <w:r w:rsidR="00B327DE" w:rsidRPr="005C0994">
        <w:rPr>
          <w:rFonts w:asciiTheme="majorHAnsi" w:hAnsiTheme="majorHAnsi"/>
          <w:sz w:val="20"/>
        </w:rPr>
        <w:t xml:space="preserve"> defines</w:t>
      </w:r>
      <w:r w:rsidR="002179AD" w:rsidRPr="005C0994">
        <w:rPr>
          <w:rFonts w:asciiTheme="majorHAnsi" w:hAnsiTheme="majorHAnsi"/>
          <w:sz w:val="20"/>
        </w:rPr>
        <w:t xml:space="preserve"> the conditions for </w:t>
      </w:r>
      <w:r w:rsidR="00B327DE" w:rsidRPr="005C0994">
        <w:rPr>
          <w:rFonts w:asciiTheme="majorHAnsi" w:hAnsiTheme="majorHAnsi"/>
          <w:sz w:val="20"/>
        </w:rPr>
        <w:t xml:space="preserve">the arrest or </w:t>
      </w:r>
      <w:r w:rsidR="002179AD" w:rsidRPr="005C0994">
        <w:rPr>
          <w:rFonts w:asciiTheme="majorHAnsi" w:hAnsiTheme="majorHAnsi"/>
          <w:sz w:val="20"/>
        </w:rPr>
        <w:t>detention.</w:t>
      </w:r>
      <w:r w:rsidR="002179AD" w:rsidRPr="005C0994">
        <w:rPr>
          <w:rStyle w:val="FootnoteReference"/>
          <w:rFonts w:asciiTheme="majorHAnsi" w:hAnsiTheme="majorHAnsi"/>
          <w:sz w:val="20"/>
        </w:rPr>
        <w:footnoteReference w:id="58"/>
      </w:r>
    </w:p>
    <w:p w14:paraId="67CCFA58" w14:textId="77777777" w:rsidR="002179AD" w:rsidRPr="005C0994" w:rsidRDefault="002179AD" w:rsidP="002179AD">
      <w:pPr>
        <w:pStyle w:val="NormalWeb"/>
        <w:shd w:val="clear" w:color="auto" w:fill="FFFFFF"/>
        <w:tabs>
          <w:tab w:val="left" w:pos="360"/>
        </w:tabs>
        <w:spacing w:before="0" w:beforeAutospacing="0" w:after="0" w:afterAutospacing="0"/>
        <w:jc w:val="both"/>
        <w:rPr>
          <w:rFonts w:asciiTheme="majorHAnsi" w:eastAsia="Arial Unicode MS" w:hAnsiTheme="majorHAnsi"/>
          <w:sz w:val="20"/>
          <w:szCs w:val="20"/>
          <w:bdr w:val="nil"/>
        </w:rPr>
      </w:pPr>
    </w:p>
    <w:p w14:paraId="3DACE733" w14:textId="77777777" w:rsidR="00265BAE" w:rsidRPr="005C0994" w:rsidRDefault="00576ECB" w:rsidP="00265BAE">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5C0994">
        <w:rPr>
          <w:rFonts w:asciiTheme="majorHAnsi" w:hAnsiTheme="majorHAnsi"/>
          <w:sz w:val="20"/>
          <w:szCs w:val="20"/>
        </w:rPr>
        <w:t xml:space="preserve">Further, any deprivation of liberty must be carried out with respect for the right to equality before the law. </w:t>
      </w:r>
      <w:r w:rsidR="00265BAE" w:rsidRPr="005C0994">
        <w:rPr>
          <w:rFonts w:asciiTheme="majorHAnsi" w:hAnsiTheme="majorHAnsi"/>
          <w:sz w:val="20"/>
          <w:szCs w:val="20"/>
        </w:rPr>
        <w:t xml:space="preserve">The principles of equality before the law, equal protection, and non-discrimination are among the most basic human rights, and are in fact recognized as </w:t>
      </w:r>
      <w:r w:rsidR="00265BAE" w:rsidRPr="005C0994">
        <w:rPr>
          <w:rFonts w:asciiTheme="majorHAnsi" w:hAnsiTheme="majorHAnsi"/>
          <w:i/>
          <w:sz w:val="20"/>
          <w:szCs w:val="20"/>
        </w:rPr>
        <w:t>jus cogens</w:t>
      </w:r>
      <w:r w:rsidR="00265BAE" w:rsidRPr="005C0994">
        <w:rPr>
          <w:rFonts w:asciiTheme="majorHAnsi" w:hAnsiTheme="majorHAnsi"/>
          <w:sz w:val="20"/>
          <w:szCs w:val="20"/>
        </w:rPr>
        <w:t xml:space="preserve"> norms.</w:t>
      </w:r>
      <w:r w:rsidR="00265BAE" w:rsidRPr="005C0994">
        <w:rPr>
          <w:rFonts w:asciiTheme="majorHAnsi" w:hAnsiTheme="majorHAnsi"/>
          <w:sz w:val="20"/>
          <w:szCs w:val="20"/>
          <w:vertAlign w:val="superscript"/>
        </w:rPr>
        <w:footnoteReference w:id="59"/>
      </w:r>
      <w:r w:rsidR="00265BAE" w:rsidRPr="005C0994">
        <w:rPr>
          <w:rFonts w:asciiTheme="majorHAnsi" w:hAnsiTheme="majorHAnsi"/>
          <w:sz w:val="20"/>
          <w:szCs w:val="20"/>
        </w:rPr>
        <w:t xml:space="preserve"> </w:t>
      </w:r>
      <w:r w:rsidR="003A110C" w:rsidRPr="005C0994">
        <w:rPr>
          <w:rFonts w:asciiTheme="majorHAnsi" w:hAnsiTheme="majorHAnsi"/>
          <w:sz w:val="20"/>
          <w:szCs w:val="20"/>
        </w:rPr>
        <w:t>T</w:t>
      </w:r>
      <w:r w:rsidR="00265BAE" w:rsidRPr="005C0994">
        <w:rPr>
          <w:rFonts w:asciiTheme="majorHAnsi" w:hAnsiTheme="majorHAnsi"/>
          <w:sz w:val="20"/>
          <w:szCs w:val="20"/>
        </w:rPr>
        <w:t xml:space="preserve">he Commission has </w:t>
      </w:r>
      <w:r w:rsidR="00265BAE" w:rsidRPr="005C0994">
        <w:rPr>
          <w:rFonts w:asciiTheme="majorHAnsi" w:hAnsiTheme="majorHAnsi"/>
          <w:bCs/>
          <w:sz w:val="20"/>
          <w:szCs w:val="20"/>
        </w:rPr>
        <w:t xml:space="preserve">understood </w:t>
      </w:r>
      <w:r w:rsidR="00265BAE" w:rsidRPr="005C0994">
        <w:rPr>
          <w:rFonts w:asciiTheme="majorHAnsi" w:hAnsiTheme="majorHAnsi"/>
          <w:bCs/>
          <w:sz w:val="20"/>
          <w:szCs w:val="20"/>
        </w:rPr>
        <w:lastRenderedPageBreak/>
        <w:t>“discrimination” to mean</w:t>
      </w:r>
      <w:r w:rsidR="00265BAE" w:rsidRPr="005C0994">
        <w:rPr>
          <w:rFonts w:asciiTheme="majorHAnsi" w:hAnsiTheme="majorHAnsi"/>
          <w:sz w:val="20"/>
          <w:szCs w:val="20"/>
        </w:rPr>
        <w:t xml:space="preserve"> “</w:t>
      </w:r>
      <w:r w:rsidR="00265BAE" w:rsidRPr="005C0994">
        <w:rPr>
          <w:rFonts w:asciiTheme="majorHAnsi" w:hAnsiTheme="majorHAnsi"/>
          <w:bCs/>
          <w:sz w:val="20"/>
          <w:szCs w:val="20"/>
        </w:rPr>
        <w:t xml:space="preserve">any distinction, exclusion, restriction, or preference which is based on any ground such as race, </w:t>
      </w:r>
      <w:proofErr w:type="spellStart"/>
      <w:r w:rsidR="00265BAE" w:rsidRPr="005C0994">
        <w:rPr>
          <w:rFonts w:asciiTheme="majorHAnsi" w:hAnsiTheme="majorHAnsi"/>
          <w:bCs/>
          <w:sz w:val="20"/>
          <w:szCs w:val="20"/>
        </w:rPr>
        <w:t>colour</w:t>
      </w:r>
      <w:proofErr w:type="spellEnd"/>
      <w:r w:rsidR="00265BAE" w:rsidRPr="005C0994">
        <w:rPr>
          <w:rFonts w:asciiTheme="majorHAnsi" w:hAnsiTheme="majorHAnsi"/>
          <w:bCs/>
          <w:sz w:val="20"/>
          <w:szCs w:val="20"/>
        </w:rPr>
        <w:t>,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00265BAE" w:rsidRPr="005C0994">
        <w:rPr>
          <w:rStyle w:val="FootnoteReference"/>
          <w:rFonts w:asciiTheme="majorHAnsi" w:hAnsiTheme="majorHAnsi"/>
          <w:bCs/>
          <w:sz w:val="20"/>
          <w:szCs w:val="20"/>
        </w:rPr>
        <w:footnoteReference w:id="60"/>
      </w:r>
      <w:r w:rsidR="00265BAE" w:rsidRPr="005C0994">
        <w:rPr>
          <w:rFonts w:asciiTheme="majorHAnsi" w:hAnsiTheme="majorHAnsi"/>
          <w:bCs/>
          <w:sz w:val="20"/>
          <w:szCs w:val="20"/>
        </w:rPr>
        <w:t xml:space="preserve"> </w:t>
      </w:r>
    </w:p>
    <w:p w14:paraId="2D2E5237" w14:textId="77777777" w:rsidR="00265BAE" w:rsidRPr="005C0994" w:rsidRDefault="00265BAE" w:rsidP="00265BAE">
      <w:pPr>
        <w:pStyle w:val="ListParagraph"/>
        <w:ind w:left="0"/>
        <w:rPr>
          <w:rFonts w:asciiTheme="majorHAnsi" w:hAnsiTheme="majorHAnsi"/>
          <w:sz w:val="20"/>
          <w:szCs w:val="20"/>
        </w:rPr>
      </w:pPr>
    </w:p>
    <w:p w14:paraId="6514D4C8" w14:textId="77777777" w:rsidR="004D26F5" w:rsidRPr="005C0994" w:rsidRDefault="00265BAE" w:rsidP="00265BAE">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5C0994">
        <w:rPr>
          <w:rFonts w:asciiTheme="majorHAnsi" w:hAnsiTheme="majorHAnsi"/>
          <w:sz w:val="20"/>
          <w:szCs w:val="20"/>
        </w:rPr>
        <w:t>The principle of equality and non-discrimination incorporates both “the prohibition of arbitrary differences of treatment,” and “the obligation of States to create conditions of real equality for groups that have been historically excluded or that are at greater risk of being discriminated against.”</w:t>
      </w:r>
      <w:r w:rsidRPr="005C0994">
        <w:rPr>
          <w:rStyle w:val="FootnoteReference"/>
          <w:rFonts w:asciiTheme="majorHAnsi" w:hAnsiTheme="majorHAnsi"/>
          <w:sz w:val="20"/>
          <w:szCs w:val="20"/>
        </w:rPr>
        <w:footnoteReference w:id="61"/>
      </w:r>
      <w:r w:rsidRPr="005C0994">
        <w:rPr>
          <w:rFonts w:asciiTheme="majorHAnsi" w:hAnsiTheme="majorHAnsi"/>
          <w:sz w:val="20"/>
          <w:szCs w:val="20"/>
        </w:rPr>
        <w:t xml:space="preserve"> </w:t>
      </w:r>
      <w:r w:rsidR="003A110C" w:rsidRPr="005C0994">
        <w:rPr>
          <w:rFonts w:asciiTheme="majorHAnsi" w:hAnsiTheme="majorHAnsi"/>
          <w:sz w:val="20"/>
          <w:szCs w:val="20"/>
        </w:rPr>
        <w:t xml:space="preserve">Further, </w:t>
      </w:r>
      <w:r w:rsidRPr="005C0994">
        <w:rPr>
          <w:rFonts w:asciiTheme="majorHAnsi" w:hAnsiTheme="majorHAnsi"/>
          <w:sz w:val="20"/>
          <w:szCs w:val="20"/>
        </w:rPr>
        <w:t>distinctions based on grounds explicitly enumerated under pertinent articles of international human rights instruments are subject to a particularly strict level of scrutiny whereby States must provide an especially weighty interest and compelling justification for the distinction.</w:t>
      </w:r>
      <w:r w:rsidRPr="005C0994">
        <w:rPr>
          <w:rStyle w:val="FootnoteReference"/>
          <w:rFonts w:asciiTheme="majorHAnsi" w:hAnsiTheme="majorHAnsi"/>
          <w:sz w:val="20"/>
          <w:szCs w:val="20"/>
        </w:rPr>
        <w:footnoteReference w:id="62"/>
      </w:r>
      <w:r w:rsidRPr="005C0994">
        <w:rPr>
          <w:rFonts w:asciiTheme="majorHAnsi" w:hAnsiTheme="majorHAnsi"/>
          <w:sz w:val="20"/>
          <w:szCs w:val="20"/>
        </w:rPr>
        <w:t xml:space="preserve"> </w:t>
      </w:r>
    </w:p>
    <w:p w14:paraId="6B33DD76" w14:textId="77777777" w:rsidR="004D26F5" w:rsidRPr="005C0994" w:rsidRDefault="004D26F5" w:rsidP="004D26F5">
      <w:pPr>
        <w:pStyle w:val="ListParagraph"/>
        <w:rPr>
          <w:rFonts w:asciiTheme="majorHAnsi" w:hAnsiTheme="majorHAnsi"/>
          <w:sz w:val="20"/>
          <w:szCs w:val="20"/>
        </w:rPr>
      </w:pPr>
    </w:p>
    <w:p w14:paraId="3FC3EBC8" w14:textId="77777777" w:rsidR="00265BAE" w:rsidRPr="005C0994" w:rsidRDefault="00265BAE" w:rsidP="00265BAE">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5C0994">
        <w:rPr>
          <w:rFonts w:asciiTheme="majorHAnsi" w:hAnsiTheme="majorHAnsi"/>
          <w:sz w:val="20"/>
          <w:szCs w:val="20"/>
        </w:rPr>
        <w:t>Therefore, arbitrary treatment and distinctions on the basis of race or ethnicity are prohibited under international human rights law, and should be prevented. Race-based restrictions must be based on very compelling reasons; on this issue, there is a “presumption of invalidity” and the burden of proof rests with the State. The Commission has underscored that laws and policies should be examined to ensure that they comply with the principles of equality and non-discrimination; this analysis should assess the potential discriminatory effect of even facially neutral provisions. This, in light of the fact that States are not only obligated to provide for equal protection of the law, but must also adopt the legislative, policy and other measures necessary to guarantee the effective enjoyment of the rights protected under Article II of the American Declaration.</w:t>
      </w:r>
      <w:r w:rsidRPr="005C0994">
        <w:rPr>
          <w:rStyle w:val="FootnoteReference"/>
          <w:rFonts w:asciiTheme="majorHAnsi" w:hAnsiTheme="majorHAnsi"/>
          <w:sz w:val="20"/>
          <w:szCs w:val="20"/>
        </w:rPr>
        <w:footnoteReference w:id="63"/>
      </w:r>
    </w:p>
    <w:p w14:paraId="5A39317E" w14:textId="77777777" w:rsidR="00265BAE" w:rsidRPr="005C0994" w:rsidRDefault="00265BAE" w:rsidP="00265BAE">
      <w:pPr>
        <w:pStyle w:val="ListParagraph"/>
        <w:ind w:left="1440" w:hanging="720"/>
        <w:jc w:val="both"/>
        <w:rPr>
          <w:rFonts w:asciiTheme="majorHAnsi" w:hAnsiTheme="majorHAnsi"/>
          <w:b/>
          <w:color w:val="auto"/>
          <w:sz w:val="20"/>
          <w:szCs w:val="20"/>
        </w:rPr>
      </w:pPr>
    </w:p>
    <w:p w14:paraId="5F2CA6CF" w14:textId="77777777" w:rsidR="007A037E" w:rsidRPr="005C0994" w:rsidRDefault="004D26F5" w:rsidP="007A037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5C0994">
        <w:rPr>
          <w:rFonts w:asciiTheme="majorHAnsi" w:eastAsia="Times New Roman" w:hAnsiTheme="majorHAnsi"/>
          <w:sz w:val="20"/>
          <w:szCs w:val="20"/>
        </w:rPr>
        <w:t>I</w:t>
      </w:r>
      <w:r w:rsidR="00265BAE" w:rsidRPr="005C0994">
        <w:rPr>
          <w:rFonts w:asciiTheme="majorHAnsi" w:hAnsiTheme="majorHAnsi"/>
          <w:bCs/>
          <w:color w:val="auto"/>
          <w:sz w:val="20"/>
          <w:szCs w:val="20"/>
        </w:rPr>
        <w:t>n the case of William Andrews</w:t>
      </w:r>
      <w:r w:rsidRPr="005C0994">
        <w:rPr>
          <w:rFonts w:asciiTheme="majorHAnsi" w:hAnsiTheme="majorHAnsi"/>
          <w:bCs/>
          <w:color w:val="auto"/>
          <w:sz w:val="20"/>
          <w:szCs w:val="20"/>
        </w:rPr>
        <w:t>,</w:t>
      </w:r>
      <w:r w:rsidRPr="005C0994">
        <w:rPr>
          <w:rFonts w:asciiTheme="majorHAnsi" w:hAnsiTheme="majorHAnsi"/>
          <w:bCs/>
          <w:sz w:val="20"/>
          <w:szCs w:val="20"/>
        </w:rPr>
        <w:t xml:space="preserve"> an African-American on death row, </w:t>
      </w:r>
      <w:r w:rsidR="00265BAE" w:rsidRPr="005C0994">
        <w:rPr>
          <w:rFonts w:asciiTheme="majorHAnsi" w:hAnsiTheme="majorHAnsi"/>
          <w:bCs/>
          <w:color w:val="auto"/>
          <w:sz w:val="20"/>
          <w:szCs w:val="20"/>
        </w:rPr>
        <w:t>the IACHR found that the existence of “a reasonable appearance of “racial bias” by some members of the jury” that tainted the trial and resulted in the death sentence, constituted a violation of the right to an impartial trial and to equality before the law.</w:t>
      </w:r>
      <w:r w:rsidR="00265BAE" w:rsidRPr="005C0994">
        <w:rPr>
          <w:rStyle w:val="FootnoteReference"/>
          <w:rFonts w:asciiTheme="majorHAnsi" w:hAnsiTheme="majorHAnsi"/>
          <w:bCs/>
          <w:color w:val="auto"/>
          <w:sz w:val="20"/>
          <w:szCs w:val="20"/>
        </w:rPr>
        <w:footnoteReference w:id="64"/>
      </w:r>
      <w:r w:rsidR="00265BAE" w:rsidRPr="005C0994">
        <w:rPr>
          <w:rFonts w:asciiTheme="majorHAnsi" w:hAnsiTheme="majorHAnsi"/>
          <w:bCs/>
          <w:color w:val="auto"/>
          <w:sz w:val="20"/>
          <w:szCs w:val="20"/>
        </w:rPr>
        <w:t xml:space="preserve"> </w:t>
      </w:r>
      <w:r w:rsidR="00265BAE" w:rsidRPr="005C0994">
        <w:rPr>
          <w:rFonts w:asciiTheme="majorHAnsi" w:hAnsiTheme="majorHAnsi"/>
          <w:bCs/>
          <w:sz w:val="20"/>
          <w:szCs w:val="20"/>
        </w:rPr>
        <w:t>In the case of Kevin Cooper</w:t>
      </w:r>
      <w:r w:rsidR="00E76E80" w:rsidRPr="005C0994">
        <w:rPr>
          <w:rFonts w:asciiTheme="majorHAnsi" w:hAnsiTheme="majorHAnsi"/>
          <w:bCs/>
          <w:sz w:val="20"/>
          <w:szCs w:val="20"/>
        </w:rPr>
        <w:t xml:space="preserve">, </w:t>
      </w:r>
      <w:r w:rsidRPr="005C0994">
        <w:rPr>
          <w:rFonts w:asciiTheme="majorHAnsi" w:hAnsiTheme="majorHAnsi"/>
          <w:bCs/>
          <w:sz w:val="20"/>
          <w:szCs w:val="20"/>
        </w:rPr>
        <w:t xml:space="preserve">also </w:t>
      </w:r>
      <w:r w:rsidR="00E76E80" w:rsidRPr="005C0994">
        <w:rPr>
          <w:rFonts w:asciiTheme="majorHAnsi" w:hAnsiTheme="majorHAnsi"/>
          <w:bCs/>
          <w:sz w:val="20"/>
          <w:szCs w:val="20"/>
        </w:rPr>
        <w:t>an African-American on death row,</w:t>
      </w:r>
      <w:r w:rsidR="00265BAE" w:rsidRPr="005C0994">
        <w:rPr>
          <w:rFonts w:asciiTheme="majorHAnsi" w:hAnsiTheme="majorHAnsi"/>
          <w:bCs/>
          <w:sz w:val="20"/>
          <w:szCs w:val="20"/>
        </w:rPr>
        <w:t xml:space="preserve"> </w:t>
      </w:r>
      <w:r w:rsidR="00E76E80" w:rsidRPr="005C0994">
        <w:rPr>
          <w:rFonts w:asciiTheme="majorHAnsi" w:hAnsiTheme="majorHAnsi"/>
          <w:bCs/>
          <w:sz w:val="20"/>
          <w:szCs w:val="20"/>
        </w:rPr>
        <w:t>t</w:t>
      </w:r>
      <w:r w:rsidR="00265BAE" w:rsidRPr="005C0994">
        <w:rPr>
          <w:rFonts w:asciiTheme="majorHAnsi" w:hAnsiTheme="majorHAnsi"/>
          <w:bCs/>
          <w:color w:val="auto"/>
          <w:sz w:val="20"/>
          <w:szCs w:val="20"/>
        </w:rPr>
        <w:t>he point at stake was the deficiencies in due process that had left the possibility of racial discrimination unresolved</w:t>
      </w:r>
      <w:r w:rsidR="00E76E80" w:rsidRPr="005C0994">
        <w:rPr>
          <w:rFonts w:asciiTheme="majorHAnsi" w:hAnsiTheme="majorHAnsi"/>
          <w:bCs/>
          <w:color w:val="auto"/>
          <w:sz w:val="20"/>
          <w:szCs w:val="20"/>
        </w:rPr>
        <w:t>.</w:t>
      </w:r>
      <w:r w:rsidR="00265BAE" w:rsidRPr="005C0994">
        <w:rPr>
          <w:rStyle w:val="FootnoteReference"/>
          <w:rFonts w:asciiTheme="majorHAnsi" w:hAnsiTheme="majorHAnsi"/>
          <w:bCs/>
          <w:color w:val="auto"/>
          <w:sz w:val="20"/>
          <w:szCs w:val="20"/>
        </w:rPr>
        <w:footnoteReference w:id="65"/>
      </w:r>
    </w:p>
    <w:p w14:paraId="4F082C97" w14:textId="77777777" w:rsidR="007A037E" w:rsidRPr="005C0994" w:rsidRDefault="007A037E" w:rsidP="007A037E">
      <w:pPr>
        <w:pStyle w:val="ListParagraph"/>
        <w:rPr>
          <w:rFonts w:asciiTheme="majorHAnsi" w:hAnsiTheme="majorHAnsi"/>
          <w:bCs/>
          <w:color w:val="auto"/>
          <w:sz w:val="20"/>
          <w:szCs w:val="20"/>
        </w:rPr>
      </w:pPr>
    </w:p>
    <w:p w14:paraId="07A36B16" w14:textId="77777777" w:rsidR="00351CDF" w:rsidRPr="005C0994" w:rsidRDefault="00A36BE9" w:rsidP="007A037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5C0994">
        <w:rPr>
          <w:rFonts w:asciiTheme="majorHAnsi" w:hAnsiTheme="majorHAnsi"/>
          <w:bCs/>
          <w:color w:val="auto"/>
          <w:sz w:val="20"/>
          <w:szCs w:val="20"/>
        </w:rPr>
        <w:t xml:space="preserve">Further, in its report </w:t>
      </w:r>
      <w:r w:rsidR="007A037E" w:rsidRPr="005C0994">
        <w:rPr>
          <w:rFonts w:asciiTheme="majorHAnsi" w:hAnsiTheme="majorHAnsi"/>
          <w:bCs/>
          <w:color w:val="auto"/>
          <w:sz w:val="20"/>
          <w:szCs w:val="20"/>
        </w:rPr>
        <w:t xml:space="preserve">on Police Violence Against Afro-descendants in the United States, the Commission </w:t>
      </w:r>
      <w:r w:rsidR="007A037E" w:rsidRPr="005C0994">
        <w:rPr>
          <w:rFonts w:asciiTheme="majorHAnsi" w:eastAsia="Times New Roman" w:hAnsiTheme="majorHAnsi"/>
          <w:sz w:val="20"/>
          <w:szCs w:val="20"/>
        </w:rPr>
        <w:t xml:space="preserve">noted that the United States’ legal framework for conducting police stops, such as the </w:t>
      </w:r>
      <w:r w:rsidR="007A037E" w:rsidRPr="005C0994">
        <w:rPr>
          <w:rFonts w:asciiTheme="majorHAnsi" w:eastAsia="Times New Roman" w:hAnsiTheme="majorHAnsi"/>
          <w:i/>
          <w:sz w:val="20"/>
          <w:szCs w:val="20"/>
        </w:rPr>
        <w:t>Terry</w:t>
      </w:r>
      <w:r w:rsidR="007A037E" w:rsidRPr="005C0994">
        <w:rPr>
          <w:rFonts w:asciiTheme="majorHAnsi" w:eastAsia="Times New Roman" w:hAnsiTheme="majorHAnsi"/>
          <w:sz w:val="20"/>
          <w:szCs w:val="20"/>
        </w:rPr>
        <w:t xml:space="preserve"> stops, may allow or encourage expressions of bias in policing. In particular, the Commission emphasized that</w:t>
      </w:r>
      <w:r w:rsidR="00351CDF" w:rsidRPr="005C0994">
        <w:rPr>
          <w:rFonts w:asciiTheme="majorHAnsi" w:eastAsia="Times New Roman" w:hAnsiTheme="majorHAnsi"/>
          <w:sz w:val="20"/>
          <w:szCs w:val="20"/>
        </w:rPr>
        <w:t xml:space="preserve"> </w:t>
      </w:r>
      <w:r w:rsidR="00351CDF" w:rsidRPr="005C0994">
        <w:rPr>
          <w:rFonts w:asciiTheme="majorHAnsi" w:eastAsia="Times New Roman" w:hAnsiTheme="majorHAnsi"/>
          <w:i/>
          <w:sz w:val="20"/>
          <w:szCs w:val="20"/>
        </w:rPr>
        <w:t>Terry</w:t>
      </w:r>
      <w:r w:rsidR="00351CDF" w:rsidRPr="005C0994">
        <w:rPr>
          <w:rFonts w:asciiTheme="majorHAnsi" w:eastAsia="Times New Roman" w:hAnsiTheme="majorHAnsi"/>
          <w:sz w:val="20"/>
          <w:szCs w:val="20"/>
        </w:rPr>
        <w:t xml:space="preserve"> stops empower </w:t>
      </w:r>
      <w:r w:rsidR="007A037E" w:rsidRPr="005C0994">
        <w:rPr>
          <w:rFonts w:asciiTheme="majorHAnsi" w:eastAsia="Times New Roman" w:hAnsiTheme="majorHAnsi"/>
          <w:sz w:val="20"/>
          <w:szCs w:val="20"/>
        </w:rPr>
        <w:t>police to briefly stop individuals if they have a “reasonable suspicion,” formed on an “objective basis,” that an individual is engaged in or about to be engaged in criminal activity.</w:t>
      </w:r>
      <w:r w:rsidR="00351CDF" w:rsidRPr="005C0994">
        <w:rPr>
          <w:rFonts w:asciiTheme="majorHAnsi" w:eastAsia="Times New Roman" w:hAnsiTheme="majorHAnsi"/>
          <w:sz w:val="20"/>
          <w:szCs w:val="20"/>
        </w:rPr>
        <w:t xml:space="preserve"> In this regard, the Commission noted:</w:t>
      </w:r>
      <w:r w:rsidR="00351CDF" w:rsidRPr="005C0994">
        <w:rPr>
          <w:rStyle w:val="FootnoteReference"/>
          <w:rFonts w:asciiTheme="majorHAnsi" w:eastAsia="Times New Roman" w:hAnsiTheme="majorHAnsi"/>
          <w:sz w:val="20"/>
          <w:szCs w:val="20"/>
        </w:rPr>
        <w:footnoteReference w:id="66"/>
      </w:r>
    </w:p>
    <w:p w14:paraId="234FD062" w14:textId="77777777" w:rsidR="00351CDF" w:rsidRPr="005C0994" w:rsidRDefault="00351CDF" w:rsidP="00351CDF">
      <w:pPr>
        <w:pStyle w:val="ListParagraph"/>
        <w:rPr>
          <w:rFonts w:asciiTheme="majorHAnsi" w:eastAsia="Times New Roman" w:hAnsiTheme="majorHAnsi"/>
          <w:sz w:val="20"/>
          <w:szCs w:val="20"/>
        </w:rPr>
      </w:pPr>
    </w:p>
    <w:p w14:paraId="47FA0B94" w14:textId="77777777" w:rsidR="007A037E" w:rsidRPr="005C0994" w:rsidRDefault="007A037E" w:rsidP="00351CD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Theme="majorHAnsi" w:hAnsiTheme="majorHAnsi"/>
          <w:bCs/>
          <w:color w:val="auto"/>
          <w:sz w:val="18"/>
          <w:szCs w:val="18"/>
        </w:rPr>
      </w:pPr>
      <w:r w:rsidRPr="005C0994">
        <w:rPr>
          <w:rFonts w:asciiTheme="majorHAnsi" w:eastAsia="Times New Roman" w:hAnsiTheme="majorHAnsi"/>
          <w:sz w:val="18"/>
          <w:szCs w:val="18"/>
        </w:rPr>
        <w:t xml:space="preserve">“Reasonable </w:t>
      </w:r>
      <w:r w:rsidRPr="005C0994">
        <w:rPr>
          <w:rFonts w:asciiTheme="majorHAnsi" w:hAnsiTheme="majorHAnsi"/>
          <w:sz w:val="18"/>
          <w:szCs w:val="18"/>
        </w:rPr>
        <w:t xml:space="preserve">suspicion” is a lower threshold than the “probable cause” required for searches or seizures required under the Fourth Amendment, and is shaped by social context. For example, the Supreme Court has found that the fact of a black man running in a “high-crime” area may be sufficient to give rise to a “reasonable suspicion” for a police officer to decide to stop him. </w:t>
      </w:r>
    </w:p>
    <w:p w14:paraId="5E9B0DA5" w14:textId="77777777" w:rsidR="00A36BE9" w:rsidRPr="005C0994" w:rsidRDefault="00A36BE9" w:rsidP="007A037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14:paraId="7D676DD2" w14:textId="77777777" w:rsidR="00B9441F" w:rsidRPr="005C0994" w:rsidRDefault="00B9441F" w:rsidP="00B9441F">
      <w:pPr>
        <w:pStyle w:val="ListParagraph"/>
        <w:numPr>
          <w:ilvl w:val="3"/>
          <w:numId w:val="53"/>
        </w:numPr>
        <w:ind w:left="360"/>
        <w:jc w:val="both"/>
        <w:rPr>
          <w:rFonts w:asciiTheme="majorHAnsi" w:hAnsiTheme="majorHAnsi"/>
          <w:b/>
          <w:color w:val="auto"/>
          <w:sz w:val="20"/>
          <w:szCs w:val="20"/>
        </w:rPr>
      </w:pPr>
      <w:r w:rsidRPr="005C0994">
        <w:rPr>
          <w:rFonts w:asciiTheme="majorHAnsi" w:hAnsiTheme="majorHAnsi"/>
          <w:b/>
          <w:color w:val="auto"/>
          <w:sz w:val="20"/>
          <w:szCs w:val="20"/>
        </w:rPr>
        <w:t>Analysis of the case</w:t>
      </w:r>
    </w:p>
    <w:p w14:paraId="03ED0D4D" w14:textId="77777777" w:rsidR="00B9441F" w:rsidRPr="005C0994" w:rsidRDefault="00B9441F" w:rsidP="007A037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14:paraId="3823E7C3" w14:textId="77777777" w:rsidR="004F65A8" w:rsidRPr="005C0994" w:rsidRDefault="001A5577" w:rsidP="003C79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5C0994">
        <w:rPr>
          <w:rFonts w:asciiTheme="majorHAnsi" w:hAnsiTheme="majorHAnsi"/>
          <w:bCs/>
          <w:color w:val="auto"/>
          <w:sz w:val="20"/>
          <w:szCs w:val="20"/>
        </w:rPr>
        <w:t xml:space="preserve">According to the </w:t>
      </w:r>
      <w:r w:rsidR="001D6707" w:rsidRPr="005C0994">
        <w:rPr>
          <w:rFonts w:asciiTheme="majorHAnsi" w:hAnsiTheme="majorHAnsi"/>
          <w:bCs/>
          <w:color w:val="auto"/>
          <w:sz w:val="20"/>
          <w:szCs w:val="20"/>
        </w:rPr>
        <w:t>facts established in this report</w:t>
      </w:r>
      <w:r w:rsidRPr="005C0994">
        <w:rPr>
          <w:rFonts w:asciiTheme="majorHAnsi" w:hAnsiTheme="majorHAnsi"/>
          <w:bCs/>
          <w:color w:val="auto"/>
          <w:sz w:val="20"/>
          <w:szCs w:val="20"/>
        </w:rPr>
        <w:t xml:space="preserve">, </w:t>
      </w:r>
      <w:r w:rsidR="00A10863" w:rsidRPr="005C0994">
        <w:rPr>
          <w:rFonts w:asciiTheme="majorHAnsi" w:hAnsiTheme="majorHAnsi"/>
          <w:bCs/>
          <w:color w:val="auto"/>
          <w:sz w:val="20"/>
          <w:szCs w:val="20"/>
        </w:rPr>
        <w:t xml:space="preserve">on January 16, 1991, </w:t>
      </w:r>
      <w:r w:rsidR="001D6707" w:rsidRPr="005C0994">
        <w:rPr>
          <w:rFonts w:asciiTheme="majorHAnsi" w:hAnsiTheme="majorHAnsi"/>
          <w:bCs/>
          <w:color w:val="auto"/>
          <w:sz w:val="20"/>
          <w:szCs w:val="20"/>
        </w:rPr>
        <w:t xml:space="preserve">Mr. </w:t>
      </w:r>
      <w:proofErr w:type="spellStart"/>
      <w:r w:rsidR="001D6707" w:rsidRPr="005C0994">
        <w:rPr>
          <w:rFonts w:asciiTheme="majorHAnsi" w:hAnsiTheme="majorHAnsi"/>
          <w:bCs/>
          <w:color w:val="auto"/>
          <w:sz w:val="20"/>
          <w:szCs w:val="20"/>
        </w:rPr>
        <w:t>Loza</w:t>
      </w:r>
      <w:proofErr w:type="spellEnd"/>
      <w:r w:rsidR="001D6707" w:rsidRPr="005C0994">
        <w:rPr>
          <w:rFonts w:asciiTheme="majorHAnsi" w:hAnsiTheme="majorHAnsi"/>
          <w:bCs/>
          <w:color w:val="auto"/>
          <w:sz w:val="20"/>
          <w:szCs w:val="20"/>
        </w:rPr>
        <w:t xml:space="preserve"> was </w:t>
      </w:r>
      <w:r w:rsidR="004F65A8" w:rsidRPr="005C0994">
        <w:rPr>
          <w:rFonts w:asciiTheme="majorHAnsi" w:hAnsiTheme="majorHAnsi"/>
          <w:bCs/>
          <w:color w:val="auto"/>
          <w:sz w:val="20"/>
          <w:szCs w:val="20"/>
        </w:rPr>
        <w:t xml:space="preserve">seen </w:t>
      </w:r>
      <w:r w:rsidR="008341F9" w:rsidRPr="005C0994">
        <w:rPr>
          <w:rFonts w:asciiTheme="majorHAnsi" w:hAnsiTheme="majorHAnsi"/>
          <w:bCs/>
          <w:color w:val="auto"/>
          <w:sz w:val="20"/>
          <w:szCs w:val="20"/>
        </w:rPr>
        <w:t xml:space="preserve">loading trash from his car into the dumpster of a shop. The shop owner </w:t>
      </w:r>
      <w:r w:rsidR="004F65A8" w:rsidRPr="005C0994">
        <w:rPr>
          <w:rFonts w:asciiTheme="majorHAnsi" w:hAnsiTheme="majorHAnsi"/>
          <w:bCs/>
          <w:color w:val="auto"/>
          <w:sz w:val="20"/>
          <w:szCs w:val="20"/>
        </w:rPr>
        <w:t>searched the dumpster for somet</w:t>
      </w:r>
      <w:r w:rsidR="008341F9" w:rsidRPr="005C0994">
        <w:rPr>
          <w:rFonts w:asciiTheme="majorHAnsi" w:hAnsiTheme="majorHAnsi"/>
          <w:bCs/>
          <w:color w:val="auto"/>
          <w:sz w:val="20"/>
          <w:szCs w:val="20"/>
        </w:rPr>
        <w:t xml:space="preserve">hing to identify </w:t>
      </w:r>
      <w:r w:rsidR="003C79A9" w:rsidRPr="005C0994">
        <w:rPr>
          <w:rFonts w:asciiTheme="majorHAnsi" w:hAnsiTheme="majorHAnsi"/>
          <w:bCs/>
          <w:color w:val="auto"/>
          <w:sz w:val="20"/>
          <w:szCs w:val="20"/>
        </w:rPr>
        <w:t xml:space="preserve">Mr. </w:t>
      </w:r>
      <w:proofErr w:type="spellStart"/>
      <w:r w:rsidR="003C79A9" w:rsidRPr="005C0994">
        <w:rPr>
          <w:rFonts w:asciiTheme="majorHAnsi" w:hAnsiTheme="majorHAnsi"/>
          <w:bCs/>
          <w:color w:val="auto"/>
          <w:sz w:val="20"/>
          <w:szCs w:val="20"/>
        </w:rPr>
        <w:t>Loza</w:t>
      </w:r>
      <w:proofErr w:type="spellEnd"/>
      <w:r w:rsidR="008341F9" w:rsidRPr="005C0994">
        <w:rPr>
          <w:rFonts w:asciiTheme="majorHAnsi" w:hAnsiTheme="majorHAnsi"/>
          <w:bCs/>
          <w:color w:val="auto"/>
          <w:sz w:val="20"/>
          <w:szCs w:val="20"/>
        </w:rPr>
        <w:t xml:space="preserve"> and found a</w:t>
      </w:r>
      <w:r w:rsidR="004F65A8" w:rsidRPr="005C0994">
        <w:rPr>
          <w:rFonts w:asciiTheme="majorHAnsi" w:hAnsiTheme="majorHAnsi"/>
          <w:bCs/>
          <w:color w:val="auto"/>
          <w:sz w:val="20"/>
          <w:szCs w:val="20"/>
        </w:rPr>
        <w:t xml:space="preserve"> letter indicating that </w:t>
      </w:r>
      <w:r w:rsidR="00EC703E" w:rsidRPr="005C0994">
        <w:rPr>
          <w:rFonts w:asciiTheme="majorHAnsi" w:hAnsiTheme="majorHAnsi"/>
          <w:bCs/>
          <w:color w:val="auto"/>
          <w:sz w:val="20"/>
          <w:szCs w:val="20"/>
        </w:rPr>
        <w:t xml:space="preserve">Mr. </w:t>
      </w:r>
      <w:proofErr w:type="spellStart"/>
      <w:r w:rsidR="00EC703E" w:rsidRPr="005C0994">
        <w:rPr>
          <w:rFonts w:asciiTheme="majorHAnsi" w:hAnsiTheme="majorHAnsi"/>
          <w:bCs/>
          <w:color w:val="auto"/>
          <w:sz w:val="20"/>
          <w:szCs w:val="20"/>
        </w:rPr>
        <w:t>Loza</w:t>
      </w:r>
      <w:proofErr w:type="spellEnd"/>
      <w:r w:rsidR="004F65A8" w:rsidRPr="005C0994">
        <w:rPr>
          <w:rFonts w:asciiTheme="majorHAnsi" w:hAnsiTheme="majorHAnsi"/>
          <w:bCs/>
          <w:color w:val="auto"/>
          <w:sz w:val="20"/>
          <w:szCs w:val="20"/>
        </w:rPr>
        <w:t xml:space="preserve"> was involved in a drive-by shooting in Los Angeles. </w:t>
      </w:r>
      <w:r w:rsidR="008341F9" w:rsidRPr="005C0994">
        <w:rPr>
          <w:rFonts w:asciiTheme="majorHAnsi" w:hAnsiTheme="majorHAnsi"/>
          <w:bCs/>
          <w:color w:val="auto"/>
          <w:sz w:val="20"/>
          <w:szCs w:val="20"/>
        </w:rPr>
        <w:t>The shop owner</w:t>
      </w:r>
      <w:r w:rsidR="004F65A8" w:rsidRPr="005C0994">
        <w:rPr>
          <w:rFonts w:asciiTheme="majorHAnsi" w:hAnsiTheme="majorHAnsi"/>
          <w:bCs/>
          <w:color w:val="auto"/>
          <w:sz w:val="20"/>
          <w:szCs w:val="20"/>
        </w:rPr>
        <w:t xml:space="preserve"> called the </w:t>
      </w:r>
      <w:r w:rsidR="008341F9" w:rsidRPr="005C0994">
        <w:rPr>
          <w:rFonts w:asciiTheme="majorHAnsi" w:hAnsiTheme="majorHAnsi"/>
          <w:bCs/>
          <w:color w:val="auto"/>
          <w:sz w:val="20"/>
          <w:szCs w:val="20"/>
        </w:rPr>
        <w:t>police</w:t>
      </w:r>
      <w:r w:rsidR="004F65A8" w:rsidRPr="005C0994">
        <w:rPr>
          <w:rFonts w:asciiTheme="majorHAnsi" w:hAnsiTheme="majorHAnsi"/>
          <w:bCs/>
          <w:color w:val="auto"/>
          <w:sz w:val="20"/>
          <w:szCs w:val="20"/>
        </w:rPr>
        <w:t xml:space="preserve"> to report his discovery.</w:t>
      </w:r>
      <w:r w:rsidR="008341F9" w:rsidRPr="005C0994">
        <w:rPr>
          <w:rFonts w:asciiTheme="majorHAnsi" w:hAnsiTheme="majorHAnsi"/>
          <w:bCs/>
          <w:color w:val="auto"/>
          <w:sz w:val="20"/>
          <w:szCs w:val="20"/>
        </w:rPr>
        <w:t xml:space="preserve"> A police </w:t>
      </w:r>
      <w:r w:rsidR="004F65A8" w:rsidRPr="005C0994">
        <w:rPr>
          <w:rFonts w:asciiTheme="majorHAnsi" w:hAnsiTheme="majorHAnsi"/>
          <w:bCs/>
          <w:color w:val="auto"/>
          <w:sz w:val="20"/>
          <w:szCs w:val="20"/>
        </w:rPr>
        <w:t xml:space="preserve">went to the dumpster </w:t>
      </w:r>
      <w:r w:rsidR="008341F9" w:rsidRPr="005C0994">
        <w:rPr>
          <w:rFonts w:asciiTheme="majorHAnsi" w:hAnsiTheme="majorHAnsi"/>
          <w:bCs/>
          <w:color w:val="auto"/>
          <w:sz w:val="20"/>
          <w:szCs w:val="20"/>
        </w:rPr>
        <w:t>and</w:t>
      </w:r>
      <w:r w:rsidR="004F65A8" w:rsidRPr="005C0994">
        <w:rPr>
          <w:rFonts w:asciiTheme="majorHAnsi" w:hAnsiTheme="majorHAnsi"/>
          <w:bCs/>
          <w:color w:val="auto"/>
          <w:sz w:val="20"/>
          <w:szCs w:val="20"/>
        </w:rPr>
        <w:t xml:space="preserve"> retrieved other items</w:t>
      </w:r>
      <w:r w:rsidR="003C79A9" w:rsidRPr="005C0994">
        <w:rPr>
          <w:rFonts w:asciiTheme="majorHAnsi" w:hAnsiTheme="majorHAnsi"/>
          <w:bCs/>
          <w:color w:val="auto"/>
          <w:sz w:val="20"/>
          <w:szCs w:val="20"/>
        </w:rPr>
        <w:t xml:space="preserve"> that implicated Mr. </w:t>
      </w:r>
      <w:proofErr w:type="spellStart"/>
      <w:r w:rsidR="003C79A9" w:rsidRPr="005C0994">
        <w:rPr>
          <w:rFonts w:asciiTheme="majorHAnsi" w:hAnsiTheme="majorHAnsi"/>
          <w:bCs/>
          <w:color w:val="auto"/>
          <w:sz w:val="20"/>
          <w:szCs w:val="20"/>
        </w:rPr>
        <w:t>Loza</w:t>
      </w:r>
      <w:proofErr w:type="spellEnd"/>
      <w:r w:rsidR="004F65A8" w:rsidRPr="005C0994">
        <w:rPr>
          <w:rFonts w:asciiTheme="majorHAnsi" w:hAnsiTheme="majorHAnsi"/>
          <w:bCs/>
          <w:color w:val="auto"/>
          <w:sz w:val="20"/>
          <w:szCs w:val="20"/>
        </w:rPr>
        <w:t xml:space="preserve">. As they were going through the items, Mr. </w:t>
      </w:r>
      <w:proofErr w:type="spellStart"/>
      <w:r w:rsidR="004F65A8" w:rsidRPr="005C0994">
        <w:rPr>
          <w:rFonts w:asciiTheme="majorHAnsi" w:hAnsiTheme="majorHAnsi"/>
          <w:bCs/>
          <w:color w:val="auto"/>
          <w:sz w:val="20"/>
          <w:szCs w:val="20"/>
        </w:rPr>
        <w:t>Loza</w:t>
      </w:r>
      <w:proofErr w:type="spellEnd"/>
      <w:r w:rsidR="004F65A8" w:rsidRPr="005C0994">
        <w:rPr>
          <w:rFonts w:asciiTheme="majorHAnsi" w:hAnsiTheme="majorHAnsi"/>
          <w:bCs/>
          <w:color w:val="auto"/>
          <w:sz w:val="20"/>
          <w:szCs w:val="20"/>
        </w:rPr>
        <w:t xml:space="preserve"> </w:t>
      </w:r>
      <w:r w:rsidR="00EC703E" w:rsidRPr="005C0994">
        <w:rPr>
          <w:rFonts w:asciiTheme="majorHAnsi" w:hAnsiTheme="majorHAnsi"/>
          <w:bCs/>
          <w:color w:val="auto"/>
          <w:sz w:val="20"/>
          <w:szCs w:val="20"/>
        </w:rPr>
        <w:t>came close</w:t>
      </w:r>
      <w:r w:rsidR="004F65A8" w:rsidRPr="005C0994">
        <w:rPr>
          <w:rFonts w:asciiTheme="majorHAnsi" w:hAnsiTheme="majorHAnsi"/>
          <w:bCs/>
          <w:color w:val="auto"/>
          <w:sz w:val="20"/>
          <w:szCs w:val="20"/>
        </w:rPr>
        <w:t xml:space="preserve"> the dumpster and the detective </w:t>
      </w:r>
      <w:r w:rsidR="00296EC2" w:rsidRPr="005C0994">
        <w:rPr>
          <w:rFonts w:asciiTheme="majorHAnsi" w:hAnsiTheme="majorHAnsi"/>
          <w:bCs/>
          <w:color w:val="auto"/>
          <w:sz w:val="20"/>
          <w:szCs w:val="20"/>
        </w:rPr>
        <w:t xml:space="preserve">approached Mr. </w:t>
      </w:r>
      <w:proofErr w:type="spellStart"/>
      <w:r w:rsidR="00296EC2" w:rsidRPr="005C0994">
        <w:rPr>
          <w:rFonts w:asciiTheme="majorHAnsi" w:hAnsiTheme="majorHAnsi"/>
          <w:bCs/>
          <w:color w:val="auto"/>
          <w:sz w:val="20"/>
          <w:szCs w:val="20"/>
        </w:rPr>
        <w:t>Loza</w:t>
      </w:r>
      <w:proofErr w:type="spellEnd"/>
      <w:r w:rsidR="00296EC2" w:rsidRPr="005C0994">
        <w:rPr>
          <w:rFonts w:asciiTheme="majorHAnsi" w:hAnsiTheme="majorHAnsi"/>
          <w:bCs/>
          <w:color w:val="auto"/>
          <w:sz w:val="20"/>
          <w:szCs w:val="20"/>
        </w:rPr>
        <w:t xml:space="preserve"> with his gun in his hand and </w:t>
      </w:r>
      <w:r w:rsidR="004F65A8" w:rsidRPr="005C0994">
        <w:rPr>
          <w:rFonts w:asciiTheme="majorHAnsi" w:hAnsiTheme="majorHAnsi"/>
          <w:bCs/>
          <w:color w:val="auto"/>
          <w:sz w:val="20"/>
          <w:szCs w:val="20"/>
        </w:rPr>
        <w:t>identif</w:t>
      </w:r>
      <w:r w:rsidR="008341F9" w:rsidRPr="005C0994">
        <w:rPr>
          <w:rFonts w:asciiTheme="majorHAnsi" w:hAnsiTheme="majorHAnsi"/>
          <w:bCs/>
          <w:color w:val="auto"/>
          <w:sz w:val="20"/>
          <w:szCs w:val="20"/>
        </w:rPr>
        <w:t>ied himself as a police officer</w:t>
      </w:r>
      <w:r w:rsidR="004F65A8" w:rsidRPr="005C0994">
        <w:rPr>
          <w:rFonts w:asciiTheme="majorHAnsi" w:hAnsiTheme="majorHAnsi"/>
          <w:bCs/>
          <w:color w:val="auto"/>
          <w:sz w:val="20"/>
          <w:szCs w:val="20"/>
        </w:rPr>
        <w:t xml:space="preserve">. He then searched Mr. </w:t>
      </w:r>
      <w:proofErr w:type="spellStart"/>
      <w:r w:rsidR="004F65A8" w:rsidRPr="005C0994">
        <w:rPr>
          <w:rFonts w:asciiTheme="majorHAnsi" w:hAnsiTheme="majorHAnsi"/>
          <w:bCs/>
          <w:color w:val="auto"/>
          <w:sz w:val="20"/>
          <w:szCs w:val="20"/>
        </w:rPr>
        <w:t>Loza</w:t>
      </w:r>
      <w:proofErr w:type="spellEnd"/>
      <w:r w:rsidR="008341F9" w:rsidRPr="005C0994">
        <w:rPr>
          <w:rFonts w:asciiTheme="majorHAnsi" w:hAnsiTheme="majorHAnsi"/>
          <w:bCs/>
          <w:color w:val="auto"/>
          <w:sz w:val="20"/>
          <w:szCs w:val="20"/>
        </w:rPr>
        <w:t xml:space="preserve"> and </w:t>
      </w:r>
      <w:r w:rsidR="004F65A8" w:rsidRPr="005C0994">
        <w:rPr>
          <w:rFonts w:asciiTheme="majorHAnsi" w:hAnsiTheme="majorHAnsi"/>
          <w:bCs/>
          <w:color w:val="auto"/>
          <w:sz w:val="20"/>
          <w:szCs w:val="20"/>
        </w:rPr>
        <w:t xml:space="preserve">informed </w:t>
      </w:r>
      <w:r w:rsidR="008341F9" w:rsidRPr="005C0994">
        <w:rPr>
          <w:rFonts w:asciiTheme="majorHAnsi" w:hAnsiTheme="majorHAnsi"/>
          <w:bCs/>
          <w:color w:val="auto"/>
          <w:sz w:val="20"/>
          <w:szCs w:val="20"/>
        </w:rPr>
        <w:t>him</w:t>
      </w:r>
      <w:r w:rsidR="004F65A8" w:rsidRPr="005C0994">
        <w:rPr>
          <w:rFonts w:asciiTheme="majorHAnsi" w:hAnsiTheme="majorHAnsi"/>
          <w:bCs/>
          <w:color w:val="auto"/>
          <w:sz w:val="20"/>
          <w:szCs w:val="20"/>
        </w:rPr>
        <w:t xml:space="preserve"> that he was stopped because of what he put in the dumpster.</w:t>
      </w:r>
      <w:r w:rsidR="003C79A9" w:rsidRPr="005C0994">
        <w:rPr>
          <w:rFonts w:asciiTheme="majorHAnsi" w:hAnsiTheme="majorHAnsi"/>
          <w:bCs/>
          <w:color w:val="auto"/>
          <w:sz w:val="20"/>
          <w:szCs w:val="20"/>
        </w:rPr>
        <w:t xml:space="preserve"> After determining that </w:t>
      </w:r>
      <w:r w:rsidR="004F65A8" w:rsidRPr="005C0994">
        <w:rPr>
          <w:rFonts w:asciiTheme="majorHAnsi" w:hAnsiTheme="majorHAnsi"/>
          <w:bCs/>
          <w:color w:val="auto"/>
          <w:sz w:val="20"/>
          <w:szCs w:val="20"/>
        </w:rPr>
        <w:t>Ms. Jackson was under age and planned to tra</w:t>
      </w:r>
      <w:r w:rsidR="003C79A9" w:rsidRPr="005C0994">
        <w:rPr>
          <w:rFonts w:asciiTheme="majorHAnsi" w:hAnsiTheme="majorHAnsi"/>
          <w:bCs/>
          <w:color w:val="auto"/>
          <w:sz w:val="20"/>
          <w:szCs w:val="20"/>
        </w:rPr>
        <w:t xml:space="preserve">vel to California with Mr. </w:t>
      </w:r>
      <w:proofErr w:type="spellStart"/>
      <w:r w:rsidR="003C79A9" w:rsidRPr="005C0994">
        <w:rPr>
          <w:rFonts w:asciiTheme="majorHAnsi" w:hAnsiTheme="majorHAnsi"/>
          <w:bCs/>
          <w:color w:val="auto"/>
          <w:sz w:val="20"/>
          <w:szCs w:val="20"/>
        </w:rPr>
        <w:t>Loza</w:t>
      </w:r>
      <w:proofErr w:type="spellEnd"/>
      <w:r w:rsidR="003C79A9" w:rsidRPr="005C0994">
        <w:rPr>
          <w:rFonts w:asciiTheme="majorHAnsi" w:hAnsiTheme="majorHAnsi"/>
          <w:bCs/>
          <w:color w:val="auto"/>
          <w:sz w:val="20"/>
          <w:szCs w:val="20"/>
        </w:rPr>
        <w:t>, the detective arrested</w:t>
      </w:r>
      <w:r w:rsidR="004F65A8" w:rsidRPr="005C0994">
        <w:rPr>
          <w:rFonts w:asciiTheme="majorHAnsi" w:hAnsiTheme="majorHAnsi"/>
          <w:bCs/>
          <w:color w:val="auto"/>
          <w:sz w:val="20"/>
          <w:szCs w:val="20"/>
        </w:rPr>
        <w:t xml:space="preserve"> Mr. </w:t>
      </w:r>
      <w:proofErr w:type="spellStart"/>
      <w:r w:rsidR="004F65A8" w:rsidRPr="005C0994">
        <w:rPr>
          <w:rFonts w:asciiTheme="majorHAnsi" w:hAnsiTheme="majorHAnsi"/>
          <w:bCs/>
          <w:color w:val="auto"/>
          <w:sz w:val="20"/>
          <w:szCs w:val="20"/>
        </w:rPr>
        <w:t>Loza</w:t>
      </w:r>
      <w:proofErr w:type="spellEnd"/>
      <w:r w:rsidR="004F65A8" w:rsidRPr="005C0994">
        <w:rPr>
          <w:rFonts w:asciiTheme="majorHAnsi" w:hAnsiTheme="majorHAnsi"/>
          <w:bCs/>
          <w:color w:val="auto"/>
          <w:sz w:val="20"/>
          <w:szCs w:val="20"/>
        </w:rPr>
        <w:t xml:space="preserve"> for contributing to the delinquency or unruliness of a minor and was taken to the Warren County Justice Center. </w:t>
      </w:r>
      <w:r w:rsidR="00665FF9" w:rsidRPr="005C0994">
        <w:rPr>
          <w:rFonts w:asciiTheme="majorHAnsi" w:hAnsiTheme="majorHAnsi"/>
          <w:bCs/>
          <w:color w:val="auto"/>
          <w:sz w:val="20"/>
          <w:szCs w:val="20"/>
        </w:rPr>
        <w:lastRenderedPageBreak/>
        <w:t xml:space="preserve">According to the information provided by the petitioners, not contested by the State, the detective was recorded referring to Mr. </w:t>
      </w:r>
      <w:proofErr w:type="spellStart"/>
      <w:r w:rsidR="00665FF9" w:rsidRPr="005C0994">
        <w:rPr>
          <w:rFonts w:asciiTheme="majorHAnsi" w:hAnsiTheme="majorHAnsi"/>
          <w:bCs/>
          <w:color w:val="auto"/>
          <w:sz w:val="20"/>
          <w:szCs w:val="20"/>
        </w:rPr>
        <w:t>Loza</w:t>
      </w:r>
      <w:proofErr w:type="spellEnd"/>
      <w:r w:rsidR="00665FF9" w:rsidRPr="005C0994">
        <w:rPr>
          <w:rFonts w:asciiTheme="majorHAnsi" w:hAnsiTheme="majorHAnsi"/>
          <w:bCs/>
          <w:color w:val="auto"/>
          <w:sz w:val="20"/>
          <w:szCs w:val="20"/>
        </w:rPr>
        <w:t xml:space="preserve"> as the “wetback from California.”</w:t>
      </w:r>
    </w:p>
    <w:p w14:paraId="547F04CC" w14:textId="77777777" w:rsidR="003C79A9" w:rsidRPr="005C0994" w:rsidRDefault="003C79A9" w:rsidP="003C79A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14:paraId="27E7E199" w14:textId="77777777" w:rsidR="00B327DE" w:rsidRPr="005C0994" w:rsidRDefault="003C79A9" w:rsidP="00B327D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5C0994">
        <w:rPr>
          <w:rFonts w:asciiTheme="majorHAnsi" w:hAnsiTheme="majorHAnsi"/>
          <w:bCs/>
          <w:color w:val="auto"/>
          <w:sz w:val="20"/>
          <w:szCs w:val="20"/>
        </w:rPr>
        <w:t xml:space="preserve">In </w:t>
      </w:r>
      <w:r w:rsidR="005F6871" w:rsidRPr="005C0994">
        <w:rPr>
          <w:rFonts w:asciiTheme="majorHAnsi" w:hAnsiTheme="majorHAnsi"/>
          <w:bCs/>
          <w:color w:val="auto"/>
          <w:sz w:val="20"/>
          <w:szCs w:val="20"/>
        </w:rPr>
        <w:t>federal habeas proceedings</w:t>
      </w:r>
      <w:r w:rsidR="00395D14" w:rsidRPr="005C0994">
        <w:rPr>
          <w:rFonts w:asciiTheme="majorHAnsi" w:hAnsiTheme="majorHAnsi"/>
          <w:bCs/>
          <w:color w:val="auto"/>
          <w:sz w:val="20"/>
          <w:szCs w:val="20"/>
        </w:rPr>
        <w:t xml:space="preserve">, the U.S. Court of Appeals held that the police officer questioned </w:t>
      </w:r>
      <w:r w:rsidR="005F6871" w:rsidRPr="005C0994">
        <w:rPr>
          <w:rFonts w:asciiTheme="majorHAnsi" w:hAnsiTheme="majorHAnsi"/>
          <w:bCs/>
          <w:color w:val="auto"/>
          <w:sz w:val="20"/>
          <w:szCs w:val="20"/>
        </w:rPr>
        <w:t xml:space="preserve">Mr. </w:t>
      </w:r>
      <w:proofErr w:type="spellStart"/>
      <w:r w:rsidR="005F6871" w:rsidRPr="005C0994">
        <w:rPr>
          <w:rFonts w:asciiTheme="majorHAnsi" w:hAnsiTheme="majorHAnsi"/>
          <w:bCs/>
          <w:color w:val="auto"/>
          <w:sz w:val="20"/>
          <w:szCs w:val="20"/>
        </w:rPr>
        <w:t>Loza</w:t>
      </w:r>
      <w:proofErr w:type="spellEnd"/>
      <w:r w:rsidR="00395D14" w:rsidRPr="005C0994">
        <w:rPr>
          <w:rFonts w:asciiTheme="majorHAnsi" w:hAnsiTheme="majorHAnsi"/>
          <w:bCs/>
          <w:color w:val="auto"/>
          <w:sz w:val="20"/>
          <w:szCs w:val="20"/>
        </w:rPr>
        <w:t xml:space="preserve"> pursuant to a lawful Terry stop. It noted that the officer had a reasonable, articulable suspicion that criminal activity was afoot and had reason to suspect that Mr. </w:t>
      </w:r>
      <w:proofErr w:type="spellStart"/>
      <w:r w:rsidR="00395D14" w:rsidRPr="005C0994">
        <w:rPr>
          <w:rFonts w:asciiTheme="majorHAnsi" w:hAnsiTheme="majorHAnsi"/>
          <w:bCs/>
          <w:color w:val="auto"/>
          <w:sz w:val="20"/>
          <w:szCs w:val="20"/>
        </w:rPr>
        <w:t>Loza</w:t>
      </w:r>
      <w:proofErr w:type="spellEnd"/>
      <w:r w:rsidR="00395D14" w:rsidRPr="005C0994">
        <w:rPr>
          <w:rFonts w:asciiTheme="majorHAnsi" w:hAnsiTheme="majorHAnsi"/>
          <w:bCs/>
          <w:color w:val="auto"/>
          <w:sz w:val="20"/>
          <w:szCs w:val="20"/>
        </w:rPr>
        <w:t xml:space="preserve"> may have been involved. Regarding Mr. </w:t>
      </w:r>
      <w:proofErr w:type="spellStart"/>
      <w:r w:rsidR="00395D14" w:rsidRPr="005C0994">
        <w:rPr>
          <w:rFonts w:asciiTheme="majorHAnsi" w:hAnsiTheme="majorHAnsi"/>
          <w:bCs/>
          <w:color w:val="auto"/>
          <w:sz w:val="20"/>
          <w:szCs w:val="20"/>
        </w:rPr>
        <w:t>Loza’s</w:t>
      </w:r>
      <w:proofErr w:type="spellEnd"/>
      <w:r w:rsidR="00395D14" w:rsidRPr="005C0994">
        <w:rPr>
          <w:rFonts w:asciiTheme="majorHAnsi" w:hAnsiTheme="majorHAnsi"/>
          <w:bCs/>
          <w:color w:val="auto"/>
          <w:sz w:val="20"/>
          <w:szCs w:val="20"/>
        </w:rPr>
        <w:t xml:space="preserve"> claim that the encounter was more coercive than a typical Terry stop, the court reasoned that, “to the extent that the law [was] not clearly established with regards to Terry stops and custodial interrogations subject to Miranda</w:t>
      </w:r>
      <w:r w:rsidR="005F6871" w:rsidRPr="005C0994">
        <w:rPr>
          <w:rFonts w:asciiTheme="majorHAnsi" w:hAnsiTheme="majorHAnsi"/>
          <w:bCs/>
          <w:color w:val="auto"/>
          <w:sz w:val="20"/>
          <w:szCs w:val="20"/>
        </w:rPr>
        <w:t>,</w:t>
      </w:r>
      <w:r w:rsidR="00395D14" w:rsidRPr="005C0994">
        <w:rPr>
          <w:rFonts w:asciiTheme="majorHAnsi" w:hAnsiTheme="majorHAnsi"/>
          <w:bCs/>
          <w:color w:val="auto"/>
          <w:sz w:val="20"/>
          <w:szCs w:val="20"/>
        </w:rPr>
        <w:t>”</w:t>
      </w:r>
      <w:r w:rsidR="005F6871" w:rsidRPr="005C0994">
        <w:rPr>
          <w:rFonts w:asciiTheme="majorHAnsi" w:hAnsiTheme="majorHAnsi"/>
          <w:bCs/>
          <w:color w:val="auto"/>
          <w:sz w:val="20"/>
          <w:szCs w:val="20"/>
        </w:rPr>
        <w:t xml:space="preserve"> the Ohio Supreme Court’s denying the claim was not unreasonable.</w:t>
      </w:r>
    </w:p>
    <w:p w14:paraId="05C67C1C" w14:textId="77777777" w:rsidR="00B327DE" w:rsidRPr="005C0994" w:rsidRDefault="00B327DE" w:rsidP="00B327DE">
      <w:pPr>
        <w:pStyle w:val="ListParagraph"/>
        <w:rPr>
          <w:rFonts w:asciiTheme="majorHAnsi" w:hAnsiTheme="majorHAnsi"/>
          <w:bCs/>
          <w:sz w:val="20"/>
          <w:szCs w:val="20"/>
        </w:rPr>
      </w:pPr>
    </w:p>
    <w:p w14:paraId="2A93E343" w14:textId="77777777" w:rsidR="00B327DE" w:rsidRPr="005C0994" w:rsidRDefault="004703D5" w:rsidP="00B327D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5C0994">
        <w:rPr>
          <w:rFonts w:asciiTheme="majorHAnsi" w:hAnsiTheme="majorHAnsi"/>
          <w:bCs/>
          <w:sz w:val="20"/>
          <w:szCs w:val="20"/>
        </w:rPr>
        <w:t>As noted</w:t>
      </w:r>
      <w:r w:rsidR="00B52D4D" w:rsidRPr="005C0994">
        <w:rPr>
          <w:rFonts w:asciiTheme="majorHAnsi" w:hAnsiTheme="majorHAnsi"/>
          <w:bCs/>
          <w:sz w:val="20"/>
          <w:szCs w:val="20"/>
        </w:rPr>
        <w:t xml:space="preserve"> above, the Commission has expressed concern</w:t>
      </w:r>
      <w:r w:rsidR="0083055F" w:rsidRPr="005C0994">
        <w:rPr>
          <w:rFonts w:asciiTheme="majorHAnsi" w:hAnsiTheme="majorHAnsi"/>
          <w:bCs/>
          <w:sz w:val="20"/>
          <w:szCs w:val="20"/>
        </w:rPr>
        <w:t xml:space="preserve"> regarding the low threshold required to conduct a Terry stop, which may allow</w:t>
      </w:r>
      <w:r w:rsidR="0077572B" w:rsidRPr="005C0994">
        <w:rPr>
          <w:rFonts w:asciiTheme="majorHAnsi" w:hAnsiTheme="majorHAnsi"/>
          <w:bCs/>
          <w:sz w:val="20"/>
          <w:szCs w:val="20"/>
        </w:rPr>
        <w:t xml:space="preserve"> or encourage expressions of bias in policing, and therefore </w:t>
      </w:r>
      <w:r w:rsidRPr="005C0994">
        <w:rPr>
          <w:rFonts w:asciiTheme="majorHAnsi" w:hAnsiTheme="majorHAnsi"/>
          <w:bCs/>
          <w:sz w:val="20"/>
          <w:szCs w:val="20"/>
        </w:rPr>
        <w:t xml:space="preserve">could </w:t>
      </w:r>
      <w:r w:rsidR="0077572B" w:rsidRPr="005C0994">
        <w:rPr>
          <w:rFonts w:asciiTheme="majorHAnsi" w:hAnsiTheme="majorHAnsi"/>
          <w:bCs/>
          <w:sz w:val="20"/>
          <w:szCs w:val="20"/>
        </w:rPr>
        <w:t xml:space="preserve">have a disproportionate impact on minorities. </w:t>
      </w:r>
      <w:r w:rsidR="00B327DE" w:rsidRPr="005C0994">
        <w:rPr>
          <w:rFonts w:asciiTheme="majorHAnsi" w:hAnsiTheme="majorHAnsi"/>
          <w:sz w:val="20"/>
        </w:rPr>
        <w:t>Where deprivation of liberty is concerned, it is essential that domestic law clearly defines the conditions for the arrest or detention</w:t>
      </w:r>
      <w:r w:rsidR="00263BC9" w:rsidRPr="005C0994">
        <w:rPr>
          <w:rFonts w:asciiTheme="majorHAnsi" w:hAnsiTheme="majorHAnsi"/>
          <w:sz w:val="20"/>
        </w:rPr>
        <w:t xml:space="preserve"> in order to allow the person to foresee the consequences which a given action may entail</w:t>
      </w:r>
      <w:r w:rsidR="00B327DE" w:rsidRPr="005C0994">
        <w:rPr>
          <w:rFonts w:asciiTheme="majorHAnsi" w:hAnsiTheme="majorHAnsi"/>
          <w:sz w:val="20"/>
        </w:rPr>
        <w:t>.</w:t>
      </w:r>
    </w:p>
    <w:p w14:paraId="068257D0" w14:textId="77777777" w:rsidR="00B327DE" w:rsidRPr="005C0994" w:rsidRDefault="00B327DE" w:rsidP="00B327DE">
      <w:pPr>
        <w:pStyle w:val="ListParagraph"/>
        <w:rPr>
          <w:rFonts w:asciiTheme="majorHAnsi" w:hAnsiTheme="majorHAnsi"/>
          <w:bCs/>
          <w:sz w:val="20"/>
          <w:szCs w:val="20"/>
        </w:rPr>
      </w:pPr>
    </w:p>
    <w:p w14:paraId="516F6B34" w14:textId="77777777" w:rsidR="00B327DE" w:rsidRPr="005C0994" w:rsidRDefault="00B327DE" w:rsidP="00B327D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5C0994">
        <w:rPr>
          <w:rFonts w:asciiTheme="majorHAnsi" w:hAnsiTheme="majorHAnsi"/>
          <w:bCs/>
          <w:sz w:val="20"/>
          <w:szCs w:val="20"/>
        </w:rPr>
        <w:t xml:space="preserve">In the instant case, </w:t>
      </w:r>
      <w:r w:rsidR="00503391" w:rsidRPr="005C0994">
        <w:rPr>
          <w:rFonts w:asciiTheme="majorHAnsi" w:hAnsiTheme="majorHAnsi"/>
          <w:bCs/>
          <w:sz w:val="20"/>
          <w:szCs w:val="20"/>
        </w:rPr>
        <w:t xml:space="preserve">the petitioner has not alleged that there the law itself is contrary with the American Declaration, but that the search and arrest </w:t>
      </w:r>
      <w:r w:rsidR="005C0994" w:rsidRPr="005C0994">
        <w:rPr>
          <w:rFonts w:asciiTheme="majorHAnsi" w:hAnsiTheme="majorHAnsi"/>
          <w:bCs/>
          <w:sz w:val="20"/>
          <w:szCs w:val="20"/>
        </w:rPr>
        <w:t>were</w:t>
      </w:r>
      <w:r w:rsidR="00503391" w:rsidRPr="005C0994">
        <w:rPr>
          <w:rFonts w:asciiTheme="majorHAnsi" w:hAnsiTheme="majorHAnsi"/>
          <w:bCs/>
          <w:sz w:val="20"/>
          <w:szCs w:val="20"/>
        </w:rPr>
        <w:t xml:space="preserve"> based on discriminatory grounds. On this point, the Commission notes that </w:t>
      </w:r>
      <w:r w:rsidRPr="005C0994">
        <w:rPr>
          <w:rFonts w:asciiTheme="majorHAnsi" w:hAnsiTheme="majorHAnsi"/>
          <w:bCs/>
          <w:sz w:val="20"/>
          <w:szCs w:val="20"/>
        </w:rPr>
        <w:t xml:space="preserve">the available information shows that </w:t>
      </w:r>
      <w:r w:rsidR="005C1EA5" w:rsidRPr="005C0994">
        <w:rPr>
          <w:rFonts w:asciiTheme="majorHAnsi" w:hAnsiTheme="majorHAnsi"/>
          <w:bCs/>
          <w:sz w:val="20"/>
          <w:szCs w:val="20"/>
        </w:rPr>
        <w:t xml:space="preserve">there was an objective basis for the search and arrest, given that </w:t>
      </w:r>
      <w:r w:rsidR="00263BC9" w:rsidRPr="005C0994">
        <w:rPr>
          <w:rFonts w:asciiTheme="majorHAnsi" w:hAnsiTheme="majorHAnsi"/>
          <w:bCs/>
          <w:sz w:val="20"/>
          <w:szCs w:val="20"/>
        </w:rPr>
        <w:t xml:space="preserve">the police officer found different items that implicated Mr. </w:t>
      </w:r>
      <w:proofErr w:type="spellStart"/>
      <w:r w:rsidR="00263BC9" w:rsidRPr="005C0994">
        <w:rPr>
          <w:rFonts w:asciiTheme="majorHAnsi" w:hAnsiTheme="majorHAnsi"/>
          <w:bCs/>
          <w:sz w:val="20"/>
          <w:szCs w:val="20"/>
        </w:rPr>
        <w:t>Loza</w:t>
      </w:r>
      <w:proofErr w:type="spellEnd"/>
      <w:r w:rsidR="00263BC9" w:rsidRPr="005C0994">
        <w:rPr>
          <w:rFonts w:asciiTheme="majorHAnsi" w:hAnsiTheme="majorHAnsi"/>
          <w:bCs/>
          <w:sz w:val="20"/>
          <w:szCs w:val="20"/>
        </w:rPr>
        <w:t xml:space="preserve"> </w:t>
      </w:r>
      <w:r w:rsidR="00263BC9" w:rsidRPr="005C0994">
        <w:rPr>
          <w:rFonts w:asciiTheme="majorHAnsi" w:hAnsiTheme="majorHAnsi"/>
          <w:bCs/>
          <w:color w:val="auto"/>
          <w:sz w:val="20"/>
          <w:szCs w:val="20"/>
        </w:rPr>
        <w:t xml:space="preserve">in a criminal activity. Further, he was planning to travel out of state with a minor, purportedly without the consent of her parents. </w:t>
      </w:r>
      <w:r w:rsidR="00B04F9C" w:rsidRPr="005C0994">
        <w:rPr>
          <w:rFonts w:asciiTheme="majorHAnsi" w:hAnsiTheme="majorHAnsi"/>
          <w:bCs/>
          <w:color w:val="auto"/>
          <w:sz w:val="20"/>
          <w:szCs w:val="20"/>
        </w:rPr>
        <w:t>The officer's suspicion was thus based on reasonable and objective grounds, which is an essential safeguard against arbitrary arrest and detention.</w:t>
      </w:r>
    </w:p>
    <w:p w14:paraId="3A707CE9" w14:textId="77777777" w:rsidR="00B327DE" w:rsidRPr="005C0994" w:rsidRDefault="00B327DE" w:rsidP="00B327DE">
      <w:pPr>
        <w:pStyle w:val="ListParagraph"/>
        <w:rPr>
          <w:rFonts w:asciiTheme="majorHAnsi" w:hAnsiTheme="majorHAnsi"/>
          <w:sz w:val="20"/>
        </w:rPr>
      </w:pPr>
    </w:p>
    <w:p w14:paraId="0874DA61" w14:textId="77777777" w:rsidR="004334A4" w:rsidRPr="005C0994" w:rsidRDefault="0083797A" w:rsidP="00B52D4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5C0994">
        <w:rPr>
          <w:rFonts w:asciiTheme="majorHAnsi" w:hAnsiTheme="majorHAnsi"/>
          <w:bCs/>
          <w:color w:val="auto"/>
          <w:sz w:val="20"/>
          <w:szCs w:val="20"/>
        </w:rPr>
        <w:t>T</w:t>
      </w:r>
      <w:r w:rsidR="004334A4" w:rsidRPr="005C0994">
        <w:rPr>
          <w:rFonts w:asciiTheme="majorHAnsi" w:hAnsiTheme="majorHAnsi"/>
          <w:bCs/>
          <w:color w:val="auto"/>
          <w:sz w:val="20"/>
          <w:szCs w:val="20"/>
        </w:rPr>
        <w:t xml:space="preserve">he </w:t>
      </w:r>
      <w:r w:rsidRPr="005C0994">
        <w:rPr>
          <w:rFonts w:asciiTheme="majorHAnsi" w:hAnsiTheme="majorHAnsi"/>
          <w:bCs/>
          <w:color w:val="auto"/>
          <w:sz w:val="20"/>
          <w:szCs w:val="20"/>
        </w:rPr>
        <w:t>Commission note</w:t>
      </w:r>
      <w:r w:rsidR="008A023D" w:rsidRPr="005C0994">
        <w:rPr>
          <w:rFonts w:asciiTheme="majorHAnsi" w:hAnsiTheme="majorHAnsi"/>
          <w:bCs/>
          <w:color w:val="auto"/>
          <w:sz w:val="20"/>
          <w:szCs w:val="20"/>
        </w:rPr>
        <w:t>s</w:t>
      </w:r>
      <w:r w:rsidRPr="005C0994">
        <w:rPr>
          <w:rFonts w:asciiTheme="majorHAnsi" w:hAnsiTheme="majorHAnsi"/>
          <w:bCs/>
          <w:color w:val="auto"/>
          <w:sz w:val="20"/>
          <w:szCs w:val="20"/>
        </w:rPr>
        <w:t xml:space="preserve"> petitioners’ allegation, </w:t>
      </w:r>
      <w:r w:rsidR="00BC2F46" w:rsidRPr="005C0994">
        <w:rPr>
          <w:rFonts w:asciiTheme="majorHAnsi" w:hAnsiTheme="majorHAnsi"/>
          <w:bCs/>
          <w:color w:val="auto"/>
          <w:sz w:val="20"/>
          <w:szCs w:val="20"/>
        </w:rPr>
        <w:t>n</w:t>
      </w:r>
      <w:r w:rsidRPr="005C0994">
        <w:rPr>
          <w:rFonts w:asciiTheme="majorHAnsi" w:hAnsiTheme="majorHAnsi"/>
          <w:bCs/>
          <w:color w:val="auto"/>
          <w:sz w:val="20"/>
          <w:szCs w:val="20"/>
        </w:rPr>
        <w:t>ot contested by the State, that</w:t>
      </w:r>
      <w:r w:rsidR="004334A4" w:rsidRPr="005C0994">
        <w:rPr>
          <w:rFonts w:asciiTheme="majorHAnsi" w:hAnsiTheme="majorHAnsi"/>
          <w:bCs/>
          <w:color w:val="auto"/>
          <w:sz w:val="20"/>
          <w:szCs w:val="20"/>
        </w:rPr>
        <w:t xml:space="preserve"> the police detective was recorded referring to Mr. </w:t>
      </w:r>
      <w:proofErr w:type="spellStart"/>
      <w:r w:rsidR="004334A4" w:rsidRPr="005C0994">
        <w:rPr>
          <w:rFonts w:asciiTheme="majorHAnsi" w:hAnsiTheme="majorHAnsi"/>
          <w:bCs/>
          <w:color w:val="auto"/>
          <w:sz w:val="20"/>
          <w:szCs w:val="20"/>
        </w:rPr>
        <w:t>Loza</w:t>
      </w:r>
      <w:proofErr w:type="spellEnd"/>
      <w:r w:rsidR="004334A4" w:rsidRPr="005C0994">
        <w:rPr>
          <w:rFonts w:asciiTheme="majorHAnsi" w:hAnsiTheme="majorHAnsi"/>
          <w:bCs/>
          <w:color w:val="auto"/>
          <w:sz w:val="20"/>
          <w:szCs w:val="20"/>
        </w:rPr>
        <w:t xml:space="preserve"> as the “wetback from California</w:t>
      </w:r>
      <w:r w:rsidR="002B67D0" w:rsidRPr="005C0994">
        <w:rPr>
          <w:rFonts w:asciiTheme="majorHAnsi" w:hAnsiTheme="majorHAnsi"/>
          <w:bCs/>
          <w:color w:val="auto"/>
          <w:sz w:val="20"/>
          <w:szCs w:val="20"/>
        </w:rPr>
        <w:t>.</w:t>
      </w:r>
      <w:r w:rsidR="004334A4" w:rsidRPr="005C0994">
        <w:rPr>
          <w:rFonts w:asciiTheme="majorHAnsi" w:hAnsiTheme="majorHAnsi"/>
          <w:bCs/>
          <w:color w:val="auto"/>
          <w:sz w:val="20"/>
          <w:szCs w:val="20"/>
        </w:rPr>
        <w:t>”</w:t>
      </w:r>
      <w:r w:rsidR="002B67D0" w:rsidRPr="005C0994">
        <w:rPr>
          <w:rFonts w:asciiTheme="majorHAnsi" w:hAnsiTheme="majorHAnsi"/>
          <w:bCs/>
          <w:color w:val="auto"/>
          <w:sz w:val="20"/>
          <w:szCs w:val="20"/>
        </w:rPr>
        <w:t xml:space="preserve"> </w:t>
      </w:r>
      <w:r w:rsidR="00D10E59" w:rsidRPr="005C0994">
        <w:rPr>
          <w:rFonts w:asciiTheme="majorHAnsi" w:hAnsiTheme="majorHAnsi"/>
          <w:bCs/>
          <w:color w:val="auto"/>
          <w:sz w:val="20"/>
          <w:szCs w:val="20"/>
        </w:rPr>
        <w:t>This is</w:t>
      </w:r>
      <w:r w:rsidR="00762CE4" w:rsidRPr="005C0994">
        <w:rPr>
          <w:rFonts w:asciiTheme="majorHAnsi" w:hAnsiTheme="majorHAnsi"/>
          <w:bCs/>
          <w:color w:val="auto"/>
          <w:sz w:val="20"/>
          <w:szCs w:val="20"/>
        </w:rPr>
        <w:t xml:space="preserve"> undoubtedly</w:t>
      </w:r>
      <w:r w:rsidR="002B67D0" w:rsidRPr="005C0994">
        <w:rPr>
          <w:rFonts w:asciiTheme="majorHAnsi" w:hAnsiTheme="majorHAnsi"/>
          <w:bCs/>
          <w:color w:val="auto"/>
          <w:sz w:val="20"/>
          <w:szCs w:val="20"/>
        </w:rPr>
        <w:t xml:space="preserve"> a pejorative and discriminatory expression</w:t>
      </w:r>
      <w:r w:rsidR="008F019D" w:rsidRPr="005C0994">
        <w:rPr>
          <w:rFonts w:asciiTheme="majorHAnsi" w:hAnsiTheme="majorHAnsi"/>
          <w:bCs/>
          <w:color w:val="auto"/>
          <w:sz w:val="20"/>
          <w:szCs w:val="20"/>
        </w:rPr>
        <w:t>, and its use is even more reprehensible when it comes from a law enforcement agent.</w:t>
      </w:r>
      <w:r w:rsidR="002B67D0" w:rsidRPr="005C0994">
        <w:rPr>
          <w:rFonts w:asciiTheme="majorHAnsi" w:hAnsiTheme="majorHAnsi"/>
          <w:bCs/>
          <w:color w:val="auto"/>
          <w:sz w:val="20"/>
          <w:szCs w:val="20"/>
        </w:rPr>
        <w:t xml:space="preserve"> </w:t>
      </w:r>
      <w:r w:rsidR="001F5427" w:rsidRPr="005C0994">
        <w:rPr>
          <w:rFonts w:asciiTheme="majorHAnsi" w:hAnsiTheme="majorHAnsi"/>
          <w:bCs/>
          <w:color w:val="auto"/>
          <w:sz w:val="20"/>
          <w:szCs w:val="20"/>
        </w:rPr>
        <w:t xml:space="preserve"> </w:t>
      </w:r>
      <w:r w:rsidR="008F019D" w:rsidRPr="005C0994">
        <w:rPr>
          <w:rFonts w:asciiTheme="majorHAnsi" w:hAnsiTheme="majorHAnsi"/>
          <w:bCs/>
          <w:color w:val="auto"/>
          <w:sz w:val="20"/>
          <w:szCs w:val="20"/>
        </w:rPr>
        <w:t>This expression, however, is not by itself sufficient to establish that</w:t>
      </w:r>
      <w:r w:rsidR="008A023D" w:rsidRPr="005C0994">
        <w:rPr>
          <w:rFonts w:asciiTheme="majorHAnsi" w:hAnsiTheme="majorHAnsi"/>
          <w:bCs/>
          <w:color w:val="auto"/>
          <w:sz w:val="20"/>
          <w:szCs w:val="20"/>
        </w:rPr>
        <w:t xml:space="preserve"> the arrest and all the subsequent proceedings were tainted by discrimination.</w:t>
      </w:r>
    </w:p>
    <w:p w14:paraId="05EA65A7" w14:textId="77777777" w:rsidR="00B52D4D" w:rsidRPr="005C0994" w:rsidRDefault="00B52D4D" w:rsidP="00296EC2">
      <w:pPr>
        <w:pStyle w:val="ListParagraph"/>
        <w:rPr>
          <w:rFonts w:asciiTheme="majorHAnsi" w:hAnsiTheme="majorHAnsi"/>
          <w:bCs/>
          <w:color w:val="auto"/>
          <w:sz w:val="20"/>
          <w:szCs w:val="20"/>
        </w:rPr>
      </w:pPr>
    </w:p>
    <w:p w14:paraId="0C4A63CE" w14:textId="77777777" w:rsidR="00957C98" w:rsidRPr="005C0994" w:rsidRDefault="00296EC2" w:rsidP="003C79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5C0994">
        <w:rPr>
          <w:rFonts w:asciiTheme="majorHAnsi" w:hAnsiTheme="majorHAnsi"/>
          <w:bCs/>
          <w:color w:val="auto"/>
          <w:sz w:val="20"/>
          <w:szCs w:val="20"/>
        </w:rPr>
        <w:t>Regarding</w:t>
      </w:r>
      <w:r w:rsidR="008A023D" w:rsidRPr="005C0994">
        <w:rPr>
          <w:rFonts w:asciiTheme="majorHAnsi" w:hAnsiTheme="majorHAnsi"/>
          <w:bCs/>
          <w:color w:val="auto"/>
          <w:sz w:val="20"/>
          <w:szCs w:val="20"/>
        </w:rPr>
        <w:t xml:space="preserve"> petitioners</w:t>
      </w:r>
      <w:r w:rsidRPr="005C0994">
        <w:rPr>
          <w:rFonts w:asciiTheme="majorHAnsi" w:hAnsiTheme="majorHAnsi"/>
          <w:bCs/>
          <w:color w:val="auto"/>
          <w:sz w:val="20"/>
          <w:szCs w:val="20"/>
        </w:rPr>
        <w:t xml:space="preserve">’ claim that </w:t>
      </w:r>
      <w:r w:rsidR="008A023D" w:rsidRPr="005C0994">
        <w:rPr>
          <w:rFonts w:asciiTheme="majorHAnsi" w:hAnsiTheme="majorHAnsi"/>
          <w:bCs/>
          <w:color w:val="auto"/>
          <w:sz w:val="20"/>
          <w:szCs w:val="20"/>
        </w:rPr>
        <w:t xml:space="preserve">Mr. </w:t>
      </w:r>
      <w:proofErr w:type="spellStart"/>
      <w:r w:rsidR="008A023D" w:rsidRPr="005C0994">
        <w:rPr>
          <w:rFonts w:asciiTheme="majorHAnsi" w:hAnsiTheme="majorHAnsi"/>
          <w:bCs/>
          <w:color w:val="auto"/>
          <w:sz w:val="20"/>
          <w:szCs w:val="20"/>
        </w:rPr>
        <w:t>Loza</w:t>
      </w:r>
      <w:proofErr w:type="spellEnd"/>
      <w:r w:rsidRPr="005C0994">
        <w:rPr>
          <w:rFonts w:asciiTheme="majorHAnsi" w:hAnsiTheme="majorHAnsi"/>
          <w:bCs/>
          <w:color w:val="auto"/>
          <w:sz w:val="20"/>
          <w:szCs w:val="20"/>
        </w:rPr>
        <w:t xml:space="preserve"> was selectively prosecuted for capital offenses based on racial discrimination, the district court in the habeas petition granted a motion for leave to conduct discovery on the claim. The evidence produced was considered and the selective prosecution claim was denied. On appeal, the court </w:t>
      </w:r>
      <w:r w:rsidR="00957C98" w:rsidRPr="005C0994">
        <w:rPr>
          <w:rFonts w:asciiTheme="majorHAnsi" w:hAnsiTheme="majorHAnsi"/>
          <w:bCs/>
          <w:color w:val="auto"/>
          <w:sz w:val="20"/>
          <w:szCs w:val="20"/>
        </w:rPr>
        <w:t>established</w:t>
      </w:r>
      <w:r w:rsidRPr="005C0994">
        <w:rPr>
          <w:rFonts w:asciiTheme="majorHAnsi" w:hAnsiTheme="majorHAnsi"/>
          <w:bCs/>
          <w:color w:val="auto"/>
          <w:sz w:val="20"/>
          <w:szCs w:val="20"/>
        </w:rPr>
        <w:t xml:space="preserve"> that </w:t>
      </w:r>
      <w:r w:rsidR="00C47285">
        <w:rPr>
          <w:rFonts w:asciiTheme="majorHAnsi" w:hAnsiTheme="majorHAnsi"/>
          <w:sz w:val="20"/>
          <w:szCs w:val="20"/>
        </w:rPr>
        <w:t xml:space="preserve">the </w:t>
      </w:r>
      <w:r w:rsidR="00957C98" w:rsidRPr="005C0994">
        <w:rPr>
          <w:rFonts w:asciiTheme="majorHAnsi" w:hAnsiTheme="majorHAnsi"/>
          <w:sz w:val="20"/>
          <w:szCs w:val="20"/>
        </w:rPr>
        <w:t xml:space="preserve">defendant </w:t>
      </w:r>
      <w:r w:rsidR="00C47285">
        <w:rPr>
          <w:rFonts w:asciiTheme="majorHAnsi" w:hAnsiTheme="majorHAnsi"/>
          <w:sz w:val="20"/>
          <w:szCs w:val="20"/>
        </w:rPr>
        <w:t xml:space="preserve">did not </w:t>
      </w:r>
      <w:r w:rsidR="00957C98" w:rsidRPr="005C0994">
        <w:rPr>
          <w:rFonts w:asciiTheme="majorHAnsi" w:hAnsiTheme="majorHAnsi"/>
          <w:sz w:val="20"/>
          <w:szCs w:val="20"/>
        </w:rPr>
        <w:t>demonstrate that the prosecutorial policy “had a discriminatory effect and that it was motivated by a discriminatory purpose</w:t>
      </w:r>
      <w:r w:rsidR="00957C98" w:rsidRPr="00C47285">
        <w:rPr>
          <w:rFonts w:asciiTheme="majorHAnsi" w:hAnsiTheme="majorHAnsi"/>
          <w:sz w:val="20"/>
          <w:szCs w:val="20"/>
        </w:rPr>
        <w:t xml:space="preserve">.” </w:t>
      </w:r>
      <w:r w:rsidR="00C47285" w:rsidRPr="00C47285">
        <w:rPr>
          <w:rFonts w:asciiTheme="majorHAnsi" w:hAnsiTheme="majorHAnsi"/>
          <w:sz w:val="20"/>
          <w:szCs w:val="20"/>
        </w:rPr>
        <w:t>T</w:t>
      </w:r>
      <w:r w:rsidR="008A023D" w:rsidRPr="00C47285">
        <w:rPr>
          <w:rFonts w:asciiTheme="majorHAnsi" w:hAnsiTheme="majorHAnsi"/>
          <w:sz w:val="20"/>
          <w:szCs w:val="20"/>
        </w:rPr>
        <w:t>he</w:t>
      </w:r>
      <w:r w:rsidR="008A023D" w:rsidRPr="005C0994">
        <w:rPr>
          <w:rFonts w:asciiTheme="majorHAnsi" w:hAnsiTheme="majorHAnsi"/>
          <w:sz w:val="20"/>
          <w:szCs w:val="20"/>
        </w:rPr>
        <w:t xml:space="preserve"> Commission has no elements to arrive to a different conclusion</w:t>
      </w:r>
      <w:r w:rsidR="00957C98" w:rsidRPr="005C0994">
        <w:rPr>
          <w:rFonts w:asciiTheme="majorHAnsi" w:hAnsiTheme="majorHAnsi"/>
          <w:sz w:val="20"/>
          <w:szCs w:val="20"/>
        </w:rPr>
        <w:t xml:space="preserve">. </w:t>
      </w:r>
    </w:p>
    <w:p w14:paraId="1CE388CA" w14:textId="77777777" w:rsidR="002179AD" w:rsidRPr="005C0994" w:rsidRDefault="002179AD" w:rsidP="00C435B4">
      <w:pPr>
        <w:pStyle w:val="ListParagraph"/>
        <w:rPr>
          <w:rFonts w:asciiTheme="majorHAnsi" w:hAnsiTheme="majorHAnsi"/>
          <w:bCs/>
          <w:color w:val="auto"/>
          <w:sz w:val="20"/>
          <w:szCs w:val="20"/>
        </w:rPr>
      </w:pPr>
    </w:p>
    <w:p w14:paraId="600374A3" w14:textId="77777777" w:rsidR="00C435B4" w:rsidRPr="005C0994" w:rsidRDefault="00C435B4" w:rsidP="003C79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5C0994">
        <w:rPr>
          <w:rFonts w:asciiTheme="majorHAnsi" w:hAnsiTheme="majorHAnsi"/>
          <w:sz w:val="20"/>
          <w:szCs w:val="20"/>
        </w:rPr>
        <w:t xml:space="preserve">Based on the above information and considerations, the Commission </w:t>
      </w:r>
      <w:r w:rsidR="008A023D" w:rsidRPr="005C0994">
        <w:rPr>
          <w:rFonts w:asciiTheme="majorHAnsi" w:hAnsiTheme="majorHAnsi"/>
          <w:sz w:val="20"/>
          <w:szCs w:val="20"/>
        </w:rPr>
        <w:t>finds</w:t>
      </w:r>
      <w:r w:rsidRPr="005C0994">
        <w:rPr>
          <w:rFonts w:asciiTheme="majorHAnsi" w:hAnsiTheme="majorHAnsi"/>
          <w:sz w:val="20"/>
          <w:szCs w:val="20"/>
        </w:rPr>
        <w:t xml:space="preserve"> that</w:t>
      </w:r>
      <w:r w:rsidR="005C1EA5" w:rsidRPr="005C0994">
        <w:rPr>
          <w:rFonts w:asciiTheme="majorHAnsi" w:hAnsiTheme="majorHAnsi"/>
          <w:sz w:val="20"/>
          <w:szCs w:val="20"/>
        </w:rPr>
        <w:t xml:space="preserve"> there are no sufficient elements to conclude that Mr. </w:t>
      </w:r>
      <w:proofErr w:type="spellStart"/>
      <w:r w:rsidR="005C1EA5" w:rsidRPr="005C0994">
        <w:rPr>
          <w:rFonts w:asciiTheme="majorHAnsi" w:hAnsiTheme="majorHAnsi"/>
          <w:sz w:val="20"/>
          <w:szCs w:val="20"/>
        </w:rPr>
        <w:t>Loza</w:t>
      </w:r>
      <w:r w:rsidR="00947C4A" w:rsidRPr="005C0994">
        <w:rPr>
          <w:rFonts w:asciiTheme="majorHAnsi" w:hAnsiTheme="majorHAnsi"/>
          <w:sz w:val="20"/>
          <w:szCs w:val="20"/>
        </w:rPr>
        <w:t>’</w:t>
      </w:r>
      <w:r w:rsidR="005C1EA5" w:rsidRPr="005C0994">
        <w:rPr>
          <w:rFonts w:asciiTheme="majorHAnsi" w:hAnsiTheme="majorHAnsi"/>
          <w:sz w:val="20"/>
          <w:szCs w:val="20"/>
        </w:rPr>
        <w:t>s</w:t>
      </w:r>
      <w:proofErr w:type="spellEnd"/>
      <w:r w:rsidR="005C1EA5" w:rsidRPr="005C0994">
        <w:rPr>
          <w:rFonts w:asciiTheme="majorHAnsi" w:hAnsiTheme="majorHAnsi"/>
          <w:sz w:val="20"/>
          <w:szCs w:val="20"/>
        </w:rPr>
        <w:t xml:space="preserve"> arrest was illegal, arbitrary or discriminatory</w:t>
      </w:r>
      <w:r w:rsidR="00DC7F0B" w:rsidRPr="005C0994">
        <w:rPr>
          <w:rFonts w:asciiTheme="majorHAnsi" w:hAnsiTheme="majorHAnsi"/>
          <w:sz w:val="20"/>
          <w:szCs w:val="20"/>
        </w:rPr>
        <w:t>, or that he was selectively prosecuted for capital offenses based on ethnic discrimination</w:t>
      </w:r>
      <w:r w:rsidR="005C1EA5" w:rsidRPr="005C0994">
        <w:rPr>
          <w:rFonts w:asciiTheme="majorHAnsi" w:hAnsiTheme="majorHAnsi"/>
          <w:sz w:val="20"/>
          <w:szCs w:val="20"/>
        </w:rPr>
        <w:t>.</w:t>
      </w:r>
    </w:p>
    <w:p w14:paraId="7F9E8773" w14:textId="77777777" w:rsidR="004F65A8" w:rsidRPr="005C0994" w:rsidRDefault="004F65A8" w:rsidP="00351CD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360"/>
        <w:jc w:val="both"/>
        <w:rPr>
          <w:rFonts w:asciiTheme="majorHAnsi" w:hAnsiTheme="majorHAnsi"/>
          <w:bCs/>
          <w:sz w:val="20"/>
          <w:szCs w:val="20"/>
        </w:rPr>
      </w:pPr>
    </w:p>
    <w:p w14:paraId="7FBF38BD" w14:textId="77777777" w:rsidR="006B5C2E" w:rsidRPr="005C0994" w:rsidRDefault="006B5C2E" w:rsidP="009C6457">
      <w:pPr>
        <w:pStyle w:val="Heading2"/>
        <w:numPr>
          <w:ilvl w:val="0"/>
          <w:numId w:val="61"/>
        </w:numPr>
        <w:tabs>
          <w:tab w:val="left" w:pos="360"/>
        </w:tabs>
        <w:spacing w:before="0"/>
        <w:ind w:left="0" w:firstLine="0"/>
        <w:jc w:val="both"/>
        <w:rPr>
          <w:color w:val="auto"/>
          <w:sz w:val="20"/>
          <w:szCs w:val="20"/>
        </w:rPr>
      </w:pPr>
      <w:bookmarkStart w:id="30" w:name="_Toc90297882"/>
      <w:r w:rsidRPr="005C0994">
        <w:rPr>
          <w:color w:val="auto"/>
          <w:sz w:val="20"/>
          <w:szCs w:val="20"/>
        </w:rPr>
        <w:t>Right not to receive cruel, infamous or unusual punishment</w:t>
      </w:r>
      <w:r w:rsidR="008E1322" w:rsidRPr="005C0994">
        <w:rPr>
          <w:rStyle w:val="FootnoteReference"/>
          <w:color w:val="auto"/>
          <w:sz w:val="20"/>
          <w:szCs w:val="20"/>
        </w:rPr>
        <w:footnoteReference w:id="67"/>
      </w:r>
      <w:bookmarkEnd w:id="30"/>
      <w:r w:rsidRPr="005C0994">
        <w:rPr>
          <w:color w:val="auto"/>
          <w:sz w:val="20"/>
          <w:szCs w:val="20"/>
        </w:rPr>
        <w:t xml:space="preserve"> </w:t>
      </w:r>
    </w:p>
    <w:p w14:paraId="65F0B580" w14:textId="77777777" w:rsidR="00801C7F" w:rsidRPr="005C0994" w:rsidRDefault="00801C7F" w:rsidP="00801C7F">
      <w:pPr>
        <w:tabs>
          <w:tab w:val="left" w:pos="360"/>
        </w:tabs>
        <w:rPr>
          <w:b/>
          <w:sz w:val="20"/>
          <w:szCs w:val="20"/>
        </w:rPr>
      </w:pPr>
    </w:p>
    <w:p w14:paraId="5E6FDFAB" w14:textId="77777777" w:rsidR="006B5C2E" w:rsidRPr="005C0994" w:rsidRDefault="00801C7F" w:rsidP="00B9441F">
      <w:pPr>
        <w:pStyle w:val="Heading3"/>
        <w:numPr>
          <w:ilvl w:val="0"/>
          <w:numId w:val="68"/>
        </w:numPr>
        <w:spacing w:before="0"/>
        <w:ind w:left="360"/>
        <w:rPr>
          <w:color w:val="auto"/>
          <w:sz w:val="20"/>
          <w:szCs w:val="20"/>
        </w:rPr>
      </w:pPr>
      <w:bookmarkStart w:id="31" w:name="_Toc90297883"/>
      <w:r w:rsidRPr="005C0994">
        <w:rPr>
          <w:color w:val="auto"/>
          <w:sz w:val="20"/>
          <w:szCs w:val="20"/>
        </w:rPr>
        <w:t>Method of execution</w:t>
      </w:r>
      <w:bookmarkEnd w:id="31"/>
    </w:p>
    <w:p w14:paraId="04E479BE" w14:textId="77777777" w:rsidR="00801C7F" w:rsidRPr="005C0994" w:rsidRDefault="00801C7F" w:rsidP="00801C7F">
      <w:pPr>
        <w:pStyle w:val="ListParagraph"/>
        <w:tabs>
          <w:tab w:val="left" w:pos="360"/>
        </w:tabs>
        <w:ind w:left="0"/>
        <w:rPr>
          <w:b/>
          <w:sz w:val="20"/>
          <w:szCs w:val="20"/>
        </w:rPr>
      </w:pPr>
    </w:p>
    <w:p w14:paraId="4C1F209A" w14:textId="77777777" w:rsidR="00F91540" w:rsidRPr="005C0994" w:rsidRDefault="00F91540" w:rsidP="00F9154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In capital cases the State has an enhanced obligation to ensure that the person sentenced to death has access to all the relevant information regarding the manner in which he or she is going to die. In particular, the convicted person must have access to information related to the precise procedures to be followed, the drugs and doses to be used in case of executions by lethal injection, and the composition of the execution team as well as the training of its members.</w:t>
      </w:r>
      <w:r w:rsidRPr="005C0994">
        <w:rPr>
          <w:rStyle w:val="FootnoteReference"/>
          <w:rFonts w:asciiTheme="majorHAnsi" w:hAnsiTheme="majorHAnsi"/>
          <w:sz w:val="20"/>
          <w:szCs w:val="20"/>
        </w:rPr>
        <w:footnoteReference w:id="68"/>
      </w:r>
      <w:r w:rsidRPr="005C0994">
        <w:rPr>
          <w:rStyle w:val="FootnoteReference"/>
          <w:rFonts w:asciiTheme="majorHAnsi" w:hAnsiTheme="majorHAnsi"/>
          <w:sz w:val="20"/>
          <w:szCs w:val="20"/>
        </w:rPr>
        <w:t xml:space="preserve"> </w:t>
      </w:r>
      <w:r w:rsidRPr="005C0994">
        <w:rPr>
          <w:rFonts w:ascii="Cambria" w:hAnsi="Cambria"/>
          <w:sz w:val="20"/>
          <w:szCs w:val="20"/>
        </w:rPr>
        <w:t xml:space="preserve"> </w:t>
      </w:r>
    </w:p>
    <w:p w14:paraId="61327EB9" w14:textId="77777777" w:rsidR="00F91540" w:rsidRPr="005C0994" w:rsidRDefault="00F91540" w:rsidP="00F91540">
      <w:pPr>
        <w:pStyle w:val="NormalWeb"/>
        <w:shd w:val="clear" w:color="auto" w:fill="FFFFFF"/>
        <w:tabs>
          <w:tab w:val="left" w:pos="360"/>
        </w:tabs>
        <w:spacing w:before="0" w:beforeAutospacing="0" w:after="0" w:afterAutospacing="0"/>
        <w:jc w:val="both"/>
        <w:rPr>
          <w:rFonts w:ascii="Cambria" w:hAnsi="Cambria"/>
          <w:sz w:val="20"/>
          <w:szCs w:val="20"/>
        </w:rPr>
      </w:pPr>
    </w:p>
    <w:p w14:paraId="693463AF" w14:textId="77777777" w:rsidR="00F91540" w:rsidRPr="005C0994" w:rsidRDefault="00F91540" w:rsidP="00F9154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Any person subjected to the death penalty must have the opportunity to challenge every aspect of the execution procedure and such information is necessary to file a challenge. The IACHR notes in this regard that the due process requirement is not limited to the conviction and post-conviction proceedings.</w:t>
      </w:r>
      <w:r w:rsidRPr="005C0994">
        <w:rPr>
          <w:rStyle w:val="FootnoteReference"/>
          <w:rFonts w:asciiTheme="majorHAnsi" w:hAnsiTheme="majorHAnsi"/>
          <w:sz w:val="20"/>
          <w:szCs w:val="20"/>
        </w:rPr>
        <w:footnoteReference w:id="69"/>
      </w:r>
      <w:r w:rsidRPr="005C0994">
        <w:rPr>
          <w:rStyle w:val="FootnoteReference"/>
          <w:rFonts w:asciiTheme="majorHAnsi" w:hAnsiTheme="majorHAnsi"/>
        </w:rPr>
        <w:t xml:space="preserve"> </w:t>
      </w:r>
      <w:r w:rsidRPr="005C0994">
        <w:rPr>
          <w:rFonts w:ascii="Cambria" w:hAnsi="Cambria"/>
          <w:sz w:val="20"/>
          <w:szCs w:val="20"/>
        </w:rPr>
        <w:t xml:space="preserve"> Therefore, the State has the duty to inform the person sentenced to death, in a timely manner, about the drug and method of execution that will be used, so he or she is not precluded from litigating the right to be executed in a manner devoid of cruel and unusual suffering.    </w:t>
      </w:r>
    </w:p>
    <w:p w14:paraId="19E120AB" w14:textId="77777777" w:rsidR="00F91540" w:rsidRPr="005C0994" w:rsidRDefault="00F91540" w:rsidP="00F91540">
      <w:pPr>
        <w:pStyle w:val="ListParagraph"/>
        <w:rPr>
          <w:sz w:val="20"/>
          <w:szCs w:val="20"/>
        </w:rPr>
      </w:pPr>
    </w:p>
    <w:p w14:paraId="6CAF0FC4" w14:textId="77777777" w:rsidR="00F91540" w:rsidRPr="005C0994" w:rsidRDefault="00F91540" w:rsidP="00F9154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Further, the IACHR highlights the reinforced special duty of the State to ensure that the method of execution does not constitute cruel, infamous or unusual punishment. In this regard, the U.N. Special Rapporteur on torture and other cruel, inhuman or degrading treatment or punishment stated that “[t]</w:t>
      </w:r>
      <w:r w:rsidRPr="005C0994">
        <w:rPr>
          <w:rFonts w:ascii="Cambria" w:hAnsi="Cambria" w:cs="TimesNewRomanPS"/>
          <w:color w:val="231F20"/>
          <w:sz w:val="20"/>
          <w:szCs w:val="20"/>
        </w:rPr>
        <w:t>he fact that a number of execution methods have been deemed to constitute torture or CIDT, together with a growing trend to review all methods of execution for their potential to cause severe pain and suffering, highlights the increasing difficulty with which a state may impose the death penalty without violating international law.”</w:t>
      </w:r>
      <w:r w:rsidRPr="005C0994">
        <w:rPr>
          <w:rStyle w:val="FootnoteReference"/>
          <w:rFonts w:asciiTheme="majorHAnsi" w:hAnsiTheme="majorHAnsi"/>
          <w:sz w:val="20"/>
          <w:szCs w:val="20"/>
        </w:rPr>
        <w:footnoteReference w:id="70"/>
      </w:r>
    </w:p>
    <w:p w14:paraId="12FCD5A1" w14:textId="77777777" w:rsidR="00F91540" w:rsidRPr="005C0994" w:rsidRDefault="00F91540" w:rsidP="00F91540">
      <w:pPr>
        <w:pStyle w:val="ListParagraph"/>
        <w:rPr>
          <w:sz w:val="20"/>
          <w:szCs w:val="20"/>
        </w:rPr>
      </w:pPr>
    </w:p>
    <w:p w14:paraId="089C4C0C" w14:textId="77777777" w:rsidR="00F91540" w:rsidRPr="005C0994" w:rsidRDefault="00F91540" w:rsidP="00F9154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The IACHR also notes that the United Nations Committee Against Torture received substantiated information indicating that executions in the United States can be accompanied by severe pain and suffering and requested the State to “carefully review its execution methods, in particular lethal injection, in order to prevent severe pain and suffering.”</w:t>
      </w:r>
      <w:r w:rsidRPr="005C0994">
        <w:rPr>
          <w:rStyle w:val="FootnoteReference"/>
          <w:rFonts w:asciiTheme="majorHAnsi" w:hAnsiTheme="majorHAnsi"/>
          <w:sz w:val="20"/>
          <w:szCs w:val="20"/>
        </w:rPr>
        <w:footnoteReference w:id="71"/>
      </w:r>
    </w:p>
    <w:p w14:paraId="6F1E1191" w14:textId="77777777" w:rsidR="005E4CF1" w:rsidRPr="005C0994" w:rsidRDefault="005E4CF1" w:rsidP="005E4CF1">
      <w:pPr>
        <w:pStyle w:val="ListParagraph"/>
        <w:rPr>
          <w:sz w:val="20"/>
          <w:szCs w:val="20"/>
        </w:rPr>
      </w:pPr>
    </w:p>
    <w:p w14:paraId="6F94E421" w14:textId="77777777" w:rsidR="001B4E52" w:rsidRPr="005C0994" w:rsidRDefault="00473197" w:rsidP="001B4E5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As of the time of adoption of the present report</w:t>
      </w:r>
      <w:r w:rsidR="00510142" w:rsidRPr="005C0994">
        <w:rPr>
          <w:rFonts w:ascii="Cambria" w:hAnsi="Cambria"/>
          <w:sz w:val="20"/>
          <w:szCs w:val="20"/>
        </w:rPr>
        <w:t>,</w:t>
      </w:r>
      <w:r w:rsidR="003659F2" w:rsidRPr="005C0994">
        <w:rPr>
          <w:rFonts w:ascii="Cambria" w:hAnsi="Cambria"/>
          <w:sz w:val="20"/>
          <w:szCs w:val="20"/>
        </w:rPr>
        <w:t xml:space="preserve"> the current Governor of Ohio,</w:t>
      </w:r>
      <w:r w:rsidR="00510142" w:rsidRPr="005C0994">
        <w:rPr>
          <w:rFonts w:ascii="Cambria" w:hAnsi="Cambria"/>
          <w:sz w:val="20"/>
          <w:szCs w:val="20"/>
        </w:rPr>
        <w:t xml:space="preserve"> Mike DeWine,</w:t>
      </w:r>
      <w:r w:rsidR="003659F2" w:rsidRPr="005C0994">
        <w:rPr>
          <w:rFonts w:ascii="Cambria" w:hAnsi="Cambria"/>
          <w:sz w:val="20"/>
          <w:szCs w:val="20"/>
        </w:rPr>
        <w:t xml:space="preserve"> communicated on February 19, 2019 that the State postponed the execution of inmates until a new method of carrying out executions is developed and deemed constitutional by the courts</w:t>
      </w:r>
      <w:r w:rsidRPr="005C0994">
        <w:rPr>
          <w:rFonts w:ascii="Cambria" w:hAnsi="Cambria"/>
          <w:sz w:val="20"/>
          <w:szCs w:val="20"/>
        </w:rPr>
        <w:t xml:space="preserve">. </w:t>
      </w:r>
      <w:r w:rsidR="00510142" w:rsidRPr="005C0994">
        <w:rPr>
          <w:rFonts w:ascii="Cambria" w:hAnsi="Cambria"/>
          <w:sz w:val="20"/>
          <w:szCs w:val="20"/>
        </w:rPr>
        <w:t xml:space="preserve">The state of Ohio had resumed the execution of inmates as of July 26, 2017. </w:t>
      </w:r>
      <w:r w:rsidR="003659F2" w:rsidRPr="005C0994">
        <w:rPr>
          <w:rFonts w:ascii="Cambria" w:hAnsi="Cambria"/>
          <w:sz w:val="20"/>
          <w:szCs w:val="20"/>
        </w:rPr>
        <w:t>The Governor ordered a review of the death penalty protocols after a federal magistrate judge opined that Ohio’s method of execution would subject a condemned prisoner to “severe paid and needless suffering</w:t>
      </w:r>
      <w:r w:rsidR="004E3879" w:rsidRPr="005C0994">
        <w:rPr>
          <w:rFonts w:ascii="Cambria" w:hAnsi="Cambria"/>
          <w:sz w:val="20"/>
          <w:szCs w:val="20"/>
        </w:rPr>
        <w:t>.</w:t>
      </w:r>
      <w:r w:rsidR="003659F2" w:rsidRPr="005C0994">
        <w:rPr>
          <w:rFonts w:ascii="Cambria" w:hAnsi="Cambria"/>
          <w:sz w:val="20"/>
          <w:szCs w:val="20"/>
        </w:rPr>
        <w:t>”</w:t>
      </w:r>
      <w:r w:rsidR="003659F2" w:rsidRPr="005C0994">
        <w:rPr>
          <w:rStyle w:val="FootnoteReference"/>
          <w:rFonts w:ascii="Cambria" w:hAnsi="Cambria"/>
          <w:sz w:val="20"/>
          <w:szCs w:val="20"/>
        </w:rPr>
        <w:footnoteReference w:id="72"/>
      </w:r>
    </w:p>
    <w:p w14:paraId="3E00BAF4" w14:textId="77777777" w:rsidR="001B4E52" w:rsidRPr="005C0994" w:rsidRDefault="001B4E52" w:rsidP="003659F2">
      <w:pPr>
        <w:rPr>
          <w:sz w:val="20"/>
          <w:szCs w:val="20"/>
        </w:rPr>
      </w:pPr>
    </w:p>
    <w:p w14:paraId="3D10EAF2" w14:textId="77777777" w:rsidR="001B4E52" w:rsidRPr="005C0994" w:rsidRDefault="001B4E52" w:rsidP="001B4E5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 xml:space="preserve">Based on the above considerations, and the uncertainty surrounding death penalty executions in </w:t>
      </w:r>
      <w:r w:rsidR="00D1134B" w:rsidRPr="005C0994">
        <w:rPr>
          <w:rFonts w:ascii="Cambria" w:hAnsi="Cambria"/>
          <w:sz w:val="20"/>
          <w:szCs w:val="20"/>
        </w:rPr>
        <w:t>Ohio</w:t>
      </w:r>
      <w:r w:rsidRPr="005C0994">
        <w:rPr>
          <w:rFonts w:ascii="Cambria" w:hAnsi="Cambria"/>
          <w:sz w:val="20"/>
          <w:szCs w:val="20"/>
        </w:rPr>
        <w:t xml:space="preserve">, the IACHR concludes that the State is exposing Mr. </w:t>
      </w:r>
      <w:proofErr w:type="spellStart"/>
      <w:r w:rsidR="00D1134B" w:rsidRPr="005C0994">
        <w:rPr>
          <w:rFonts w:ascii="Cambria" w:hAnsi="Cambria"/>
          <w:sz w:val="20"/>
          <w:szCs w:val="20"/>
        </w:rPr>
        <w:t>Loza</w:t>
      </w:r>
      <w:proofErr w:type="spellEnd"/>
      <w:r w:rsidRPr="005C0994">
        <w:rPr>
          <w:rFonts w:ascii="Cambria" w:hAnsi="Cambria"/>
          <w:sz w:val="20"/>
          <w:szCs w:val="20"/>
        </w:rPr>
        <w:t xml:space="preserve"> to anguish and fear that amount to a violation of his right to humane treatment and not to receive cruel, infamous or unusual punishment set forth in Articles XXV and XXVI of the Declaration. </w:t>
      </w:r>
    </w:p>
    <w:p w14:paraId="4D122A9E" w14:textId="77777777" w:rsidR="00801C7F" w:rsidRPr="005C0994" w:rsidRDefault="00801C7F" w:rsidP="00801C7F">
      <w:pPr>
        <w:pStyle w:val="ListParagraph"/>
        <w:tabs>
          <w:tab w:val="left" w:pos="360"/>
        </w:tabs>
        <w:rPr>
          <w:sz w:val="20"/>
          <w:szCs w:val="20"/>
        </w:rPr>
      </w:pPr>
    </w:p>
    <w:p w14:paraId="4CF9CE08" w14:textId="77777777" w:rsidR="00801C7F" w:rsidRPr="005C0994" w:rsidRDefault="00BB76B9" w:rsidP="003752A9">
      <w:pPr>
        <w:pStyle w:val="Heading3"/>
        <w:numPr>
          <w:ilvl w:val="3"/>
          <w:numId w:val="53"/>
        </w:numPr>
        <w:spacing w:before="0"/>
        <w:ind w:left="360"/>
        <w:jc w:val="both"/>
        <w:rPr>
          <w:color w:val="auto"/>
          <w:sz w:val="20"/>
          <w:szCs w:val="20"/>
        </w:rPr>
      </w:pPr>
      <w:bookmarkStart w:id="32" w:name="_Toc90297884"/>
      <w:r w:rsidRPr="005C0994">
        <w:rPr>
          <w:color w:val="auto"/>
          <w:sz w:val="20"/>
          <w:szCs w:val="20"/>
        </w:rPr>
        <w:t>The d</w:t>
      </w:r>
      <w:r w:rsidR="00801C7F" w:rsidRPr="005C0994">
        <w:rPr>
          <w:color w:val="auto"/>
          <w:sz w:val="20"/>
          <w:szCs w:val="20"/>
        </w:rPr>
        <w:t>eprivation of liberty on death row</w:t>
      </w:r>
      <w:bookmarkEnd w:id="32"/>
      <w:r w:rsidRPr="005C0994">
        <w:rPr>
          <w:color w:val="auto"/>
          <w:sz w:val="20"/>
          <w:szCs w:val="20"/>
        </w:rPr>
        <w:t xml:space="preserve"> </w:t>
      </w:r>
    </w:p>
    <w:p w14:paraId="2661F28F" w14:textId="77777777" w:rsidR="00801C7F" w:rsidRPr="005C0994" w:rsidRDefault="00801C7F" w:rsidP="00801C7F">
      <w:pPr>
        <w:pStyle w:val="ListParagraph"/>
        <w:tabs>
          <w:tab w:val="left" w:pos="360"/>
        </w:tabs>
        <w:ind w:left="0"/>
        <w:rPr>
          <w:b/>
          <w:sz w:val="20"/>
          <w:szCs w:val="20"/>
        </w:rPr>
      </w:pPr>
    </w:p>
    <w:p w14:paraId="16A30FC6" w14:textId="77777777" w:rsidR="00BE3560" w:rsidRPr="005C0994" w:rsidRDefault="003A5E9B" w:rsidP="00BE356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szCs w:val="20"/>
        </w:rPr>
        <w:t>In both international human rights law and comparative law, the issue of long term deprivation of liberty on death row, known as the “death row phenomenon,” has been developed for decades, in light of the prohibition of cruel, inhuman or degrading punishment in Constitutions and in multiple international treaties, including the American Declaration (Articles XXV and XXVI).</w:t>
      </w:r>
      <w:r w:rsidRPr="005C0994">
        <w:rPr>
          <w:rFonts w:ascii="Cambria" w:eastAsia="Arial Unicode MS" w:hAnsi="Cambria"/>
          <w:sz w:val="20"/>
          <w:bdr w:val="nil"/>
          <w:vertAlign w:val="superscript"/>
        </w:rPr>
        <w:footnoteReference w:id="73"/>
      </w:r>
      <w:r w:rsidRPr="005C0994">
        <w:rPr>
          <w:rFonts w:ascii="Cambria" w:eastAsia="Arial Unicode MS" w:hAnsi="Cambria"/>
          <w:sz w:val="20"/>
          <w:bdr w:val="nil"/>
          <w:vertAlign w:val="superscript"/>
        </w:rPr>
        <w:t xml:space="preserve"> </w:t>
      </w:r>
      <w:r w:rsidRPr="005C0994">
        <w:rPr>
          <w:rFonts w:ascii="Cambria" w:hAnsi="Cambria"/>
          <w:sz w:val="20"/>
          <w:szCs w:val="20"/>
        </w:rPr>
        <w:t xml:space="preserve">Based on those standards, in the case of Russell </w:t>
      </w:r>
      <w:proofErr w:type="spellStart"/>
      <w:r w:rsidRPr="005C0994">
        <w:rPr>
          <w:rFonts w:ascii="Cambria" w:hAnsi="Cambria"/>
          <w:sz w:val="20"/>
          <w:szCs w:val="20"/>
        </w:rPr>
        <w:t>Bucklew</w:t>
      </w:r>
      <w:proofErr w:type="spellEnd"/>
      <w:r w:rsidRPr="005C0994">
        <w:rPr>
          <w:rFonts w:ascii="Cambria" w:hAnsi="Cambria"/>
          <w:sz w:val="20"/>
          <w:szCs w:val="20"/>
        </w:rPr>
        <w:t xml:space="preserve"> the IACHR found that “the very fact of spending 20 years on death row is, by any account, excessive and inhuman.”</w:t>
      </w:r>
      <w:r w:rsidRPr="005C0994">
        <w:rPr>
          <w:rFonts w:ascii="Cambria" w:eastAsia="Arial Unicode MS" w:hAnsi="Cambria"/>
          <w:sz w:val="20"/>
          <w:bdr w:val="nil"/>
          <w:vertAlign w:val="superscript"/>
        </w:rPr>
        <w:footnoteReference w:id="74"/>
      </w:r>
    </w:p>
    <w:p w14:paraId="08A0DEC6" w14:textId="77777777" w:rsidR="00BE3560" w:rsidRPr="005C0994" w:rsidRDefault="00BE3560" w:rsidP="00BE3560">
      <w:pPr>
        <w:pStyle w:val="NormalWeb"/>
        <w:shd w:val="clear" w:color="auto" w:fill="FFFFFF"/>
        <w:tabs>
          <w:tab w:val="left" w:pos="360"/>
        </w:tabs>
        <w:spacing w:before="0" w:beforeAutospacing="0" w:after="0" w:afterAutospacing="0"/>
        <w:jc w:val="both"/>
        <w:rPr>
          <w:rFonts w:ascii="Cambria" w:hAnsi="Cambria"/>
          <w:sz w:val="20"/>
          <w:szCs w:val="20"/>
        </w:rPr>
      </w:pPr>
    </w:p>
    <w:p w14:paraId="1E8EFC1E" w14:textId="77777777" w:rsidR="00BE3560" w:rsidRPr="005C0994" w:rsidRDefault="003A5E9B" w:rsidP="00BE356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rPr>
        <w:t>Specifically regarding the matter of prolonged solitary confinement on death row, the Inter-American Commission has determined that deprivation of liberty under certain conditions on death row, including solitary confinement for four years, constituted inhuman treatment.</w:t>
      </w:r>
      <w:r w:rsidRPr="005C0994">
        <w:rPr>
          <w:rFonts w:ascii="Cambria" w:eastAsia="Arial Unicode MS" w:hAnsi="Cambria"/>
          <w:sz w:val="20"/>
          <w:bdr w:val="nil"/>
          <w:vertAlign w:val="superscript"/>
        </w:rPr>
        <w:footnoteReference w:id="75"/>
      </w:r>
      <w:r w:rsidRPr="005C0994">
        <w:rPr>
          <w:rFonts w:ascii="Cambria" w:eastAsia="Arial Unicode MS" w:hAnsi="Cambria"/>
          <w:sz w:val="20"/>
          <w:bdr w:val="nil"/>
          <w:vertAlign w:val="superscript"/>
        </w:rPr>
        <w:t xml:space="preserve">   </w:t>
      </w:r>
      <w:r w:rsidRPr="005C0994">
        <w:rPr>
          <w:rFonts w:ascii="Cambria" w:hAnsi="Cambria"/>
          <w:sz w:val="20"/>
        </w:rPr>
        <w:t xml:space="preserve">  </w:t>
      </w:r>
    </w:p>
    <w:p w14:paraId="6E6AC87D" w14:textId="77777777" w:rsidR="00BE3560" w:rsidRPr="005C0994" w:rsidRDefault="00BE3560" w:rsidP="00BE3560">
      <w:pPr>
        <w:pStyle w:val="ListParagraph"/>
        <w:rPr>
          <w:sz w:val="20"/>
        </w:rPr>
      </w:pPr>
    </w:p>
    <w:p w14:paraId="119A4917" w14:textId="77777777" w:rsidR="003A5E9B" w:rsidRPr="005C0994" w:rsidRDefault="003A5E9B" w:rsidP="00BE356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5C0994">
        <w:rPr>
          <w:rFonts w:ascii="Cambria" w:hAnsi="Cambria"/>
          <w:sz w:val="20"/>
        </w:rPr>
        <w:t xml:space="preserve">The UN Special Rapporteur on Torture has found that: </w:t>
      </w:r>
    </w:p>
    <w:p w14:paraId="66F2BD90" w14:textId="77777777" w:rsidR="003A5E9B" w:rsidRPr="005C0994" w:rsidRDefault="003A5E9B" w:rsidP="003A5E9B">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rPr>
      </w:pPr>
    </w:p>
    <w:p w14:paraId="095F1EB9" w14:textId="77777777" w:rsidR="003A5E9B" w:rsidRPr="005C0994" w:rsidRDefault="003A5E9B" w:rsidP="003A5E9B">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rPr>
      </w:pPr>
      <w:r w:rsidRPr="005C0994">
        <w:rPr>
          <w:rFonts w:ascii="Cambria" w:eastAsia="Times New Roman" w:hAnsi="Cambria"/>
          <w:sz w:val="18"/>
          <w:szCs w:val="18"/>
        </w:rPr>
        <w:t>Individuals held in solitary confinement suffer extreme forms of sensory deprivation, anxiety and exclusion, clearly surpassing lawful conditions of deprivation of liberty. Solitary confinement, in combination with the foreknowledge of death and the uncertainty of whether or when an execution is to take place, contributes to the risk of serious and irreparable mental and physical harm and suffering to the inmate. Solitary confinement used on death row is by definition prolonged and indefinite and thus constitutes cruel, inhuman or degrading treatment or punishment or even torture.</w:t>
      </w:r>
      <w:r w:rsidRPr="005C0994">
        <w:rPr>
          <w:rFonts w:ascii="Cambria" w:eastAsia="Times New Roman" w:hAnsi="Cambria"/>
          <w:sz w:val="18"/>
          <w:szCs w:val="18"/>
          <w:vertAlign w:val="superscript"/>
        </w:rPr>
        <w:footnoteReference w:id="76"/>
      </w:r>
    </w:p>
    <w:p w14:paraId="212A57C8" w14:textId="77777777" w:rsidR="003A5E9B" w:rsidRPr="005C0994" w:rsidRDefault="003A5E9B" w:rsidP="003A5E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14:paraId="70764C73" w14:textId="77777777" w:rsidR="003A5E9B" w:rsidRPr="005C0994" w:rsidRDefault="003A5E9B" w:rsidP="0033591F">
      <w:pPr>
        <w:pStyle w:val="NormalWeb"/>
        <w:numPr>
          <w:ilvl w:val="0"/>
          <w:numId w:val="55"/>
        </w:numPr>
        <w:shd w:val="clear" w:color="auto" w:fill="FFFFFF"/>
        <w:tabs>
          <w:tab w:val="left" w:pos="360"/>
          <w:tab w:val="left" w:pos="450"/>
        </w:tabs>
        <w:spacing w:before="0" w:beforeAutospacing="0" w:after="0" w:afterAutospacing="0"/>
        <w:ind w:left="0" w:firstLine="0"/>
        <w:jc w:val="both"/>
        <w:rPr>
          <w:rFonts w:ascii="Cambria" w:hAnsi="Cambria"/>
          <w:sz w:val="20"/>
        </w:rPr>
      </w:pPr>
      <w:r w:rsidRPr="005C0994">
        <w:rPr>
          <w:rFonts w:ascii="Cambria" w:hAnsi="Cambria"/>
          <w:sz w:val="20"/>
        </w:rPr>
        <w:t xml:space="preserve">As established in this report, Mr. </w:t>
      </w:r>
      <w:proofErr w:type="spellStart"/>
      <w:r w:rsidR="00E068E0" w:rsidRPr="005C0994">
        <w:rPr>
          <w:rFonts w:ascii="Cambria" w:hAnsi="Cambria"/>
          <w:sz w:val="20"/>
        </w:rPr>
        <w:t>Loza</w:t>
      </w:r>
      <w:proofErr w:type="spellEnd"/>
      <w:r w:rsidRPr="005C0994">
        <w:rPr>
          <w:rFonts w:ascii="Cambria" w:hAnsi="Cambria"/>
          <w:sz w:val="20"/>
        </w:rPr>
        <w:t xml:space="preserve"> </w:t>
      </w:r>
      <w:r w:rsidR="00D73D78" w:rsidRPr="005C0994">
        <w:rPr>
          <w:rFonts w:ascii="Cambria" w:hAnsi="Cambria"/>
          <w:sz w:val="20"/>
        </w:rPr>
        <w:t>has been deprived of his liberty on death row for</w:t>
      </w:r>
      <w:r w:rsidRPr="005C0994">
        <w:rPr>
          <w:rFonts w:ascii="Cambria" w:hAnsi="Cambria"/>
          <w:sz w:val="20"/>
        </w:rPr>
        <w:t xml:space="preserve"> </w:t>
      </w:r>
      <w:r w:rsidR="00E068E0" w:rsidRPr="005C0994">
        <w:rPr>
          <w:rFonts w:ascii="Cambria" w:hAnsi="Cambria"/>
          <w:sz w:val="20"/>
        </w:rPr>
        <w:t xml:space="preserve">28 </w:t>
      </w:r>
      <w:r w:rsidRPr="005C0994">
        <w:rPr>
          <w:rFonts w:ascii="Cambria" w:hAnsi="Cambria"/>
          <w:sz w:val="20"/>
        </w:rPr>
        <w:t xml:space="preserve">years. The Commission notes that the very fact of spending </w:t>
      </w:r>
      <w:r w:rsidR="00E068E0" w:rsidRPr="005C0994">
        <w:rPr>
          <w:rFonts w:ascii="Cambria" w:hAnsi="Cambria"/>
          <w:sz w:val="20"/>
        </w:rPr>
        <w:t>28</w:t>
      </w:r>
      <w:r w:rsidRPr="005C0994">
        <w:rPr>
          <w:rFonts w:ascii="Cambria" w:hAnsi="Cambria"/>
          <w:sz w:val="20"/>
        </w:rPr>
        <w:t xml:space="preserve"> years on death row is, by any account, excessive and inhuman, and is aggravated by the prolonged expectation that the death sentence could be executed. Consequently, the United States is responsible for violating, to the detriment of Mr. </w:t>
      </w:r>
      <w:proofErr w:type="spellStart"/>
      <w:r w:rsidR="00075E4E" w:rsidRPr="005C0994">
        <w:rPr>
          <w:rFonts w:ascii="Cambria" w:hAnsi="Cambria"/>
          <w:sz w:val="20"/>
        </w:rPr>
        <w:t>Loza</w:t>
      </w:r>
      <w:proofErr w:type="spellEnd"/>
      <w:r w:rsidRPr="005C0994">
        <w:rPr>
          <w:rFonts w:ascii="Cambria" w:hAnsi="Cambria"/>
          <w:sz w:val="20"/>
        </w:rPr>
        <w:t xml:space="preserve">, the right to humane treatment, and not to receive cruel, infamous or unusual punishment established in </w:t>
      </w:r>
      <w:r w:rsidR="00970813" w:rsidRPr="005C0994">
        <w:rPr>
          <w:rFonts w:ascii="Cambria" w:hAnsi="Cambria"/>
          <w:sz w:val="20"/>
        </w:rPr>
        <w:t xml:space="preserve">Articles XXV and XXVI of </w:t>
      </w:r>
      <w:r w:rsidRPr="005C0994">
        <w:rPr>
          <w:rFonts w:ascii="Cambria" w:hAnsi="Cambria"/>
          <w:sz w:val="20"/>
        </w:rPr>
        <w:t xml:space="preserve">the American Declaration.  </w:t>
      </w:r>
    </w:p>
    <w:p w14:paraId="055FCBD8" w14:textId="77777777" w:rsidR="00801C7F" w:rsidRPr="005C0994" w:rsidRDefault="00801C7F" w:rsidP="00801C7F">
      <w:pPr>
        <w:pStyle w:val="NormalWeb"/>
        <w:shd w:val="clear" w:color="auto" w:fill="FFFFFF"/>
        <w:tabs>
          <w:tab w:val="left" w:pos="360"/>
        </w:tabs>
        <w:spacing w:before="0" w:beforeAutospacing="0" w:after="0" w:afterAutospacing="0"/>
        <w:jc w:val="both"/>
        <w:rPr>
          <w:sz w:val="20"/>
          <w:szCs w:val="20"/>
        </w:rPr>
      </w:pPr>
    </w:p>
    <w:p w14:paraId="471BDEE2" w14:textId="77777777" w:rsidR="00801C7F" w:rsidRPr="005C0994" w:rsidRDefault="00375D88" w:rsidP="00B9441F">
      <w:pPr>
        <w:pStyle w:val="Heading2"/>
        <w:numPr>
          <w:ilvl w:val="0"/>
          <w:numId w:val="68"/>
        </w:numPr>
        <w:tabs>
          <w:tab w:val="left" w:pos="360"/>
        </w:tabs>
        <w:spacing w:before="0"/>
        <w:ind w:left="0" w:firstLine="0"/>
        <w:jc w:val="both"/>
        <w:rPr>
          <w:color w:val="auto"/>
          <w:sz w:val="20"/>
          <w:szCs w:val="20"/>
        </w:rPr>
      </w:pPr>
      <w:bookmarkStart w:id="33" w:name="_Toc90297885"/>
      <w:r w:rsidRPr="005C0994">
        <w:rPr>
          <w:color w:val="auto"/>
          <w:sz w:val="20"/>
          <w:szCs w:val="20"/>
        </w:rPr>
        <w:t>R</w:t>
      </w:r>
      <w:r w:rsidR="002B4417" w:rsidRPr="005C0994">
        <w:rPr>
          <w:color w:val="auto"/>
          <w:sz w:val="20"/>
          <w:szCs w:val="20"/>
        </w:rPr>
        <w:t>ight to life</w:t>
      </w:r>
      <w:r w:rsidR="00C535F1" w:rsidRPr="005C0994">
        <w:rPr>
          <w:rStyle w:val="FootnoteReference"/>
          <w:color w:val="auto"/>
          <w:sz w:val="20"/>
          <w:szCs w:val="20"/>
        </w:rPr>
        <w:footnoteReference w:id="77"/>
      </w:r>
      <w:r w:rsidR="00DD5501" w:rsidRPr="005C0994">
        <w:rPr>
          <w:color w:val="auto"/>
          <w:sz w:val="20"/>
          <w:szCs w:val="20"/>
        </w:rPr>
        <w:t xml:space="preserve"> and to protection against cruel, infamous o</w:t>
      </w:r>
      <w:r w:rsidR="00224AA7" w:rsidRPr="005C0994">
        <w:rPr>
          <w:color w:val="auto"/>
          <w:sz w:val="20"/>
          <w:szCs w:val="20"/>
        </w:rPr>
        <w:t>r</w:t>
      </w:r>
      <w:r w:rsidR="00DD5501" w:rsidRPr="005C0994">
        <w:rPr>
          <w:color w:val="auto"/>
          <w:sz w:val="20"/>
          <w:szCs w:val="20"/>
        </w:rPr>
        <w:t xml:space="preserve"> unusual punishment with respect to the eventual execution of </w:t>
      </w:r>
      <w:r w:rsidR="00E068E0" w:rsidRPr="005C0994">
        <w:rPr>
          <w:color w:val="auto"/>
          <w:sz w:val="20"/>
          <w:szCs w:val="20"/>
        </w:rPr>
        <w:t xml:space="preserve">José Trinidad </w:t>
      </w:r>
      <w:proofErr w:type="spellStart"/>
      <w:r w:rsidR="00E068E0" w:rsidRPr="005C0994">
        <w:rPr>
          <w:color w:val="auto"/>
          <w:sz w:val="20"/>
          <w:szCs w:val="20"/>
        </w:rPr>
        <w:t>Loza</w:t>
      </w:r>
      <w:proofErr w:type="spellEnd"/>
      <w:r w:rsidR="00E068E0" w:rsidRPr="005C0994">
        <w:rPr>
          <w:color w:val="auto"/>
          <w:sz w:val="20"/>
          <w:szCs w:val="20"/>
        </w:rPr>
        <w:t xml:space="preserve"> Ventura</w:t>
      </w:r>
      <w:bookmarkEnd w:id="33"/>
    </w:p>
    <w:p w14:paraId="13424D89" w14:textId="77777777" w:rsidR="00867DA3" w:rsidRPr="005C0994" w:rsidRDefault="00867DA3" w:rsidP="00867DA3">
      <w:pPr>
        <w:rPr>
          <w:rFonts w:asciiTheme="majorHAnsi" w:hAnsiTheme="majorHAnsi"/>
          <w:sz w:val="20"/>
          <w:szCs w:val="20"/>
        </w:rPr>
      </w:pPr>
    </w:p>
    <w:p w14:paraId="71A5348B" w14:textId="77777777" w:rsidR="00BE3560" w:rsidRPr="005C0994" w:rsidRDefault="00BE3560" w:rsidP="003359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s>
        <w:ind w:left="0" w:firstLine="0"/>
        <w:jc w:val="both"/>
        <w:rPr>
          <w:rFonts w:ascii="Cambria" w:hAnsi="Cambria"/>
          <w:sz w:val="20"/>
          <w:szCs w:val="20"/>
        </w:rPr>
      </w:pPr>
      <w:r w:rsidRPr="005C0994">
        <w:rPr>
          <w:rFonts w:ascii="Cambria" w:hAnsi="Cambria"/>
          <w:sz w:val="20"/>
          <w:szCs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5C0994">
        <w:rPr>
          <w:rStyle w:val="FootnoteReference"/>
          <w:rFonts w:ascii="Cambria" w:hAnsi="Cambria"/>
          <w:sz w:val="20"/>
          <w:szCs w:val="20"/>
        </w:rPr>
        <w:footnoteReference w:id="78"/>
      </w:r>
    </w:p>
    <w:p w14:paraId="69DDA60A" w14:textId="77777777" w:rsidR="00BE3560" w:rsidRPr="005C0994" w:rsidRDefault="00BE3560" w:rsidP="00070187">
      <w:pPr>
        <w:rPr>
          <w:sz w:val="20"/>
          <w:szCs w:val="20"/>
        </w:rPr>
      </w:pPr>
    </w:p>
    <w:p w14:paraId="7737BD0C" w14:textId="77777777" w:rsidR="00BE3560" w:rsidRPr="009E5A64" w:rsidRDefault="00BE3560" w:rsidP="003359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s>
        <w:ind w:left="0" w:firstLine="0"/>
        <w:jc w:val="both"/>
        <w:rPr>
          <w:rFonts w:ascii="Cambria" w:hAnsi="Cambria"/>
          <w:sz w:val="20"/>
          <w:szCs w:val="20"/>
        </w:rPr>
      </w:pPr>
      <w:r w:rsidRPr="005C0994">
        <w:rPr>
          <w:rFonts w:ascii="Cambria" w:hAnsi="Cambria"/>
          <w:sz w:val="20"/>
          <w:szCs w:val="20"/>
        </w:rPr>
        <w:t>Under these circumstances, the IACHR has maintained that executing a person</w:t>
      </w:r>
      <w:r w:rsidR="002D5D4E" w:rsidRPr="005C0994">
        <w:rPr>
          <w:rFonts w:ascii="Cambria" w:hAnsi="Cambria"/>
          <w:sz w:val="20"/>
          <w:szCs w:val="20"/>
        </w:rPr>
        <w:t>,</w:t>
      </w:r>
      <w:r w:rsidRPr="005C0994">
        <w:rPr>
          <w:rFonts w:ascii="Cambria" w:hAnsi="Cambria"/>
          <w:sz w:val="20"/>
          <w:szCs w:val="20"/>
        </w:rPr>
        <w:t xml:space="preserve"> after proceedings that were conducted in violation of his rights</w:t>
      </w:r>
      <w:r w:rsidR="002D5D4E" w:rsidRPr="005C0994">
        <w:rPr>
          <w:rFonts w:ascii="Cambria" w:hAnsi="Cambria"/>
          <w:sz w:val="20"/>
          <w:szCs w:val="20"/>
        </w:rPr>
        <w:t>,</w:t>
      </w:r>
      <w:r w:rsidRPr="005C0994">
        <w:rPr>
          <w:rFonts w:ascii="Cambria" w:hAnsi="Cambria"/>
          <w:sz w:val="20"/>
          <w:szCs w:val="20"/>
        </w:rPr>
        <w:t xml:space="preserve"> would be extremely grave and constitute a deliberate violation of the right to life established in Article I of the American Declaration.</w:t>
      </w:r>
      <w:r w:rsidRPr="005C0994">
        <w:rPr>
          <w:rStyle w:val="FootnoteReference"/>
          <w:rFonts w:ascii="Cambria" w:hAnsi="Cambria"/>
          <w:sz w:val="20"/>
          <w:szCs w:val="20"/>
        </w:rPr>
        <w:footnoteReference w:id="79"/>
      </w:r>
      <w:r w:rsidRPr="005C0994">
        <w:rPr>
          <w:rFonts w:ascii="Cambria" w:hAnsi="Cambria"/>
          <w:sz w:val="20"/>
          <w:szCs w:val="20"/>
        </w:rPr>
        <w:t xml:space="preserve"> Further, based on the conclusions regarding the deprivation of liberty on death row, the eventual execution of Mr. </w:t>
      </w:r>
      <w:proofErr w:type="spellStart"/>
      <w:r w:rsidR="00070187" w:rsidRPr="005C0994">
        <w:rPr>
          <w:rFonts w:ascii="Cambria" w:hAnsi="Cambria"/>
          <w:sz w:val="20"/>
          <w:szCs w:val="20"/>
        </w:rPr>
        <w:t>Loza</w:t>
      </w:r>
      <w:proofErr w:type="spellEnd"/>
      <w:r w:rsidRPr="005C0994">
        <w:rPr>
          <w:rFonts w:ascii="Cambria" w:hAnsi="Cambria"/>
          <w:sz w:val="20"/>
          <w:szCs w:val="20"/>
        </w:rPr>
        <w:t xml:space="preserve"> would constitute, by any account, a violation of the right to protection against cruel, infamous or unusual punishment. In light of the foregoing and taking into account the determinations made throughout this report, the IACHR concludes that the execution of Mr. </w:t>
      </w:r>
      <w:proofErr w:type="spellStart"/>
      <w:r w:rsidR="00070187" w:rsidRPr="005C0994">
        <w:rPr>
          <w:rFonts w:ascii="Cambria" w:hAnsi="Cambria"/>
          <w:sz w:val="20"/>
          <w:szCs w:val="20"/>
        </w:rPr>
        <w:t>Loza</w:t>
      </w:r>
      <w:proofErr w:type="spellEnd"/>
      <w:r w:rsidRPr="005C0994">
        <w:rPr>
          <w:rFonts w:ascii="Cambria" w:hAnsi="Cambria"/>
          <w:sz w:val="20"/>
          <w:szCs w:val="20"/>
        </w:rPr>
        <w:t xml:space="preserve"> would constitute a serious violation of his right to life established in Articles I of the American Declaration</w:t>
      </w:r>
      <w:r w:rsidRPr="009E5A64">
        <w:rPr>
          <w:rFonts w:ascii="Cambria" w:hAnsi="Cambria"/>
          <w:sz w:val="20"/>
          <w:szCs w:val="20"/>
        </w:rPr>
        <w:t>.</w:t>
      </w:r>
    </w:p>
    <w:p w14:paraId="213644BF" w14:textId="77777777" w:rsidR="007F094E" w:rsidRPr="009E5A64" w:rsidRDefault="007F094E" w:rsidP="007F094E">
      <w:pPr>
        <w:pStyle w:val="ListParagraph"/>
        <w:rPr>
          <w:rFonts w:asciiTheme="majorHAnsi" w:hAnsiTheme="majorHAnsi"/>
          <w:sz w:val="20"/>
          <w:szCs w:val="20"/>
        </w:rPr>
      </w:pPr>
    </w:p>
    <w:p w14:paraId="39F82895" w14:textId="65A89F26" w:rsidR="007F094E" w:rsidRPr="009E5A64" w:rsidRDefault="007F094E" w:rsidP="007F094E">
      <w:pPr>
        <w:pStyle w:val="Heading1"/>
        <w:tabs>
          <w:tab w:val="left" w:pos="360"/>
        </w:tabs>
        <w:spacing w:before="0"/>
        <w:ind w:hanging="720"/>
        <w:rPr>
          <w:color w:val="auto"/>
          <w:sz w:val="20"/>
          <w:szCs w:val="20"/>
        </w:rPr>
      </w:pPr>
      <w:bookmarkStart w:id="34" w:name="_Toc45105400"/>
      <w:bookmarkStart w:id="35" w:name="_Toc47714178"/>
      <w:bookmarkStart w:id="36" w:name="_Toc87432711"/>
      <w:bookmarkStart w:id="37" w:name="_Toc90297886"/>
      <w:r w:rsidRPr="009E5A64">
        <w:rPr>
          <w:color w:val="auto"/>
          <w:sz w:val="20"/>
          <w:szCs w:val="20"/>
        </w:rPr>
        <w:t>REPORT No. 243/19 AND INFORMATION ABOUT COMPLIANCE</w:t>
      </w:r>
      <w:bookmarkEnd w:id="34"/>
      <w:bookmarkEnd w:id="35"/>
      <w:bookmarkEnd w:id="36"/>
      <w:bookmarkEnd w:id="37"/>
    </w:p>
    <w:p w14:paraId="0039A3C4" w14:textId="77777777" w:rsidR="007F094E" w:rsidRPr="009E5A64" w:rsidRDefault="007F094E" w:rsidP="007F094E">
      <w:pPr>
        <w:rPr>
          <w:rFonts w:asciiTheme="majorHAnsi" w:hAnsiTheme="majorHAnsi"/>
          <w:sz w:val="20"/>
          <w:szCs w:val="20"/>
        </w:rPr>
      </w:pPr>
    </w:p>
    <w:p w14:paraId="3E4C3C31" w14:textId="51B47C4E" w:rsidR="007F094E" w:rsidRPr="009E5A64" w:rsidRDefault="007F094E" w:rsidP="007F094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9E5A64">
        <w:rPr>
          <w:rFonts w:asciiTheme="majorHAnsi" w:hAnsiTheme="majorHAnsi"/>
          <w:sz w:val="20"/>
          <w:szCs w:val="20"/>
        </w:rPr>
        <w:t xml:space="preserve">On December 31, 2019, the Commission approved Report No. 243/19 on the </w:t>
      </w:r>
      <w:r w:rsidR="004D4A62" w:rsidRPr="009E5A64">
        <w:rPr>
          <w:rFonts w:asciiTheme="majorHAnsi" w:hAnsiTheme="majorHAnsi"/>
          <w:sz w:val="20"/>
          <w:szCs w:val="20"/>
        </w:rPr>
        <w:t xml:space="preserve">admissibility and </w:t>
      </w:r>
      <w:r w:rsidRPr="009E5A64">
        <w:rPr>
          <w:rFonts w:asciiTheme="majorHAnsi" w:hAnsiTheme="majorHAnsi"/>
          <w:sz w:val="20"/>
          <w:szCs w:val="20"/>
        </w:rPr>
        <w:t xml:space="preserve">merits of the instant case, which encompasses paragraphs 1 to 102 supra, and issued the following recommendations to the State: </w:t>
      </w:r>
    </w:p>
    <w:p w14:paraId="69B974A0" w14:textId="77777777" w:rsidR="007F094E" w:rsidRPr="005C0994" w:rsidRDefault="007F094E" w:rsidP="007F094E"/>
    <w:p w14:paraId="0ABC005C" w14:textId="77777777" w:rsidR="007F094E" w:rsidRPr="005C0994" w:rsidRDefault="007F094E" w:rsidP="007F094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5C0994">
        <w:rPr>
          <w:rFonts w:eastAsia="Times New Roman" w:cs="Tahoma"/>
          <w:sz w:val="20"/>
          <w:szCs w:val="20"/>
          <w:bdr w:val="none" w:sz="0" w:space="0" w:color="auto" w:frame="1"/>
        </w:rPr>
        <w:t xml:space="preserve">Grant </w:t>
      </w:r>
      <w:r w:rsidRPr="005C0994">
        <w:rPr>
          <w:rFonts w:asciiTheme="majorHAnsi" w:hAnsiTheme="majorHAnsi"/>
          <w:color w:val="auto"/>
          <w:sz w:val="20"/>
          <w:szCs w:val="20"/>
        </w:rPr>
        <w:t xml:space="preserve">José Trinidad </w:t>
      </w:r>
      <w:proofErr w:type="spellStart"/>
      <w:r w:rsidRPr="005C0994">
        <w:rPr>
          <w:rFonts w:asciiTheme="majorHAnsi" w:hAnsiTheme="majorHAnsi"/>
          <w:color w:val="auto"/>
          <w:sz w:val="20"/>
          <w:szCs w:val="20"/>
        </w:rPr>
        <w:t>Loza</w:t>
      </w:r>
      <w:proofErr w:type="spellEnd"/>
      <w:r w:rsidRPr="005C0994">
        <w:rPr>
          <w:rFonts w:asciiTheme="majorHAnsi" w:hAnsiTheme="majorHAnsi"/>
          <w:color w:val="auto"/>
          <w:sz w:val="20"/>
          <w:szCs w:val="20"/>
        </w:rPr>
        <w:t xml:space="preserve"> Ventura</w:t>
      </w:r>
      <w:r w:rsidRPr="005C0994">
        <w:rPr>
          <w:rFonts w:eastAsia="Times New Roman" w:cs="Tahoma"/>
          <w:sz w:val="20"/>
          <w:szCs w:val="20"/>
          <w:bdr w:val="none" w:sz="0" w:space="0" w:color="auto" w:frame="1"/>
        </w:rPr>
        <w:t xml:space="preserve"> effective relief, including the review of his trial and sentence in accordance with the guarantees of fair trial and due process set forth in Articles </w:t>
      </w:r>
      <w:r w:rsidRPr="005C0994">
        <w:rPr>
          <w:rFonts w:asciiTheme="majorHAnsi" w:hAnsiTheme="majorHAnsi"/>
          <w:color w:val="000000" w:themeColor="text1"/>
          <w:sz w:val="20"/>
          <w:szCs w:val="20"/>
        </w:rPr>
        <w:t xml:space="preserve">XVIII and XXVI </w:t>
      </w:r>
      <w:r w:rsidRPr="005C0994">
        <w:rPr>
          <w:rFonts w:eastAsia="Times New Roman" w:cs="Tahoma"/>
          <w:sz w:val="20"/>
          <w:szCs w:val="20"/>
          <w:bdr w:val="none" w:sz="0" w:space="0" w:color="auto" w:frame="1"/>
        </w:rPr>
        <w:t>of the American Declaration,</w:t>
      </w:r>
      <w:r w:rsidRPr="005C0994">
        <w:rPr>
          <w:rStyle w:val="FootnoteReference"/>
          <w:rFonts w:eastAsia="Times New Roman"/>
          <w:sz w:val="20"/>
          <w:szCs w:val="20"/>
          <w:bdr w:val="none" w:sz="0" w:space="0" w:color="auto" w:frame="1"/>
        </w:rPr>
        <w:footnoteReference w:id="80"/>
      </w:r>
      <w:r w:rsidRPr="005C0994">
        <w:rPr>
          <w:rFonts w:eastAsia="Times New Roman" w:cs="Tahoma"/>
          <w:sz w:val="20"/>
          <w:szCs w:val="20"/>
          <w:bdr w:val="none" w:sz="0" w:space="0" w:color="auto" w:frame="1"/>
        </w:rPr>
        <w:t xml:space="preserve"> and the payment of pecuniary compensation. </w:t>
      </w:r>
      <w:r w:rsidRPr="005C0994">
        <w:rPr>
          <w:rFonts w:cs="Arial"/>
          <w:color w:val="auto"/>
          <w:sz w:val="20"/>
          <w:szCs w:val="20"/>
        </w:rPr>
        <w:t xml:space="preserve">Taking into account the conclusions of the IACHR on the time </w:t>
      </w:r>
      <w:r w:rsidRPr="005C0994">
        <w:rPr>
          <w:rFonts w:asciiTheme="majorHAnsi" w:hAnsiTheme="majorHAnsi"/>
          <w:color w:val="auto"/>
          <w:sz w:val="20"/>
          <w:szCs w:val="20"/>
        </w:rPr>
        <w:t xml:space="preserve">José Trinidad </w:t>
      </w:r>
      <w:proofErr w:type="spellStart"/>
      <w:r w:rsidRPr="005C0994">
        <w:rPr>
          <w:rFonts w:asciiTheme="majorHAnsi" w:hAnsiTheme="majorHAnsi"/>
          <w:color w:val="auto"/>
          <w:sz w:val="20"/>
          <w:szCs w:val="20"/>
        </w:rPr>
        <w:t>Loza</w:t>
      </w:r>
      <w:proofErr w:type="spellEnd"/>
      <w:r w:rsidRPr="005C0994">
        <w:rPr>
          <w:rFonts w:asciiTheme="majorHAnsi" w:hAnsiTheme="majorHAnsi"/>
          <w:color w:val="auto"/>
          <w:sz w:val="20"/>
          <w:szCs w:val="20"/>
        </w:rPr>
        <w:t xml:space="preserve"> Ventura</w:t>
      </w:r>
      <w:r w:rsidRPr="005C0994">
        <w:rPr>
          <w:rFonts w:cs="Arial"/>
          <w:color w:val="auto"/>
          <w:sz w:val="20"/>
          <w:szCs w:val="20"/>
        </w:rPr>
        <w:t xml:space="preserve"> has been held on death row, the Commission recommends that his sentence be commuted</w:t>
      </w:r>
      <w:r w:rsidRPr="005C0994">
        <w:rPr>
          <w:rFonts w:eastAsia="Times New Roman" w:cs="Tahoma"/>
          <w:sz w:val="20"/>
          <w:szCs w:val="20"/>
          <w:bdr w:val="none" w:sz="0" w:space="0" w:color="auto" w:frame="1"/>
        </w:rPr>
        <w:t>.</w:t>
      </w:r>
    </w:p>
    <w:p w14:paraId="696681EA" w14:textId="77777777" w:rsidR="007F094E" w:rsidRPr="005C0994" w:rsidRDefault="007F094E" w:rsidP="007F094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1C92EC90" w14:textId="77777777" w:rsidR="007F094E" w:rsidRPr="005C0994" w:rsidRDefault="007F094E" w:rsidP="007F094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5C0994">
        <w:rPr>
          <w:sz w:val="20"/>
        </w:rPr>
        <w:t>Review its laws, procedures, and practices at the state, and if applicable, at the federal level to ensure that persons accused of capital crimes are tried and, if convicted, sentenced in accordance with the rights established in the American Declaration, including Articles I, XVIII, XXV and XXVI thereof, and, in particular:</w:t>
      </w:r>
    </w:p>
    <w:p w14:paraId="4B8A2222" w14:textId="77777777" w:rsidR="007F094E" w:rsidRPr="005C0994" w:rsidRDefault="007F094E" w:rsidP="007F094E">
      <w:pPr>
        <w:pStyle w:val="ListParagraph"/>
        <w:rPr>
          <w:rFonts w:asciiTheme="majorHAnsi" w:eastAsia="Times New Roman" w:hAnsiTheme="majorHAnsi" w:cs="Tahoma"/>
          <w:sz w:val="20"/>
          <w:szCs w:val="20"/>
          <w:bdr w:val="none" w:sz="0" w:space="0" w:color="auto"/>
        </w:rPr>
      </w:pPr>
    </w:p>
    <w:p w14:paraId="0D4C59AE" w14:textId="77777777" w:rsidR="007F094E" w:rsidRPr="005C0994" w:rsidRDefault="007F094E" w:rsidP="007F094E">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5C0994">
        <w:rPr>
          <w:rFonts w:asciiTheme="majorHAnsi" w:eastAsia="Times New Roman" w:hAnsiTheme="majorHAnsi" w:cs="Tahoma"/>
          <w:sz w:val="20"/>
          <w:szCs w:val="20"/>
          <w:bdr w:val="none" w:sz="0" w:space="0" w:color="auto"/>
        </w:rPr>
        <w:t xml:space="preserve">Ensure that </w:t>
      </w:r>
      <w:r w:rsidRPr="005C0994">
        <w:rPr>
          <w:rFonts w:asciiTheme="majorHAnsi" w:hAnsiTheme="majorHAnsi"/>
          <w:sz w:val="20"/>
          <w:szCs w:val="20"/>
        </w:rPr>
        <w:t>every foreign national deprived of his or her liberty is informed, without delay and prior to his or her first statement, of the right to request that consular authorities be immediately notified of his or her arrest or detention;</w:t>
      </w:r>
      <w:r w:rsidRPr="005C0994">
        <w:rPr>
          <w:rFonts w:asciiTheme="majorHAnsi" w:eastAsia="Times New Roman" w:hAnsiTheme="majorHAnsi" w:cs="Tahoma"/>
          <w:sz w:val="20"/>
          <w:szCs w:val="20"/>
          <w:bdr w:val="none" w:sz="0" w:space="0" w:color="auto"/>
        </w:rPr>
        <w:t xml:space="preserve"> and</w:t>
      </w:r>
    </w:p>
    <w:p w14:paraId="45192E32" w14:textId="77777777" w:rsidR="007F094E" w:rsidRPr="005C0994" w:rsidRDefault="007F094E" w:rsidP="007F094E">
      <w:pPr>
        <w:pStyle w:val="ListParagraph"/>
        <w:ind w:left="1080"/>
        <w:rPr>
          <w:sz w:val="20"/>
          <w:szCs w:val="20"/>
          <w:bdr w:val="none" w:sz="0" w:space="0" w:color="auto" w:frame="1"/>
        </w:rPr>
      </w:pPr>
    </w:p>
    <w:p w14:paraId="720E00AA" w14:textId="77777777" w:rsidR="007F094E" w:rsidRPr="005C0994" w:rsidRDefault="007F094E" w:rsidP="007F094E">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5C0994">
        <w:rPr>
          <w:sz w:val="20"/>
          <w:szCs w:val="20"/>
          <w:bdr w:val="none" w:sz="0" w:space="0" w:color="auto" w:frame="1"/>
        </w:rPr>
        <w:t xml:space="preserve">Ensure that court-appointed appellate counsel provides adequate legal representation in death penalty cases. </w:t>
      </w:r>
    </w:p>
    <w:p w14:paraId="1E3C650F" w14:textId="77777777" w:rsidR="007F094E" w:rsidRPr="005C0994" w:rsidRDefault="007F094E" w:rsidP="007F094E">
      <w:pPr>
        <w:tabs>
          <w:tab w:val="left" w:pos="360"/>
        </w:tabs>
        <w:jc w:val="both"/>
        <w:rPr>
          <w:rFonts w:asciiTheme="majorHAnsi" w:eastAsia="Times New Roman" w:hAnsiTheme="majorHAnsi" w:cs="Tahoma"/>
          <w:sz w:val="20"/>
          <w:szCs w:val="20"/>
          <w:bdr w:val="none" w:sz="0" w:space="0" w:color="auto" w:frame="1"/>
        </w:rPr>
      </w:pPr>
    </w:p>
    <w:p w14:paraId="0DFDA820" w14:textId="77777777" w:rsidR="007F094E" w:rsidRPr="005C0994" w:rsidRDefault="007F094E" w:rsidP="007F094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hAnsiTheme="majorHAnsi"/>
          <w:sz w:val="20"/>
          <w:szCs w:val="20"/>
        </w:rPr>
      </w:pPr>
      <w:r w:rsidRPr="005C0994">
        <w:rPr>
          <w:rFonts w:asciiTheme="majorHAnsi" w:hAnsiTheme="majorHAnsi"/>
          <w:sz w:val="20"/>
          <w:szCs w:val="20"/>
        </w:rPr>
        <w:t>Ensure that the drugs used in lethal injection are subject to government approval and regulation, that the execution team has appropriate medical training and that lethal injection protocols are available to the public.</w:t>
      </w:r>
    </w:p>
    <w:p w14:paraId="57278587" w14:textId="77777777" w:rsidR="007F094E" w:rsidRPr="005C0994" w:rsidRDefault="007F094E" w:rsidP="007F094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asciiTheme="majorHAnsi" w:hAnsiTheme="majorHAnsi"/>
          <w:sz w:val="20"/>
          <w:szCs w:val="20"/>
        </w:rPr>
      </w:pPr>
    </w:p>
    <w:p w14:paraId="223A64D6" w14:textId="77777777" w:rsidR="007F094E" w:rsidRPr="007F094E" w:rsidRDefault="007F094E" w:rsidP="007F094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pPr>
      <w:r w:rsidRPr="005C0994">
        <w:rPr>
          <w:rFonts w:asciiTheme="majorHAnsi" w:hAnsiTheme="majorHAnsi"/>
          <w:sz w:val="20"/>
        </w:rPr>
        <w:t>Given the violations of the American Declaration the IACHR has established in the present</w:t>
      </w:r>
      <w:r w:rsidRPr="005C0994">
        <w:rPr>
          <w:sz w:val="20"/>
        </w:rPr>
        <w:t xml:space="preserve"> case and in others involving application of the death penalty, the Inter-American Commission also recommends to the United States that it adopt a moratorium on executions of persons sentenced to death.</w:t>
      </w:r>
      <w:r w:rsidRPr="005C0994">
        <w:rPr>
          <w:rStyle w:val="FootnoteReference"/>
          <w:sz w:val="20"/>
        </w:rPr>
        <w:footnoteReference w:id="81"/>
      </w:r>
    </w:p>
    <w:p w14:paraId="353B2296" w14:textId="77777777" w:rsidR="007F094E" w:rsidRPr="005C0994" w:rsidRDefault="007F094E" w:rsidP="007F09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p>
    <w:p w14:paraId="6260C6ED" w14:textId="7FA32BAE" w:rsidR="007F094E" w:rsidRPr="009E5A64" w:rsidRDefault="007F094E" w:rsidP="003423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1440"/>
        </w:tabs>
        <w:ind w:left="0" w:firstLine="0"/>
        <w:jc w:val="both"/>
        <w:rPr>
          <w:sz w:val="20"/>
          <w:szCs w:val="20"/>
        </w:rPr>
      </w:pPr>
      <w:r w:rsidRPr="009E5A64">
        <w:rPr>
          <w:sz w:val="20"/>
          <w:szCs w:val="20"/>
        </w:rPr>
        <w:t xml:space="preserve">On </w:t>
      </w:r>
      <w:r w:rsidRPr="009E5A64">
        <w:rPr>
          <w:rFonts w:ascii="Cambria" w:eastAsia="Cambria" w:hAnsi="Cambria" w:cs="Cambria"/>
          <w:color w:val="000000"/>
          <w:sz w:val="20"/>
          <w:szCs w:val="20"/>
          <w:u w:color="000000"/>
          <w:lang w:eastAsia="es-ES"/>
        </w:rPr>
        <w:t>February</w:t>
      </w:r>
      <w:r w:rsidRPr="009E5A64">
        <w:rPr>
          <w:sz w:val="20"/>
          <w:szCs w:val="20"/>
        </w:rPr>
        <w:t xml:space="preserve"> 27, 2020 the IACHR transmitted the report to the State with a time period of two months to inform the Commission on the measures taken to comply with its recommendations. On August 23, 202</w:t>
      </w:r>
      <w:r w:rsidR="00A84E1C" w:rsidRPr="009E5A64">
        <w:rPr>
          <w:sz w:val="20"/>
          <w:szCs w:val="20"/>
        </w:rPr>
        <w:t>1</w:t>
      </w:r>
      <w:r w:rsidRPr="009E5A64">
        <w:rPr>
          <w:sz w:val="20"/>
          <w:szCs w:val="20"/>
        </w:rPr>
        <w:t xml:space="preserve"> the petitioners </w:t>
      </w:r>
      <w:r w:rsidR="00A84E1C" w:rsidRPr="009E5A64">
        <w:rPr>
          <w:sz w:val="20"/>
          <w:szCs w:val="20"/>
        </w:rPr>
        <w:t>invoke</w:t>
      </w:r>
      <w:r w:rsidR="0080230B" w:rsidRPr="009E5A64">
        <w:rPr>
          <w:sz w:val="20"/>
          <w:szCs w:val="20"/>
        </w:rPr>
        <w:t>d</w:t>
      </w:r>
      <w:r w:rsidRPr="009E5A64">
        <w:rPr>
          <w:sz w:val="20"/>
          <w:szCs w:val="20"/>
        </w:rPr>
        <w:t xml:space="preserve"> the friendly settlement pro</w:t>
      </w:r>
      <w:r w:rsidR="003423B6" w:rsidRPr="009E5A64">
        <w:rPr>
          <w:sz w:val="20"/>
          <w:szCs w:val="20"/>
        </w:rPr>
        <w:t>c</w:t>
      </w:r>
      <w:r w:rsidRPr="009E5A64">
        <w:rPr>
          <w:sz w:val="20"/>
          <w:szCs w:val="20"/>
        </w:rPr>
        <w:t>edure</w:t>
      </w:r>
      <w:r w:rsidR="0080230B" w:rsidRPr="009E5A64">
        <w:rPr>
          <w:sz w:val="20"/>
          <w:szCs w:val="20"/>
        </w:rPr>
        <w:t xml:space="preserve">, asking for </w:t>
      </w:r>
      <w:r w:rsidRPr="009E5A64">
        <w:rPr>
          <w:sz w:val="20"/>
          <w:szCs w:val="20"/>
        </w:rPr>
        <w:t xml:space="preserve">the good offices of the IACHR </w:t>
      </w:r>
      <w:r w:rsidR="003423B6" w:rsidRPr="009E5A64">
        <w:rPr>
          <w:sz w:val="20"/>
          <w:szCs w:val="20"/>
        </w:rPr>
        <w:t>in arranging for a dialogue between the parties. This communication was transmitted to the State on September 22, 202</w:t>
      </w:r>
      <w:r w:rsidR="00A84E1C" w:rsidRPr="009E5A64">
        <w:rPr>
          <w:sz w:val="20"/>
          <w:szCs w:val="20"/>
        </w:rPr>
        <w:t>1</w:t>
      </w:r>
      <w:r w:rsidR="003423B6" w:rsidRPr="009E5A64">
        <w:rPr>
          <w:sz w:val="20"/>
          <w:szCs w:val="20"/>
        </w:rPr>
        <w:t>.</w:t>
      </w:r>
      <w:r w:rsidRPr="009E5A64">
        <w:rPr>
          <w:sz w:val="20"/>
          <w:szCs w:val="20"/>
        </w:rPr>
        <w:t xml:space="preserve"> To date, the Commission has not received any response from the United States regarding </w:t>
      </w:r>
      <w:r w:rsidR="00A84E1C" w:rsidRPr="009E5A64">
        <w:rPr>
          <w:sz w:val="20"/>
          <w:szCs w:val="20"/>
        </w:rPr>
        <w:t>r</w:t>
      </w:r>
      <w:r w:rsidRPr="009E5A64">
        <w:rPr>
          <w:sz w:val="20"/>
          <w:szCs w:val="20"/>
        </w:rPr>
        <w:t>eport No. 243/</w:t>
      </w:r>
      <w:r w:rsidR="00A84E1C" w:rsidRPr="009E5A64">
        <w:rPr>
          <w:sz w:val="20"/>
          <w:szCs w:val="20"/>
        </w:rPr>
        <w:t>19</w:t>
      </w:r>
      <w:r w:rsidRPr="009E5A64">
        <w:rPr>
          <w:sz w:val="20"/>
          <w:szCs w:val="20"/>
        </w:rPr>
        <w:t>.</w:t>
      </w:r>
    </w:p>
    <w:p w14:paraId="7C03DBE7" w14:textId="77777777" w:rsidR="00B56F13" w:rsidRPr="00B645F5" w:rsidRDefault="00B56F13" w:rsidP="00B56F1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jc w:val="both"/>
        <w:rPr>
          <w:rFonts w:asciiTheme="majorHAnsi" w:hAnsiTheme="majorHAnsi"/>
          <w:color w:val="000000" w:themeColor="text1"/>
          <w:sz w:val="20"/>
          <w:szCs w:val="20"/>
        </w:rPr>
      </w:pPr>
    </w:p>
    <w:p w14:paraId="3B1819DD" w14:textId="0BC8DA17" w:rsidR="00B56F13" w:rsidRPr="00D66EBD" w:rsidRDefault="00B56F13" w:rsidP="00B56F13">
      <w:pPr>
        <w:pStyle w:val="Heading1"/>
        <w:spacing w:before="0"/>
        <w:ind w:hanging="720"/>
        <w:rPr>
          <w:color w:val="auto"/>
          <w:sz w:val="20"/>
          <w:szCs w:val="20"/>
        </w:rPr>
      </w:pPr>
      <w:bookmarkStart w:id="38" w:name="_Toc26550943"/>
      <w:bookmarkStart w:id="39" w:name="_Toc87522016"/>
      <w:bookmarkStart w:id="40" w:name="_Toc90115136"/>
      <w:bookmarkStart w:id="41" w:name="_Toc90283315"/>
      <w:bookmarkStart w:id="42" w:name="_Toc90284149"/>
      <w:bookmarkStart w:id="43" w:name="_Toc90289383"/>
      <w:bookmarkStart w:id="44" w:name="_Toc90291522"/>
      <w:bookmarkStart w:id="45" w:name="_Toc90297887"/>
      <w:r w:rsidRPr="00D66EBD">
        <w:rPr>
          <w:color w:val="auto"/>
          <w:sz w:val="20"/>
          <w:szCs w:val="20"/>
        </w:rPr>
        <w:t>ACTIONS SUBSEQUENT TO REPORT No. 332/</w:t>
      </w:r>
      <w:bookmarkEnd w:id="38"/>
      <w:r w:rsidRPr="00D66EBD">
        <w:rPr>
          <w:color w:val="auto"/>
          <w:sz w:val="20"/>
          <w:szCs w:val="20"/>
        </w:rPr>
        <w:t>2</w:t>
      </w:r>
      <w:bookmarkEnd w:id="39"/>
      <w:r w:rsidRPr="00D66EBD">
        <w:rPr>
          <w:color w:val="auto"/>
          <w:sz w:val="20"/>
          <w:szCs w:val="20"/>
        </w:rPr>
        <w:t>1</w:t>
      </w:r>
      <w:bookmarkEnd w:id="40"/>
      <w:bookmarkEnd w:id="41"/>
      <w:bookmarkEnd w:id="42"/>
      <w:bookmarkEnd w:id="43"/>
      <w:bookmarkEnd w:id="44"/>
      <w:bookmarkEnd w:id="45"/>
    </w:p>
    <w:p w14:paraId="26A51152" w14:textId="77777777" w:rsidR="00B56F13" w:rsidRPr="00D66EBD" w:rsidRDefault="00B56F13" w:rsidP="00B56F13">
      <w:pPr>
        <w:rPr>
          <w:sz w:val="20"/>
          <w:szCs w:val="20"/>
        </w:rPr>
      </w:pPr>
    </w:p>
    <w:p w14:paraId="25964F0E" w14:textId="3916DA28" w:rsidR="00B56F13" w:rsidRPr="00D66EBD" w:rsidRDefault="00B56F13" w:rsidP="00B56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720"/>
          <w:tab w:val="left" w:pos="1440"/>
        </w:tabs>
        <w:ind w:left="0" w:firstLine="0"/>
        <w:jc w:val="both"/>
        <w:rPr>
          <w:sz w:val="20"/>
          <w:szCs w:val="20"/>
        </w:rPr>
      </w:pPr>
      <w:r w:rsidRPr="00D66EBD">
        <w:rPr>
          <w:sz w:val="20"/>
          <w:szCs w:val="20"/>
        </w:rPr>
        <w:t>On</w:t>
      </w:r>
      <w:r w:rsidRPr="00D66EBD">
        <w:rPr>
          <w:rFonts w:ascii="Cambria" w:hAnsi="Cambria"/>
          <w:sz w:val="20"/>
          <w:szCs w:val="20"/>
        </w:rPr>
        <w:t xml:space="preserve"> November 22, 2021, the Commission approved Final Merits Report No. 332/21, which encompasses paragraphs 1 to 104 </w:t>
      </w:r>
      <w:r w:rsidRPr="00D66EBD">
        <w:rPr>
          <w:rFonts w:ascii="Cambria" w:hAnsi="Cambria"/>
          <w:i/>
          <w:sz w:val="20"/>
          <w:szCs w:val="20"/>
        </w:rPr>
        <w:t>supra</w:t>
      </w:r>
      <w:r w:rsidRPr="00D66EBD">
        <w:rPr>
          <w:rFonts w:ascii="Cambria" w:hAnsi="Cambria"/>
          <w:sz w:val="20"/>
          <w:szCs w:val="20"/>
        </w:rPr>
        <w:t xml:space="preserve">, and issued its final conclusions and recommendations to the State. On December </w:t>
      </w:r>
      <w:r w:rsidR="009E5A64" w:rsidRPr="00D66EBD">
        <w:rPr>
          <w:rFonts w:ascii="Cambria" w:hAnsi="Cambria"/>
          <w:sz w:val="20"/>
          <w:szCs w:val="20"/>
        </w:rPr>
        <w:t>3</w:t>
      </w:r>
      <w:r w:rsidRPr="00D66EBD">
        <w:rPr>
          <w:rFonts w:ascii="Cambria" w:hAnsi="Cambria"/>
          <w:sz w:val="20"/>
          <w:szCs w:val="20"/>
        </w:rPr>
        <w:t>, 2021, the Commission transmitted the report to the State and the petitioners with a time period of three weeks to inform the Inter-American Commission on the measures taken to comply with its recommendations. To date, the IACHR has not received any response from the United States or the petitioners regarding Report No. 332/21.</w:t>
      </w:r>
    </w:p>
    <w:p w14:paraId="08DF5D1D" w14:textId="77777777" w:rsidR="00B56F13" w:rsidRPr="005C0994" w:rsidRDefault="00B56F13" w:rsidP="00867DA3">
      <w:pPr>
        <w:rPr>
          <w:rFonts w:asciiTheme="majorHAnsi" w:hAnsiTheme="majorHAnsi"/>
          <w:sz w:val="20"/>
          <w:szCs w:val="20"/>
        </w:rPr>
      </w:pPr>
    </w:p>
    <w:p w14:paraId="66A98089" w14:textId="1F7BDD0B" w:rsidR="00C55560" w:rsidRPr="005C0994" w:rsidRDefault="00A84E1C" w:rsidP="00224AA7">
      <w:pPr>
        <w:pStyle w:val="Heading1"/>
        <w:tabs>
          <w:tab w:val="left" w:pos="360"/>
        </w:tabs>
        <w:spacing w:before="0"/>
        <w:ind w:hanging="720"/>
        <w:rPr>
          <w:color w:val="auto"/>
          <w:sz w:val="20"/>
          <w:szCs w:val="20"/>
        </w:rPr>
      </w:pPr>
      <w:bookmarkStart w:id="46" w:name="_Toc90297888"/>
      <w:r>
        <w:rPr>
          <w:color w:val="auto"/>
          <w:sz w:val="20"/>
          <w:szCs w:val="20"/>
        </w:rPr>
        <w:t xml:space="preserve">FINAL </w:t>
      </w:r>
      <w:r w:rsidR="00677DA7" w:rsidRPr="005C0994">
        <w:rPr>
          <w:color w:val="auto"/>
          <w:sz w:val="20"/>
          <w:szCs w:val="20"/>
        </w:rPr>
        <w:t>CONCLUSIONS AND RECOMMENDATIONS</w:t>
      </w:r>
      <w:bookmarkEnd w:id="46"/>
    </w:p>
    <w:p w14:paraId="0FB5031B" w14:textId="77777777" w:rsidR="00BC5766" w:rsidRPr="005C0994" w:rsidRDefault="00BC5766" w:rsidP="00BC5766"/>
    <w:p w14:paraId="2E44D589" w14:textId="77777777" w:rsidR="00BC5766" w:rsidRPr="005C0994" w:rsidRDefault="00BC5766" w:rsidP="00B944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Cambria" w:hAnsi="Cambria"/>
          <w:sz w:val="20"/>
          <w:szCs w:val="20"/>
        </w:rPr>
      </w:pPr>
      <w:r w:rsidRPr="005C0994">
        <w:rPr>
          <w:rFonts w:asciiTheme="majorHAnsi" w:hAnsiTheme="majorHAnsi"/>
          <w:color w:val="000000" w:themeColor="text1"/>
          <w:sz w:val="20"/>
          <w:szCs w:val="20"/>
        </w:rPr>
        <w:t xml:space="preserve">On the basis of determinations of fact and law, the Inter-American Commission concludes that the State is responsible for the violation of Articles I (life, liberty, and security), XVIII (fair trial), XXV (protection from arbitrary detention), and XXVI (due process) of the American Declaration. </w:t>
      </w:r>
    </w:p>
    <w:p w14:paraId="21C0C17D" w14:textId="77777777" w:rsidR="00DE01CB" w:rsidRPr="005C0994" w:rsidRDefault="00DE01CB" w:rsidP="00BC5766">
      <w:pPr>
        <w:tabs>
          <w:tab w:val="left" w:pos="360"/>
        </w:tabs>
        <w:jc w:val="both"/>
        <w:rPr>
          <w:rFonts w:ascii="Cambria" w:hAnsi="Cambria"/>
          <w:b/>
          <w:sz w:val="20"/>
          <w:szCs w:val="20"/>
        </w:rPr>
      </w:pPr>
    </w:p>
    <w:p w14:paraId="7ACB8E48" w14:textId="19569269" w:rsidR="00BC5766" w:rsidRPr="005C0994" w:rsidRDefault="00BC5766" w:rsidP="00BC5766">
      <w:pPr>
        <w:tabs>
          <w:tab w:val="left" w:pos="360"/>
        </w:tabs>
        <w:jc w:val="both"/>
        <w:rPr>
          <w:rFonts w:ascii="Cambria" w:hAnsi="Cambria"/>
          <w:b/>
          <w:sz w:val="20"/>
          <w:szCs w:val="20"/>
        </w:rPr>
      </w:pPr>
      <w:r w:rsidRPr="005C0994">
        <w:rPr>
          <w:rFonts w:ascii="Cambria" w:hAnsi="Cambria"/>
          <w:b/>
          <w:sz w:val="20"/>
          <w:szCs w:val="20"/>
        </w:rPr>
        <w:t xml:space="preserve">THE INTER-AMERICAN COMMISSION ON HUMAN RIGHTS </w:t>
      </w:r>
      <w:r w:rsidRPr="009E5A64">
        <w:rPr>
          <w:rFonts w:ascii="Cambria" w:hAnsi="Cambria"/>
          <w:b/>
          <w:sz w:val="20"/>
          <w:szCs w:val="20"/>
        </w:rPr>
        <w:t>R</w:t>
      </w:r>
      <w:r w:rsidR="00A84E1C" w:rsidRPr="009E5A64">
        <w:rPr>
          <w:rFonts w:ascii="Cambria" w:hAnsi="Cambria"/>
          <w:b/>
          <w:sz w:val="20"/>
          <w:szCs w:val="20"/>
        </w:rPr>
        <w:t>EITERATES</w:t>
      </w:r>
      <w:r w:rsidRPr="005C0994">
        <w:rPr>
          <w:rFonts w:ascii="Cambria" w:hAnsi="Cambria"/>
          <w:b/>
          <w:sz w:val="20"/>
          <w:szCs w:val="20"/>
        </w:rPr>
        <w:t xml:space="preserve"> THAT THE UNITED STATES OF AMERICA,</w:t>
      </w:r>
    </w:p>
    <w:p w14:paraId="6E1E50FF" w14:textId="77777777" w:rsidR="00AA3C9F" w:rsidRPr="005C0994" w:rsidRDefault="00AA3C9F" w:rsidP="00AA3C9F"/>
    <w:p w14:paraId="1C1635C2" w14:textId="6B60C0BA" w:rsidR="002237F3" w:rsidRPr="005C0994" w:rsidRDefault="00AA3C9F" w:rsidP="00A84E1C">
      <w:pPr>
        <w:pStyle w:val="ListParagraph"/>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5C0994">
        <w:rPr>
          <w:rFonts w:eastAsia="Times New Roman" w:cs="Tahoma"/>
          <w:sz w:val="20"/>
          <w:szCs w:val="20"/>
          <w:bdr w:val="none" w:sz="0" w:space="0" w:color="auto" w:frame="1"/>
        </w:rPr>
        <w:t xml:space="preserve">Grant </w:t>
      </w:r>
      <w:r w:rsidR="008C05DD" w:rsidRPr="005C0994">
        <w:rPr>
          <w:rFonts w:asciiTheme="majorHAnsi" w:hAnsiTheme="majorHAnsi"/>
          <w:color w:val="auto"/>
          <w:sz w:val="20"/>
          <w:szCs w:val="20"/>
        </w:rPr>
        <w:t xml:space="preserve">José Trinidad </w:t>
      </w:r>
      <w:proofErr w:type="spellStart"/>
      <w:r w:rsidR="008C05DD" w:rsidRPr="005C0994">
        <w:rPr>
          <w:rFonts w:asciiTheme="majorHAnsi" w:hAnsiTheme="majorHAnsi"/>
          <w:color w:val="auto"/>
          <w:sz w:val="20"/>
          <w:szCs w:val="20"/>
        </w:rPr>
        <w:t>Loza</w:t>
      </w:r>
      <w:proofErr w:type="spellEnd"/>
      <w:r w:rsidR="008C05DD" w:rsidRPr="005C0994">
        <w:rPr>
          <w:rFonts w:asciiTheme="majorHAnsi" w:hAnsiTheme="majorHAnsi"/>
          <w:color w:val="auto"/>
          <w:sz w:val="20"/>
          <w:szCs w:val="20"/>
        </w:rPr>
        <w:t xml:space="preserve"> Ventura</w:t>
      </w:r>
      <w:r w:rsidRPr="005C0994">
        <w:rPr>
          <w:rFonts w:eastAsia="Times New Roman" w:cs="Tahoma"/>
          <w:sz w:val="20"/>
          <w:szCs w:val="20"/>
          <w:bdr w:val="none" w:sz="0" w:space="0" w:color="auto" w:frame="1"/>
        </w:rPr>
        <w:t xml:space="preserve"> effective relief, including the review of his trial and sentence in accordance with the guarantees of fair trial and due process set forth in Articles </w:t>
      </w:r>
      <w:r w:rsidRPr="005C0994">
        <w:rPr>
          <w:rFonts w:asciiTheme="majorHAnsi" w:hAnsiTheme="majorHAnsi"/>
          <w:color w:val="000000" w:themeColor="text1"/>
          <w:sz w:val="20"/>
          <w:szCs w:val="20"/>
        </w:rPr>
        <w:t xml:space="preserve">XVIII and XXVI </w:t>
      </w:r>
      <w:r w:rsidRPr="005C0994">
        <w:rPr>
          <w:rFonts w:eastAsia="Times New Roman" w:cs="Tahoma"/>
          <w:sz w:val="20"/>
          <w:szCs w:val="20"/>
          <w:bdr w:val="none" w:sz="0" w:space="0" w:color="auto" w:frame="1"/>
        </w:rPr>
        <w:t>of the American Declaration,</w:t>
      </w:r>
      <w:r w:rsidR="004D677E" w:rsidRPr="005C0994">
        <w:rPr>
          <w:rStyle w:val="FootnoteReference"/>
          <w:rFonts w:eastAsia="Times New Roman"/>
          <w:sz w:val="20"/>
          <w:szCs w:val="20"/>
          <w:bdr w:val="none" w:sz="0" w:space="0" w:color="auto" w:frame="1"/>
        </w:rPr>
        <w:footnoteReference w:id="82"/>
      </w:r>
      <w:r w:rsidRPr="005C0994">
        <w:rPr>
          <w:rFonts w:eastAsia="Times New Roman" w:cs="Tahoma"/>
          <w:sz w:val="20"/>
          <w:szCs w:val="20"/>
          <w:bdr w:val="none" w:sz="0" w:space="0" w:color="auto" w:frame="1"/>
        </w:rPr>
        <w:t xml:space="preserve"> and the payment of pecuniary compensation. </w:t>
      </w:r>
      <w:r w:rsidRPr="005C0994">
        <w:rPr>
          <w:rFonts w:cs="Arial"/>
          <w:color w:val="auto"/>
          <w:sz w:val="20"/>
          <w:szCs w:val="20"/>
        </w:rPr>
        <w:t xml:space="preserve">Taking into account the conclusions of the IACHR on the time </w:t>
      </w:r>
      <w:r w:rsidR="008C05DD" w:rsidRPr="005C0994">
        <w:rPr>
          <w:rFonts w:asciiTheme="majorHAnsi" w:hAnsiTheme="majorHAnsi"/>
          <w:color w:val="auto"/>
          <w:sz w:val="20"/>
          <w:szCs w:val="20"/>
        </w:rPr>
        <w:t xml:space="preserve">José Trinidad </w:t>
      </w:r>
      <w:proofErr w:type="spellStart"/>
      <w:r w:rsidR="008C05DD" w:rsidRPr="005C0994">
        <w:rPr>
          <w:rFonts w:asciiTheme="majorHAnsi" w:hAnsiTheme="majorHAnsi"/>
          <w:color w:val="auto"/>
          <w:sz w:val="20"/>
          <w:szCs w:val="20"/>
        </w:rPr>
        <w:t>Loza</w:t>
      </w:r>
      <w:proofErr w:type="spellEnd"/>
      <w:r w:rsidR="008C05DD" w:rsidRPr="005C0994">
        <w:rPr>
          <w:rFonts w:asciiTheme="majorHAnsi" w:hAnsiTheme="majorHAnsi"/>
          <w:color w:val="auto"/>
          <w:sz w:val="20"/>
          <w:szCs w:val="20"/>
        </w:rPr>
        <w:t xml:space="preserve"> Ventura</w:t>
      </w:r>
      <w:r w:rsidR="008C05DD" w:rsidRPr="005C0994">
        <w:rPr>
          <w:rFonts w:cs="Arial"/>
          <w:color w:val="auto"/>
          <w:sz w:val="20"/>
          <w:szCs w:val="20"/>
        </w:rPr>
        <w:t xml:space="preserve"> </w:t>
      </w:r>
      <w:r w:rsidRPr="005C0994">
        <w:rPr>
          <w:rFonts w:cs="Arial"/>
          <w:color w:val="auto"/>
          <w:sz w:val="20"/>
          <w:szCs w:val="20"/>
        </w:rPr>
        <w:t>has been held on death row, the Commission recommends that his sentence be commuted</w:t>
      </w:r>
      <w:r w:rsidRPr="005C0994">
        <w:rPr>
          <w:rFonts w:eastAsia="Times New Roman" w:cs="Tahoma"/>
          <w:sz w:val="20"/>
          <w:szCs w:val="20"/>
          <w:bdr w:val="none" w:sz="0" w:space="0" w:color="auto" w:frame="1"/>
        </w:rPr>
        <w:t>.</w:t>
      </w:r>
    </w:p>
    <w:p w14:paraId="1B191557" w14:textId="77777777" w:rsidR="002D0D0D" w:rsidRPr="005C0994" w:rsidRDefault="002D0D0D" w:rsidP="002D0D0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2C54777C" w14:textId="77777777" w:rsidR="00560F51" w:rsidRPr="005C0994" w:rsidRDefault="00AA3C9F" w:rsidP="00A84E1C">
      <w:pPr>
        <w:pStyle w:val="ListParagraph"/>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A84E1C">
        <w:rPr>
          <w:rFonts w:eastAsia="Times New Roman" w:cs="Tahoma"/>
          <w:sz w:val="20"/>
          <w:szCs w:val="20"/>
          <w:bdr w:val="none" w:sz="0" w:space="0" w:color="auto" w:frame="1"/>
        </w:rPr>
        <w:t>Review</w:t>
      </w:r>
      <w:r w:rsidRPr="005C0994">
        <w:rPr>
          <w:sz w:val="20"/>
        </w:rPr>
        <w:t xml:space="preserve"> its laws, procedures, and practices </w:t>
      </w:r>
      <w:r w:rsidR="00E67CBA" w:rsidRPr="005C0994">
        <w:rPr>
          <w:sz w:val="20"/>
        </w:rPr>
        <w:t xml:space="preserve">at the state, and if applicable, at the federal level </w:t>
      </w:r>
      <w:r w:rsidRPr="005C0994">
        <w:rPr>
          <w:sz w:val="20"/>
        </w:rPr>
        <w:t>to ensure that persons accused of capital crimes are tried and, if convicted, sentenced in accordance with the rights established in the American Declaration, including Articles I, XVIII, XXV and XXVI thereof</w:t>
      </w:r>
      <w:bookmarkStart w:id="47" w:name="_ftn34"/>
      <w:bookmarkEnd w:id="47"/>
      <w:r w:rsidR="00560F51" w:rsidRPr="005C0994">
        <w:rPr>
          <w:sz w:val="20"/>
        </w:rPr>
        <w:t>, and, in particular:</w:t>
      </w:r>
    </w:p>
    <w:p w14:paraId="3F789176" w14:textId="77777777" w:rsidR="00560F51" w:rsidRPr="005C0994" w:rsidRDefault="00560F51" w:rsidP="00560F51">
      <w:pPr>
        <w:pStyle w:val="ListParagraph"/>
        <w:rPr>
          <w:rFonts w:asciiTheme="majorHAnsi" w:eastAsia="Times New Roman" w:hAnsiTheme="majorHAnsi" w:cs="Tahoma"/>
          <w:sz w:val="20"/>
          <w:szCs w:val="20"/>
          <w:bdr w:val="none" w:sz="0" w:space="0" w:color="auto"/>
        </w:rPr>
      </w:pPr>
    </w:p>
    <w:p w14:paraId="0F71254D" w14:textId="1D1E1577" w:rsidR="00560F51" w:rsidRPr="00132821" w:rsidRDefault="00132821" w:rsidP="00132821">
      <w:pPr>
        <w:pStyle w:val="ListParagraph"/>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132821">
        <w:rPr>
          <w:sz w:val="20"/>
          <w:szCs w:val="20"/>
          <w:bdr w:val="none" w:sz="0" w:space="0" w:color="auto" w:frame="1"/>
        </w:rPr>
        <w:lastRenderedPageBreak/>
        <w:t>E</w:t>
      </w:r>
      <w:r w:rsidR="00560F51" w:rsidRPr="00132821">
        <w:rPr>
          <w:sz w:val="20"/>
          <w:szCs w:val="20"/>
          <w:bdr w:val="none" w:sz="0" w:space="0" w:color="auto" w:frame="1"/>
        </w:rPr>
        <w:t>nsure</w:t>
      </w:r>
      <w:r w:rsidR="00560F51" w:rsidRPr="00132821">
        <w:rPr>
          <w:rFonts w:asciiTheme="majorHAnsi" w:eastAsia="Times New Roman" w:hAnsiTheme="majorHAnsi" w:cs="Tahoma"/>
          <w:sz w:val="20"/>
          <w:szCs w:val="20"/>
          <w:bdr w:val="none" w:sz="0" w:space="0" w:color="auto"/>
        </w:rPr>
        <w:t xml:space="preserve"> that </w:t>
      </w:r>
      <w:r w:rsidR="00560F51" w:rsidRPr="00132821">
        <w:rPr>
          <w:rFonts w:asciiTheme="majorHAnsi" w:hAnsiTheme="majorHAnsi"/>
          <w:sz w:val="20"/>
          <w:szCs w:val="20"/>
        </w:rPr>
        <w:t>every foreign national deprived of his or her liberty is informed, without delay and prior to his or her first statement, of the right to request that consular authorities be immediately notified of his or her arrest or detention;</w:t>
      </w:r>
      <w:r w:rsidR="00FA773D" w:rsidRPr="00132821">
        <w:rPr>
          <w:rFonts w:asciiTheme="majorHAnsi" w:eastAsia="Times New Roman" w:hAnsiTheme="majorHAnsi" w:cs="Tahoma"/>
          <w:sz w:val="20"/>
          <w:szCs w:val="20"/>
          <w:bdr w:val="none" w:sz="0" w:space="0" w:color="auto"/>
        </w:rPr>
        <w:t xml:space="preserve"> </w:t>
      </w:r>
      <w:r w:rsidR="00560F51" w:rsidRPr="00132821">
        <w:rPr>
          <w:rFonts w:asciiTheme="majorHAnsi" w:eastAsia="Times New Roman" w:hAnsiTheme="majorHAnsi" w:cs="Tahoma"/>
          <w:sz w:val="20"/>
          <w:szCs w:val="20"/>
          <w:bdr w:val="none" w:sz="0" w:space="0" w:color="auto"/>
        </w:rPr>
        <w:t>and</w:t>
      </w:r>
    </w:p>
    <w:p w14:paraId="02B0AEC1" w14:textId="77777777" w:rsidR="00560F51" w:rsidRPr="005C0994" w:rsidRDefault="00560F51" w:rsidP="00560F51">
      <w:pPr>
        <w:pStyle w:val="ListParagraph"/>
        <w:ind w:left="1080"/>
        <w:rPr>
          <w:sz w:val="20"/>
          <w:szCs w:val="20"/>
          <w:bdr w:val="none" w:sz="0" w:space="0" w:color="auto" w:frame="1"/>
        </w:rPr>
      </w:pPr>
    </w:p>
    <w:p w14:paraId="4F2CC2EE" w14:textId="798A029A" w:rsidR="002237F3" w:rsidRPr="00132821" w:rsidRDefault="002237F3" w:rsidP="00132821">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132821">
        <w:rPr>
          <w:sz w:val="20"/>
          <w:szCs w:val="20"/>
          <w:bdr w:val="none" w:sz="0" w:space="0" w:color="auto" w:frame="1"/>
        </w:rPr>
        <w:t xml:space="preserve">Ensure that court-appointed appellate counsel provides adequate legal representation in death penalty cases. </w:t>
      </w:r>
    </w:p>
    <w:p w14:paraId="033F13BC" w14:textId="77777777" w:rsidR="00AA3C9F" w:rsidRPr="005C0994" w:rsidRDefault="00AA3C9F" w:rsidP="00AC4B75">
      <w:pPr>
        <w:tabs>
          <w:tab w:val="left" w:pos="360"/>
        </w:tabs>
        <w:jc w:val="both"/>
        <w:rPr>
          <w:rFonts w:asciiTheme="majorHAnsi" w:eastAsia="Times New Roman" w:hAnsiTheme="majorHAnsi" w:cs="Tahoma"/>
          <w:sz w:val="20"/>
          <w:szCs w:val="20"/>
          <w:bdr w:val="none" w:sz="0" w:space="0" w:color="auto" w:frame="1"/>
        </w:rPr>
      </w:pPr>
    </w:p>
    <w:p w14:paraId="25E4D3AA" w14:textId="70F42F11" w:rsidR="004D677E" w:rsidRPr="00A84E1C" w:rsidRDefault="00025D98" w:rsidP="00A84E1C">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asciiTheme="majorHAnsi" w:hAnsiTheme="majorHAnsi"/>
          <w:sz w:val="20"/>
          <w:szCs w:val="20"/>
        </w:rPr>
      </w:pPr>
      <w:r w:rsidRPr="00A84E1C">
        <w:rPr>
          <w:rFonts w:eastAsia="Times New Roman" w:cs="Tahoma"/>
          <w:sz w:val="20"/>
          <w:szCs w:val="20"/>
          <w:bdr w:val="none" w:sz="0" w:space="0" w:color="auto" w:frame="1"/>
        </w:rPr>
        <w:t>Ensure</w:t>
      </w:r>
      <w:r w:rsidRPr="00A84E1C">
        <w:rPr>
          <w:rFonts w:asciiTheme="majorHAnsi" w:hAnsiTheme="majorHAnsi"/>
          <w:sz w:val="20"/>
          <w:szCs w:val="20"/>
        </w:rPr>
        <w:t xml:space="preserve"> that the drugs used in lethal injection are subject to government approval and regulation, that the execution team has appropriate medical training and that lethal injection protocols are available to the public.</w:t>
      </w:r>
    </w:p>
    <w:p w14:paraId="5698D55C" w14:textId="77777777" w:rsidR="00025D98" w:rsidRPr="005C0994" w:rsidRDefault="00025D98" w:rsidP="00025D9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asciiTheme="majorHAnsi" w:hAnsiTheme="majorHAnsi"/>
          <w:sz w:val="20"/>
          <w:szCs w:val="20"/>
        </w:rPr>
      </w:pPr>
    </w:p>
    <w:p w14:paraId="6ACD4383" w14:textId="695815A3" w:rsidR="00FC47F7" w:rsidRPr="007F094E" w:rsidRDefault="00AA3C9F" w:rsidP="00A84E1C">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pPr>
      <w:r w:rsidRPr="005C0994">
        <w:rPr>
          <w:rFonts w:asciiTheme="majorHAnsi" w:hAnsiTheme="majorHAnsi"/>
          <w:sz w:val="20"/>
        </w:rPr>
        <w:t>Given the violations of the American Declaration the IACHR has established in the present</w:t>
      </w:r>
      <w:r w:rsidRPr="005C0994">
        <w:rPr>
          <w:sz w:val="20"/>
        </w:rPr>
        <w:t xml:space="preserve"> case and in others involving application of the death penalty, the Inter-American Commission also recommends to the United States that it adopt a moratorium on executions of persons sentenced to death.</w:t>
      </w:r>
      <w:r w:rsidRPr="005C0994">
        <w:rPr>
          <w:rStyle w:val="FootnoteReference"/>
          <w:sz w:val="20"/>
        </w:rPr>
        <w:footnoteReference w:id="83"/>
      </w:r>
    </w:p>
    <w:p w14:paraId="1A067DCA" w14:textId="77777777" w:rsidR="00A84E1C" w:rsidRDefault="00A84E1C" w:rsidP="00A84E1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cs="Tahoma"/>
          <w:sz w:val="20"/>
          <w:szCs w:val="20"/>
          <w:bdr w:val="none" w:sz="0" w:space="0" w:color="auto"/>
        </w:rPr>
      </w:pPr>
    </w:p>
    <w:p w14:paraId="3D210B9F" w14:textId="77777777" w:rsidR="00B56F13" w:rsidRPr="00D66EBD" w:rsidRDefault="00B56F13" w:rsidP="00B56F13">
      <w:pPr>
        <w:pStyle w:val="Heading1"/>
        <w:spacing w:before="0"/>
        <w:ind w:hanging="720"/>
        <w:rPr>
          <w:color w:val="auto"/>
          <w:sz w:val="20"/>
          <w:szCs w:val="20"/>
        </w:rPr>
      </w:pPr>
      <w:bookmarkStart w:id="48" w:name="_Toc26550945"/>
      <w:bookmarkStart w:id="49" w:name="_Toc87522018"/>
      <w:bookmarkStart w:id="50" w:name="_Toc90115138"/>
      <w:bookmarkStart w:id="51" w:name="_Toc90283317"/>
      <w:bookmarkStart w:id="52" w:name="_Toc90284151"/>
      <w:bookmarkStart w:id="53" w:name="_Toc90289385"/>
      <w:bookmarkStart w:id="54" w:name="_Toc90291524"/>
      <w:bookmarkStart w:id="55" w:name="_Toc90297889"/>
      <w:r w:rsidRPr="00D66EBD">
        <w:rPr>
          <w:color w:val="auto"/>
          <w:sz w:val="20"/>
          <w:szCs w:val="20"/>
        </w:rPr>
        <w:t>PUBLICATION</w:t>
      </w:r>
      <w:bookmarkEnd w:id="48"/>
      <w:bookmarkEnd w:id="49"/>
      <w:bookmarkEnd w:id="50"/>
      <w:bookmarkEnd w:id="51"/>
      <w:bookmarkEnd w:id="52"/>
      <w:bookmarkEnd w:id="53"/>
      <w:bookmarkEnd w:id="54"/>
      <w:bookmarkEnd w:id="55"/>
    </w:p>
    <w:p w14:paraId="37C7A14A" w14:textId="77777777" w:rsidR="00B56F13" w:rsidRPr="00D66EBD" w:rsidRDefault="00B56F13" w:rsidP="00B56F13">
      <w:pPr>
        <w:rPr>
          <w:rFonts w:asciiTheme="majorHAnsi" w:hAnsiTheme="majorHAnsi"/>
          <w:sz w:val="20"/>
          <w:szCs w:val="20"/>
        </w:rPr>
      </w:pPr>
    </w:p>
    <w:p w14:paraId="00835526" w14:textId="77777777" w:rsidR="00B56F13" w:rsidRPr="00D66EBD" w:rsidRDefault="00B56F13" w:rsidP="00B56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720"/>
          <w:tab w:val="left" w:pos="1440"/>
        </w:tabs>
        <w:ind w:left="0" w:firstLine="0"/>
        <w:jc w:val="both"/>
        <w:rPr>
          <w:rFonts w:ascii="Cambria" w:eastAsia="Times New Roman" w:hAnsi="Cambria"/>
          <w:sz w:val="20"/>
          <w:szCs w:val="20"/>
        </w:rPr>
      </w:pPr>
      <w:r w:rsidRPr="00D66EBD">
        <w:rPr>
          <w:rFonts w:asciiTheme="majorHAnsi" w:hAnsiTheme="majorHAnsi"/>
          <w:color w:val="000000" w:themeColor="text1"/>
          <w:sz w:val="20"/>
          <w:szCs w:val="20"/>
        </w:rPr>
        <w:t>In</w:t>
      </w:r>
      <w:r w:rsidRPr="00D66EBD">
        <w:rPr>
          <w:rFonts w:ascii="Cambria" w:eastAsia="Times New Roman" w:hAnsi="Cambria"/>
          <w:sz w:val="20"/>
          <w:szCs w:val="20"/>
        </w:rPr>
        <w:t xml:space="preserve">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2A4C08B2" w14:textId="327B2757" w:rsidR="007D5D0A" w:rsidRDefault="007D5D0A" w:rsidP="007D5D0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p>
    <w:p w14:paraId="6FDF9DAC" w14:textId="77777777" w:rsidR="00C46068" w:rsidRPr="00A525CC" w:rsidRDefault="00C46068" w:rsidP="001D5F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A525CC">
        <w:rPr>
          <w:rFonts w:asciiTheme="majorHAnsi" w:eastAsia="Times New Roman" w:hAnsiTheme="majorHAnsi"/>
          <w:sz w:val="20"/>
          <w:szCs w:val="20"/>
        </w:rPr>
        <w:t xml:space="preserve">Approved by the Inter-American Commission on Human Rights on the </w:t>
      </w:r>
      <w:r>
        <w:rPr>
          <w:rFonts w:asciiTheme="majorHAnsi" w:eastAsia="Times New Roman" w:hAnsiTheme="majorHAnsi"/>
          <w:sz w:val="20"/>
          <w:szCs w:val="20"/>
        </w:rPr>
        <w:t>31st</w:t>
      </w:r>
      <w:r w:rsidRPr="00A525CC">
        <w:rPr>
          <w:rFonts w:asciiTheme="majorHAnsi" w:eastAsia="Times New Roman" w:hAnsiTheme="majorHAnsi"/>
          <w:sz w:val="20"/>
          <w:szCs w:val="20"/>
        </w:rPr>
        <w:t xml:space="preserve"> day of </w:t>
      </w:r>
      <w:r>
        <w:rPr>
          <w:rFonts w:asciiTheme="majorHAnsi" w:eastAsia="Times New Roman" w:hAnsiTheme="majorHAnsi"/>
          <w:sz w:val="20"/>
          <w:szCs w:val="20"/>
        </w:rPr>
        <w:t>December</w:t>
      </w:r>
      <w:r w:rsidRPr="00A525CC">
        <w:rPr>
          <w:rFonts w:asciiTheme="majorHAnsi" w:eastAsia="Times New Roman" w:hAnsiTheme="majorHAnsi"/>
          <w:sz w:val="20"/>
          <w:szCs w:val="20"/>
        </w:rPr>
        <w:t xml:space="preserve"> 2021. (Signed):</w:t>
      </w:r>
      <w:r>
        <w:rPr>
          <w:rFonts w:asciiTheme="majorHAnsi" w:eastAsia="Times New Roman" w:hAnsiTheme="majorHAnsi"/>
        </w:rPr>
        <w:t xml:space="preserve"> </w:t>
      </w:r>
      <w:r w:rsidRPr="00A525CC">
        <w:rPr>
          <w:rFonts w:asciiTheme="majorHAnsi" w:eastAsia="Times New Roman" w:hAnsiTheme="majorHAnsi"/>
          <w:sz w:val="20"/>
          <w:szCs w:val="20"/>
        </w:rPr>
        <w:t xml:space="preserve">Antonia Urrejola </w:t>
      </w:r>
      <w:proofErr w:type="spellStart"/>
      <w:r w:rsidRPr="00A525CC">
        <w:rPr>
          <w:rFonts w:asciiTheme="majorHAnsi" w:eastAsia="Times New Roman" w:hAnsiTheme="majorHAnsi"/>
          <w:sz w:val="20"/>
          <w:szCs w:val="20"/>
        </w:rPr>
        <w:t>Noguera</w:t>
      </w:r>
      <w:proofErr w:type="spellEnd"/>
      <w:r w:rsidRPr="00A525CC">
        <w:rPr>
          <w:rFonts w:asciiTheme="majorHAnsi" w:eastAsia="Times New Roman" w:hAnsiTheme="majorHAnsi"/>
          <w:sz w:val="20"/>
          <w:szCs w:val="20"/>
        </w:rPr>
        <w:t>, President; Julissa Mantilla Falcón,</w:t>
      </w:r>
      <w:r>
        <w:rPr>
          <w:rFonts w:asciiTheme="majorHAnsi" w:eastAsia="Times New Roman" w:hAnsiTheme="majorHAnsi"/>
        </w:rPr>
        <w:t xml:space="preserve"> </w:t>
      </w:r>
      <w:r w:rsidRPr="00A525CC">
        <w:rPr>
          <w:rFonts w:asciiTheme="majorHAnsi" w:eastAsia="Times New Roman" w:hAnsiTheme="majorHAnsi"/>
          <w:sz w:val="20"/>
          <w:szCs w:val="20"/>
        </w:rPr>
        <w:t>First Vice President;</w:t>
      </w:r>
      <w:r>
        <w:rPr>
          <w:rFonts w:asciiTheme="majorHAnsi" w:eastAsia="Times New Roman" w:hAnsiTheme="majorHAnsi"/>
        </w:rPr>
        <w:t xml:space="preserve"> </w:t>
      </w:r>
      <w:proofErr w:type="spellStart"/>
      <w:r w:rsidRPr="00A525CC">
        <w:rPr>
          <w:rFonts w:asciiTheme="majorHAnsi" w:eastAsia="Times New Roman" w:hAnsiTheme="majorHAnsi"/>
          <w:sz w:val="20"/>
          <w:szCs w:val="20"/>
        </w:rPr>
        <w:t>Flávia</w:t>
      </w:r>
      <w:proofErr w:type="spellEnd"/>
      <w:r w:rsidRPr="00A525CC">
        <w:rPr>
          <w:rFonts w:asciiTheme="majorHAnsi" w:eastAsia="Times New Roman" w:hAnsiTheme="majorHAnsi"/>
          <w:sz w:val="20"/>
          <w:szCs w:val="20"/>
        </w:rPr>
        <w:t xml:space="preserve"> </w:t>
      </w:r>
      <w:proofErr w:type="spellStart"/>
      <w:r w:rsidRPr="00A525CC">
        <w:rPr>
          <w:rFonts w:asciiTheme="majorHAnsi" w:eastAsia="Times New Roman" w:hAnsiTheme="majorHAnsi"/>
          <w:sz w:val="20"/>
          <w:szCs w:val="20"/>
        </w:rPr>
        <w:t>Piovesan</w:t>
      </w:r>
      <w:proofErr w:type="spellEnd"/>
      <w:r w:rsidRPr="00A525CC">
        <w:rPr>
          <w:rFonts w:asciiTheme="majorHAnsi" w:eastAsia="Times New Roman" w:hAnsiTheme="majorHAnsi"/>
          <w:sz w:val="20"/>
          <w:szCs w:val="20"/>
        </w:rPr>
        <w:t>, Second Vice President; Margarette May Macaulay,</w:t>
      </w:r>
      <w:r>
        <w:rPr>
          <w:rFonts w:asciiTheme="majorHAnsi" w:eastAsia="Times New Roman" w:hAnsiTheme="majorHAnsi"/>
        </w:rPr>
        <w:t xml:space="preserve"> </w:t>
      </w:r>
      <w:r w:rsidRPr="00A525CC">
        <w:rPr>
          <w:rFonts w:asciiTheme="majorHAnsi" w:eastAsia="Times New Roman" w:hAnsiTheme="majorHAnsi"/>
          <w:sz w:val="20"/>
          <w:szCs w:val="20"/>
        </w:rPr>
        <w:t xml:space="preserve">Esmeralda E. </w:t>
      </w:r>
      <w:proofErr w:type="spellStart"/>
      <w:r w:rsidRPr="00A525CC">
        <w:rPr>
          <w:rFonts w:asciiTheme="majorHAnsi" w:eastAsia="Times New Roman" w:hAnsiTheme="majorHAnsi"/>
          <w:sz w:val="20"/>
          <w:szCs w:val="20"/>
        </w:rPr>
        <w:t>Arosemena</w:t>
      </w:r>
      <w:proofErr w:type="spellEnd"/>
      <w:r w:rsidRPr="00A525CC">
        <w:rPr>
          <w:rFonts w:asciiTheme="majorHAnsi" w:eastAsia="Times New Roman" w:hAnsiTheme="majorHAnsi"/>
          <w:sz w:val="20"/>
          <w:szCs w:val="20"/>
        </w:rPr>
        <w:t xml:space="preserve"> Bernal de </w:t>
      </w:r>
      <w:proofErr w:type="spellStart"/>
      <w:r w:rsidRPr="00A525CC">
        <w:rPr>
          <w:rFonts w:asciiTheme="majorHAnsi" w:eastAsia="Times New Roman" w:hAnsiTheme="majorHAnsi"/>
          <w:sz w:val="20"/>
          <w:szCs w:val="20"/>
        </w:rPr>
        <w:t>Troitiño</w:t>
      </w:r>
      <w:proofErr w:type="spellEnd"/>
      <w:r>
        <w:rPr>
          <w:rFonts w:asciiTheme="majorHAnsi" w:eastAsia="Times New Roman" w:hAnsiTheme="majorHAnsi"/>
          <w:sz w:val="20"/>
          <w:szCs w:val="20"/>
        </w:rPr>
        <w:t xml:space="preserve">, Joel Hernández García </w:t>
      </w:r>
      <w:r w:rsidRPr="00A525CC">
        <w:rPr>
          <w:rFonts w:asciiTheme="majorHAnsi" w:eastAsia="Times New Roman" w:hAnsiTheme="majorHAnsi"/>
          <w:sz w:val="20"/>
          <w:szCs w:val="20"/>
        </w:rPr>
        <w:t>and</w:t>
      </w:r>
      <w:r>
        <w:rPr>
          <w:rFonts w:asciiTheme="majorHAnsi" w:eastAsia="Times New Roman" w:hAnsiTheme="majorHAnsi"/>
        </w:rPr>
        <w:t xml:space="preserve"> </w:t>
      </w:r>
      <w:r w:rsidRPr="00A525CC">
        <w:rPr>
          <w:rFonts w:asciiTheme="majorHAnsi" w:eastAsia="Times New Roman" w:hAnsiTheme="majorHAnsi"/>
          <w:sz w:val="20"/>
          <w:szCs w:val="20"/>
        </w:rPr>
        <w:t xml:space="preserve">Edgar </w:t>
      </w:r>
      <w:proofErr w:type="spellStart"/>
      <w:r w:rsidRPr="00A525CC">
        <w:rPr>
          <w:rFonts w:asciiTheme="majorHAnsi" w:eastAsia="Times New Roman" w:hAnsiTheme="majorHAnsi"/>
          <w:sz w:val="20"/>
          <w:szCs w:val="20"/>
        </w:rPr>
        <w:t>Stuardo</w:t>
      </w:r>
      <w:proofErr w:type="spellEnd"/>
      <w:r w:rsidRPr="00A525CC">
        <w:rPr>
          <w:rFonts w:asciiTheme="majorHAnsi" w:eastAsia="Times New Roman" w:hAnsiTheme="majorHAnsi"/>
          <w:sz w:val="20"/>
          <w:szCs w:val="20"/>
        </w:rPr>
        <w:t xml:space="preserve"> </w:t>
      </w:r>
      <w:proofErr w:type="spellStart"/>
      <w:r w:rsidRPr="00A525CC">
        <w:rPr>
          <w:rFonts w:asciiTheme="majorHAnsi" w:eastAsia="Times New Roman" w:hAnsiTheme="majorHAnsi"/>
          <w:sz w:val="20"/>
          <w:szCs w:val="20"/>
        </w:rPr>
        <w:t>Ralón</w:t>
      </w:r>
      <w:proofErr w:type="spellEnd"/>
      <w:r w:rsidRPr="00A525CC">
        <w:rPr>
          <w:rFonts w:asciiTheme="majorHAnsi" w:eastAsia="Times New Roman" w:hAnsiTheme="majorHAnsi"/>
          <w:sz w:val="20"/>
          <w:szCs w:val="20"/>
        </w:rPr>
        <w:t xml:space="preserve"> Orellana, Commissioners.</w:t>
      </w:r>
    </w:p>
    <w:p w14:paraId="70B0D1EF" w14:textId="77777777" w:rsidR="00C46068" w:rsidRPr="00A525CC" w:rsidRDefault="00C46068" w:rsidP="00C460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sectPr w:rsidR="00C46068" w:rsidRPr="00A525CC"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F2CA" w14:textId="77777777" w:rsidR="00AB074C" w:rsidRDefault="00AB074C" w:rsidP="00036A8A">
      <w:r>
        <w:separator/>
      </w:r>
    </w:p>
  </w:endnote>
  <w:endnote w:type="continuationSeparator" w:id="0">
    <w:p w14:paraId="3DE5DC85" w14:textId="77777777" w:rsidR="00AB074C" w:rsidRDefault="00AB074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72E7B56E" w14:textId="77777777" w:rsidR="00B56F13" w:rsidRPr="006311DA" w:rsidRDefault="00B56F13">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20</w:t>
        </w:r>
        <w:r>
          <w:rPr>
            <w:noProof/>
            <w:sz w:val="16"/>
          </w:rPr>
          <w:fldChar w:fldCharType="end"/>
        </w:r>
      </w:p>
    </w:sdtContent>
  </w:sdt>
  <w:p w14:paraId="3E28366C" w14:textId="77777777" w:rsidR="00B56F13" w:rsidRDefault="00B5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3A91" w14:textId="77777777" w:rsidR="00B56F13" w:rsidRDefault="00B56F13">
    <w:pPr>
      <w:pStyle w:val="Footer"/>
      <w:jc w:val="center"/>
    </w:pPr>
  </w:p>
  <w:p w14:paraId="23CF7510" w14:textId="77777777" w:rsidR="00B56F13" w:rsidRDefault="00B56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44C0BEAD" w14:textId="77777777" w:rsidR="00B56F13" w:rsidRDefault="00B56F13">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315FD65B" w14:textId="77777777" w:rsidR="00B56F13" w:rsidRDefault="00B5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E33E" w14:textId="77777777" w:rsidR="00AB074C" w:rsidRPr="00036A8A" w:rsidRDefault="00AB074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DD6BAA2" w14:textId="77777777" w:rsidR="00AB074C" w:rsidRPr="00036A8A" w:rsidRDefault="00AB074C" w:rsidP="00036A8A">
      <w:pPr>
        <w:rPr>
          <w:rFonts w:asciiTheme="majorHAnsi" w:hAnsiTheme="majorHAnsi"/>
          <w:sz w:val="16"/>
          <w:szCs w:val="16"/>
        </w:rPr>
      </w:pPr>
      <w:r w:rsidRPr="00036A8A">
        <w:rPr>
          <w:rFonts w:asciiTheme="majorHAnsi" w:hAnsiTheme="majorHAnsi"/>
          <w:sz w:val="16"/>
          <w:szCs w:val="16"/>
        </w:rPr>
        <w:separator/>
      </w:r>
    </w:p>
    <w:p w14:paraId="71C2BAEE" w14:textId="77777777" w:rsidR="00AB074C" w:rsidRPr="00036A8A" w:rsidRDefault="00AB074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EF006D3" w14:textId="77777777" w:rsidR="00AB074C" w:rsidRPr="0093441A" w:rsidRDefault="00AB074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161D95B" w14:textId="77777777" w:rsidR="00B56F13" w:rsidRPr="00E71B41" w:rsidRDefault="00B56F13" w:rsidP="009266DD">
      <w:pPr>
        <w:pStyle w:val="FootnoteText"/>
        <w:jc w:val="both"/>
        <w:rPr>
          <w:rFonts w:asciiTheme="majorHAnsi" w:hAnsiTheme="majorHAnsi"/>
          <w:sz w:val="16"/>
          <w:szCs w:val="16"/>
        </w:rPr>
      </w:pPr>
      <w:r w:rsidRPr="009D0B9F">
        <w:rPr>
          <w:rStyle w:val="FootnoteReference"/>
          <w:rFonts w:asciiTheme="majorHAnsi" w:hAnsiTheme="majorHAnsi"/>
          <w:sz w:val="16"/>
          <w:szCs w:val="16"/>
        </w:rPr>
        <w:footnoteRef/>
      </w:r>
      <w:r w:rsidRPr="009D0B9F">
        <w:rPr>
          <w:rFonts w:asciiTheme="majorHAnsi" w:hAnsiTheme="majorHAnsi"/>
          <w:sz w:val="16"/>
          <w:szCs w:val="16"/>
        </w:rPr>
        <w:t xml:space="preserve"> On August 11, 2015, the IACHR</w:t>
      </w:r>
      <w:r w:rsidRPr="005C4541">
        <w:rPr>
          <w:rFonts w:asciiTheme="majorHAnsi" w:hAnsiTheme="majorHAnsi"/>
          <w:sz w:val="16"/>
          <w:szCs w:val="16"/>
        </w:rPr>
        <w:t xml:space="preserve"> granted precautionary measures on behalf of Mr. </w:t>
      </w:r>
      <w:proofErr w:type="spellStart"/>
      <w:r w:rsidRPr="005C4541">
        <w:rPr>
          <w:rFonts w:asciiTheme="majorHAnsi" w:hAnsiTheme="majorHAnsi"/>
          <w:sz w:val="16"/>
          <w:szCs w:val="16"/>
        </w:rPr>
        <w:t>Loza</w:t>
      </w:r>
      <w:proofErr w:type="spellEnd"/>
      <w:r w:rsidRPr="005C4541">
        <w:rPr>
          <w:rFonts w:asciiTheme="majorHAnsi" w:hAnsiTheme="majorHAnsi"/>
          <w:sz w:val="16"/>
          <w:szCs w:val="16"/>
        </w:rPr>
        <w:t xml:space="preserve"> pursuant to Article 25(1) of its Rules of Procedure and requested the </w:t>
      </w:r>
      <w:r w:rsidRPr="00E71B41">
        <w:rPr>
          <w:rFonts w:asciiTheme="majorHAnsi" w:hAnsiTheme="majorHAnsi"/>
          <w:sz w:val="16"/>
          <w:szCs w:val="16"/>
        </w:rPr>
        <w:t>United States to take the measures necessary to preserve his life and physical integrity so as not to hinder the processing of his case before the Inter-American system.</w:t>
      </w:r>
    </w:p>
  </w:footnote>
  <w:footnote w:id="3">
    <w:p w14:paraId="51DC6AEC"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State v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Not reported in N.E.2d (1997)</w:t>
      </w:r>
      <w:r>
        <w:rPr>
          <w:rFonts w:asciiTheme="majorHAnsi" w:hAnsiTheme="majorHAnsi"/>
          <w:sz w:val="16"/>
          <w:szCs w:val="16"/>
        </w:rPr>
        <w:t>.</w:t>
      </w:r>
    </w:p>
  </w:footnote>
  <w:footnote w:id="4">
    <w:p w14:paraId="0FFECB1C"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F.3d 466 (2014)</w:t>
      </w:r>
      <w:r>
        <w:rPr>
          <w:rFonts w:asciiTheme="majorHAnsi" w:hAnsiTheme="majorHAnsi"/>
          <w:sz w:val="16"/>
          <w:szCs w:val="16"/>
        </w:rPr>
        <w:t>.</w:t>
      </w:r>
    </w:p>
  </w:footnote>
  <w:footnote w:id="5">
    <w:p w14:paraId="3CC2AFD0"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 3d 466 (2014)</w:t>
      </w:r>
      <w:r>
        <w:rPr>
          <w:rFonts w:asciiTheme="majorHAnsi" w:hAnsiTheme="majorHAnsi"/>
          <w:sz w:val="16"/>
          <w:szCs w:val="16"/>
        </w:rPr>
        <w:t>.</w:t>
      </w:r>
    </w:p>
  </w:footnote>
  <w:footnote w:id="6">
    <w:p w14:paraId="13DF92B6"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State v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Not reported in N.E.2d (1997)</w:t>
      </w:r>
      <w:r>
        <w:rPr>
          <w:rFonts w:asciiTheme="majorHAnsi" w:hAnsiTheme="majorHAnsi"/>
          <w:sz w:val="16"/>
          <w:szCs w:val="16"/>
        </w:rPr>
        <w:t>.</w:t>
      </w:r>
    </w:p>
  </w:footnote>
  <w:footnote w:id="7">
    <w:p w14:paraId="030C02EC"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State v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71 Ohio St.3d 61 (1994)</w:t>
      </w:r>
      <w:r>
        <w:rPr>
          <w:rFonts w:asciiTheme="majorHAnsi" w:hAnsiTheme="majorHAnsi"/>
          <w:sz w:val="16"/>
          <w:szCs w:val="16"/>
        </w:rPr>
        <w:t>.</w:t>
      </w:r>
    </w:p>
  </w:footnote>
  <w:footnote w:id="8">
    <w:p w14:paraId="7ED8D10D"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F.3d 466 (2014)</w:t>
      </w:r>
      <w:r>
        <w:rPr>
          <w:rFonts w:asciiTheme="majorHAnsi" w:hAnsiTheme="majorHAnsi"/>
          <w:sz w:val="16"/>
          <w:szCs w:val="16"/>
        </w:rPr>
        <w:t>.</w:t>
      </w:r>
    </w:p>
  </w:footnote>
  <w:footnote w:id="9">
    <w:p w14:paraId="5ED8DE34"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State v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71 Ohio St.3d 61 (1994)</w:t>
      </w:r>
      <w:r>
        <w:rPr>
          <w:rFonts w:asciiTheme="majorHAnsi" w:hAnsiTheme="majorHAnsi"/>
          <w:sz w:val="16"/>
          <w:szCs w:val="16"/>
        </w:rPr>
        <w:t>.</w:t>
      </w:r>
    </w:p>
  </w:footnote>
  <w:footnote w:id="10">
    <w:p w14:paraId="40D152D2"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F.3d 466 (2014)</w:t>
      </w:r>
      <w:r>
        <w:rPr>
          <w:rFonts w:asciiTheme="majorHAnsi" w:hAnsiTheme="majorHAnsi"/>
          <w:sz w:val="16"/>
          <w:szCs w:val="16"/>
        </w:rPr>
        <w:t>.</w:t>
      </w:r>
    </w:p>
  </w:footnote>
  <w:footnote w:id="11">
    <w:p w14:paraId="39632BA4"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Ohio (1995), U.S. 115 S. Ct. 1983</w:t>
      </w:r>
      <w:r>
        <w:rPr>
          <w:rFonts w:asciiTheme="majorHAnsi" w:hAnsiTheme="majorHAnsi"/>
          <w:sz w:val="16"/>
          <w:szCs w:val="16"/>
        </w:rPr>
        <w:t>.</w:t>
      </w:r>
    </w:p>
  </w:footnote>
  <w:footnote w:id="12">
    <w:p w14:paraId="2C8DF4E4"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 3d 466 (2014)</w:t>
      </w:r>
      <w:r>
        <w:rPr>
          <w:rFonts w:asciiTheme="majorHAnsi" w:hAnsiTheme="majorHAnsi"/>
          <w:sz w:val="16"/>
          <w:szCs w:val="16"/>
        </w:rPr>
        <w:t>.</w:t>
      </w:r>
    </w:p>
  </w:footnote>
  <w:footnote w:id="13">
    <w:p w14:paraId="5CF89F26"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Not Reported in F. Supp. 2d (2002)</w:t>
      </w:r>
      <w:r>
        <w:rPr>
          <w:rFonts w:asciiTheme="majorHAnsi" w:hAnsiTheme="majorHAnsi"/>
          <w:sz w:val="16"/>
          <w:szCs w:val="16"/>
        </w:rPr>
        <w:t>.</w:t>
      </w:r>
    </w:p>
  </w:footnote>
  <w:footnote w:id="14">
    <w:p w14:paraId="48FE6A38" w14:textId="77777777" w:rsidR="00B56F13" w:rsidRDefault="00B56F13" w:rsidP="009266DD">
      <w:pPr>
        <w:pStyle w:val="FootnoteText"/>
        <w:jc w:val="both"/>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 3d 466 (2014)</w:t>
      </w:r>
      <w:r>
        <w:rPr>
          <w:rFonts w:asciiTheme="majorHAnsi" w:hAnsiTheme="majorHAnsi"/>
          <w:sz w:val="16"/>
          <w:szCs w:val="16"/>
        </w:rPr>
        <w:t>.</w:t>
      </w:r>
    </w:p>
  </w:footnote>
  <w:footnote w:id="15">
    <w:p w14:paraId="633DB205"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F.3d 466 (2014)</w:t>
      </w:r>
      <w:r>
        <w:rPr>
          <w:rFonts w:asciiTheme="majorHAnsi" w:hAnsiTheme="majorHAnsi"/>
          <w:sz w:val="16"/>
          <w:szCs w:val="16"/>
        </w:rPr>
        <w:t>.</w:t>
      </w:r>
    </w:p>
  </w:footnote>
  <w:footnote w:id="16">
    <w:p w14:paraId="50E35530"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F.3d 466 (2014)</w:t>
      </w:r>
      <w:r>
        <w:rPr>
          <w:rFonts w:asciiTheme="majorHAnsi" w:hAnsiTheme="majorHAnsi"/>
          <w:sz w:val="16"/>
          <w:szCs w:val="16"/>
        </w:rPr>
        <w:t>.</w:t>
      </w:r>
    </w:p>
  </w:footnote>
  <w:footnote w:id="17">
    <w:p w14:paraId="3C47F771" w14:textId="77777777" w:rsidR="00B56F13" w:rsidRPr="00E52427"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F.3d 466 (2014)</w:t>
      </w:r>
      <w:r>
        <w:rPr>
          <w:rFonts w:asciiTheme="majorHAnsi" w:hAnsiTheme="majorHAnsi"/>
          <w:sz w:val="16"/>
          <w:szCs w:val="16"/>
        </w:rPr>
        <w:t>.</w:t>
      </w:r>
    </w:p>
  </w:footnote>
  <w:footnote w:id="18">
    <w:p w14:paraId="2FEC7E32" w14:textId="77777777" w:rsidR="00B56F13" w:rsidRPr="00342FA8" w:rsidRDefault="00B56F13" w:rsidP="009266DD">
      <w:pPr>
        <w:pStyle w:val="FootnoteText"/>
        <w:jc w:val="both"/>
        <w:rPr>
          <w:rFonts w:asciiTheme="majorHAnsi" w:hAnsiTheme="majorHAnsi"/>
          <w:sz w:val="16"/>
          <w:szCs w:val="16"/>
        </w:rPr>
      </w:pPr>
      <w:r w:rsidRPr="00E52427">
        <w:rPr>
          <w:rStyle w:val="FootnoteReference"/>
          <w:rFonts w:asciiTheme="majorHAnsi" w:hAnsiTheme="majorHAnsi"/>
          <w:sz w:val="16"/>
          <w:szCs w:val="16"/>
        </w:rPr>
        <w:footnoteRef/>
      </w:r>
      <w:r w:rsidRPr="00E52427">
        <w:rPr>
          <w:rFonts w:asciiTheme="majorHAnsi" w:hAnsiTheme="majorHAnsi"/>
          <w:sz w:val="16"/>
          <w:szCs w:val="16"/>
        </w:rPr>
        <w:t xml:space="preserve"> </w:t>
      </w:r>
      <w:proofErr w:type="spellStart"/>
      <w:r w:rsidRPr="00E52427">
        <w:rPr>
          <w:rFonts w:asciiTheme="majorHAnsi" w:hAnsiTheme="majorHAnsi"/>
          <w:sz w:val="16"/>
          <w:szCs w:val="16"/>
        </w:rPr>
        <w:t>Egelhoff</w:t>
      </w:r>
      <w:proofErr w:type="spellEnd"/>
      <w:r w:rsidRPr="00E52427">
        <w:rPr>
          <w:rFonts w:asciiTheme="majorHAnsi" w:hAnsiTheme="majorHAnsi"/>
          <w:sz w:val="16"/>
          <w:szCs w:val="16"/>
        </w:rPr>
        <w:t xml:space="preserve">, 518 U.S. at 53, 116 </w:t>
      </w:r>
      <w:proofErr w:type="spellStart"/>
      <w:r w:rsidRPr="00E52427">
        <w:rPr>
          <w:rFonts w:asciiTheme="majorHAnsi" w:hAnsiTheme="majorHAnsi"/>
          <w:sz w:val="16"/>
          <w:szCs w:val="16"/>
        </w:rPr>
        <w:t>S.Ct</w:t>
      </w:r>
      <w:proofErr w:type="spellEnd"/>
      <w:r w:rsidRPr="00E52427">
        <w:rPr>
          <w:rFonts w:asciiTheme="majorHAnsi" w:hAnsiTheme="majorHAnsi"/>
          <w:sz w:val="16"/>
          <w:szCs w:val="16"/>
        </w:rPr>
        <w:t xml:space="preserve">. 2013, referenced within </w:t>
      </w:r>
      <w:proofErr w:type="spellStart"/>
      <w:r w:rsidRPr="00E52427">
        <w:rPr>
          <w:rFonts w:asciiTheme="majorHAnsi" w:hAnsiTheme="majorHAnsi"/>
          <w:sz w:val="16"/>
          <w:szCs w:val="16"/>
        </w:rPr>
        <w:t>Loza</w:t>
      </w:r>
      <w:proofErr w:type="spellEnd"/>
      <w:r w:rsidRPr="00E52427">
        <w:rPr>
          <w:rFonts w:asciiTheme="majorHAnsi" w:hAnsiTheme="majorHAnsi"/>
          <w:sz w:val="16"/>
          <w:szCs w:val="16"/>
        </w:rPr>
        <w:t xml:space="preserve"> v Mitchell, 766 F.3d 466 (2014)</w:t>
      </w:r>
      <w:r>
        <w:rPr>
          <w:rFonts w:asciiTheme="majorHAnsi" w:hAnsiTheme="majorHAnsi"/>
          <w:sz w:val="16"/>
          <w:szCs w:val="16"/>
        </w:rPr>
        <w:t>.</w:t>
      </w:r>
    </w:p>
  </w:footnote>
  <w:footnote w:id="19">
    <w:p w14:paraId="1EB21D55" w14:textId="77777777" w:rsidR="00B56F13" w:rsidRPr="00F227E6" w:rsidRDefault="00B56F13" w:rsidP="009266DD">
      <w:pPr>
        <w:pStyle w:val="FootnoteText"/>
        <w:jc w:val="both"/>
        <w:rPr>
          <w:rFonts w:asciiTheme="majorHAnsi" w:hAnsiTheme="majorHAnsi"/>
          <w:sz w:val="16"/>
          <w:szCs w:val="16"/>
        </w:rPr>
      </w:pPr>
      <w:r w:rsidRPr="00F227E6">
        <w:rPr>
          <w:rStyle w:val="FootnoteReference"/>
          <w:rFonts w:asciiTheme="majorHAnsi" w:hAnsiTheme="majorHAnsi"/>
          <w:sz w:val="16"/>
          <w:szCs w:val="16"/>
        </w:rPr>
        <w:footnoteRef/>
      </w:r>
      <w:r w:rsidRPr="00F227E6">
        <w:rPr>
          <w:rFonts w:asciiTheme="majorHAnsi" w:hAnsiTheme="majorHAnsi"/>
          <w:sz w:val="16"/>
          <w:szCs w:val="16"/>
        </w:rPr>
        <w:t xml:space="preserve"> State v Howard [42 Ohio St.3d. 18, 537 N.E.2d 188 (Ohio 1989)</w:t>
      </w:r>
      <w:r>
        <w:rPr>
          <w:rFonts w:asciiTheme="majorHAnsi" w:hAnsiTheme="majorHAnsi"/>
          <w:sz w:val="16"/>
          <w:szCs w:val="16"/>
        </w:rPr>
        <w:t>.</w:t>
      </w:r>
    </w:p>
  </w:footnote>
  <w:footnote w:id="20">
    <w:p w14:paraId="321BFF33" w14:textId="77777777" w:rsidR="00B56F13" w:rsidRPr="00D975F8" w:rsidRDefault="00B56F13" w:rsidP="009266DD">
      <w:pPr>
        <w:pStyle w:val="FootnoteText"/>
        <w:jc w:val="both"/>
        <w:rPr>
          <w:rFonts w:asciiTheme="majorHAnsi" w:hAnsiTheme="majorHAnsi"/>
          <w:sz w:val="16"/>
          <w:szCs w:val="16"/>
        </w:rPr>
      </w:pPr>
      <w:r w:rsidRPr="00D975F8">
        <w:rPr>
          <w:rStyle w:val="FootnoteReference"/>
          <w:rFonts w:asciiTheme="majorHAnsi" w:hAnsiTheme="majorHAnsi"/>
          <w:sz w:val="16"/>
          <w:szCs w:val="16"/>
        </w:rPr>
        <w:footnoteRef/>
      </w:r>
      <w:r w:rsidRPr="00D975F8">
        <w:rPr>
          <w:rFonts w:asciiTheme="majorHAnsi" w:hAnsiTheme="majorHAnsi"/>
          <w:sz w:val="16"/>
          <w:szCs w:val="16"/>
        </w:rPr>
        <w:t xml:space="preserve"> Brown v Bradshaw, 531 F.3d 433, 437 (6</w:t>
      </w:r>
      <w:r w:rsidRPr="00D975F8">
        <w:rPr>
          <w:rFonts w:asciiTheme="majorHAnsi" w:hAnsiTheme="majorHAnsi"/>
          <w:sz w:val="16"/>
          <w:szCs w:val="16"/>
          <w:vertAlign w:val="superscript"/>
        </w:rPr>
        <w:t>th</w:t>
      </w:r>
      <w:r w:rsidRPr="00D975F8">
        <w:rPr>
          <w:rFonts w:asciiTheme="majorHAnsi" w:hAnsiTheme="majorHAnsi"/>
          <w:sz w:val="16"/>
          <w:szCs w:val="16"/>
        </w:rPr>
        <w:t xml:space="preserve"> Cir. 2008)</w:t>
      </w:r>
      <w:r>
        <w:rPr>
          <w:rFonts w:asciiTheme="majorHAnsi" w:hAnsiTheme="majorHAnsi"/>
          <w:sz w:val="16"/>
          <w:szCs w:val="16"/>
        </w:rPr>
        <w:t>.</w:t>
      </w:r>
    </w:p>
  </w:footnote>
  <w:footnote w:id="21">
    <w:p w14:paraId="771A1FA4" w14:textId="77777777" w:rsidR="00B56F13" w:rsidRPr="00D539A6" w:rsidRDefault="00B56F13" w:rsidP="009266DD">
      <w:pPr>
        <w:pStyle w:val="FootnoteText"/>
        <w:jc w:val="both"/>
        <w:rPr>
          <w:rFonts w:asciiTheme="majorHAnsi" w:hAnsiTheme="majorHAnsi"/>
          <w:sz w:val="16"/>
          <w:szCs w:val="16"/>
        </w:rPr>
      </w:pPr>
      <w:r w:rsidRPr="00D539A6">
        <w:rPr>
          <w:rStyle w:val="FootnoteReference"/>
          <w:rFonts w:asciiTheme="majorHAnsi" w:hAnsiTheme="majorHAnsi"/>
          <w:sz w:val="16"/>
          <w:szCs w:val="16"/>
        </w:rPr>
        <w:footnoteRef/>
      </w:r>
      <w:r w:rsidRPr="00D539A6">
        <w:rPr>
          <w:rFonts w:asciiTheme="majorHAnsi" w:hAnsiTheme="majorHAnsi"/>
          <w:sz w:val="16"/>
          <w:szCs w:val="16"/>
        </w:rPr>
        <w:t xml:space="preserve"> Armstrong, 527 U.S.  at 465, 116 S Ct. 1480, quoting </w:t>
      </w:r>
      <w:proofErr w:type="spellStart"/>
      <w:r w:rsidRPr="00D539A6">
        <w:rPr>
          <w:rFonts w:asciiTheme="majorHAnsi" w:hAnsiTheme="majorHAnsi"/>
          <w:sz w:val="16"/>
          <w:szCs w:val="16"/>
        </w:rPr>
        <w:t>Wayte</w:t>
      </w:r>
      <w:proofErr w:type="spellEnd"/>
      <w:r w:rsidRPr="00D539A6">
        <w:rPr>
          <w:rFonts w:asciiTheme="majorHAnsi" w:hAnsiTheme="majorHAnsi"/>
          <w:sz w:val="16"/>
          <w:szCs w:val="16"/>
        </w:rPr>
        <w:t>, 470 U.S. at 608, 105 S Ct. (1524)</w:t>
      </w:r>
      <w:r>
        <w:rPr>
          <w:rFonts w:asciiTheme="majorHAnsi" w:hAnsiTheme="majorHAnsi"/>
          <w:sz w:val="16"/>
          <w:szCs w:val="16"/>
        </w:rPr>
        <w:t>.</w:t>
      </w:r>
    </w:p>
  </w:footnote>
  <w:footnote w:id="22">
    <w:p w14:paraId="403CC7CC" w14:textId="77777777" w:rsidR="00B56F13" w:rsidRPr="006A15B5" w:rsidRDefault="00B56F13" w:rsidP="009266DD">
      <w:pPr>
        <w:pStyle w:val="FootnoteText"/>
        <w:jc w:val="both"/>
        <w:rPr>
          <w:rFonts w:asciiTheme="majorHAnsi" w:hAnsiTheme="majorHAnsi"/>
          <w:sz w:val="16"/>
          <w:szCs w:val="16"/>
        </w:rPr>
      </w:pPr>
      <w:r w:rsidRPr="006A15B5">
        <w:rPr>
          <w:rStyle w:val="FootnoteReference"/>
          <w:rFonts w:asciiTheme="majorHAnsi" w:hAnsiTheme="majorHAnsi"/>
          <w:sz w:val="16"/>
          <w:szCs w:val="16"/>
        </w:rPr>
        <w:footnoteRef/>
      </w:r>
      <w:r w:rsidRPr="006A15B5">
        <w:rPr>
          <w:rFonts w:asciiTheme="majorHAnsi" w:hAnsiTheme="majorHAnsi"/>
          <w:sz w:val="16"/>
          <w:szCs w:val="16"/>
        </w:rPr>
        <w:t xml:space="preserve"> Armstrong, 527 U.S.  at 465, 116 S Ct. 1480.</w:t>
      </w:r>
    </w:p>
  </w:footnote>
  <w:footnote w:id="23">
    <w:p w14:paraId="76C9A244" w14:textId="77777777" w:rsidR="00B56F13" w:rsidRPr="006433A9" w:rsidRDefault="00B56F13" w:rsidP="009266DD">
      <w:pPr>
        <w:pStyle w:val="FootnoteText"/>
        <w:jc w:val="both"/>
        <w:rPr>
          <w:rFonts w:asciiTheme="majorHAnsi" w:hAnsiTheme="majorHAnsi"/>
          <w:sz w:val="16"/>
          <w:szCs w:val="16"/>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w:t>
      </w:r>
      <w:proofErr w:type="spellStart"/>
      <w:r w:rsidRPr="006433A9">
        <w:rPr>
          <w:rFonts w:asciiTheme="majorHAnsi" w:hAnsiTheme="majorHAnsi"/>
          <w:sz w:val="16"/>
          <w:szCs w:val="16"/>
        </w:rPr>
        <w:t>Emuegbunam</w:t>
      </w:r>
      <w:proofErr w:type="spellEnd"/>
      <w:r w:rsidRPr="006433A9">
        <w:rPr>
          <w:rFonts w:asciiTheme="majorHAnsi" w:hAnsiTheme="majorHAnsi"/>
          <w:sz w:val="16"/>
          <w:szCs w:val="16"/>
        </w:rPr>
        <w:t xml:space="preserve">, 268 F. 3d at 394, referenced within </w:t>
      </w:r>
      <w:proofErr w:type="spellStart"/>
      <w:r w:rsidRPr="006433A9">
        <w:rPr>
          <w:rFonts w:asciiTheme="majorHAnsi" w:hAnsiTheme="majorHAnsi"/>
          <w:sz w:val="16"/>
          <w:szCs w:val="16"/>
        </w:rPr>
        <w:t>Loza</w:t>
      </w:r>
      <w:proofErr w:type="spellEnd"/>
      <w:r w:rsidRPr="006433A9">
        <w:rPr>
          <w:rFonts w:asciiTheme="majorHAnsi" w:hAnsiTheme="majorHAnsi"/>
          <w:sz w:val="16"/>
          <w:szCs w:val="16"/>
        </w:rPr>
        <w:t xml:space="preserve"> v Mitchell, 766 F.3d 466 (2014).</w:t>
      </w:r>
    </w:p>
  </w:footnote>
  <w:footnote w:id="24">
    <w:p w14:paraId="3062FDA5" w14:textId="77777777" w:rsidR="00B56F13" w:rsidRPr="006433A9" w:rsidRDefault="00B56F13" w:rsidP="009266DD">
      <w:pPr>
        <w:pStyle w:val="FootnoteText"/>
        <w:jc w:val="both"/>
        <w:rPr>
          <w:lang w:val="fr-FR"/>
        </w:rPr>
      </w:pPr>
      <w:r w:rsidRPr="006433A9">
        <w:rPr>
          <w:rStyle w:val="FootnoteReference"/>
          <w:rFonts w:asciiTheme="majorHAnsi" w:hAnsiTheme="majorHAnsi"/>
          <w:sz w:val="16"/>
          <w:szCs w:val="16"/>
        </w:rPr>
        <w:footnoteRef/>
      </w:r>
      <w:r w:rsidRPr="006433A9">
        <w:rPr>
          <w:rFonts w:asciiTheme="majorHAnsi" w:hAnsiTheme="majorHAnsi"/>
          <w:sz w:val="16"/>
          <w:szCs w:val="16"/>
          <w:lang w:val="fr-FR"/>
        </w:rPr>
        <w:t xml:space="preserve"> </w:t>
      </w:r>
      <w:proofErr w:type="spellStart"/>
      <w:r w:rsidRPr="006433A9">
        <w:rPr>
          <w:rFonts w:asciiTheme="majorHAnsi" w:hAnsiTheme="majorHAnsi"/>
          <w:sz w:val="16"/>
          <w:szCs w:val="16"/>
          <w:lang w:val="fr-FR"/>
        </w:rPr>
        <w:t>Loza</w:t>
      </w:r>
      <w:proofErr w:type="spellEnd"/>
      <w:r w:rsidRPr="006433A9">
        <w:rPr>
          <w:rFonts w:asciiTheme="majorHAnsi" w:hAnsiTheme="majorHAnsi"/>
          <w:sz w:val="16"/>
          <w:szCs w:val="16"/>
          <w:lang w:val="fr-FR"/>
        </w:rPr>
        <w:t xml:space="preserve"> v Jenkins, 135 S. Ct. 2892 (2015).</w:t>
      </w:r>
    </w:p>
  </w:footnote>
  <w:footnote w:id="25">
    <w:p w14:paraId="60A96EFE" w14:textId="77777777" w:rsidR="00B56F13" w:rsidRPr="006433A9" w:rsidRDefault="00B56F13" w:rsidP="009266DD">
      <w:pPr>
        <w:pStyle w:val="FootnoteText"/>
        <w:rPr>
          <w:rFonts w:asciiTheme="majorHAnsi" w:hAnsiTheme="majorHAnsi"/>
          <w:sz w:val="16"/>
          <w:szCs w:val="16"/>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Petitioners’ observations on the merits dated June 4, 2018, p. 2.</w:t>
      </w:r>
    </w:p>
  </w:footnote>
  <w:footnote w:id="26">
    <w:p w14:paraId="5F13EE1F" w14:textId="77777777" w:rsidR="00B56F13" w:rsidRPr="006433A9" w:rsidRDefault="00B56F13" w:rsidP="009266DD">
      <w:pPr>
        <w:pStyle w:val="FootnoteText"/>
        <w:jc w:val="both"/>
        <w:rPr>
          <w:rFonts w:asciiTheme="majorHAnsi" w:hAnsiTheme="majorHAnsi"/>
          <w:sz w:val="16"/>
          <w:szCs w:val="16"/>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State of Ohio, Department of Rehabilitation and Correction, Execution Policy, Rule ORCS 2949.22; 2949.25, June 29, 2015.</w:t>
      </w:r>
    </w:p>
  </w:footnote>
  <w:footnote w:id="27">
    <w:p w14:paraId="1AA31207" w14:textId="77777777" w:rsidR="00B56F13" w:rsidRPr="006433A9" w:rsidRDefault="00B56F13" w:rsidP="009266DD">
      <w:pPr>
        <w:pStyle w:val="FootnoteText"/>
        <w:jc w:val="both"/>
        <w:rPr>
          <w:rFonts w:asciiTheme="majorHAnsi" w:hAnsiTheme="majorHAnsi"/>
          <w:sz w:val="16"/>
          <w:szCs w:val="16"/>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Beaty v FDA, 853 F. Supp. 2d 30 (D.D.C. 2012).</w:t>
      </w:r>
    </w:p>
  </w:footnote>
  <w:footnote w:id="28">
    <w:p w14:paraId="7CF74632" w14:textId="77777777" w:rsidR="00B56F13" w:rsidRPr="006433A9" w:rsidRDefault="00B56F13" w:rsidP="009266DD">
      <w:pPr>
        <w:pStyle w:val="FootnoteText"/>
      </w:pPr>
      <w:r w:rsidRPr="006433A9">
        <w:rPr>
          <w:rStyle w:val="FootnoteReference"/>
          <w:rFonts w:asciiTheme="majorHAnsi" w:hAnsiTheme="majorHAnsi"/>
          <w:sz w:val="16"/>
          <w:szCs w:val="16"/>
        </w:rPr>
        <w:footnoteRef/>
      </w:r>
      <w:r w:rsidRPr="006433A9">
        <w:rPr>
          <w:rStyle w:val="FootnoteReference"/>
          <w:rFonts w:asciiTheme="majorHAnsi" w:hAnsiTheme="majorHAnsi"/>
          <w:sz w:val="16"/>
          <w:szCs w:val="16"/>
        </w:rPr>
        <w:t xml:space="preserve"> </w:t>
      </w:r>
      <w:r w:rsidRPr="006433A9">
        <w:rPr>
          <w:rFonts w:asciiTheme="majorHAnsi" w:hAnsiTheme="majorHAnsi"/>
          <w:sz w:val="16"/>
          <w:szCs w:val="16"/>
        </w:rPr>
        <w:t>Petitioners’ observations on the merits dated June 4, 2018, p. 21.</w:t>
      </w:r>
    </w:p>
  </w:footnote>
  <w:footnote w:id="29">
    <w:p w14:paraId="354CDA16" w14:textId="77777777" w:rsidR="00B56F13" w:rsidRPr="006433A9" w:rsidRDefault="00B56F13" w:rsidP="009266DD">
      <w:pPr>
        <w:pStyle w:val="FootnoteText"/>
        <w:jc w:val="both"/>
        <w:rPr>
          <w:rFonts w:asciiTheme="majorHAnsi" w:hAnsiTheme="majorHAnsi"/>
          <w:sz w:val="16"/>
          <w:szCs w:val="16"/>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w:t>
      </w:r>
      <w:r w:rsidRPr="006433A9">
        <w:rPr>
          <w:rFonts w:asciiTheme="majorHAnsi" w:hAnsiTheme="majorHAnsi"/>
          <w:i/>
          <w:iCs/>
          <w:sz w:val="16"/>
          <w:szCs w:val="16"/>
        </w:rPr>
        <w:t xml:space="preserve">In re Ohio Execution Protocol Litigation, </w:t>
      </w:r>
      <w:r w:rsidRPr="006433A9">
        <w:rPr>
          <w:rFonts w:asciiTheme="majorHAnsi" w:hAnsiTheme="majorHAnsi"/>
          <w:sz w:val="16"/>
          <w:szCs w:val="16"/>
        </w:rPr>
        <w:t xml:space="preserve">Case No. 2:11-cv-1016, slip op. at 104-05 (S.D. Ohio Jan.26, 2017).  </w:t>
      </w:r>
    </w:p>
  </w:footnote>
  <w:footnote w:id="30">
    <w:p w14:paraId="60574373" w14:textId="77777777" w:rsidR="00B56F13" w:rsidRPr="006433A9" w:rsidRDefault="00B56F13" w:rsidP="009266DD">
      <w:pPr>
        <w:pStyle w:val="FootnoteText"/>
        <w:rPr>
          <w:rFonts w:asciiTheme="majorHAnsi" w:hAnsiTheme="majorHAnsi"/>
          <w:sz w:val="16"/>
          <w:szCs w:val="16"/>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w:t>
      </w:r>
      <w:r w:rsidRPr="006433A9">
        <w:rPr>
          <w:rFonts w:asciiTheme="majorHAnsi" w:hAnsiTheme="majorHAnsi"/>
          <w:i/>
          <w:iCs/>
          <w:sz w:val="16"/>
          <w:szCs w:val="16"/>
        </w:rPr>
        <w:t>In re Ohio Execution Protocol</w:t>
      </w:r>
      <w:r w:rsidRPr="006433A9">
        <w:rPr>
          <w:rFonts w:asciiTheme="majorHAnsi" w:hAnsiTheme="majorHAnsi"/>
          <w:sz w:val="16"/>
          <w:szCs w:val="16"/>
        </w:rPr>
        <w:t>, 860 F.3d 881, 886 (6th Cir. 2017).</w:t>
      </w:r>
    </w:p>
  </w:footnote>
  <w:footnote w:id="31">
    <w:p w14:paraId="0EC37B3B" w14:textId="77777777" w:rsidR="00B56F13" w:rsidRPr="006433A9" w:rsidRDefault="00B56F13" w:rsidP="009266DD">
      <w:pPr>
        <w:pStyle w:val="Default"/>
        <w:rPr>
          <w:rFonts w:asciiTheme="majorHAnsi" w:eastAsia="Arial Unicode MS" w:hAnsiTheme="majorHAnsi"/>
          <w:sz w:val="16"/>
          <w:szCs w:val="16"/>
          <w:bdr w:val="nil"/>
          <w:lang w:val="en-US" w:eastAsia="es-ES"/>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w:t>
      </w:r>
      <w:r w:rsidRPr="006433A9">
        <w:rPr>
          <w:rFonts w:asciiTheme="majorHAnsi" w:eastAsia="Arial Unicode MS" w:hAnsiTheme="majorHAnsi"/>
          <w:i/>
          <w:iCs/>
          <w:sz w:val="16"/>
          <w:szCs w:val="16"/>
        </w:rPr>
        <w:t>In re Ohio Execution Protocol Litig.</w:t>
      </w:r>
      <w:r w:rsidRPr="006433A9">
        <w:rPr>
          <w:rFonts w:asciiTheme="majorHAnsi" w:eastAsia="Arial Unicode MS" w:hAnsiTheme="majorHAnsi"/>
          <w:sz w:val="16"/>
          <w:szCs w:val="16"/>
        </w:rPr>
        <w:t>, No. 2:11-cv-1016, 2019 U.S. Dist. LEXIS 8200, at *252 (S.D. Ohio Jan. 14, 2019).</w:t>
      </w:r>
    </w:p>
  </w:footnote>
  <w:footnote w:id="32">
    <w:p w14:paraId="7C5B41D9" w14:textId="77777777" w:rsidR="00B56F13" w:rsidRPr="006433A9" w:rsidRDefault="00B56F13" w:rsidP="009266DD">
      <w:pPr>
        <w:pStyle w:val="FootnoteText"/>
        <w:jc w:val="both"/>
        <w:rPr>
          <w:rFonts w:asciiTheme="majorHAnsi" w:hAnsiTheme="majorHAnsi"/>
          <w:sz w:val="16"/>
          <w:szCs w:val="16"/>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Death penalty information center. Ohio Executions Scheduled for 2017 – 2022. Available at: </w:t>
      </w:r>
      <w:hyperlink r:id="rId1" w:history="1">
        <w:r w:rsidRPr="006433A9">
          <w:rPr>
            <w:rStyle w:val="Hyperlink"/>
            <w:rFonts w:asciiTheme="majorHAnsi" w:hAnsiTheme="majorHAnsi"/>
            <w:sz w:val="16"/>
            <w:szCs w:val="16"/>
          </w:rPr>
          <w:t>https://deathpenaltyinfo.org/facts-and-research/dpic-reports/dpic-special-reports/ohio-executions-scheduled-for-2017-2022</w:t>
        </w:r>
      </w:hyperlink>
      <w:r w:rsidRPr="006433A9">
        <w:rPr>
          <w:rFonts w:asciiTheme="majorHAnsi" w:hAnsiTheme="majorHAnsi"/>
          <w:sz w:val="16"/>
          <w:szCs w:val="16"/>
        </w:rPr>
        <w:t xml:space="preserve"> </w:t>
      </w:r>
    </w:p>
  </w:footnote>
  <w:footnote w:id="33">
    <w:p w14:paraId="53FA239B" w14:textId="77777777" w:rsidR="00B56F13" w:rsidRPr="006433A9" w:rsidRDefault="00B56F13" w:rsidP="009266DD">
      <w:pPr>
        <w:pStyle w:val="Default"/>
        <w:rPr>
          <w:rFonts w:asciiTheme="majorHAnsi" w:hAnsiTheme="majorHAnsi"/>
          <w:sz w:val="16"/>
          <w:szCs w:val="16"/>
          <w:lang w:val="en-US"/>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w:t>
      </w:r>
      <w:r w:rsidRPr="006433A9">
        <w:rPr>
          <w:rFonts w:asciiTheme="majorHAnsi" w:eastAsia="Arial Unicode MS" w:hAnsiTheme="majorHAnsi"/>
          <w:i/>
          <w:sz w:val="16"/>
          <w:szCs w:val="16"/>
          <w:bdr w:val="nil"/>
          <w:lang w:val="en-US" w:eastAsia="es-ES"/>
        </w:rPr>
        <w:t>I</w:t>
      </w:r>
      <w:r w:rsidRPr="006433A9">
        <w:rPr>
          <w:rFonts w:asciiTheme="majorHAnsi" w:hAnsiTheme="majorHAnsi"/>
          <w:i/>
          <w:iCs/>
          <w:sz w:val="16"/>
          <w:szCs w:val="16"/>
          <w:lang w:eastAsia="es-ES"/>
        </w:rPr>
        <w:t xml:space="preserve">n re Ohio Execution Protocol Litig., </w:t>
      </w:r>
      <w:r w:rsidRPr="006433A9">
        <w:rPr>
          <w:rFonts w:asciiTheme="majorHAnsi" w:hAnsiTheme="majorHAnsi"/>
          <w:iCs/>
          <w:sz w:val="16"/>
          <w:szCs w:val="16"/>
          <w:lang w:eastAsia="es-ES"/>
        </w:rPr>
        <w:t>937 F.3d 759, 762 (6</w:t>
      </w:r>
      <w:r w:rsidRPr="006433A9">
        <w:rPr>
          <w:rFonts w:asciiTheme="majorHAnsi" w:hAnsiTheme="majorHAnsi"/>
          <w:iCs/>
          <w:sz w:val="16"/>
          <w:szCs w:val="16"/>
          <w:vertAlign w:val="superscript"/>
          <w:lang w:eastAsia="es-ES"/>
        </w:rPr>
        <w:t>th</w:t>
      </w:r>
      <w:r w:rsidRPr="006433A9">
        <w:rPr>
          <w:rFonts w:asciiTheme="majorHAnsi" w:hAnsiTheme="majorHAnsi"/>
          <w:iCs/>
          <w:sz w:val="16"/>
          <w:szCs w:val="16"/>
          <w:lang w:eastAsia="es-ES"/>
        </w:rPr>
        <w:t xml:space="preserve"> Cir. 2019).</w:t>
      </w:r>
    </w:p>
  </w:footnote>
  <w:footnote w:id="34">
    <w:p w14:paraId="3E34E23A" w14:textId="77777777" w:rsidR="00B56F13" w:rsidRPr="006433A9" w:rsidRDefault="00B56F13" w:rsidP="009266DD">
      <w:pPr>
        <w:pStyle w:val="FootnoteText"/>
        <w:jc w:val="both"/>
        <w:rPr>
          <w:rFonts w:asciiTheme="majorHAnsi" w:hAnsiTheme="majorHAnsi"/>
          <w:color w:val="auto"/>
          <w:sz w:val="16"/>
          <w:szCs w:val="16"/>
        </w:rPr>
      </w:pPr>
      <w:r w:rsidRPr="006433A9">
        <w:rPr>
          <w:rStyle w:val="FootnoteReference"/>
          <w:rFonts w:asciiTheme="majorHAnsi" w:hAnsiTheme="majorHAnsi"/>
          <w:color w:val="auto"/>
          <w:sz w:val="16"/>
          <w:szCs w:val="16"/>
        </w:rPr>
        <w:footnoteRef/>
      </w:r>
      <w:r w:rsidRPr="006433A9">
        <w:rPr>
          <w:rFonts w:asciiTheme="majorHAnsi" w:hAnsiTheme="majorHAnsi"/>
          <w:color w:val="auto"/>
          <w:sz w:val="16"/>
          <w:szCs w:val="16"/>
        </w:rPr>
        <w:t xml:space="preserve"> See, for example: I/A Court H. R., Advisory Opinion OC-16/99 (October 1, 1999), </w:t>
      </w:r>
      <w:r w:rsidRPr="006433A9">
        <w:rPr>
          <w:rFonts w:asciiTheme="majorHAnsi" w:hAnsiTheme="majorHAnsi"/>
          <w:i/>
          <w:iCs/>
          <w:color w:val="auto"/>
          <w:sz w:val="16"/>
          <w:szCs w:val="16"/>
        </w:rPr>
        <w:t>The Right to Information on Consular Assistance in the Framework of the Guarantees of the Due Process of Law</w:t>
      </w:r>
      <w:r w:rsidRPr="006433A9">
        <w:rPr>
          <w:rFonts w:asciiTheme="majorHAnsi" w:hAnsiTheme="majorHAnsi"/>
          <w:color w:val="auto"/>
          <w:sz w:val="16"/>
          <w:szCs w:val="16"/>
        </w:rPr>
        <w:t xml:space="preserve">, para. 136; United Nations Human Rights Committee, </w:t>
      </w:r>
      <w:proofErr w:type="spellStart"/>
      <w:r w:rsidRPr="006433A9">
        <w:rPr>
          <w:rFonts w:asciiTheme="majorHAnsi" w:hAnsiTheme="majorHAnsi"/>
          <w:i/>
          <w:iCs/>
          <w:color w:val="auto"/>
          <w:sz w:val="16"/>
          <w:szCs w:val="16"/>
        </w:rPr>
        <w:t>Baboheram-Adhin</w:t>
      </w:r>
      <w:proofErr w:type="spellEnd"/>
      <w:r w:rsidRPr="006433A9">
        <w:rPr>
          <w:rFonts w:asciiTheme="majorHAnsi" w:hAnsiTheme="majorHAnsi"/>
          <w:i/>
          <w:iCs/>
          <w:color w:val="auto"/>
          <w:sz w:val="16"/>
          <w:szCs w:val="16"/>
        </w:rPr>
        <w:t xml:space="preserve"> et al. v. Suriname</w:t>
      </w:r>
      <w:r w:rsidRPr="006433A9">
        <w:rPr>
          <w:rFonts w:asciiTheme="majorHAnsi" w:hAnsiTheme="majorHAnsi"/>
          <w:color w:val="auto"/>
          <w:sz w:val="16"/>
          <w:szCs w:val="16"/>
        </w:rPr>
        <w:t>,</w:t>
      </w:r>
      <w:r w:rsidRPr="006433A9">
        <w:rPr>
          <w:rFonts w:asciiTheme="majorHAnsi" w:hAnsiTheme="majorHAnsi"/>
          <w:i/>
          <w:iCs/>
          <w:color w:val="auto"/>
          <w:sz w:val="16"/>
          <w:szCs w:val="16"/>
        </w:rPr>
        <w:t xml:space="preserve"> </w:t>
      </w:r>
      <w:r w:rsidRPr="006433A9">
        <w:rPr>
          <w:rFonts w:asciiTheme="majorHAnsi" w:hAnsiTheme="majorHAnsi"/>
          <w:color w:val="auto"/>
          <w:sz w:val="16"/>
          <w:szCs w:val="16"/>
        </w:rPr>
        <w:t xml:space="preserve">Communications Nos. 148-154/1983, adopted on April 4, 1985, para. 14.3; </w:t>
      </w:r>
      <w:r w:rsidRPr="006433A9">
        <w:rPr>
          <w:rFonts w:asciiTheme="majorHAnsi" w:hAnsiTheme="majorHAnsi"/>
          <w:i/>
          <w:iCs/>
          <w:color w:val="auto"/>
          <w:sz w:val="16"/>
          <w:szCs w:val="16"/>
        </w:rPr>
        <w:t>Report of the United Nations Special Rapporteur on Extrajudicial Executions</w:t>
      </w:r>
      <w:r w:rsidRPr="006433A9">
        <w:rPr>
          <w:rFonts w:asciiTheme="majorHAnsi" w:hAnsiTheme="majorHAnsi"/>
          <w:color w:val="auto"/>
          <w:sz w:val="16"/>
          <w:szCs w:val="16"/>
        </w:rPr>
        <w:t xml:space="preserve">, </w:t>
      </w:r>
      <w:proofErr w:type="spellStart"/>
      <w:r w:rsidRPr="006433A9">
        <w:rPr>
          <w:rFonts w:asciiTheme="majorHAnsi" w:hAnsiTheme="majorHAnsi"/>
          <w:color w:val="auto"/>
          <w:sz w:val="16"/>
          <w:szCs w:val="16"/>
        </w:rPr>
        <w:t>Bacre</w:t>
      </w:r>
      <w:proofErr w:type="spellEnd"/>
      <w:r w:rsidRPr="006433A9">
        <w:rPr>
          <w:rFonts w:asciiTheme="majorHAnsi" w:hAnsiTheme="majorHAnsi"/>
          <w:color w:val="auto"/>
          <w:sz w:val="16"/>
          <w:szCs w:val="16"/>
        </w:rPr>
        <w:t xml:space="preserve"> Waly Ndiaye, submitted pursuant to Commission on Human Rights Resolution 1994/82, Question of the Violation of Human Rights and Fundamental Freedoms in any part of the World, with particular reference to Colonial and Other Dependent Countries and Territories, UN </w:t>
      </w:r>
      <w:proofErr w:type="spellStart"/>
      <w:r w:rsidRPr="006433A9">
        <w:rPr>
          <w:rFonts w:asciiTheme="majorHAnsi" w:hAnsiTheme="majorHAnsi"/>
          <w:color w:val="auto"/>
          <w:sz w:val="16"/>
          <w:szCs w:val="16"/>
        </w:rPr>
        <w:t>Doc.E</w:t>
      </w:r>
      <w:proofErr w:type="spellEnd"/>
      <w:r w:rsidRPr="006433A9">
        <w:rPr>
          <w:rFonts w:asciiTheme="majorHAnsi" w:hAnsiTheme="majorHAnsi"/>
          <w:color w:val="auto"/>
          <w:sz w:val="16"/>
          <w:szCs w:val="16"/>
        </w:rPr>
        <w:t>/CN.4/1995/61 (December 14, 1994), para. 378.</w:t>
      </w:r>
    </w:p>
  </w:footnote>
  <w:footnote w:id="35">
    <w:p w14:paraId="0DD79AA6" w14:textId="77777777" w:rsidR="00B56F13" w:rsidRPr="006433A9" w:rsidRDefault="00B56F13" w:rsidP="009266DD">
      <w:pPr>
        <w:pStyle w:val="FootnoteText"/>
        <w:jc w:val="both"/>
        <w:rPr>
          <w:rFonts w:asciiTheme="majorHAnsi" w:hAnsiTheme="majorHAnsi"/>
          <w:color w:val="auto"/>
          <w:sz w:val="16"/>
          <w:szCs w:val="16"/>
        </w:rPr>
      </w:pPr>
      <w:r w:rsidRPr="006433A9">
        <w:rPr>
          <w:rStyle w:val="FootnoteReference"/>
          <w:rFonts w:asciiTheme="majorHAnsi" w:hAnsiTheme="majorHAnsi"/>
          <w:color w:val="auto"/>
          <w:sz w:val="16"/>
          <w:szCs w:val="16"/>
        </w:rPr>
        <w:footnoteRef/>
      </w:r>
      <w:r w:rsidRPr="006433A9">
        <w:rPr>
          <w:rFonts w:asciiTheme="majorHAnsi" w:hAnsiTheme="majorHAnsi"/>
          <w:color w:val="auto"/>
          <w:sz w:val="16"/>
          <w:szCs w:val="16"/>
        </w:rPr>
        <w:t xml:space="preserve"> IACHR,</w:t>
      </w:r>
      <w:r w:rsidRPr="006433A9">
        <w:rPr>
          <w:rFonts w:asciiTheme="majorHAnsi" w:hAnsiTheme="majorHAnsi"/>
          <w:i/>
          <w:iCs/>
          <w:color w:val="auto"/>
          <w:sz w:val="16"/>
          <w:szCs w:val="16"/>
        </w:rPr>
        <w:t xml:space="preserve"> </w:t>
      </w:r>
      <w:r w:rsidRPr="006433A9">
        <w:rPr>
          <w:rFonts w:asciiTheme="majorHAnsi" w:hAnsiTheme="majorHAnsi"/>
          <w:color w:val="auto"/>
          <w:sz w:val="16"/>
          <w:szCs w:val="16"/>
        </w:rPr>
        <w:t xml:space="preserve">Report No. 57/96, </w:t>
      </w:r>
      <w:r w:rsidRPr="006433A9">
        <w:rPr>
          <w:rFonts w:asciiTheme="majorHAnsi" w:hAnsiTheme="majorHAnsi"/>
          <w:iCs/>
          <w:color w:val="auto"/>
          <w:sz w:val="16"/>
          <w:szCs w:val="16"/>
        </w:rPr>
        <w:t>Andrews, United States</w:t>
      </w:r>
      <w:r w:rsidRPr="006433A9">
        <w:rPr>
          <w:rFonts w:asciiTheme="majorHAnsi" w:hAnsiTheme="majorHAnsi"/>
          <w:color w:val="auto"/>
          <w:sz w:val="16"/>
          <w:szCs w:val="16"/>
        </w:rPr>
        <w:t xml:space="preserve">, IACHR Annual Report 1997, para. 170-171; Report No. 38/00 Baptiste, Grenada, IACHR Annual Report 1999, paras. 64-66; Report No. 41/00, McKenzie </w:t>
      </w:r>
      <w:r w:rsidRPr="006433A9">
        <w:rPr>
          <w:rFonts w:asciiTheme="majorHAnsi" w:hAnsiTheme="majorHAnsi"/>
          <w:i/>
          <w:iCs/>
          <w:color w:val="auto"/>
          <w:sz w:val="16"/>
          <w:szCs w:val="16"/>
        </w:rPr>
        <w:t>et al.</w:t>
      </w:r>
      <w:r w:rsidRPr="006433A9">
        <w:rPr>
          <w:rFonts w:asciiTheme="majorHAnsi" w:hAnsiTheme="majorHAnsi"/>
          <w:iCs/>
          <w:color w:val="auto"/>
          <w:sz w:val="16"/>
          <w:szCs w:val="16"/>
        </w:rPr>
        <w:t>,</w:t>
      </w:r>
      <w:r w:rsidRPr="006433A9">
        <w:rPr>
          <w:rFonts w:asciiTheme="majorHAnsi" w:hAnsiTheme="majorHAnsi"/>
          <w:color w:val="auto"/>
          <w:sz w:val="16"/>
          <w:szCs w:val="16"/>
        </w:rPr>
        <w:t xml:space="preserve"> Jamaica, IACHR Annual Report 1999, paras. 169-171.</w:t>
      </w:r>
    </w:p>
  </w:footnote>
  <w:footnote w:id="36">
    <w:p w14:paraId="23548209" w14:textId="77777777" w:rsidR="00B56F13" w:rsidRPr="00F61B4C" w:rsidRDefault="00B56F13" w:rsidP="009266DD">
      <w:pPr>
        <w:autoSpaceDE w:val="0"/>
        <w:autoSpaceDN w:val="0"/>
        <w:adjustRightInd w:val="0"/>
        <w:jc w:val="both"/>
        <w:rPr>
          <w:rFonts w:asciiTheme="majorHAnsi" w:hAnsiTheme="majorHAnsi"/>
          <w:sz w:val="16"/>
          <w:szCs w:val="16"/>
        </w:rPr>
      </w:pPr>
      <w:r w:rsidRPr="006433A9">
        <w:rPr>
          <w:rStyle w:val="FootnoteReference"/>
          <w:rFonts w:asciiTheme="majorHAnsi" w:hAnsiTheme="majorHAnsi"/>
          <w:sz w:val="16"/>
          <w:szCs w:val="16"/>
        </w:rPr>
        <w:footnoteRef/>
      </w:r>
      <w:r w:rsidRPr="006433A9">
        <w:rPr>
          <w:rFonts w:asciiTheme="majorHAnsi" w:hAnsiTheme="majorHAnsi"/>
          <w:sz w:val="16"/>
          <w:szCs w:val="16"/>
        </w:rPr>
        <w:t xml:space="preserve"> IACHR, The death penalty in the Inter-American System of Human Rights: From restrictions to abolition, </w:t>
      </w:r>
      <w:r w:rsidRPr="006433A9">
        <w:rPr>
          <w:rFonts w:asciiTheme="majorHAnsi" w:hAnsiTheme="majorHAnsi" w:cs="Calibri"/>
          <w:sz w:val="16"/>
          <w:szCs w:val="16"/>
        </w:rPr>
        <w:t>OEA/</w:t>
      </w:r>
      <w:proofErr w:type="spellStart"/>
      <w:r w:rsidRPr="006433A9">
        <w:rPr>
          <w:rFonts w:asciiTheme="majorHAnsi" w:hAnsiTheme="majorHAnsi" w:cs="Calibri"/>
          <w:sz w:val="16"/>
          <w:szCs w:val="16"/>
        </w:rPr>
        <w:t>Ser.L</w:t>
      </w:r>
      <w:proofErr w:type="spellEnd"/>
      <w:r w:rsidRPr="006433A9">
        <w:rPr>
          <w:rFonts w:asciiTheme="majorHAnsi" w:hAnsiTheme="majorHAnsi" w:cs="Calibri"/>
          <w:sz w:val="16"/>
          <w:szCs w:val="16"/>
        </w:rPr>
        <w:t>/V/II.Doc. 68, December 31</w:t>
      </w:r>
      <w:r w:rsidRPr="00F61B4C">
        <w:rPr>
          <w:rFonts w:asciiTheme="majorHAnsi" w:hAnsiTheme="majorHAnsi" w:cs="Calibri"/>
          <w:sz w:val="16"/>
          <w:szCs w:val="16"/>
        </w:rPr>
        <w:t xml:space="preserve">, 2011, </w:t>
      </w:r>
      <w:r w:rsidRPr="00F61B4C">
        <w:rPr>
          <w:rFonts w:asciiTheme="majorHAnsi" w:hAnsiTheme="majorHAnsi"/>
          <w:sz w:val="16"/>
          <w:szCs w:val="16"/>
        </w:rPr>
        <w:t>para. 41.</w:t>
      </w:r>
    </w:p>
  </w:footnote>
  <w:footnote w:id="37">
    <w:p w14:paraId="7C0D61CB" w14:textId="77777777" w:rsidR="00B56F13" w:rsidRPr="00F61B4C" w:rsidRDefault="00B56F13" w:rsidP="009266DD">
      <w:pPr>
        <w:autoSpaceDE w:val="0"/>
        <w:autoSpaceDN w:val="0"/>
        <w:adjustRightInd w:val="0"/>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IACHR, Report No. 78/07, Case 12.265, Merits (Publication), Chad Roger Goodman, The Bahamas, October 15, 2007, para. 34.</w:t>
      </w:r>
    </w:p>
  </w:footnote>
  <w:footnote w:id="38">
    <w:p w14:paraId="286D9060" w14:textId="77777777" w:rsidR="00B56F13" w:rsidRPr="00F61B4C" w:rsidRDefault="00B56F13" w:rsidP="009266DD">
      <w:pPr>
        <w:pStyle w:val="FootnoteText"/>
        <w:jc w:val="both"/>
        <w:rPr>
          <w:rFonts w:asciiTheme="majorHAnsi" w:hAnsiTheme="majorHAnsi" w:cs="Times New Roman"/>
          <w:color w:val="auto"/>
          <w:sz w:val="16"/>
          <w:szCs w:val="16"/>
        </w:rPr>
      </w:pPr>
      <w:r w:rsidRPr="00F61B4C">
        <w:rPr>
          <w:rStyle w:val="FootnoteReference"/>
          <w:rFonts w:asciiTheme="majorHAnsi" w:hAnsiTheme="majorHAnsi"/>
          <w:color w:val="auto"/>
          <w:sz w:val="16"/>
          <w:szCs w:val="16"/>
        </w:rPr>
        <w:footnoteRef/>
      </w:r>
      <w:r w:rsidRPr="00F61B4C">
        <w:rPr>
          <w:rFonts w:asciiTheme="majorHAnsi" w:hAnsiTheme="majorHAnsi"/>
          <w:color w:val="auto"/>
          <w:sz w:val="16"/>
          <w:szCs w:val="16"/>
        </w:rPr>
        <w:t xml:space="preserve"> IACHR, Report No. 44/14, Case 12,873, Report on Merits (Publication), Edgar Tamayo Arias, United States, July 17, 2014, para. 214.</w:t>
      </w:r>
    </w:p>
  </w:footnote>
  <w:footnote w:id="39">
    <w:p w14:paraId="0E486E72" w14:textId="77777777" w:rsidR="00B56F13" w:rsidRPr="00F61B4C" w:rsidRDefault="00B56F13" w:rsidP="009266DD">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w:t>
      </w:r>
      <w:r>
        <w:rPr>
          <w:rFonts w:asciiTheme="majorHAnsi" w:eastAsia="Arial Unicode MS" w:hAnsiTheme="majorHAnsi" w:cs="Times New Roman"/>
          <w:color w:val="auto"/>
          <w:sz w:val="16"/>
          <w:szCs w:val="16"/>
          <w:lang w:eastAsia="en-US"/>
        </w:rPr>
        <w:t>Article X</w:t>
      </w:r>
      <w:r w:rsidRPr="00966854">
        <w:rPr>
          <w:rFonts w:asciiTheme="majorHAnsi" w:eastAsia="Arial Unicode MS" w:hAnsiTheme="majorHAnsi" w:cs="Times New Roman"/>
          <w:color w:val="auto"/>
          <w:sz w:val="16"/>
          <w:szCs w:val="16"/>
          <w:lang w:eastAsia="en-US"/>
        </w:rPr>
        <w:t xml:space="preserve">VIII of the American Declaration establishes: </w:t>
      </w:r>
      <w:r w:rsidRPr="00F61B4C">
        <w:rPr>
          <w:rFonts w:asciiTheme="majorHAnsi" w:hAnsiTheme="majorHAnsi"/>
          <w:sz w:val="16"/>
          <w:szCs w:val="16"/>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40">
    <w:p w14:paraId="0BC1CE67" w14:textId="77777777" w:rsidR="00B56F13" w:rsidRPr="00F61B4C" w:rsidRDefault="00B56F13" w:rsidP="009266DD">
      <w:pPr>
        <w:pStyle w:val="FootnoteText"/>
        <w:jc w:val="both"/>
        <w:rPr>
          <w:rFonts w:asciiTheme="majorHAnsi" w:hAnsiTheme="majorHAnsi"/>
          <w:sz w:val="16"/>
          <w:szCs w:val="16"/>
        </w:rPr>
      </w:pPr>
      <w:r w:rsidRPr="00D12883">
        <w:rPr>
          <w:rStyle w:val="FootnoteReference"/>
          <w:rFonts w:asciiTheme="majorHAnsi" w:hAnsiTheme="majorHAnsi"/>
          <w:sz w:val="16"/>
          <w:szCs w:val="16"/>
        </w:rPr>
        <w:footnoteRef/>
      </w:r>
      <w:r>
        <w:rPr>
          <w:rFonts w:asciiTheme="majorHAnsi" w:hAnsiTheme="majorHAnsi"/>
          <w:sz w:val="16"/>
          <w:szCs w:val="16"/>
        </w:rPr>
        <w:t xml:space="preserve"> </w:t>
      </w:r>
      <w:r>
        <w:rPr>
          <w:rFonts w:asciiTheme="majorHAnsi" w:eastAsia="Arial Unicode MS" w:hAnsiTheme="majorHAnsi" w:cs="Times New Roman"/>
          <w:color w:val="auto"/>
          <w:sz w:val="16"/>
          <w:szCs w:val="16"/>
          <w:lang w:eastAsia="en-US"/>
        </w:rPr>
        <w:t>Article XXVI</w:t>
      </w:r>
      <w:r w:rsidRPr="00966854">
        <w:rPr>
          <w:rFonts w:asciiTheme="majorHAnsi" w:eastAsia="Arial Unicode MS" w:hAnsiTheme="majorHAnsi" w:cs="Times New Roman"/>
          <w:color w:val="auto"/>
          <w:sz w:val="16"/>
          <w:szCs w:val="16"/>
          <w:lang w:eastAsia="en-US"/>
        </w:rPr>
        <w:t xml:space="preserve"> of the American Declaration establishes:</w:t>
      </w:r>
      <w:r w:rsidRPr="00D12883">
        <w:rPr>
          <w:rStyle w:val="FootnoteReference"/>
          <w:rFonts w:asciiTheme="majorHAnsi" w:hAnsiTheme="majorHAnsi"/>
          <w:sz w:val="16"/>
          <w:szCs w:val="16"/>
        </w:rPr>
        <w:t xml:space="preserve"> </w:t>
      </w:r>
      <w:r w:rsidRPr="00F61B4C">
        <w:rPr>
          <w:rFonts w:asciiTheme="majorHAnsi" w:hAnsiTheme="majorHAnsi"/>
          <w:sz w:val="16"/>
          <w:szCs w:val="16"/>
        </w:rPr>
        <w:t>Every accused person is presumed to be innocent until proved guilty.</w:t>
      </w:r>
    </w:p>
    <w:p w14:paraId="251807BB" w14:textId="77777777" w:rsidR="00B56F13" w:rsidRPr="00F61B4C" w:rsidRDefault="00B56F13" w:rsidP="009266DD">
      <w:pPr>
        <w:pStyle w:val="FootnoteText"/>
        <w:jc w:val="both"/>
      </w:pPr>
      <w:r w:rsidRPr="00F61B4C">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41">
    <w:p w14:paraId="25ED6142" w14:textId="77777777" w:rsidR="00B56F13" w:rsidRPr="00622242" w:rsidRDefault="00B56F13" w:rsidP="002F12A8">
      <w:pPr>
        <w:pStyle w:val="FootnoteText"/>
        <w:jc w:val="both"/>
        <w:rPr>
          <w:rFonts w:ascii="Cambria" w:hAnsi="Cambria"/>
          <w:sz w:val="16"/>
          <w:szCs w:val="16"/>
        </w:rPr>
      </w:pPr>
      <w:r w:rsidRPr="00622242">
        <w:rPr>
          <w:rStyle w:val="FootnoteReference"/>
          <w:rFonts w:ascii="Cambria" w:hAnsi="Cambria" w:cs="Arial"/>
          <w:sz w:val="16"/>
          <w:szCs w:val="16"/>
        </w:rPr>
        <w:footnoteRef/>
      </w:r>
      <w:r w:rsidRPr="00622242">
        <w:rPr>
          <w:rFonts w:ascii="Cambria" w:hAnsi="Cambria" w:cs="Arial"/>
          <w:sz w:val="16"/>
          <w:szCs w:val="16"/>
        </w:rPr>
        <w:t xml:space="preserve"> IACHR, </w:t>
      </w:r>
      <w:r w:rsidRPr="00622242">
        <w:rPr>
          <w:rFonts w:ascii="Cambria" w:hAnsi="Cambria" w:cs="Arial"/>
          <w:bCs/>
          <w:sz w:val="16"/>
          <w:szCs w:val="16"/>
        </w:rPr>
        <w:t>Report No. 90/09</w:t>
      </w:r>
      <w:r w:rsidRPr="00622242">
        <w:rPr>
          <w:rFonts w:ascii="Cambria" w:hAnsi="Cambria" w:cs="Arial"/>
          <w:sz w:val="16"/>
          <w:szCs w:val="16"/>
        </w:rPr>
        <w:t xml:space="preserve">, Case 12.644, Admissibility and Merits (Publication), Medellín, Ramírez Cardenas and Leal García, United States, August 7, 2009, paras 124-132.  See also, IACHR, </w:t>
      </w:r>
      <w:r w:rsidRPr="00622242">
        <w:rPr>
          <w:rFonts w:ascii="Cambria" w:hAnsi="Cambria" w:cs="Arial"/>
          <w:sz w:val="16"/>
          <w:szCs w:val="16"/>
          <w:lang w:val="en-GB"/>
        </w:rPr>
        <w:t>Report No. 91/05 (Javier Suarez Medina), United States, Annual Report of the IACHR 2005; Report No. 1/05 (Roberto Moreno Ramos), United States, Annual Report of the IACHR 2005; and Report 52/02, Case 11.753 (Ramón Martinez Villarreal), United States, Annual Report of the IACHR 2002.</w:t>
      </w:r>
    </w:p>
  </w:footnote>
  <w:footnote w:id="42">
    <w:p w14:paraId="1EB8F007" w14:textId="77777777" w:rsidR="00B56F13" w:rsidRPr="00622242" w:rsidRDefault="00B56F13" w:rsidP="002F12A8">
      <w:pPr>
        <w:pStyle w:val="FootnoteText"/>
        <w:jc w:val="both"/>
        <w:rPr>
          <w:rFonts w:ascii="Cambria" w:hAnsi="Cambria" w:cs="Arial"/>
          <w:i/>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International Court of Justice, </w:t>
      </w:r>
      <w:r w:rsidRPr="00622242">
        <w:rPr>
          <w:rFonts w:ascii="Cambria" w:hAnsi="Cambria" w:cs="Arial"/>
          <w:i/>
          <w:sz w:val="16"/>
          <w:szCs w:val="16"/>
        </w:rPr>
        <w:t xml:space="preserve">Case concerning </w:t>
      </w:r>
      <w:proofErr w:type="spellStart"/>
      <w:r w:rsidRPr="00622242">
        <w:rPr>
          <w:rFonts w:ascii="Cambria" w:hAnsi="Cambria" w:cs="Arial"/>
          <w:i/>
          <w:sz w:val="16"/>
          <w:szCs w:val="16"/>
        </w:rPr>
        <w:t>Avena</w:t>
      </w:r>
      <w:proofErr w:type="spellEnd"/>
      <w:r w:rsidRPr="00622242">
        <w:rPr>
          <w:rFonts w:ascii="Cambria" w:hAnsi="Cambria" w:cs="Arial"/>
          <w:i/>
          <w:sz w:val="16"/>
          <w:szCs w:val="16"/>
        </w:rPr>
        <w:t xml:space="preserve"> and Other Mexican Nationals (Mexico v. the United States of America), Judgment of 31 </w:t>
      </w:r>
      <w:proofErr w:type="gramStart"/>
      <w:r w:rsidRPr="00622242">
        <w:rPr>
          <w:rFonts w:ascii="Cambria" w:hAnsi="Cambria" w:cs="Arial"/>
          <w:i/>
          <w:sz w:val="16"/>
          <w:szCs w:val="16"/>
        </w:rPr>
        <w:t>March,</w:t>
      </w:r>
      <w:proofErr w:type="gramEnd"/>
      <w:r w:rsidRPr="00622242">
        <w:rPr>
          <w:rFonts w:ascii="Cambria" w:hAnsi="Cambria" w:cs="Arial"/>
          <w:i/>
          <w:sz w:val="16"/>
          <w:szCs w:val="16"/>
        </w:rPr>
        <w:t xml:space="preserve"> 2004. Available at: </w:t>
      </w:r>
      <w:hyperlink r:id="rId2" w:history="1">
        <w:r w:rsidRPr="00622242">
          <w:rPr>
            <w:rStyle w:val="Hyperlink"/>
            <w:rFonts w:ascii="Cambria" w:hAnsi="Cambria" w:cs="Arial"/>
            <w:i/>
            <w:sz w:val="16"/>
            <w:szCs w:val="16"/>
          </w:rPr>
          <w:t>http://www.icj-cij.org/docket/files/128/8188.pdf</w:t>
        </w:r>
      </w:hyperlink>
      <w:r w:rsidRPr="00622242">
        <w:rPr>
          <w:rFonts w:ascii="Cambria" w:hAnsi="Cambria" w:cs="Arial"/>
          <w:i/>
          <w:sz w:val="16"/>
          <w:szCs w:val="16"/>
        </w:rPr>
        <w:t xml:space="preserve"> </w:t>
      </w:r>
    </w:p>
  </w:footnote>
  <w:footnote w:id="43">
    <w:p w14:paraId="37DD0839" w14:textId="77777777" w:rsidR="00B56F13" w:rsidRPr="009266DD" w:rsidRDefault="00B56F13" w:rsidP="002F12A8">
      <w:pPr>
        <w:pStyle w:val="FootnoteText"/>
        <w:jc w:val="both"/>
        <w:rPr>
          <w:rFonts w:asciiTheme="majorHAnsi" w:hAnsiTheme="majorHAnsi"/>
          <w:sz w:val="16"/>
          <w:szCs w:val="16"/>
        </w:rPr>
      </w:pPr>
      <w:r w:rsidRPr="009266DD">
        <w:rPr>
          <w:rStyle w:val="FootnoteReference"/>
          <w:rFonts w:asciiTheme="majorHAnsi" w:hAnsiTheme="majorHAnsi"/>
          <w:sz w:val="16"/>
          <w:szCs w:val="16"/>
        </w:rPr>
        <w:footnoteRef/>
      </w:r>
      <w:r w:rsidRPr="009266DD">
        <w:rPr>
          <w:rFonts w:asciiTheme="majorHAnsi" w:hAnsiTheme="majorHAnsi"/>
          <w:sz w:val="16"/>
          <w:szCs w:val="16"/>
        </w:rPr>
        <w:t xml:space="preserve"> Medellin v. Texas, 552 U.S. 491 (2008). Available at: </w:t>
      </w:r>
      <w:hyperlink r:id="rId3" w:history="1">
        <w:r w:rsidRPr="009266DD">
          <w:rPr>
            <w:rStyle w:val="Hyperlink"/>
            <w:rFonts w:asciiTheme="majorHAnsi" w:hAnsiTheme="majorHAnsi"/>
            <w:sz w:val="16"/>
            <w:szCs w:val="16"/>
          </w:rPr>
          <w:t>http://www.supremecourt.gov/opinions/07pdf/06-984.pdf</w:t>
        </w:r>
      </w:hyperlink>
      <w:r w:rsidRPr="009266DD">
        <w:rPr>
          <w:rFonts w:asciiTheme="majorHAnsi" w:hAnsiTheme="majorHAnsi"/>
          <w:sz w:val="16"/>
          <w:szCs w:val="16"/>
        </w:rPr>
        <w:t xml:space="preserve"> </w:t>
      </w:r>
    </w:p>
  </w:footnote>
  <w:footnote w:id="44">
    <w:p w14:paraId="359137B8" w14:textId="77777777" w:rsidR="00B56F13" w:rsidRPr="009266DD" w:rsidRDefault="00B56F13" w:rsidP="002F12A8">
      <w:pPr>
        <w:spacing w:line="276" w:lineRule="auto"/>
        <w:jc w:val="both"/>
        <w:rPr>
          <w:rFonts w:asciiTheme="majorHAnsi" w:hAnsiTheme="majorHAnsi"/>
          <w:sz w:val="16"/>
          <w:szCs w:val="16"/>
        </w:rPr>
      </w:pPr>
      <w:r w:rsidRPr="009266DD">
        <w:rPr>
          <w:rStyle w:val="FootnoteReference"/>
          <w:rFonts w:asciiTheme="majorHAnsi" w:hAnsiTheme="majorHAnsi"/>
          <w:sz w:val="16"/>
          <w:szCs w:val="16"/>
        </w:rPr>
        <w:footnoteRef/>
      </w:r>
      <w:r w:rsidRPr="009266DD">
        <w:rPr>
          <w:rFonts w:asciiTheme="majorHAnsi" w:hAnsiTheme="majorHAnsi"/>
          <w:sz w:val="16"/>
          <w:szCs w:val="16"/>
        </w:rPr>
        <w:t xml:space="preserve"> IACHR, Report No. 11/15, Case 12.833, Merits (Publication), Felix Rocha Diaz, United States, March 23, 2015, para. 62.</w:t>
      </w:r>
    </w:p>
  </w:footnote>
  <w:footnote w:id="45">
    <w:p w14:paraId="1F134C7C" w14:textId="77777777" w:rsidR="00B56F13" w:rsidRPr="009266DD" w:rsidRDefault="00B56F13" w:rsidP="002F12A8">
      <w:pPr>
        <w:pStyle w:val="Default"/>
        <w:jc w:val="both"/>
        <w:rPr>
          <w:rFonts w:asciiTheme="majorHAnsi" w:eastAsia="Arial Unicode MS" w:hAnsiTheme="majorHAnsi" w:cs="Cambria"/>
          <w:color w:val="auto"/>
          <w:sz w:val="16"/>
          <w:szCs w:val="16"/>
          <w:bdr w:val="nil"/>
          <w:lang w:val="en-US" w:eastAsia="es-ES"/>
        </w:rPr>
      </w:pPr>
      <w:r w:rsidRPr="009266DD">
        <w:rPr>
          <w:rStyle w:val="FootnoteReference"/>
          <w:rFonts w:asciiTheme="majorHAnsi" w:hAnsiTheme="majorHAnsi"/>
          <w:color w:val="auto"/>
          <w:sz w:val="16"/>
          <w:szCs w:val="16"/>
        </w:rPr>
        <w:footnoteRef/>
      </w:r>
      <w:r w:rsidRPr="009266DD">
        <w:rPr>
          <w:rFonts w:asciiTheme="majorHAnsi" w:hAnsiTheme="majorHAnsi"/>
          <w:color w:val="auto"/>
          <w:sz w:val="16"/>
          <w:szCs w:val="16"/>
        </w:rPr>
        <w:t xml:space="preserve"> </w:t>
      </w:r>
      <w:r w:rsidRPr="009266DD">
        <w:rPr>
          <w:rFonts w:asciiTheme="majorHAnsi" w:eastAsia="Arial Unicode MS" w:hAnsiTheme="majorHAnsi" w:cs="Cambria"/>
          <w:color w:val="auto"/>
          <w:sz w:val="16"/>
          <w:szCs w:val="16"/>
        </w:rPr>
        <w:t>IACHR, Report No. 44/14, Case 12.873. Merits (Publication). Edgar Tamayo Arias. United States. July 17, 2014, para. 140.</w:t>
      </w:r>
    </w:p>
  </w:footnote>
  <w:footnote w:id="46">
    <w:p w14:paraId="426A0531" w14:textId="77777777" w:rsidR="00B56F13" w:rsidRPr="008C5978" w:rsidRDefault="00B56F13" w:rsidP="009266DD">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w:t>
      </w:r>
      <w:proofErr w:type="spellStart"/>
      <w:r w:rsidRPr="008C5978">
        <w:rPr>
          <w:rFonts w:asciiTheme="majorHAnsi" w:hAnsiTheme="majorHAnsi"/>
          <w:color w:val="auto"/>
          <w:sz w:val="16"/>
          <w:szCs w:val="16"/>
        </w:rPr>
        <w:t>Ser.L</w:t>
      </w:r>
      <w:proofErr w:type="spellEnd"/>
      <w:r w:rsidRPr="008C5978">
        <w:rPr>
          <w:rFonts w:asciiTheme="majorHAnsi" w:hAnsiTheme="majorHAnsi"/>
          <w:color w:val="auto"/>
          <w:sz w:val="16"/>
          <w:szCs w:val="16"/>
        </w:rPr>
        <w:t>/V/II.Doc. 68, December 31, 2011, p. 123.</w:t>
      </w:r>
    </w:p>
  </w:footnote>
  <w:footnote w:id="47">
    <w:p w14:paraId="785601F6" w14:textId="77777777" w:rsidR="00B56F13" w:rsidRPr="008C5978" w:rsidRDefault="00B56F13" w:rsidP="009266DD">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w:t>
      </w:r>
      <w:proofErr w:type="spellStart"/>
      <w:r w:rsidRPr="008C5978">
        <w:rPr>
          <w:rFonts w:asciiTheme="majorHAnsi" w:hAnsiTheme="majorHAnsi"/>
          <w:color w:val="auto"/>
          <w:sz w:val="16"/>
          <w:szCs w:val="16"/>
        </w:rPr>
        <w:t>Ser.L</w:t>
      </w:r>
      <w:proofErr w:type="spellEnd"/>
      <w:r w:rsidRPr="008C5978">
        <w:rPr>
          <w:rFonts w:asciiTheme="majorHAnsi" w:hAnsiTheme="majorHAnsi"/>
          <w:color w:val="auto"/>
          <w:sz w:val="16"/>
          <w:szCs w:val="16"/>
        </w:rPr>
        <w:t>/V/II.Doc. 68, December 31, 2011, p. 123.</w:t>
      </w:r>
    </w:p>
  </w:footnote>
  <w:footnote w:id="48">
    <w:p w14:paraId="1696406B" w14:textId="77777777" w:rsidR="00B56F13" w:rsidRPr="008C5978" w:rsidRDefault="00B56F13" w:rsidP="009266DD">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90/09, Case 12.644, Admissibility and Merits (Publication), Medellín, Ramírez Cárdenas and Leal García, United States, August 7, 2009, para. 134.</w:t>
      </w:r>
    </w:p>
  </w:footnote>
  <w:footnote w:id="49">
    <w:p w14:paraId="1D31FAB3" w14:textId="77777777" w:rsidR="00B56F13" w:rsidRDefault="00B56F13" w:rsidP="009266DD">
      <w:pPr>
        <w:pStyle w:val="FootnoteText"/>
        <w:tabs>
          <w:tab w:val="left" w:pos="180"/>
          <w:tab w:val="left" w:pos="360"/>
        </w:tabs>
        <w:jc w:val="both"/>
        <w:rPr>
          <w:rFonts w:asciiTheme="majorHAnsi" w:hAnsiTheme="majorHAnsi"/>
          <w:color w:val="auto"/>
          <w:sz w:val="16"/>
          <w:szCs w:val="16"/>
        </w:rPr>
      </w:pPr>
      <w:r>
        <w:rPr>
          <w:rStyle w:val="FootnoteReference"/>
          <w:rFonts w:asciiTheme="majorHAnsi" w:hAnsiTheme="majorHAnsi"/>
          <w:color w:val="auto"/>
          <w:sz w:val="16"/>
          <w:szCs w:val="16"/>
        </w:rPr>
        <w:footnoteRef/>
      </w:r>
      <w:r>
        <w:rPr>
          <w:rFonts w:asciiTheme="majorHAnsi" w:hAnsiTheme="majorHAnsi"/>
          <w:color w:val="auto"/>
          <w:sz w:val="16"/>
          <w:szCs w:val="16"/>
        </w:rPr>
        <w:t xml:space="preserve"> IACHR, Report No. 90/09, Case 12.644, Admissibility and Merits (Publication), Medellín, Ramírez Cárdenas and Leal García, United States, August 7, 2009, para. 134. </w:t>
      </w:r>
    </w:p>
  </w:footnote>
  <w:footnote w:id="50">
    <w:p w14:paraId="216B76DA" w14:textId="77777777" w:rsidR="00B56F13" w:rsidRDefault="00B56F13" w:rsidP="009266DD">
      <w:pPr>
        <w:pStyle w:val="FootnoteText"/>
        <w:jc w:val="both"/>
        <w:rPr>
          <w:rFonts w:asciiTheme="majorHAnsi" w:hAnsiTheme="majorHAnsi" w:cs="Arial"/>
          <w:color w:val="auto"/>
          <w:sz w:val="16"/>
          <w:szCs w:val="16"/>
        </w:rPr>
      </w:pPr>
      <w:r>
        <w:rPr>
          <w:rStyle w:val="FootnoteReference"/>
          <w:rFonts w:asciiTheme="majorHAnsi" w:hAnsiTheme="majorHAnsi" w:cs="Arial"/>
          <w:color w:val="auto"/>
          <w:sz w:val="16"/>
          <w:szCs w:val="16"/>
        </w:rPr>
        <w:footnoteRef/>
      </w:r>
      <w:r>
        <w:rPr>
          <w:rFonts w:asciiTheme="majorHAnsi" w:hAnsiTheme="majorHAnsi" w:cs="Arial"/>
          <w:color w:val="auto"/>
          <w:sz w:val="16"/>
          <w:szCs w:val="16"/>
        </w:rPr>
        <w:t xml:space="preserve"> American Bar Association, </w:t>
      </w:r>
      <w:r>
        <w:rPr>
          <w:rFonts w:asciiTheme="majorHAnsi" w:hAnsiTheme="majorHAnsi" w:cs="Arial"/>
          <w:i/>
          <w:iCs/>
          <w:color w:val="auto"/>
          <w:sz w:val="16"/>
          <w:szCs w:val="16"/>
        </w:rPr>
        <w:t>Guidelines for the Appointment and Performance of Defense Counsel in Death Penalty Cases</w:t>
      </w:r>
      <w:r>
        <w:rPr>
          <w:rFonts w:asciiTheme="majorHAnsi" w:hAnsiTheme="majorHAnsi" w:cs="Arial"/>
          <w:color w:val="auto"/>
          <w:sz w:val="16"/>
          <w:szCs w:val="16"/>
        </w:rPr>
        <w:t xml:space="preserve"> (Revised editions) (February 2003), Guideline 10.7 – Investigation. Available at: </w:t>
      </w:r>
      <w:hyperlink r:id="rId4" w:history="1">
        <w:r>
          <w:rPr>
            <w:rStyle w:val="Hyperlink"/>
            <w:rFonts w:asciiTheme="majorHAnsi" w:hAnsiTheme="majorHAnsi" w:cs="Arial"/>
            <w:color w:val="auto"/>
            <w:sz w:val="16"/>
            <w:szCs w:val="16"/>
          </w:rPr>
          <w:t xml:space="preserve">http://www.abanet.org/legalservices/downloads/ </w:t>
        </w:r>
        <w:proofErr w:type="spellStart"/>
        <w:r>
          <w:rPr>
            <w:rStyle w:val="Hyperlink"/>
            <w:rFonts w:asciiTheme="majorHAnsi" w:hAnsiTheme="majorHAnsi" w:cs="Arial"/>
            <w:color w:val="auto"/>
            <w:sz w:val="16"/>
            <w:szCs w:val="16"/>
          </w:rPr>
          <w:t>sclaid</w:t>
        </w:r>
        <w:proofErr w:type="spellEnd"/>
        <w:r>
          <w:rPr>
            <w:rStyle w:val="Hyperlink"/>
            <w:rFonts w:asciiTheme="majorHAnsi" w:hAnsiTheme="majorHAnsi" w:cs="Arial"/>
            <w:color w:val="auto"/>
            <w:sz w:val="16"/>
            <w:szCs w:val="16"/>
          </w:rPr>
          <w:t>/deathpenaltyguidelines.pdf</w:t>
        </w:r>
      </w:hyperlink>
      <w:r>
        <w:rPr>
          <w:rFonts w:asciiTheme="majorHAnsi" w:hAnsiTheme="majorHAnsi" w:cs="Arial"/>
          <w:color w:val="auto"/>
          <w:sz w:val="16"/>
          <w:szCs w:val="16"/>
        </w:rPr>
        <w:t xml:space="preserve">. </w:t>
      </w:r>
    </w:p>
  </w:footnote>
  <w:footnote w:id="51">
    <w:p w14:paraId="32BB4A29" w14:textId="77777777" w:rsidR="00B56F13" w:rsidRDefault="00B56F13" w:rsidP="009266DD">
      <w:pPr>
        <w:pStyle w:val="FootnoteText"/>
        <w:jc w:val="both"/>
        <w:rPr>
          <w:rFonts w:asciiTheme="majorHAnsi" w:hAnsiTheme="majorHAnsi" w:cs="Arial"/>
          <w:color w:val="auto"/>
          <w:sz w:val="16"/>
          <w:szCs w:val="16"/>
        </w:rPr>
      </w:pPr>
      <w:r>
        <w:rPr>
          <w:rStyle w:val="FootnoteReference"/>
          <w:rFonts w:asciiTheme="majorHAnsi" w:hAnsiTheme="majorHAnsi" w:cs="Arial"/>
          <w:color w:val="auto"/>
          <w:sz w:val="16"/>
          <w:szCs w:val="16"/>
        </w:rPr>
        <w:footnoteRef/>
      </w:r>
      <w:r>
        <w:rPr>
          <w:rFonts w:asciiTheme="majorHAnsi" w:hAnsiTheme="majorHAnsi" w:cs="Arial"/>
          <w:color w:val="auto"/>
          <w:sz w:val="16"/>
          <w:szCs w:val="16"/>
        </w:rPr>
        <w:t xml:space="preserve"> American Bar Association, </w:t>
      </w:r>
      <w:r>
        <w:rPr>
          <w:rFonts w:asciiTheme="majorHAnsi" w:hAnsiTheme="majorHAnsi" w:cs="Arial"/>
          <w:i/>
          <w:iCs/>
          <w:color w:val="auto"/>
          <w:sz w:val="16"/>
          <w:szCs w:val="16"/>
        </w:rPr>
        <w:t>Guidelines for the Appointment and Performance of Defense Counsel in Death Penalty Cases</w:t>
      </w:r>
      <w:r>
        <w:rPr>
          <w:rFonts w:asciiTheme="majorHAnsi" w:hAnsiTheme="majorHAnsi" w:cs="Arial"/>
          <w:color w:val="auto"/>
          <w:sz w:val="16"/>
          <w:szCs w:val="16"/>
        </w:rPr>
        <w:t xml:space="preserve"> (Revised editions) (February 2003), Guideline 10.7 – Investigation, at 82.</w:t>
      </w:r>
    </w:p>
  </w:footnote>
  <w:footnote w:id="52">
    <w:p w14:paraId="5618CCE0" w14:textId="77777777" w:rsidR="00B56F13" w:rsidRPr="009F0885" w:rsidRDefault="00B56F13" w:rsidP="009266DD">
      <w:pPr>
        <w:pStyle w:val="FootnoteText"/>
        <w:rPr>
          <w:rFonts w:asciiTheme="majorHAnsi" w:hAnsiTheme="majorHAnsi"/>
          <w:sz w:val="16"/>
          <w:szCs w:val="16"/>
        </w:rPr>
      </w:pPr>
      <w:r w:rsidRPr="009F0885">
        <w:rPr>
          <w:rStyle w:val="FootnoteReference"/>
          <w:rFonts w:asciiTheme="majorHAnsi" w:hAnsiTheme="majorHAnsi"/>
          <w:sz w:val="16"/>
          <w:szCs w:val="16"/>
        </w:rPr>
        <w:footnoteRef/>
      </w:r>
      <w:r w:rsidRPr="009F0885">
        <w:rPr>
          <w:rFonts w:asciiTheme="majorHAnsi" w:hAnsiTheme="majorHAnsi"/>
          <w:sz w:val="16"/>
          <w:szCs w:val="16"/>
        </w:rPr>
        <w:t xml:space="preserve"> </w:t>
      </w:r>
      <w:r w:rsidRPr="009F0885">
        <w:rPr>
          <w:rFonts w:asciiTheme="majorHAnsi" w:hAnsiTheme="majorHAnsi" w:cs="Arial"/>
          <w:color w:val="auto"/>
          <w:sz w:val="16"/>
          <w:szCs w:val="16"/>
        </w:rPr>
        <w:t xml:space="preserve">American Bar Association, </w:t>
      </w:r>
      <w:r w:rsidRPr="009F0885">
        <w:rPr>
          <w:rFonts w:asciiTheme="majorHAnsi" w:hAnsiTheme="majorHAnsi" w:cs="Arial"/>
          <w:i/>
          <w:iCs/>
          <w:color w:val="auto"/>
          <w:sz w:val="16"/>
          <w:szCs w:val="16"/>
        </w:rPr>
        <w:t>Guidelines for the Appointment and Performance of Defense Counsel in Death Penalty Cases</w:t>
      </w:r>
      <w:r w:rsidRPr="009F0885">
        <w:rPr>
          <w:rFonts w:asciiTheme="majorHAnsi" w:hAnsiTheme="majorHAnsi" w:cs="Arial"/>
          <w:color w:val="auto"/>
          <w:sz w:val="16"/>
          <w:szCs w:val="16"/>
        </w:rPr>
        <w:t xml:space="preserve"> (Revised editions) (February 2003), Guideline 10.6B – Additional Obligations of Counsel Representing a Foreign National.</w:t>
      </w:r>
    </w:p>
  </w:footnote>
  <w:footnote w:id="53">
    <w:p w14:paraId="1078A03E" w14:textId="77777777" w:rsidR="00B56F13" w:rsidRPr="00FF4FE6" w:rsidRDefault="00B56F13" w:rsidP="00FF4FE6">
      <w:pPr>
        <w:pStyle w:val="FootnoteText"/>
        <w:jc w:val="both"/>
        <w:rPr>
          <w:rFonts w:asciiTheme="majorHAnsi" w:hAnsiTheme="majorHAnsi"/>
          <w:sz w:val="16"/>
          <w:szCs w:val="16"/>
        </w:rPr>
      </w:pPr>
      <w:r w:rsidRPr="00FF4FE6">
        <w:rPr>
          <w:rStyle w:val="FootnoteReference"/>
          <w:rFonts w:asciiTheme="majorHAnsi" w:hAnsiTheme="majorHAnsi"/>
          <w:sz w:val="16"/>
          <w:szCs w:val="16"/>
        </w:rPr>
        <w:footnoteRef/>
      </w:r>
      <w:r w:rsidRPr="00FF4FE6">
        <w:rPr>
          <w:rFonts w:asciiTheme="majorHAnsi" w:hAnsiTheme="majorHAnsi"/>
          <w:sz w:val="16"/>
          <w:szCs w:val="16"/>
        </w:rPr>
        <w:t xml:space="preserve"> </w:t>
      </w:r>
      <w:r w:rsidRPr="00FF4FE6">
        <w:rPr>
          <w:rFonts w:asciiTheme="majorHAnsi" w:hAnsiTheme="majorHAnsi"/>
          <w:spacing w:val="-3"/>
          <w:sz w:val="16"/>
          <w:szCs w:val="16"/>
        </w:rPr>
        <w:t>Article XXV of the American Declaration provides: “No person may be deprived of his liberty except in the cases and according to the procedures established by pre-existing law.” […]</w:t>
      </w:r>
    </w:p>
  </w:footnote>
  <w:footnote w:id="54">
    <w:p w14:paraId="7EA82F74" w14:textId="77777777" w:rsidR="00B56F13" w:rsidRPr="00ED56AB" w:rsidRDefault="00B56F13" w:rsidP="00265BAE">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Article II of the American Declaration provides: “All persons are equal before the law and have the rights and duties established in this Declaration, without distinction as to race, sex, language, creed or any other factor.”</w:t>
      </w:r>
    </w:p>
  </w:footnote>
  <w:footnote w:id="55">
    <w:p w14:paraId="1531798B" w14:textId="77777777" w:rsidR="00B56F13" w:rsidRPr="002179AD" w:rsidRDefault="00B56F13" w:rsidP="002179AD">
      <w:pPr>
        <w:pStyle w:val="FootnoteText"/>
        <w:jc w:val="both"/>
        <w:rPr>
          <w:rFonts w:asciiTheme="majorHAnsi" w:hAnsiTheme="majorHAnsi"/>
          <w:sz w:val="16"/>
          <w:szCs w:val="16"/>
          <w:lang w:val="pt-BR"/>
        </w:rPr>
      </w:pPr>
      <w:r w:rsidRPr="00E16426">
        <w:rPr>
          <w:rStyle w:val="FootnoteReference"/>
          <w:rFonts w:asciiTheme="majorHAnsi" w:hAnsiTheme="majorHAnsi"/>
          <w:sz w:val="16"/>
          <w:szCs w:val="16"/>
        </w:rPr>
        <w:footnoteRef/>
      </w:r>
      <w:r w:rsidRPr="00216C99">
        <w:rPr>
          <w:rFonts w:asciiTheme="majorHAnsi" w:hAnsiTheme="majorHAnsi"/>
          <w:sz w:val="16"/>
          <w:szCs w:val="16"/>
        </w:rPr>
        <w:t xml:space="preserve"> See in this regard, IACHR, Report No. 129/17. </w:t>
      </w:r>
      <w:r w:rsidRPr="002179AD">
        <w:rPr>
          <w:rFonts w:asciiTheme="majorHAnsi" w:hAnsiTheme="majorHAnsi"/>
          <w:sz w:val="16"/>
          <w:szCs w:val="16"/>
          <w:lang w:val="pt-BR"/>
        </w:rPr>
        <w:t>Case 12.315. Merits. Carlos Alberto Fernandez and Carlos Alejandro Tumbeiro. Argentina. October 25, 2017, para. 47.</w:t>
      </w:r>
    </w:p>
  </w:footnote>
  <w:footnote w:id="56">
    <w:p w14:paraId="26107B7A" w14:textId="77777777" w:rsidR="00B56F13" w:rsidRPr="006B1875" w:rsidRDefault="00B56F13">
      <w:pPr>
        <w:pStyle w:val="FootnoteText"/>
        <w:rPr>
          <w:rFonts w:asciiTheme="majorHAnsi" w:hAnsiTheme="majorHAnsi"/>
          <w:sz w:val="16"/>
          <w:szCs w:val="16"/>
          <w:lang w:val="pt-BR"/>
        </w:rPr>
      </w:pPr>
      <w:r w:rsidRPr="006B1875">
        <w:rPr>
          <w:rStyle w:val="FootnoteReference"/>
          <w:rFonts w:asciiTheme="majorHAnsi" w:hAnsiTheme="majorHAnsi"/>
          <w:sz w:val="16"/>
          <w:szCs w:val="16"/>
        </w:rPr>
        <w:footnoteRef/>
      </w:r>
      <w:r w:rsidRPr="006B1875">
        <w:rPr>
          <w:rFonts w:asciiTheme="majorHAnsi" w:hAnsiTheme="majorHAnsi"/>
          <w:sz w:val="16"/>
          <w:szCs w:val="16"/>
          <w:lang w:val="pt-BR"/>
        </w:rPr>
        <w:t xml:space="preserve"> IACHR. </w:t>
      </w:r>
      <w:r w:rsidRPr="006B1875">
        <w:rPr>
          <w:rFonts w:asciiTheme="majorHAnsi" w:hAnsiTheme="majorHAnsi"/>
          <w:sz w:val="16"/>
          <w:szCs w:val="16"/>
          <w:lang w:val="pt-BR"/>
        </w:rPr>
        <w:t xml:space="preserve">Report No. 24/18. Case 12.982. Azul Rojas Marin. </w:t>
      </w:r>
      <w:r>
        <w:rPr>
          <w:rFonts w:asciiTheme="majorHAnsi" w:hAnsiTheme="majorHAnsi"/>
          <w:sz w:val="16"/>
          <w:szCs w:val="16"/>
          <w:lang w:val="pt-BR"/>
        </w:rPr>
        <w:t xml:space="preserve">Merits. </w:t>
      </w:r>
      <w:r w:rsidRPr="006B1875">
        <w:rPr>
          <w:rFonts w:asciiTheme="majorHAnsi" w:hAnsiTheme="majorHAnsi"/>
          <w:sz w:val="16"/>
          <w:szCs w:val="16"/>
          <w:lang w:val="pt-BR"/>
        </w:rPr>
        <w:t>Peru, para. 67.</w:t>
      </w:r>
    </w:p>
  </w:footnote>
  <w:footnote w:id="57">
    <w:p w14:paraId="615DB0B7" w14:textId="77777777" w:rsidR="00B56F13" w:rsidRPr="00503391" w:rsidRDefault="00B56F13">
      <w:pPr>
        <w:pStyle w:val="FootnoteText"/>
        <w:rPr>
          <w:rFonts w:asciiTheme="majorHAnsi" w:hAnsiTheme="majorHAnsi"/>
          <w:sz w:val="16"/>
          <w:szCs w:val="16"/>
          <w:lang w:val="pt-BR"/>
        </w:rPr>
      </w:pPr>
      <w:r w:rsidRPr="006B1875">
        <w:rPr>
          <w:rStyle w:val="FootnoteReference"/>
          <w:rFonts w:asciiTheme="majorHAnsi" w:hAnsiTheme="majorHAnsi"/>
          <w:sz w:val="16"/>
          <w:szCs w:val="16"/>
        </w:rPr>
        <w:footnoteRef/>
      </w:r>
      <w:r w:rsidRPr="006B1875">
        <w:rPr>
          <w:rFonts w:asciiTheme="majorHAnsi" w:hAnsiTheme="majorHAnsi"/>
          <w:sz w:val="16"/>
          <w:szCs w:val="16"/>
          <w:lang w:val="pt-BR"/>
        </w:rPr>
        <w:t xml:space="preserve"> See, </w:t>
      </w:r>
      <w:r w:rsidRPr="00FD6361">
        <w:rPr>
          <w:rFonts w:asciiTheme="majorHAnsi" w:hAnsiTheme="majorHAnsi"/>
          <w:i/>
          <w:iCs/>
          <w:sz w:val="16"/>
          <w:szCs w:val="16"/>
          <w:lang w:val="pt-BR"/>
        </w:rPr>
        <w:t>mutatis mutandi</w:t>
      </w:r>
      <w:r w:rsidRPr="006B1875">
        <w:rPr>
          <w:rFonts w:asciiTheme="majorHAnsi" w:hAnsiTheme="majorHAnsi"/>
          <w:sz w:val="16"/>
          <w:szCs w:val="16"/>
          <w:lang w:val="pt-BR"/>
        </w:rPr>
        <w:t xml:space="preserve">, IACHR. Report No. 24/18. Case 12.982. Azul Rojas Marin. </w:t>
      </w:r>
      <w:r>
        <w:rPr>
          <w:rFonts w:asciiTheme="majorHAnsi" w:hAnsiTheme="majorHAnsi"/>
          <w:sz w:val="16"/>
          <w:szCs w:val="16"/>
          <w:lang w:val="pt-BR"/>
        </w:rPr>
        <w:t xml:space="preserve">Merits. </w:t>
      </w:r>
      <w:r w:rsidRPr="006B1875">
        <w:rPr>
          <w:rFonts w:asciiTheme="majorHAnsi" w:hAnsiTheme="majorHAnsi"/>
          <w:sz w:val="16"/>
          <w:szCs w:val="16"/>
          <w:lang w:val="pt-BR"/>
        </w:rPr>
        <w:t xml:space="preserve">Peru, para. </w:t>
      </w:r>
      <w:r w:rsidRPr="00503391">
        <w:rPr>
          <w:rFonts w:asciiTheme="majorHAnsi" w:hAnsiTheme="majorHAnsi"/>
          <w:sz w:val="16"/>
          <w:szCs w:val="16"/>
          <w:lang w:val="pt-BR"/>
        </w:rPr>
        <w:t>67.</w:t>
      </w:r>
    </w:p>
  </w:footnote>
  <w:footnote w:id="58">
    <w:p w14:paraId="62513B90" w14:textId="77777777" w:rsidR="00B56F13" w:rsidRPr="002179AD" w:rsidRDefault="00B56F13" w:rsidP="00FD6361">
      <w:pPr>
        <w:pStyle w:val="FootnoteText"/>
        <w:jc w:val="both"/>
      </w:pPr>
      <w:r w:rsidRPr="002179AD">
        <w:rPr>
          <w:rStyle w:val="FootnoteReference"/>
          <w:rFonts w:asciiTheme="majorHAnsi" w:hAnsiTheme="majorHAnsi"/>
          <w:sz w:val="16"/>
          <w:szCs w:val="16"/>
        </w:rPr>
        <w:footnoteRef/>
      </w:r>
      <w:r w:rsidRPr="002179AD">
        <w:rPr>
          <w:rFonts w:asciiTheme="majorHAnsi" w:hAnsiTheme="majorHAnsi"/>
          <w:sz w:val="16"/>
          <w:szCs w:val="16"/>
          <w:lang w:val="pt-BR"/>
        </w:rPr>
        <w:t xml:space="preserve"> </w:t>
      </w:r>
      <w:r w:rsidRPr="002179AD">
        <w:rPr>
          <w:rFonts w:asciiTheme="majorHAnsi" w:hAnsiTheme="majorHAnsi"/>
          <w:sz w:val="16"/>
          <w:szCs w:val="16"/>
          <w:lang w:val="pt-BR"/>
        </w:rPr>
        <w:t xml:space="preserve">IACHR, Report No. 129/17. Case 12.315. Merits. </w:t>
      </w:r>
      <w:r w:rsidRPr="00A32062">
        <w:rPr>
          <w:rFonts w:asciiTheme="majorHAnsi" w:hAnsiTheme="majorHAnsi"/>
          <w:sz w:val="16"/>
          <w:szCs w:val="16"/>
          <w:lang w:val="pt-BR"/>
        </w:rPr>
        <w:t xml:space="preserve">Carlos Alberto Fernandez and Carlos Alejandro Tumbeiro. </w:t>
      </w:r>
      <w:r w:rsidRPr="002179AD">
        <w:rPr>
          <w:rFonts w:asciiTheme="majorHAnsi" w:hAnsiTheme="majorHAnsi"/>
          <w:sz w:val="16"/>
          <w:szCs w:val="16"/>
          <w:lang w:val="pt-BR"/>
        </w:rPr>
        <w:t xml:space="preserve">Argentina. October 25, 2017, para. </w:t>
      </w:r>
      <w:r w:rsidRPr="00503391">
        <w:rPr>
          <w:rFonts w:asciiTheme="majorHAnsi" w:hAnsiTheme="majorHAnsi"/>
          <w:sz w:val="16"/>
          <w:szCs w:val="16"/>
          <w:lang w:val="es-MX"/>
        </w:rPr>
        <w:t xml:space="preserve">49; ECHR. </w:t>
      </w:r>
      <w:r w:rsidRPr="00503391">
        <w:rPr>
          <w:rFonts w:asciiTheme="majorHAnsi" w:hAnsiTheme="majorHAnsi"/>
          <w:i/>
          <w:sz w:val="16"/>
          <w:szCs w:val="16"/>
          <w:lang w:val="es-MX"/>
        </w:rPr>
        <w:t xml:space="preserve">Del Rio Prada v. </w:t>
      </w:r>
      <w:proofErr w:type="spellStart"/>
      <w:r w:rsidRPr="00503391">
        <w:rPr>
          <w:rFonts w:asciiTheme="majorHAnsi" w:hAnsiTheme="majorHAnsi"/>
          <w:i/>
          <w:sz w:val="16"/>
          <w:szCs w:val="16"/>
          <w:lang w:val="es-MX"/>
        </w:rPr>
        <w:t>Spain</w:t>
      </w:r>
      <w:proofErr w:type="spellEnd"/>
      <w:r w:rsidRPr="00503391">
        <w:rPr>
          <w:rFonts w:asciiTheme="majorHAnsi" w:hAnsiTheme="majorHAnsi"/>
          <w:sz w:val="16"/>
          <w:szCs w:val="16"/>
          <w:lang w:val="es-MX"/>
        </w:rPr>
        <w:t xml:space="preserve"> [GC], no. 42750/09. </w:t>
      </w:r>
      <w:r w:rsidRPr="00705E5C">
        <w:rPr>
          <w:rFonts w:asciiTheme="majorHAnsi" w:hAnsiTheme="majorHAnsi"/>
          <w:sz w:val="16"/>
          <w:szCs w:val="16"/>
        </w:rPr>
        <w:t xml:space="preserve">October 21, 2013, para. </w:t>
      </w:r>
      <w:r w:rsidRPr="002179AD">
        <w:rPr>
          <w:rFonts w:asciiTheme="majorHAnsi" w:hAnsiTheme="majorHAnsi"/>
          <w:sz w:val="16"/>
          <w:szCs w:val="16"/>
        </w:rPr>
        <w:t>125.</w:t>
      </w:r>
    </w:p>
  </w:footnote>
  <w:footnote w:id="59">
    <w:p w14:paraId="6166F068" w14:textId="77777777" w:rsidR="00B56F13" w:rsidRPr="00ED56AB" w:rsidRDefault="00B56F13" w:rsidP="00265BAE">
      <w:pPr>
        <w:pStyle w:val="FootnoteText"/>
        <w:jc w:val="both"/>
        <w:rPr>
          <w:rFonts w:asciiTheme="majorHAnsi" w:hAnsiTheme="majorHAnsi" w:cstheme="majorHAnsi"/>
          <w:color w:val="auto"/>
          <w:sz w:val="16"/>
          <w:szCs w:val="16"/>
        </w:rPr>
      </w:pPr>
      <w:r w:rsidRPr="00ED56AB">
        <w:rPr>
          <w:rStyle w:val="FootnoteReference"/>
          <w:rFonts w:asciiTheme="majorHAnsi" w:hAnsiTheme="majorHAnsi" w:cstheme="majorHAnsi"/>
          <w:color w:val="auto"/>
          <w:sz w:val="16"/>
          <w:szCs w:val="16"/>
        </w:rPr>
        <w:footnoteRef/>
      </w:r>
      <w:r w:rsidRPr="00ED56AB">
        <w:rPr>
          <w:rFonts w:asciiTheme="majorHAnsi" w:hAnsiTheme="majorHAnsi" w:cstheme="majorHAnsi"/>
          <w:color w:val="auto"/>
          <w:sz w:val="16"/>
          <w:szCs w:val="16"/>
        </w:rPr>
        <w:t xml:space="preserve"> </w:t>
      </w:r>
      <w:r w:rsidRPr="00ED56AB">
        <w:rPr>
          <w:rFonts w:asciiTheme="majorHAnsi" w:hAnsiTheme="majorHAnsi" w:cstheme="majorHAnsi"/>
          <w:i/>
          <w:color w:val="auto"/>
          <w:sz w:val="16"/>
          <w:szCs w:val="16"/>
        </w:rPr>
        <w:t>See</w:t>
      </w:r>
      <w:r w:rsidRPr="00ED56AB">
        <w:rPr>
          <w:rFonts w:asciiTheme="majorHAnsi" w:hAnsiTheme="majorHAnsi" w:cstheme="majorHAnsi"/>
          <w:i/>
          <w:iCs/>
          <w:color w:val="auto"/>
          <w:sz w:val="16"/>
          <w:szCs w:val="16"/>
        </w:rPr>
        <w:t xml:space="preserve"> </w:t>
      </w:r>
      <w:r w:rsidRPr="00ED56AB">
        <w:rPr>
          <w:rFonts w:asciiTheme="majorHAnsi" w:hAnsiTheme="majorHAnsi"/>
          <w:color w:val="auto"/>
          <w:sz w:val="16"/>
          <w:szCs w:val="16"/>
        </w:rPr>
        <w:t xml:space="preserve">I/A Ct. H.R. </w:t>
      </w:r>
      <w:r w:rsidRPr="00ED56AB">
        <w:rPr>
          <w:rFonts w:asciiTheme="majorHAnsi" w:hAnsiTheme="majorHAnsi"/>
          <w:i/>
          <w:color w:val="auto"/>
          <w:sz w:val="16"/>
          <w:szCs w:val="16"/>
        </w:rPr>
        <w:t>Juridical Condition and Rights of Undocumented Migrants</w:t>
      </w:r>
      <w:r w:rsidRPr="00ED56AB">
        <w:rPr>
          <w:rFonts w:asciiTheme="majorHAnsi" w:hAnsiTheme="majorHAnsi"/>
          <w:color w:val="auto"/>
          <w:sz w:val="16"/>
          <w:szCs w:val="16"/>
        </w:rPr>
        <w:t>, Advisory Opinion OC-18/03 of Sept. 17, 2003, para</w:t>
      </w:r>
      <w:r w:rsidRPr="00ED56AB">
        <w:rPr>
          <w:rFonts w:asciiTheme="majorHAnsi" w:hAnsiTheme="majorHAnsi" w:cstheme="majorHAnsi"/>
          <w:color w:val="auto"/>
          <w:sz w:val="16"/>
          <w:szCs w:val="16"/>
        </w:rPr>
        <w:t xml:space="preserve">. 101. </w:t>
      </w:r>
      <w:r w:rsidRPr="00ED56AB">
        <w:rPr>
          <w:rFonts w:asciiTheme="majorHAnsi" w:hAnsiTheme="majorHAnsi" w:cstheme="majorHAnsi"/>
          <w:i/>
          <w:color w:val="auto"/>
          <w:sz w:val="16"/>
          <w:szCs w:val="16"/>
        </w:rPr>
        <w:t>See also</w:t>
      </w:r>
      <w:r w:rsidRPr="00ED56AB">
        <w:rPr>
          <w:rFonts w:asciiTheme="majorHAnsi" w:hAnsiTheme="majorHAnsi" w:cstheme="majorHAnsi"/>
          <w:color w:val="auto"/>
          <w:sz w:val="16"/>
          <w:szCs w:val="16"/>
        </w:rPr>
        <w:t xml:space="preserve"> IACHR, Report No. 50/16, Case 12.834, Merits (Publication), Undocumented Workers, United States, Nov. 30, 2016, para. 72.</w:t>
      </w:r>
    </w:p>
  </w:footnote>
  <w:footnote w:id="60">
    <w:p w14:paraId="4521B19A" w14:textId="77777777" w:rsidR="00B56F13" w:rsidRPr="00ED56AB" w:rsidRDefault="00B56F13" w:rsidP="00265BAE">
      <w:pPr>
        <w:pStyle w:val="Footnotes"/>
        <w:spacing w:after="0"/>
        <w:ind w:firstLine="0"/>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No. 50/16, Case 12.834, Merits (Publication), Undocumented Workers, United States, Nov. 30, 2016, para. 75. </w:t>
      </w:r>
    </w:p>
  </w:footnote>
  <w:footnote w:id="61">
    <w:p w14:paraId="38A74965" w14:textId="77777777" w:rsidR="00B56F13" w:rsidRPr="00ED56AB" w:rsidRDefault="00B56F13" w:rsidP="00265BAE">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w:t>
      </w:r>
      <w:r w:rsidRPr="00ED56AB">
        <w:rPr>
          <w:rFonts w:asciiTheme="majorHAnsi" w:hAnsiTheme="majorHAnsi"/>
          <w:i/>
          <w:color w:val="auto"/>
          <w:sz w:val="16"/>
          <w:szCs w:val="16"/>
        </w:rPr>
        <w:t xml:space="preserve">See, e.g., </w:t>
      </w:r>
      <w:r w:rsidRPr="00ED56AB">
        <w:rPr>
          <w:rFonts w:asciiTheme="majorHAnsi" w:hAnsiTheme="majorHAnsi"/>
          <w:color w:val="auto"/>
          <w:sz w:val="16"/>
          <w:szCs w:val="16"/>
        </w:rPr>
        <w:t>I/A Ct. H.R</w:t>
      </w:r>
      <w:r w:rsidRPr="00ED56AB">
        <w:rPr>
          <w:rFonts w:asciiTheme="majorHAnsi" w:eastAsia="Times New Roman" w:hAnsiTheme="majorHAnsi"/>
          <w:bCs/>
          <w:color w:val="auto"/>
          <w:sz w:val="16"/>
          <w:szCs w:val="16"/>
        </w:rPr>
        <w:t xml:space="preserve">. </w:t>
      </w:r>
      <w:proofErr w:type="spellStart"/>
      <w:r w:rsidRPr="00ED56AB">
        <w:rPr>
          <w:rFonts w:asciiTheme="majorHAnsi" w:eastAsia="Times New Roman" w:hAnsiTheme="majorHAnsi"/>
          <w:bCs/>
          <w:color w:val="auto"/>
          <w:sz w:val="16"/>
          <w:szCs w:val="16"/>
        </w:rPr>
        <w:t>Furlan</w:t>
      </w:r>
      <w:proofErr w:type="spellEnd"/>
      <w:r w:rsidRPr="00ED56AB">
        <w:rPr>
          <w:rFonts w:asciiTheme="majorHAnsi" w:eastAsia="Times New Roman" w:hAnsiTheme="majorHAnsi"/>
          <w:bCs/>
          <w:color w:val="auto"/>
          <w:sz w:val="16"/>
          <w:szCs w:val="16"/>
        </w:rPr>
        <w:t xml:space="preserve"> and family Vs. Argentina. Judgment of Aug. 31, 2012, para. 267.</w:t>
      </w:r>
    </w:p>
  </w:footnote>
  <w:footnote w:id="62">
    <w:p w14:paraId="04B7897A" w14:textId="77777777" w:rsidR="00B56F13" w:rsidRPr="00ED56AB" w:rsidRDefault="00B56F13" w:rsidP="00265BAE">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w:t>
      </w:r>
      <w:r w:rsidRPr="00E93D8E">
        <w:rPr>
          <w:rFonts w:asciiTheme="majorHAnsi" w:hAnsiTheme="majorHAnsi"/>
          <w:color w:val="auto"/>
          <w:sz w:val="16"/>
          <w:szCs w:val="16"/>
        </w:rPr>
        <w:t>, Report on Terrorism and Human Rights (</w:t>
      </w:r>
      <w:r w:rsidRPr="00ED56AB">
        <w:rPr>
          <w:rFonts w:asciiTheme="majorHAnsi" w:hAnsiTheme="majorHAnsi"/>
          <w:color w:val="auto"/>
          <w:sz w:val="16"/>
          <w:szCs w:val="16"/>
        </w:rPr>
        <w:t>2002), para. 338.</w:t>
      </w:r>
    </w:p>
  </w:footnote>
  <w:footnote w:id="63">
    <w:p w14:paraId="1021C25F" w14:textId="77777777" w:rsidR="00B56F13" w:rsidRDefault="00B56F13" w:rsidP="00265BAE">
      <w:pPr>
        <w:pStyle w:val="FootnoteText"/>
      </w:pPr>
      <w:r w:rsidRPr="008E2E22">
        <w:rPr>
          <w:rStyle w:val="FootnoteReference"/>
          <w:rFonts w:asciiTheme="majorHAnsi" w:hAnsiTheme="majorHAnsi"/>
          <w:color w:val="auto"/>
          <w:sz w:val="16"/>
          <w:szCs w:val="16"/>
        </w:rPr>
        <w:footnoteRef/>
      </w:r>
      <w:r w:rsidRPr="008E2E22">
        <w:rPr>
          <w:rStyle w:val="FootnoteReference"/>
          <w:rFonts w:asciiTheme="majorHAnsi" w:hAnsiTheme="majorHAnsi"/>
          <w:color w:val="auto"/>
          <w:sz w:val="16"/>
          <w:szCs w:val="16"/>
        </w:rPr>
        <w:t xml:space="preserve"> </w:t>
      </w:r>
      <w:r w:rsidRPr="008E2E22">
        <w:rPr>
          <w:rFonts w:asciiTheme="majorHAnsi" w:hAnsiTheme="majorHAnsi"/>
          <w:color w:val="auto"/>
          <w:sz w:val="16"/>
          <w:szCs w:val="16"/>
        </w:rPr>
        <w:t>IACHR, Police Violence Against Afro-descendants in the United States. November 26, 2018, para.</w:t>
      </w:r>
      <w:r>
        <w:rPr>
          <w:rFonts w:asciiTheme="majorHAnsi" w:hAnsiTheme="majorHAnsi"/>
          <w:color w:val="auto"/>
          <w:sz w:val="16"/>
          <w:szCs w:val="16"/>
        </w:rPr>
        <w:t xml:space="preserve"> 195.</w:t>
      </w:r>
    </w:p>
  </w:footnote>
  <w:footnote w:id="64">
    <w:p w14:paraId="7A2A8110" w14:textId="77777777" w:rsidR="00B56F13" w:rsidRPr="00ED56AB" w:rsidRDefault="00B56F13" w:rsidP="00265BAE">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57/97, Case No. 11.139, William Andrews, Merits, United States, December 6, 1996, para. 165. </w:t>
      </w:r>
    </w:p>
  </w:footnote>
  <w:footnote w:id="65">
    <w:p w14:paraId="4BA638C0" w14:textId="77777777" w:rsidR="00B56F13" w:rsidRDefault="00B56F13" w:rsidP="00265BAE">
      <w:pPr>
        <w:pStyle w:val="FootnoteText"/>
        <w:jc w:val="both"/>
      </w:pPr>
      <w:r w:rsidRPr="00673206">
        <w:rPr>
          <w:rStyle w:val="FootnoteReference"/>
          <w:rFonts w:asciiTheme="majorHAnsi" w:hAnsiTheme="majorHAnsi"/>
          <w:color w:val="auto"/>
          <w:sz w:val="16"/>
          <w:szCs w:val="16"/>
        </w:rPr>
        <w:footnoteRef/>
      </w:r>
      <w:r w:rsidRPr="00673206">
        <w:rPr>
          <w:rStyle w:val="FootnoteReference"/>
          <w:rFonts w:asciiTheme="majorHAnsi" w:hAnsiTheme="majorHAnsi"/>
          <w:color w:val="auto"/>
          <w:sz w:val="16"/>
          <w:szCs w:val="16"/>
        </w:rPr>
        <w:t xml:space="preserve"> </w:t>
      </w:r>
      <w:r w:rsidRPr="00673206">
        <w:rPr>
          <w:rFonts w:asciiTheme="majorHAnsi" w:hAnsiTheme="majorHAnsi"/>
          <w:color w:val="auto"/>
          <w:sz w:val="16"/>
          <w:szCs w:val="16"/>
        </w:rPr>
        <w:t>IACHR, Report No. 78/15, Case 12.831. Merits (Publication). Kevin Cooper. United States. October 28, 2015, para. 146.</w:t>
      </w:r>
    </w:p>
  </w:footnote>
  <w:footnote w:id="66">
    <w:p w14:paraId="42DBF3FE" w14:textId="77777777" w:rsidR="00B56F13" w:rsidRDefault="00B56F13">
      <w:pPr>
        <w:pStyle w:val="FootnoteText"/>
      </w:pPr>
      <w:r w:rsidRPr="00351CDF">
        <w:rPr>
          <w:rStyle w:val="FootnoteReference"/>
          <w:rFonts w:asciiTheme="majorHAnsi" w:hAnsiTheme="majorHAnsi"/>
          <w:color w:val="auto"/>
          <w:sz w:val="16"/>
          <w:szCs w:val="16"/>
        </w:rPr>
        <w:footnoteRef/>
      </w:r>
      <w:r w:rsidRPr="00351CDF">
        <w:rPr>
          <w:rStyle w:val="FootnoteReference"/>
          <w:rFonts w:asciiTheme="majorHAnsi" w:hAnsiTheme="majorHAnsi"/>
          <w:color w:val="auto"/>
          <w:sz w:val="16"/>
          <w:szCs w:val="16"/>
        </w:rPr>
        <w:t xml:space="preserve"> </w:t>
      </w:r>
      <w:r w:rsidRPr="008E2E22">
        <w:rPr>
          <w:rFonts w:asciiTheme="majorHAnsi" w:hAnsiTheme="majorHAnsi"/>
          <w:color w:val="auto"/>
          <w:sz w:val="16"/>
          <w:szCs w:val="16"/>
        </w:rPr>
        <w:t>IACHR, Police Violence Against Afro-descendants in the United Stat</w:t>
      </w:r>
      <w:r>
        <w:rPr>
          <w:rFonts w:asciiTheme="majorHAnsi" w:hAnsiTheme="majorHAnsi"/>
          <w:color w:val="auto"/>
          <w:sz w:val="16"/>
          <w:szCs w:val="16"/>
        </w:rPr>
        <w:t>es. November 26, 2018, para. 77</w:t>
      </w:r>
      <w:r w:rsidRPr="008E2E22">
        <w:rPr>
          <w:rFonts w:asciiTheme="majorHAnsi" w:hAnsiTheme="majorHAnsi"/>
          <w:color w:val="auto"/>
          <w:sz w:val="16"/>
          <w:szCs w:val="16"/>
        </w:rPr>
        <w:t>.</w:t>
      </w:r>
    </w:p>
  </w:footnote>
  <w:footnote w:id="67">
    <w:p w14:paraId="0B2C33BD" w14:textId="77777777" w:rsidR="00B56F13" w:rsidRDefault="00B56F13" w:rsidP="008E1322">
      <w:pPr>
        <w:pStyle w:val="FootnoteText"/>
        <w:jc w:val="both"/>
        <w:rPr>
          <w:rFonts w:asciiTheme="majorHAnsi" w:hAnsiTheme="majorHAnsi"/>
          <w:color w:val="auto"/>
          <w:sz w:val="16"/>
          <w:szCs w:val="16"/>
        </w:rPr>
      </w:pPr>
      <w:r w:rsidRPr="009C03AE">
        <w:rPr>
          <w:rStyle w:val="FootnoteReference"/>
          <w:rFonts w:asciiTheme="majorHAnsi" w:hAnsiTheme="majorHAnsi"/>
          <w:sz w:val="16"/>
          <w:szCs w:val="16"/>
        </w:rPr>
        <w:footnoteRef/>
      </w:r>
      <w:r w:rsidRPr="009C03AE">
        <w:rPr>
          <w:rStyle w:val="FootnoteReference"/>
          <w:rFonts w:asciiTheme="majorHAnsi" w:hAnsiTheme="majorHAnsi"/>
          <w:sz w:val="16"/>
          <w:szCs w:val="16"/>
        </w:rPr>
        <w:t xml:space="preserve"> </w:t>
      </w:r>
      <w:r w:rsidRPr="00AD7A33">
        <w:rPr>
          <w:rFonts w:asciiTheme="majorHAnsi" w:hAnsiTheme="majorHAnsi"/>
          <w:color w:val="auto"/>
          <w:sz w:val="16"/>
          <w:szCs w:val="16"/>
        </w:rPr>
        <w:t>Article XXV of the American Declaration provides: “[…] Every individual who has been deprived of his liberty has the right […] to humane treatment during the time he is in custody.”</w:t>
      </w:r>
    </w:p>
    <w:p w14:paraId="39C992AE" w14:textId="77777777" w:rsidR="00B56F13" w:rsidRDefault="00B56F13" w:rsidP="008E1322">
      <w:pPr>
        <w:pStyle w:val="FootnoteText"/>
        <w:jc w:val="both"/>
      </w:pPr>
      <w:r>
        <w:rPr>
          <w:rFonts w:asciiTheme="majorHAnsi" w:hAnsiTheme="majorHAnsi"/>
          <w:color w:val="auto"/>
          <w:sz w:val="16"/>
          <w:szCs w:val="16"/>
        </w:rPr>
        <w:t>Article XXVI of the American Declaration provides: “[…] Every person accused of an offense has the right […] not to receive cruel, infamous or unusual punishment.”</w:t>
      </w:r>
    </w:p>
  </w:footnote>
  <w:footnote w:id="68">
    <w:p w14:paraId="050CFFD2" w14:textId="77777777" w:rsidR="00B56F13" w:rsidRPr="00612350" w:rsidRDefault="00B56F13" w:rsidP="009266DD">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Report No.</w:t>
      </w:r>
      <w:r>
        <w:rPr>
          <w:rFonts w:ascii="Cambria" w:hAnsi="Cambria"/>
          <w:sz w:val="16"/>
          <w:szCs w:val="16"/>
        </w:rPr>
        <w:t xml:space="preserve"> 44/14, Case 12.873. Merits (Publication). Edgar Tamayo Arias. United States. July 17, 2014</w:t>
      </w:r>
      <w:r w:rsidRPr="00612350">
        <w:rPr>
          <w:rFonts w:ascii="Cambria" w:hAnsi="Cambria"/>
          <w:sz w:val="16"/>
          <w:szCs w:val="16"/>
        </w:rPr>
        <w:t>, para. 1</w:t>
      </w:r>
      <w:r>
        <w:rPr>
          <w:rFonts w:ascii="Cambria" w:hAnsi="Cambria"/>
          <w:sz w:val="16"/>
          <w:szCs w:val="16"/>
        </w:rPr>
        <w:t>89</w:t>
      </w:r>
      <w:r w:rsidRPr="00612350">
        <w:rPr>
          <w:rFonts w:ascii="Cambria" w:hAnsi="Cambria"/>
          <w:sz w:val="16"/>
          <w:szCs w:val="16"/>
        </w:rPr>
        <w:t>.</w:t>
      </w:r>
    </w:p>
  </w:footnote>
  <w:footnote w:id="69">
    <w:p w14:paraId="5EBED043" w14:textId="77777777" w:rsidR="00B56F13" w:rsidRPr="00612350" w:rsidRDefault="00B56F13" w:rsidP="009266DD">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Report No.</w:t>
      </w:r>
      <w:r>
        <w:rPr>
          <w:rFonts w:ascii="Cambria" w:hAnsi="Cambria"/>
          <w:sz w:val="16"/>
          <w:szCs w:val="16"/>
        </w:rPr>
        <w:t xml:space="preserve"> 44/14, Case 12.873. Merits (Publication). Edgar Tamayo Arias. United States. July 17, 2014</w:t>
      </w:r>
      <w:r w:rsidRPr="00612350">
        <w:rPr>
          <w:rFonts w:ascii="Cambria" w:hAnsi="Cambria"/>
          <w:sz w:val="16"/>
          <w:szCs w:val="16"/>
        </w:rPr>
        <w:t>, para. 1</w:t>
      </w:r>
      <w:r>
        <w:rPr>
          <w:rFonts w:ascii="Cambria" w:hAnsi="Cambria"/>
          <w:sz w:val="16"/>
          <w:szCs w:val="16"/>
        </w:rPr>
        <w:t>90</w:t>
      </w:r>
      <w:r w:rsidRPr="00612350">
        <w:rPr>
          <w:rFonts w:ascii="Cambria" w:hAnsi="Cambria"/>
          <w:sz w:val="16"/>
          <w:szCs w:val="16"/>
        </w:rPr>
        <w:t>.</w:t>
      </w:r>
    </w:p>
  </w:footnote>
  <w:footnote w:id="70">
    <w:p w14:paraId="5948844A" w14:textId="77777777" w:rsidR="00B56F13" w:rsidRPr="00612350" w:rsidRDefault="00B56F13" w:rsidP="009266DD">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The death penalty and the absolute prohibition of Torture and Cruel, Inhuman, and Degrading Treatment or Punishment, Juan E. Mendez, Human Right Brief, Volume 20, Issue 1, Article 1, p. 3. </w:t>
      </w:r>
    </w:p>
  </w:footnote>
  <w:footnote w:id="71">
    <w:p w14:paraId="4E07DE94" w14:textId="77777777" w:rsidR="00B56F13" w:rsidRPr="00612350" w:rsidRDefault="00B56F13" w:rsidP="009266DD">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Committee Against Torture, Considerations of Reports submitted by State Parties under Article 19 of the Convention, United States, CAT</w:t>
      </w:r>
      <w:r>
        <w:rPr>
          <w:rFonts w:ascii="Cambria" w:hAnsi="Cambria"/>
          <w:sz w:val="16"/>
          <w:szCs w:val="16"/>
        </w:rPr>
        <w:t>/C/USA/CO/2, July 25, 2006, para</w:t>
      </w:r>
      <w:r w:rsidRPr="00612350">
        <w:rPr>
          <w:rFonts w:ascii="Cambria" w:hAnsi="Cambria"/>
          <w:sz w:val="16"/>
          <w:szCs w:val="16"/>
        </w:rPr>
        <w:t>. 31.</w:t>
      </w:r>
    </w:p>
  </w:footnote>
  <w:footnote w:id="72">
    <w:p w14:paraId="1EF2A97C" w14:textId="77777777" w:rsidR="00B56F13" w:rsidRPr="003659F2" w:rsidRDefault="00B56F13" w:rsidP="009266DD">
      <w:pPr>
        <w:pStyle w:val="FootnoteText"/>
        <w:jc w:val="both"/>
        <w:rPr>
          <w:rFonts w:asciiTheme="majorHAnsi" w:hAnsiTheme="majorHAnsi"/>
          <w:sz w:val="16"/>
          <w:szCs w:val="16"/>
        </w:rPr>
      </w:pPr>
      <w:r w:rsidRPr="003659F2">
        <w:rPr>
          <w:rStyle w:val="FootnoteReference"/>
          <w:rFonts w:asciiTheme="majorHAnsi" w:hAnsiTheme="majorHAnsi"/>
          <w:sz w:val="16"/>
          <w:szCs w:val="16"/>
        </w:rPr>
        <w:footnoteRef/>
      </w:r>
      <w:r w:rsidRPr="003659F2">
        <w:rPr>
          <w:rFonts w:asciiTheme="majorHAnsi" w:hAnsiTheme="majorHAnsi"/>
          <w:sz w:val="16"/>
          <w:szCs w:val="16"/>
        </w:rPr>
        <w:t xml:space="preserve"> https://www.cleveland.com/news/2019/02/gov-mike-dewine-freezes-all-ohio-executions-while-new-method-developed.html</w:t>
      </w:r>
    </w:p>
  </w:footnote>
  <w:footnote w:id="73">
    <w:p w14:paraId="5E5CCC18" w14:textId="77777777" w:rsidR="00B56F13" w:rsidRPr="008C5978" w:rsidRDefault="00B56F13" w:rsidP="009266DD">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color w:val="auto"/>
          <w:sz w:val="16"/>
          <w:szCs w:val="16"/>
        </w:rPr>
        <w:t xml:space="preserve">IACHR, Report No. 71/18, Case 12.958. Merits. Russell </w:t>
      </w:r>
      <w:proofErr w:type="spellStart"/>
      <w:r w:rsidRPr="008C5978">
        <w:rPr>
          <w:rFonts w:asciiTheme="majorHAnsi" w:hAnsiTheme="majorHAnsi"/>
          <w:color w:val="auto"/>
          <w:sz w:val="16"/>
          <w:szCs w:val="16"/>
        </w:rPr>
        <w:t>Bucklew</w:t>
      </w:r>
      <w:proofErr w:type="spellEnd"/>
      <w:r w:rsidRPr="008C5978">
        <w:rPr>
          <w:rFonts w:asciiTheme="majorHAnsi" w:hAnsiTheme="majorHAnsi"/>
          <w:color w:val="auto"/>
          <w:sz w:val="16"/>
          <w:szCs w:val="16"/>
        </w:rPr>
        <w:t>. United States, May 10, 2018, paras. 86-90. In this report the Commission has cited a number of developments in the inter-American and other protections systems, including the regional and United Nations systems.</w:t>
      </w:r>
    </w:p>
  </w:footnote>
  <w:footnote w:id="74">
    <w:p w14:paraId="290E8A97" w14:textId="77777777" w:rsidR="00B56F13" w:rsidRPr="00376462" w:rsidRDefault="00B56F13" w:rsidP="009266DD">
      <w:pPr>
        <w:pStyle w:val="FootnoteText"/>
        <w:tabs>
          <w:tab w:val="left" w:pos="0"/>
        </w:tabs>
        <w:jc w:val="both"/>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color w:val="auto"/>
          <w:sz w:val="16"/>
          <w:szCs w:val="16"/>
        </w:rPr>
        <w:t>IACHR, Report No. 71/18, Case 12.</w:t>
      </w:r>
      <w:r w:rsidRPr="00376462">
        <w:rPr>
          <w:rFonts w:asciiTheme="majorHAnsi" w:hAnsiTheme="majorHAnsi"/>
          <w:color w:val="auto"/>
          <w:sz w:val="16"/>
          <w:szCs w:val="16"/>
        </w:rPr>
        <w:t xml:space="preserve">958. Merits. Russell </w:t>
      </w:r>
      <w:proofErr w:type="spellStart"/>
      <w:r w:rsidRPr="00376462">
        <w:rPr>
          <w:rFonts w:asciiTheme="majorHAnsi" w:hAnsiTheme="majorHAnsi"/>
          <w:color w:val="auto"/>
          <w:sz w:val="16"/>
          <w:szCs w:val="16"/>
        </w:rPr>
        <w:t>Bucklew</w:t>
      </w:r>
      <w:proofErr w:type="spellEnd"/>
      <w:r w:rsidRPr="00376462">
        <w:rPr>
          <w:rFonts w:asciiTheme="majorHAnsi" w:hAnsiTheme="majorHAnsi"/>
          <w:color w:val="auto"/>
          <w:sz w:val="16"/>
          <w:szCs w:val="16"/>
        </w:rPr>
        <w:t>. United States, May 10, 2018, para. 83.</w:t>
      </w:r>
    </w:p>
  </w:footnote>
  <w:footnote w:id="75">
    <w:p w14:paraId="2DE77C7A" w14:textId="77777777" w:rsidR="00B56F13" w:rsidRPr="00376462" w:rsidRDefault="00B56F13" w:rsidP="009266DD">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rPr>
      </w:pPr>
      <w:r w:rsidRPr="00376462">
        <w:rPr>
          <w:rStyle w:val="FootnoteReference"/>
          <w:rFonts w:asciiTheme="majorHAnsi" w:hAnsiTheme="majorHAnsi"/>
          <w:color w:val="auto"/>
          <w:sz w:val="16"/>
          <w:szCs w:val="16"/>
        </w:rPr>
        <w:footnoteRef/>
      </w:r>
      <w:r w:rsidRPr="00376462">
        <w:rPr>
          <w:rStyle w:val="FootnoteReference"/>
          <w:rFonts w:asciiTheme="majorHAnsi" w:hAnsiTheme="majorHAnsi"/>
          <w:color w:val="auto"/>
          <w:sz w:val="16"/>
          <w:szCs w:val="16"/>
        </w:rPr>
        <w:t xml:space="preserve"> </w:t>
      </w:r>
      <w:r w:rsidRPr="00376462">
        <w:rPr>
          <w:rFonts w:asciiTheme="majorHAnsi" w:hAnsiTheme="majorHAnsi"/>
          <w:color w:val="auto"/>
          <w:sz w:val="16"/>
          <w:szCs w:val="16"/>
        </w:rPr>
        <w:t xml:space="preserve">IACHR, Report No. 24/17, Case 12.254. Merits. Victor </w:t>
      </w:r>
      <w:proofErr w:type="spellStart"/>
      <w:r w:rsidRPr="00376462">
        <w:rPr>
          <w:rFonts w:asciiTheme="majorHAnsi" w:hAnsiTheme="majorHAnsi"/>
          <w:color w:val="auto"/>
          <w:sz w:val="16"/>
          <w:szCs w:val="16"/>
        </w:rPr>
        <w:t>Saldaño</w:t>
      </w:r>
      <w:proofErr w:type="spellEnd"/>
      <w:r w:rsidRPr="00376462">
        <w:rPr>
          <w:rFonts w:asciiTheme="majorHAnsi" w:hAnsiTheme="majorHAnsi"/>
          <w:color w:val="auto"/>
          <w:sz w:val="16"/>
          <w:szCs w:val="16"/>
        </w:rPr>
        <w:t>. United States. March 18, 2017, para. 246, citing IACHR, Report No. 58/02. Merits. Case 12.275. Denton Aitken. Jamaica. October 21, 2002, paras. 133 and 134.</w:t>
      </w:r>
    </w:p>
  </w:footnote>
  <w:footnote w:id="76">
    <w:p w14:paraId="249F21F3" w14:textId="77777777" w:rsidR="00B56F13" w:rsidRPr="00590D73" w:rsidRDefault="00B56F13" w:rsidP="009266DD">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rPr>
      </w:pPr>
      <w:r w:rsidRPr="00376462">
        <w:rPr>
          <w:rStyle w:val="FootnoteReference"/>
          <w:rFonts w:ascii="Cambria" w:hAnsi="Cambria"/>
          <w:color w:val="auto"/>
          <w:sz w:val="16"/>
          <w:szCs w:val="16"/>
        </w:rPr>
        <w:footnoteRef/>
      </w:r>
      <w:r w:rsidRPr="00376462">
        <w:rPr>
          <w:rFonts w:ascii="Cambria" w:hAnsi="Cambria"/>
          <w:color w:val="auto"/>
          <w:sz w:val="16"/>
          <w:szCs w:val="16"/>
        </w:rPr>
        <w:t xml:space="preserve"> United Nations. Interim report of the Special Rapporteur on torture and other cruel, inhuman or degrading treatment of punishment.  9 August 2012. A/67/279. para 48.</w:t>
      </w:r>
    </w:p>
  </w:footnote>
  <w:footnote w:id="77">
    <w:p w14:paraId="07E621A6" w14:textId="77777777" w:rsidR="00B56F13" w:rsidRDefault="00B56F13" w:rsidP="009266DD">
      <w:pPr>
        <w:pStyle w:val="FootnoteText"/>
        <w:jc w:val="both"/>
      </w:pPr>
      <w:r w:rsidRPr="00C535F1">
        <w:rPr>
          <w:rStyle w:val="FootnoteReference"/>
          <w:rFonts w:ascii="Cambria" w:hAnsi="Cambria"/>
          <w:color w:val="auto"/>
          <w:sz w:val="16"/>
          <w:szCs w:val="16"/>
        </w:rPr>
        <w:footnoteRef/>
      </w:r>
      <w:r w:rsidRPr="00C535F1">
        <w:rPr>
          <w:rStyle w:val="FootnoteReference"/>
          <w:rFonts w:ascii="Cambria" w:hAnsi="Cambria"/>
          <w:color w:val="auto"/>
          <w:sz w:val="16"/>
          <w:szCs w:val="16"/>
        </w:rPr>
        <w:t xml:space="preserve"> </w:t>
      </w:r>
      <w:r>
        <w:rPr>
          <w:rFonts w:asciiTheme="majorHAnsi" w:hAnsiTheme="majorHAnsi"/>
          <w:color w:val="auto"/>
          <w:sz w:val="16"/>
          <w:szCs w:val="16"/>
        </w:rPr>
        <w:t>Article I of the American Declaration establishes: Every human being has the right to life, liberty and the security of his person.</w:t>
      </w:r>
    </w:p>
  </w:footnote>
  <w:footnote w:id="78">
    <w:p w14:paraId="22A5A3E4" w14:textId="77777777" w:rsidR="00B56F13" w:rsidRPr="00ED56AB" w:rsidRDefault="00B56F13" w:rsidP="009266DD">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53/13, Case 12.864, Merits (Publication), Ivan </w:t>
      </w:r>
      <w:proofErr w:type="spellStart"/>
      <w:r w:rsidRPr="00ED56AB">
        <w:rPr>
          <w:rFonts w:asciiTheme="majorHAnsi" w:hAnsiTheme="majorHAnsi"/>
          <w:color w:val="auto"/>
          <w:sz w:val="16"/>
          <w:szCs w:val="16"/>
        </w:rPr>
        <w:t>Teleguz</w:t>
      </w:r>
      <w:proofErr w:type="spellEnd"/>
      <w:r w:rsidRPr="00ED56AB">
        <w:rPr>
          <w:rFonts w:asciiTheme="majorHAnsi" w:hAnsiTheme="majorHAnsi"/>
          <w:color w:val="auto"/>
          <w:sz w:val="16"/>
          <w:szCs w:val="16"/>
        </w:rPr>
        <w:t>, United States, July 15, 2013, para. 129.</w:t>
      </w:r>
    </w:p>
  </w:footnote>
  <w:footnote w:id="79">
    <w:p w14:paraId="478D195A" w14:textId="77777777" w:rsidR="00B56F13" w:rsidRPr="00700471" w:rsidRDefault="00B56F13" w:rsidP="009266DD">
      <w:pPr>
        <w:pStyle w:val="FootnoteText"/>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IACHR, Report No. 11/15, Case 12.833, Merits (Publication), Félix Rocha Díaz, United States, March 23, 2015, para. 106.</w:t>
      </w:r>
    </w:p>
  </w:footnote>
  <w:footnote w:id="80">
    <w:p w14:paraId="38AA9ADA" w14:textId="77777777" w:rsidR="00B56F13" w:rsidRPr="004D677E" w:rsidRDefault="00B56F13" w:rsidP="007F094E">
      <w:pPr>
        <w:pStyle w:val="FootnoteText"/>
        <w:jc w:val="both"/>
      </w:pPr>
      <w:r w:rsidRPr="004D677E">
        <w:rPr>
          <w:rStyle w:val="FootnoteReference"/>
          <w:rFonts w:asciiTheme="majorHAnsi" w:hAnsiTheme="majorHAnsi"/>
          <w:color w:val="auto"/>
          <w:sz w:val="16"/>
          <w:szCs w:val="16"/>
        </w:rPr>
        <w:footnoteRef/>
      </w:r>
      <w:r w:rsidRPr="004D677E">
        <w:rPr>
          <w:rStyle w:val="FootnoteReference"/>
          <w:rFonts w:asciiTheme="majorHAnsi" w:hAnsiTheme="majorHAnsi"/>
          <w:color w:val="auto"/>
          <w:sz w:val="16"/>
          <w:szCs w:val="16"/>
        </w:rPr>
        <w:t xml:space="preserve"> </w:t>
      </w:r>
      <w:r>
        <w:rPr>
          <w:rFonts w:asciiTheme="majorHAnsi" w:hAnsiTheme="majorHAnsi"/>
          <w:color w:val="auto"/>
          <w:sz w:val="16"/>
          <w:szCs w:val="16"/>
        </w:rPr>
        <w:t>See in this regard, IACHR, The death penalty in the Inter-American Human Rights System: From restrictions to abolition, OEA/</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w:t>
      </w:r>
      <w:proofErr w:type="gramStart"/>
      <w:r>
        <w:rPr>
          <w:rFonts w:asciiTheme="majorHAnsi" w:hAnsiTheme="majorHAnsi"/>
          <w:color w:val="auto"/>
          <w:sz w:val="16"/>
          <w:szCs w:val="16"/>
        </w:rPr>
        <w:t>II.Doc</w:t>
      </w:r>
      <w:proofErr w:type="gramEnd"/>
      <w:r>
        <w:rPr>
          <w:rFonts w:asciiTheme="majorHAnsi" w:hAnsiTheme="majorHAnsi"/>
          <w:color w:val="auto"/>
          <w:sz w:val="16"/>
          <w:szCs w:val="16"/>
        </w:rPr>
        <w:t xml:space="preserve"> 68, December 31, 2011.</w:t>
      </w:r>
    </w:p>
  </w:footnote>
  <w:footnote w:id="81">
    <w:p w14:paraId="0403662E" w14:textId="77777777" w:rsidR="00B56F13" w:rsidRDefault="00B56F13" w:rsidP="007F094E">
      <w:pPr>
        <w:pStyle w:val="FootnoteText"/>
        <w:jc w:val="both"/>
        <w:rPr>
          <w:rFonts w:asciiTheme="majorHAnsi" w:hAnsiTheme="majorHAnsi"/>
          <w:color w:val="auto"/>
          <w:sz w:val="16"/>
          <w:szCs w:val="16"/>
          <w:bdr w:val="none" w:sz="0" w:space="0" w:color="auto"/>
        </w:rPr>
      </w:pPr>
      <w:r>
        <w:rPr>
          <w:rStyle w:val="FootnoteReference"/>
          <w:rFonts w:asciiTheme="majorHAnsi" w:hAnsiTheme="majorHAnsi"/>
          <w:color w:val="auto"/>
          <w:sz w:val="16"/>
          <w:szCs w:val="16"/>
        </w:rPr>
        <w:footnoteRef/>
      </w:r>
      <w:r>
        <w:rPr>
          <w:rFonts w:asciiTheme="majorHAnsi" w:hAnsiTheme="majorHAnsi"/>
          <w:color w:val="auto"/>
          <w:sz w:val="16"/>
          <w:szCs w:val="16"/>
        </w:rPr>
        <w:t xml:space="preserve"> See in this regard, IACHR, The death penalty in the Inter-American Human Rights System: From restrictions to abolition, OEA/</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w:t>
      </w:r>
      <w:proofErr w:type="gramStart"/>
      <w:r>
        <w:rPr>
          <w:rFonts w:asciiTheme="majorHAnsi" w:hAnsiTheme="majorHAnsi"/>
          <w:color w:val="auto"/>
          <w:sz w:val="16"/>
          <w:szCs w:val="16"/>
        </w:rPr>
        <w:t>II.Doc</w:t>
      </w:r>
      <w:proofErr w:type="gramEnd"/>
      <w:r>
        <w:rPr>
          <w:rFonts w:asciiTheme="majorHAnsi" w:hAnsiTheme="majorHAnsi"/>
          <w:color w:val="auto"/>
          <w:sz w:val="16"/>
          <w:szCs w:val="16"/>
        </w:rPr>
        <w:t xml:space="preserve"> 68, December 31, 2011.</w:t>
      </w:r>
    </w:p>
  </w:footnote>
  <w:footnote w:id="82">
    <w:p w14:paraId="0B125C07" w14:textId="77777777" w:rsidR="00B56F13" w:rsidRPr="004D677E" w:rsidRDefault="00B56F13" w:rsidP="004D677E">
      <w:pPr>
        <w:pStyle w:val="FootnoteText"/>
        <w:jc w:val="both"/>
      </w:pPr>
      <w:r w:rsidRPr="004D677E">
        <w:rPr>
          <w:rStyle w:val="FootnoteReference"/>
          <w:rFonts w:asciiTheme="majorHAnsi" w:hAnsiTheme="majorHAnsi"/>
          <w:color w:val="auto"/>
          <w:sz w:val="16"/>
          <w:szCs w:val="16"/>
        </w:rPr>
        <w:footnoteRef/>
      </w:r>
      <w:r w:rsidRPr="004D677E">
        <w:rPr>
          <w:rStyle w:val="FootnoteReference"/>
          <w:rFonts w:asciiTheme="majorHAnsi" w:hAnsiTheme="majorHAnsi"/>
          <w:color w:val="auto"/>
          <w:sz w:val="16"/>
          <w:szCs w:val="16"/>
        </w:rPr>
        <w:t xml:space="preserve"> </w:t>
      </w:r>
      <w:r>
        <w:rPr>
          <w:rFonts w:asciiTheme="majorHAnsi" w:hAnsiTheme="majorHAnsi"/>
          <w:color w:val="auto"/>
          <w:sz w:val="16"/>
          <w:szCs w:val="16"/>
        </w:rPr>
        <w:t>See in this regard, IACHR, The death penalty in the Inter-American Human Rights System: From restrictions to abolition, OEA/</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w:t>
      </w:r>
      <w:proofErr w:type="gramStart"/>
      <w:r>
        <w:rPr>
          <w:rFonts w:asciiTheme="majorHAnsi" w:hAnsiTheme="majorHAnsi"/>
          <w:color w:val="auto"/>
          <w:sz w:val="16"/>
          <w:szCs w:val="16"/>
        </w:rPr>
        <w:t>II.Doc</w:t>
      </w:r>
      <w:proofErr w:type="gramEnd"/>
      <w:r>
        <w:rPr>
          <w:rFonts w:asciiTheme="majorHAnsi" w:hAnsiTheme="majorHAnsi"/>
          <w:color w:val="auto"/>
          <w:sz w:val="16"/>
          <w:szCs w:val="16"/>
        </w:rPr>
        <w:t xml:space="preserve"> 68, December 31, 2011.</w:t>
      </w:r>
    </w:p>
  </w:footnote>
  <w:footnote w:id="83">
    <w:p w14:paraId="5A613336" w14:textId="77777777" w:rsidR="00B56F13" w:rsidRDefault="00B56F13" w:rsidP="009266DD">
      <w:pPr>
        <w:pStyle w:val="FootnoteText"/>
        <w:jc w:val="both"/>
        <w:rPr>
          <w:rFonts w:asciiTheme="majorHAnsi" w:hAnsiTheme="majorHAnsi"/>
          <w:color w:val="auto"/>
          <w:sz w:val="16"/>
          <w:szCs w:val="16"/>
          <w:bdr w:val="none" w:sz="0" w:space="0" w:color="auto"/>
        </w:rPr>
      </w:pPr>
      <w:r>
        <w:rPr>
          <w:rStyle w:val="FootnoteReference"/>
          <w:rFonts w:asciiTheme="majorHAnsi" w:hAnsiTheme="majorHAnsi"/>
          <w:color w:val="auto"/>
          <w:sz w:val="16"/>
          <w:szCs w:val="16"/>
        </w:rPr>
        <w:footnoteRef/>
      </w:r>
      <w:r>
        <w:rPr>
          <w:rFonts w:asciiTheme="majorHAnsi" w:hAnsiTheme="majorHAnsi"/>
          <w:color w:val="auto"/>
          <w:sz w:val="16"/>
          <w:szCs w:val="16"/>
        </w:rPr>
        <w:t xml:space="preserve"> See in this regard, IACHR, The death penalty in the Inter-American Human Rights System: From restrictions to abolition, OEA/</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w:t>
      </w:r>
      <w:proofErr w:type="gramStart"/>
      <w:r>
        <w:rPr>
          <w:rFonts w:asciiTheme="majorHAnsi" w:hAnsiTheme="majorHAnsi"/>
          <w:color w:val="auto"/>
          <w:sz w:val="16"/>
          <w:szCs w:val="16"/>
        </w:rPr>
        <w:t>II.Doc</w:t>
      </w:r>
      <w:proofErr w:type="gramEnd"/>
      <w:r>
        <w:rPr>
          <w:rFonts w:asciiTheme="majorHAnsi" w:hAnsiTheme="majorHAnsi"/>
          <w:color w:val="auto"/>
          <w:sz w:val="16"/>
          <w:szCs w:val="16"/>
        </w:rPr>
        <w:t xml:space="preserve">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C17C" w14:textId="77777777" w:rsidR="00B56F13" w:rsidRDefault="00B56F13"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F3A9614" w14:textId="77777777" w:rsidR="00B56F13" w:rsidRDefault="00B56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3A3B" w14:textId="77777777" w:rsidR="00B56F13" w:rsidRDefault="00B56F13" w:rsidP="002C1641">
    <w:pPr>
      <w:pStyle w:val="Header"/>
      <w:tabs>
        <w:tab w:val="clear" w:pos="4320"/>
        <w:tab w:val="clear" w:pos="8640"/>
      </w:tabs>
      <w:jc w:val="center"/>
      <w:rPr>
        <w:sz w:val="22"/>
        <w:szCs w:val="22"/>
      </w:rPr>
    </w:pPr>
    <w:r>
      <w:rPr>
        <w:noProof/>
        <w:sz w:val="22"/>
        <w:szCs w:val="22"/>
      </w:rPr>
      <w:drawing>
        <wp:inline distT="0" distB="0" distL="0" distR="0" wp14:anchorId="437A2532" wp14:editId="3FF1C0FC">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03EEA9C" w14:textId="77777777" w:rsidR="00B56F13" w:rsidRPr="00EC7D62" w:rsidRDefault="00AB074C" w:rsidP="002C1641">
    <w:pPr>
      <w:pStyle w:val="Header"/>
      <w:tabs>
        <w:tab w:val="clear" w:pos="4320"/>
        <w:tab w:val="clear" w:pos="8640"/>
      </w:tabs>
      <w:jc w:val="center"/>
      <w:rPr>
        <w:sz w:val="22"/>
        <w:szCs w:val="22"/>
      </w:rPr>
    </w:pPr>
    <w:r>
      <w:rPr>
        <w:noProof/>
        <w:sz w:val="22"/>
        <w:szCs w:val="22"/>
        <w:bdr w:val="nil"/>
      </w:rPr>
      <w:pict w14:anchorId="31272EF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2F2"/>
    <w:multiLevelType w:val="hybridMultilevel"/>
    <w:tmpl w:val="C1CE9A78"/>
    <w:lvl w:ilvl="0" w:tplc="E2F464E2">
      <w:start w:val="2"/>
      <w:numFmt w:val="lowerLetter"/>
      <w:lvlText w:val="%1."/>
      <w:lvlJc w:val="left"/>
      <w:pPr>
        <w:ind w:left="1440" w:hanging="360"/>
      </w:pPr>
      <w:rPr>
        <w:rFonts w:eastAsia="Cambria" w:cs="Cambria"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9FD4803"/>
    <w:multiLevelType w:val="hybridMultilevel"/>
    <w:tmpl w:val="A628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D11E66"/>
    <w:multiLevelType w:val="hybridMultilevel"/>
    <w:tmpl w:val="57C45A76"/>
    <w:lvl w:ilvl="0" w:tplc="8340CF68">
      <w:start w:val="2"/>
      <w:numFmt w:val="lowerLetter"/>
      <w:lvlText w:val="%1."/>
      <w:lvlJc w:val="left"/>
      <w:pPr>
        <w:ind w:left="2160" w:hanging="360"/>
      </w:pPr>
      <w:rPr>
        <w:rFonts w:eastAsia="Cambria" w:cs="Cambria"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C37724"/>
    <w:multiLevelType w:val="hybridMultilevel"/>
    <w:tmpl w:val="F32A5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413084"/>
    <w:multiLevelType w:val="hybridMultilevel"/>
    <w:tmpl w:val="9BC4313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DD54DE"/>
    <w:multiLevelType w:val="hybridMultilevel"/>
    <w:tmpl w:val="ABCA0364"/>
    <w:lvl w:ilvl="0" w:tplc="6B2E41CE">
      <w:start w:val="1"/>
      <w:numFmt w:val="decimal"/>
      <w:lvlText w:val="%1."/>
      <w:lvlJc w:val="left"/>
      <w:pPr>
        <w:tabs>
          <w:tab w:val="num" w:pos="1500"/>
        </w:tabs>
        <w:ind w:left="1500" w:hanging="765"/>
      </w:pPr>
      <w:rPr>
        <w:rFonts w:ascii="Cambria" w:hAnsi="Cambria" w:cs="Arial" w:hint="default"/>
        <w:b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7" w15:restartNumberingAfterBreak="0">
    <w:nsid w:val="5A681F10"/>
    <w:multiLevelType w:val="hybridMultilevel"/>
    <w:tmpl w:val="AFA00BC6"/>
    <w:lvl w:ilvl="0" w:tplc="26C22C96">
      <w:start w:val="1"/>
      <w:numFmt w:val="decimal"/>
      <w:lvlText w:val="%1."/>
      <w:lvlJc w:val="left"/>
      <w:pPr>
        <w:ind w:left="1425" w:hanging="705"/>
      </w:pPr>
      <w:rPr>
        <w:rFonts w:hint="default"/>
        <w:sz w:val="20"/>
        <w:szCs w:val="20"/>
      </w:rPr>
    </w:lvl>
    <w:lvl w:ilvl="1" w:tplc="DEA60E08">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6166DB58"/>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4F312FC"/>
    <w:multiLevelType w:val="hybridMultilevel"/>
    <w:tmpl w:val="45125288"/>
    <w:lvl w:ilvl="0" w:tplc="A3824D46">
      <w:start w:val="1"/>
      <w:numFmt w:val="decimal"/>
      <w:lvlText w:val="%1."/>
      <w:lvlJc w:val="left"/>
      <w:pPr>
        <w:ind w:left="360" w:hanging="360"/>
      </w:pPr>
      <w:rPr>
        <w:rFonts w:asciiTheme="minorHAnsi" w:hAnsiTheme="minorHAnsi" w:hint="default"/>
        <w:b w:val="0"/>
        <w:color w:val="808080" w:themeColor="background1" w:themeShade="80"/>
        <w:sz w:val="22"/>
        <w:szCs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73A8A9E"/>
    <w:lvl w:ilvl="0" w:tplc="69020C3E">
      <w:start w:val="1"/>
      <w:numFmt w:val="upperRoman"/>
      <w:pStyle w:val="Heading1"/>
      <w:lvlText w:val="%1."/>
      <w:lvlJc w:val="left"/>
      <w:pPr>
        <w:ind w:left="180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0B5D47"/>
    <w:multiLevelType w:val="hybridMultilevel"/>
    <w:tmpl w:val="9404D1E2"/>
    <w:lvl w:ilvl="0" w:tplc="CD2A5A04">
      <w:start w:val="3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471F5F"/>
    <w:multiLevelType w:val="hybridMultilevel"/>
    <w:tmpl w:val="BF3A8F5E"/>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745554A"/>
    <w:multiLevelType w:val="hybridMultilevel"/>
    <w:tmpl w:val="4468A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3"/>
  </w:num>
  <w:num w:numId="4">
    <w:abstractNumId w:val="22"/>
  </w:num>
  <w:num w:numId="5">
    <w:abstractNumId w:val="53"/>
  </w:num>
  <w:num w:numId="6">
    <w:abstractNumId w:val="27"/>
  </w:num>
  <w:num w:numId="7">
    <w:abstractNumId w:val="7"/>
  </w:num>
  <w:num w:numId="8">
    <w:abstractNumId w:val="18"/>
  </w:num>
  <w:num w:numId="9">
    <w:abstractNumId w:val="45"/>
  </w:num>
  <w:num w:numId="10">
    <w:abstractNumId w:val="1"/>
  </w:num>
  <w:num w:numId="11">
    <w:abstractNumId w:val="37"/>
  </w:num>
  <w:num w:numId="12">
    <w:abstractNumId w:val="38"/>
  </w:num>
  <w:num w:numId="13">
    <w:abstractNumId w:val="48"/>
  </w:num>
  <w:num w:numId="14">
    <w:abstractNumId w:val="2"/>
  </w:num>
  <w:num w:numId="15">
    <w:abstractNumId w:val="3"/>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51"/>
  </w:num>
  <w:num w:numId="42">
    <w:abstractNumId w:val="55"/>
  </w:num>
  <w:num w:numId="43">
    <w:abstractNumId w:val="56"/>
  </w:num>
  <w:num w:numId="44">
    <w:abstractNumId w:val="60"/>
  </w:num>
  <w:num w:numId="45">
    <w:abstractNumId w:val="62"/>
  </w:num>
  <w:num w:numId="46">
    <w:abstractNumId w:val="64"/>
  </w:num>
  <w:num w:numId="47">
    <w:abstractNumId w:val="65"/>
  </w:num>
  <w:num w:numId="48">
    <w:abstractNumId w:val="66"/>
  </w:num>
  <w:num w:numId="49">
    <w:abstractNumId w:val="67"/>
  </w:num>
  <w:num w:numId="50">
    <w:abstractNumId w:val="68"/>
  </w:num>
  <w:num w:numId="51">
    <w:abstractNumId w:val="21"/>
  </w:num>
  <w:num w:numId="52">
    <w:abstractNumId w:val="41"/>
  </w:num>
  <w:num w:numId="53">
    <w:abstractNumId w:val="57"/>
  </w:num>
  <w:num w:numId="54">
    <w:abstractNumId w:val="49"/>
  </w:num>
  <w:num w:numId="55">
    <w:abstractNumId w:val="50"/>
  </w:num>
  <w:num w:numId="56">
    <w:abstractNumId w:val="54"/>
  </w:num>
  <w:num w:numId="57">
    <w:abstractNumId w:val="43"/>
  </w:num>
  <w:num w:numId="58">
    <w:abstractNumId w:val="61"/>
  </w:num>
  <w:num w:numId="59">
    <w:abstractNumId w:val="59"/>
    <w:lvlOverride w:ilvl="0">
      <w:startOverride w:val="1"/>
    </w:lvlOverride>
  </w:num>
  <w:num w:numId="60">
    <w:abstractNumId w:val="59"/>
  </w:num>
  <w:num w:numId="61">
    <w:abstractNumId w:val="42"/>
  </w:num>
  <w:num w:numId="62">
    <w:abstractNumId w:val="44"/>
  </w:num>
  <w:num w:numId="63">
    <w:abstractNumId w:val="47"/>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36"/>
  </w:num>
  <w:num w:numId="67">
    <w:abstractNumId w:val="52"/>
  </w:num>
  <w:num w:numId="68">
    <w:abstractNumId w:val="6"/>
  </w:num>
  <w:num w:numId="69">
    <w:abstractNumId w:val="58"/>
  </w:num>
  <w:num w:numId="70">
    <w:abstractNumId w:val="47"/>
  </w:num>
  <w:num w:numId="71">
    <w:abstractNumId w:val="0"/>
  </w:num>
  <w:num w:numId="72">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3AC1"/>
    <w:rsid w:val="00003EC6"/>
    <w:rsid w:val="00004013"/>
    <w:rsid w:val="000050CC"/>
    <w:rsid w:val="00006693"/>
    <w:rsid w:val="00006DD7"/>
    <w:rsid w:val="00006E50"/>
    <w:rsid w:val="00006EDD"/>
    <w:rsid w:val="000070D7"/>
    <w:rsid w:val="00007690"/>
    <w:rsid w:val="00007B4D"/>
    <w:rsid w:val="00010600"/>
    <w:rsid w:val="00010877"/>
    <w:rsid w:val="00010A7E"/>
    <w:rsid w:val="000111A8"/>
    <w:rsid w:val="00011E4C"/>
    <w:rsid w:val="00011EB8"/>
    <w:rsid w:val="00012267"/>
    <w:rsid w:val="00012470"/>
    <w:rsid w:val="00012683"/>
    <w:rsid w:val="00012ADD"/>
    <w:rsid w:val="00012C65"/>
    <w:rsid w:val="00012E4F"/>
    <w:rsid w:val="00013BDD"/>
    <w:rsid w:val="00013F78"/>
    <w:rsid w:val="00014FBC"/>
    <w:rsid w:val="00015472"/>
    <w:rsid w:val="00015F42"/>
    <w:rsid w:val="000169CA"/>
    <w:rsid w:val="00016B44"/>
    <w:rsid w:val="00017552"/>
    <w:rsid w:val="0001788C"/>
    <w:rsid w:val="00021201"/>
    <w:rsid w:val="00021557"/>
    <w:rsid w:val="00022424"/>
    <w:rsid w:val="00022F55"/>
    <w:rsid w:val="0002357A"/>
    <w:rsid w:val="00024428"/>
    <w:rsid w:val="00024730"/>
    <w:rsid w:val="00024BB7"/>
    <w:rsid w:val="00025D98"/>
    <w:rsid w:val="000265CB"/>
    <w:rsid w:val="0002681D"/>
    <w:rsid w:val="00027675"/>
    <w:rsid w:val="0003022F"/>
    <w:rsid w:val="00030834"/>
    <w:rsid w:val="00031189"/>
    <w:rsid w:val="00031A82"/>
    <w:rsid w:val="0003262C"/>
    <w:rsid w:val="00032BDA"/>
    <w:rsid w:val="0003324D"/>
    <w:rsid w:val="000332F4"/>
    <w:rsid w:val="000338F3"/>
    <w:rsid w:val="00035616"/>
    <w:rsid w:val="00036A8A"/>
    <w:rsid w:val="00037633"/>
    <w:rsid w:val="000378D5"/>
    <w:rsid w:val="00040A05"/>
    <w:rsid w:val="00040C3A"/>
    <w:rsid w:val="000414D2"/>
    <w:rsid w:val="000427EE"/>
    <w:rsid w:val="00042A17"/>
    <w:rsid w:val="0004390C"/>
    <w:rsid w:val="00044C4E"/>
    <w:rsid w:val="00045601"/>
    <w:rsid w:val="000459E0"/>
    <w:rsid w:val="0004681B"/>
    <w:rsid w:val="00046D40"/>
    <w:rsid w:val="0004761C"/>
    <w:rsid w:val="00047DA5"/>
    <w:rsid w:val="00047F35"/>
    <w:rsid w:val="000516F4"/>
    <w:rsid w:val="000517B2"/>
    <w:rsid w:val="00051DB2"/>
    <w:rsid w:val="00051EB4"/>
    <w:rsid w:val="000520FB"/>
    <w:rsid w:val="00052C1E"/>
    <w:rsid w:val="00052D20"/>
    <w:rsid w:val="00053172"/>
    <w:rsid w:val="00054E1B"/>
    <w:rsid w:val="000550C0"/>
    <w:rsid w:val="000552C7"/>
    <w:rsid w:val="000564E1"/>
    <w:rsid w:val="00056C0E"/>
    <w:rsid w:val="0005705F"/>
    <w:rsid w:val="000576AA"/>
    <w:rsid w:val="00057D4F"/>
    <w:rsid w:val="00057EDB"/>
    <w:rsid w:val="0006036E"/>
    <w:rsid w:val="00060666"/>
    <w:rsid w:val="0006097A"/>
    <w:rsid w:val="0006100F"/>
    <w:rsid w:val="00062269"/>
    <w:rsid w:val="00062C0F"/>
    <w:rsid w:val="00062FEC"/>
    <w:rsid w:val="000630E1"/>
    <w:rsid w:val="000639C0"/>
    <w:rsid w:val="000657E1"/>
    <w:rsid w:val="00065FBA"/>
    <w:rsid w:val="00066108"/>
    <w:rsid w:val="00066378"/>
    <w:rsid w:val="000679BC"/>
    <w:rsid w:val="00070187"/>
    <w:rsid w:val="00070B9D"/>
    <w:rsid w:val="00070F3A"/>
    <w:rsid w:val="0007127E"/>
    <w:rsid w:val="000716C5"/>
    <w:rsid w:val="00071A9D"/>
    <w:rsid w:val="00071E45"/>
    <w:rsid w:val="000728CA"/>
    <w:rsid w:val="00072B03"/>
    <w:rsid w:val="00074669"/>
    <w:rsid w:val="00074893"/>
    <w:rsid w:val="000756B4"/>
    <w:rsid w:val="00075E23"/>
    <w:rsid w:val="00075E4E"/>
    <w:rsid w:val="000764E3"/>
    <w:rsid w:val="0007716F"/>
    <w:rsid w:val="00077A87"/>
    <w:rsid w:val="00080249"/>
    <w:rsid w:val="00080357"/>
    <w:rsid w:val="00081EC3"/>
    <w:rsid w:val="000823DA"/>
    <w:rsid w:val="00082CBB"/>
    <w:rsid w:val="000830D5"/>
    <w:rsid w:val="0008366A"/>
    <w:rsid w:val="00083BF4"/>
    <w:rsid w:val="00084A11"/>
    <w:rsid w:val="00084C5B"/>
    <w:rsid w:val="00085519"/>
    <w:rsid w:val="00085F60"/>
    <w:rsid w:val="00085F65"/>
    <w:rsid w:val="0008675E"/>
    <w:rsid w:val="00086BFA"/>
    <w:rsid w:val="0008733D"/>
    <w:rsid w:val="000901D7"/>
    <w:rsid w:val="00090720"/>
    <w:rsid w:val="00090E48"/>
    <w:rsid w:val="00090E82"/>
    <w:rsid w:val="00091707"/>
    <w:rsid w:val="000922C5"/>
    <w:rsid w:val="00092817"/>
    <w:rsid w:val="000929D9"/>
    <w:rsid w:val="00092F32"/>
    <w:rsid w:val="00093055"/>
    <w:rsid w:val="0009344A"/>
    <w:rsid w:val="0009454E"/>
    <w:rsid w:val="00094AFA"/>
    <w:rsid w:val="00095575"/>
    <w:rsid w:val="0009575D"/>
    <w:rsid w:val="00095A0A"/>
    <w:rsid w:val="000966E9"/>
    <w:rsid w:val="000973C5"/>
    <w:rsid w:val="000A0948"/>
    <w:rsid w:val="000A0BA7"/>
    <w:rsid w:val="000A0EF3"/>
    <w:rsid w:val="000A16DB"/>
    <w:rsid w:val="000A1E84"/>
    <w:rsid w:val="000A2085"/>
    <w:rsid w:val="000A254B"/>
    <w:rsid w:val="000A25B1"/>
    <w:rsid w:val="000A3276"/>
    <w:rsid w:val="000A393C"/>
    <w:rsid w:val="000A3E84"/>
    <w:rsid w:val="000A4138"/>
    <w:rsid w:val="000A4DDD"/>
    <w:rsid w:val="000A5152"/>
    <w:rsid w:val="000A51D4"/>
    <w:rsid w:val="000A5214"/>
    <w:rsid w:val="000A575F"/>
    <w:rsid w:val="000A584B"/>
    <w:rsid w:val="000A5B0F"/>
    <w:rsid w:val="000A62C0"/>
    <w:rsid w:val="000A650D"/>
    <w:rsid w:val="000A68B6"/>
    <w:rsid w:val="000A6C50"/>
    <w:rsid w:val="000A76B0"/>
    <w:rsid w:val="000A7A76"/>
    <w:rsid w:val="000A7DBA"/>
    <w:rsid w:val="000A7FB8"/>
    <w:rsid w:val="000B040F"/>
    <w:rsid w:val="000B06AC"/>
    <w:rsid w:val="000B094A"/>
    <w:rsid w:val="000B0C30"/>
    <w:rsid w:val="000B25B8"/>
    <w:rsid w:val="000B25FC"/>
    <w:rsid w:val="000B276D"/>
    <w:rsid w:val="000B2EF7"/>
    <w:rsid w:val="000B39B4"/>
    <w:rsid w:val="000B418A"/>
    <w:rsid w:val="000B478D"/>
    <w:rsid w:val="000B4DAF"/>
    <w:rsid w:val="000B4EAA"/>
    <w:rsid w:val="000B50C3"/>
    <w:rsid w:val="000C0092"/>
    <w:rsid w:val="000C0149"/>
    <w:rsid w:val="000C04CF"/>
    <w:rsid w:val="000C1094"/>
    <w:rsid w:val="000C1B5A"/>
    <w:rsid w:val="000C1C2F"/>
    <w:rsid w:val="000C1E67"/>
    <w:rsid w:val="000C24CD"/>
    <w:rsid w:val="000C2C82"/>
    <w:rsid w:val="000C45C3"/>
    <w:rsid w:val="000C5219"/>
    <w:rsid w:val="000C556C"/>
    <w:rsid w:val="000C5DEE"/>
    <w:rsid w:val="000C6FFD"/>
    <w:rsid w:val="000C7F55"/>
    <w:rsid w:val="000D0BD2"/>
    <w:rsid w:val="000D10DB"/>
    <w:rsid w:val="000D1FC7"/>
    <w:rsid w:val="000D3921"/>
    <w:rsid w:val="000D3B27"/>
    <w:rsid w:val="000D43E0"/>
    <w:rsid w:val="000D5691"/>
    <w:rsid w:val="000D600D"/>
    <w:rsid w:val="000D6817"/>
    <w:rsid w:val="000D68F4"/>
    <w:rsid w:val="000D6EEF"/>
    <w:rsid w:val="000E0392"/>
    <w:rsid w:val="000E07F7"/>
    <w:rsid w:val="000E0F8F"/>
    <w:rsid w:val="000E1356"/>
    <w:rsid w:val="000E24D2"/>
    <w:rsid w:val="000E3937"/>
    <w:rsid w:val="000E44C7"/>
    <w:rsid w:val="000E56C3"/>
    <w:rsid w:val="000E69B3"/>
    <w:rsid w:val="000E6A5E"/>
    <w:rsid w:val="000E6EDD"/>
    <w:rsid w:val="000E7140"/>
    <w:rsid w:val="000E7636"/>
    <w:rsid w:val="000E7ED0"/>
    <w:rsid w:val="000E7F69"/>
    <w:rsid w:val="000F0A25"/>
    <w:rsid w:val="000F0EEC"/>
    <w:rsid w:val="000F4547"/>
    <w:rsid w:val="000F4D36"/>
    <w:rsid w:val="000F51DA"/>
    <w:rsid w:val="000F5D64"/>
    <w:rsid w:val="000F7409"/>
    <w:rsid w:val="00100FB7"/>
    <w:rsid w:val="00101553"/>
    <w:rsid w:val="00101C44"/>
    <w:rsid w:val="001024E3"/>
    <w:rsid w:val="001025B1"/>
    <w:rsid w:val="00102742"/>
    <w:rsid w:val="0010275F"/>
    <w:rsid w:val="001032AB"/>
    <w:rsid w:val="00103331"/>
    <w:rsid w:val="00103526"/>
    <w:rsid w:val="00103ABE"/>
    <w:rsid w:val="00104889"/>
    <w:rsid w:val="00104896"/>
    <w:rsid w:val="00104C50"/>
    <w:rsid w:val="00105599"/>
    <w:rsid w:val="0010592A"/>
    <w:rsid w:val="00105C96"/>
    <w:rsid w:val="0010625B"/>
    <w:rsid w:val="001063FA"/>
    <w:rsid w:val="00106990"/>
    <w:rsid w:val="001110DA"/>
    <w:rsid w:val="00112617"/>
    <w:rsid w:val="001126EB"/>
    <w:rsid w:val="001128E0"/>
    <w:rsid w:val="00113149"/>
    <w:rsid w:val="001131EC"/>
    <w:rsid w:val="00113ACF"/>
    <w:rsid w:val="001142FE"/>
    <w:rsid w:val="00114527"/>
    <w:rsid w:val="00115009"/>
    <w:rsid w:val="00115CB1"/>
    <w:rsid w:val="001171CF"/>
    <w:rsid w:val="00122709"/>
    <w:rsid w:val="00122DF4"/>
    <w:rsid w:val="00122F98"/>
    <w:rsid w:val="00123ECD"/>
    <w:rsid w:val="00125D3B"/>
    <w:rsid w:val="0012610A"/>
    <w:rsid w:val="001267FB"/>
    <w:rsid w:val="00126BC6"/>
    <w:rsid w:val="00126F3B"/>
    <w:rsid w:val="00130A27"/>
    <w:rsid w:val="00130DE9"/>
    <w:rsid w:val="00131042"/>
    <w:rsid w:val="0013104F"/>
    <w:rsid w:val="0013178F"/>
    <w:rsid w:val="00131B01"/>
    <w:rsid w:val="00131B9D"/>
    <w:rsid w:val="00132821"/>
    <w:rsid w:val="00133465"/>
    <w:rsid w:val="0013403C"/>
    <w:rsid w:val="00134FD9"/>
    <w:rsid w:val="00134FF0"/>
    <w:rsid w:val="00135217"/>
    <w:rsid w:val="001357AD"/>
    <w:rsid w:val="001365B6"/>
    <w:rsid w:val="00136CB7"/>
    <w:rsid w:val="00137EBA"/>
    <w:rsid w:val="00140380"/>
    <w:rsid w:val="0014051C"/>
    <w:rsid w:val="00140921"/>
    <w:rsid w:val="00141DEA"/>
    <w:rsid w:val="00142AE8"/>
    <w:rsid w:val="00142FA1"/>
    <w:rsid w:val="00143E4B"/>
    <w:rsid w:val="00143EB9"/>
    <w:rsid w:val="0014445A"/>
    <w:rsid w:val="00145EDC"/>
    <w:rsid w:val="00145F99"/>
    <w:rsid w:val="001467E2"/>
    <w:rsid w:val="00146E18"/>
    <w:rsid w:val="00147723"/>
    <w:rsid w:val="00147DC5"/>
    <w:rsid w:val="001503E0"/>
    <w:rsid w:val="00150DD0"/>
    <w:rsid w:val="00152085"/>
    <w:rsid w:val="00152829"/>
    <w:rsid w:val="00152944"/>
    <w:rsid w:val="0015335C"/>
    <w:rsid w:val="00154179"/>
    <w:rsid w:val="0015592F"/>
    <w:rsid w:val="00155EEE"/>
    <w:rsid w:val="00155F1D"/>
    <w:rsid w:val="00157341"/>
    <w:rsid w:val="0015753F"/>
    <w:rsid w:val="001577B2"/>
    <w:rsid w:val="00157A9F"/>
    <w:rsid w:val="00157CE4"/>
    <w:rsid w:val="001600A4"/>
    <w:rsid w:val="001603B5"/>
    <w:rsid w:val="0016108B"/>
    <w:rsid w:val="00161150"/>
    <w:rsid w:val="00162778"/>
    <w:rsid w:val="00162AAD"/>
    <w:rsid w:val="00162CEF"/>
    <w:rsid w:val="0016356D"/>
    <w:rsid w:val="00163742"/>
    <w:rsid w:val="001638DF"/>
    <w:rsid w:val="0016440B"/>
    <w:rsid w:val="0016465A"/>
    <w:rsid w:val="0016499F"/>
    <w:rsid w:val="00166496"/>
    <w:rsid w:val="00166F26"/>
    <w:rsid w:val="00166F35"/>
    <w:rsid w:val="00167A34"/>
    <w:rsid w:val="00170952"/>
    <w:rsid w:val="00170976"/>
    <w:rsid w:val="001710B8"/>
    <w:rsid w:val="001710D1"/>
    <w:rsid w:val="00171725"/>
    <w:rsid w:val="0017269A"/>
    <w:rsid w:val="00172A98"/>
    <w:rsid w:val="001733D5"/>
    <w:rsid w:val="0017348C"/>
    <w:rsid w:val="001739DA"/>
    <w:rsid w:val="001739F5"/>
    <w:rsid w:val="001747B4"/>
    <w:rsid w:val="00174911"/>
    <w:rsid w:val="00174F72"/>
    <w:rsid w:val="00175827"/>
    <w:rsid w:val="0017642E"/>
    <w:rsid w:val="00180064"/>
    <w:rsid w:val="0018009D"/>
    <w:rsid w:val="0018037F"/>
    <w:rsid w:val="001805B4"/>
    <w:rsid w:val="00180D3C"/>
    <w:rsid w:val="00180E3B"/>
    <w:rsid w:val="001819A8"/>
    <w:rsid w:val="00182F27"/>
    <w:rsid w:val="001836BA"/>
    <w:rsid w:val="00184083"/>
    <w:rsid w:val="00184C6F"/>
    <w:rsid w:val="00187268"/>
    <w:rsid w:val="00190214"/>
    <w:rsid w:val="00190E99"/>
    <w:rsid w:val="00190F48"/>
    <w:rsid w:val="0019136D"/>
    <w:rsid w:val="001913E1"/>
    <w:rsid w:val="001917D9"/>
    <w:rsid w:val="00192A1E"/>
    <w:rsid w:val="00192FD4"/>
    <w:rsid w:val="0019332D"/>
    <w:rsid w:val="001937A5"/>
    <w:rsid w:val="001940F0"/>
    <w:rsid w:val="00196280"/>
    <w:rsid w:val="001965CC"/>
    <w:rsid w:val="001970F2"/>
    <w:rsid w:val="0019748D"/>
    <w:rsid w:val="001A013D"/>
    <w:rsid w:val="001A0782"/>
    <w:rsid w:val="001A0B42"/>
    <w:rsid w:val="001A1B32"/>
    <w:rsid w:val="001A2434"/>
    <w:rsid w:val="001A39CF"/>
    <w:rsid w:val="001A4221"/>
    <w:rsid w:val="001A5577"/>
    <w:rsid w:val="001A5F27"/>
    <w:rsid w:val="001A6423"/>
    <w:rsid w:val="001A64EB"/>
    <w:rsid w:val="001A7439"/>
    <w:rsid w:val="001A7870"/>
    <w:rsid w:val="001A7D5B"/>
    <w:rsid w:val="001A7EDC"/>
    <w:rsid w:val="001B17B9"/>
    <w:rsid w:val="001B2FCD"/>
    <w:rsid w:val="001B3279"/>
    <w:rsid w:val="001B413D"/>
    <w:rsid w:val="001B4593"/>
    <w:rsid w:val="001B4974"/>
    <w:rsid w:val="001B4E52"/>
    <w:rsid w:val="001B532B"/>
    <w:rsid w:val="001B56BC"/>
    <w:rsid w:val="001B5F45"/>
    <w:rsid w:val="001B60FE"/>
    <w:rsid w:val="001B658D"/>
    <w:rsid w:val="001B77F0"/>
    <w:rsid w:val="001B7BA1"/>
    <w:rsid w:val="001C04BF"/>
    <w:rsid w:val="001C0710"/>
    <w:rsid w:val="001C1B41"/>
    <w:rsid w:val="001C2003"/>
    <w:rsid w:val="001C2173"/>
    <w:rsid w:val="001C217B"/>
    <w:rsid w:val="001C2F45"/>
    <w:rsid w:val="001C3032"/>
    <w:rsid w:val="001C311D"/>
    <w:rsid w:val="001C38BC"/>
    <w:rsid w:val="001C3B2D"/>
    <w:rsid w:val="001C3FE4"/>
    <w:rsid w:val="001C4006"/>
    <w:rsid w:val="001C460D"/>
    <w:rsid w:val="001C48AF"/>
    <w:rsid w:val="001C4ADD"/>
    <w:rsid w:val="001C50DC"/>
    <w:rsid w:val="001C6025"/>
    <w:rsid w:val="001C68E7"/>
    <w:rsid w:val="001C6E0E"/>
    <w:rsid w:val="001C6F52"/>
    <w:rsid w:val="001D02D5"/>
    <w:rsid w:val="001D1343"/>
    <w:rsid w:val="001D1A17"/>
    <w:rsid w:val="001D1FC1"/>
    <w:rsid w:val="001D3218"/>
    <w:rsid w:val="001D41F3"/>
    <w:rsid w:val="001D42A6"/>
    <w:rsid w:val="001D4D75"/>
    <w:rsid w:val="001D59B1"/>
    <w:rsid w:val="001D5FB5"/>
    <w:rsid w:val="001D5FE4"/>
    <w:rsid w:val="001D652F"/>
    <w:rsid w:val="001D6707"/>
    <w:rsid w:val="001D6BA1"/>
    <w:rsid w:val="001D75F2"/>
    <w:rsid w:val="001D7B45"/>
    <w:rsid w:val="001D7F76"/>
    <w:rsid w:val="001E0270"/>
    <w:rsid w:val="001E0808"/>
    <w:rsid w:val="001E1061"/>
    <w:rsid w:val="001E10CA"/>
    <w:rsid w:val="001E22F2"/>
    <w:rsid w:val="001E2867"/>
    <w:rsid w:val="001E3030"/>
    <w:rsid w:val="001E3060"/>
    <w:rsid w:val="001E31D4"/>
    <w:rsid w:val="001E3F3E"/>
    <w:rsid w:val="001E477E"/>
    <w:rsid w:val="001E4D7D"/>
    <w:rsid w:val="001E53FB"/>
    <w:rsid w:val="001E59A9"/>
    <w:rsid w:val="001E5A1A"/>
    <w:rsid w:val="001E5F04"/>
    <w:rsid w:val="001E699E"/>
    <w:rsid w:val="001E6C37"/>
    <w:rsid w:val="001F094C"/>
    <w:rsid w:val="001F0B72"/>
    <w:rsid w:val="001F3B00"/>
    <w:rsid w:val="001F4A4B"/>
    <w:rsid w:val="001F4DB8"/>
    <w:rsid w:val="001F5427"/>
    <w:rsid w:val="001F62D9"/>
    <w:rsid w:val="001F65E5"/>
    <w:rsid w:val="001F6E7F"/>
    <w:rsid w:val="00200D2E"/>
    <w:rsid w:val="002018AF"/>
    <w:rsid w:val="002027D1"/>
    <w:rsid w:val="00202A19"/>
    <w:rsid w:val="00203841"/>
    <w:rsid w:val="00204924"/>
    <w:rsid w:val="00204DFD"/>
    <w:rsid w:val="002056C8"/>
    <w:rsid w:val="00206728"/>
    <w:rsid w:val="002067F4"/>
    <w:rsid w:val="00207544"/>
    <w:rsid w:val="0021055A"/>
    <w:rsid w:val="00210626"/>
    <w:rsid w:val="00210E0E"/>
    <w:rsid w:val="00211891"/>
    <w:rsid w:val="00211F3B"/>
    <w:rsid w:val="00213A2F"/>
    <w:rsid w:val="00214962"/>
    <w:rsid w:val="0021591D"/>
    <w:rsid w:val="00215CE2"/>
    <w:rsid w:val="002179AD"/>
    <w:rsid w:val="00217D6A"/>
    <w:rsid w:val="00220F56"/>
    <w:rsid w:val="0022169F"/>
    <w:rsid w:val="00221704"/>
    <w:rsid w:val="002218FD"/>
    <w:rsid w:val="00222050"/>
    <w:rsid w:val="00222647"/>
    <w:rsid w:val="002226AA"/>
    <w:rsid w:val="00223245"/>
    <w:rsid w:val="002237F3"/>
    <w:rsid w:val="00224AA7"/>
    <w:rsid w:val="00224CA5"/>
    <w:rsid w:val="00224E5F"/>
    <w:rsid w:val="00225375"/>
    <w:rsid w:val="002256AE"/>
    <w:rsid w:val="002277C3"/>
    <w:rsid w:val="0023061B"/>
    <w:rsid w:val="00231242"/>
    <w:rsid w:val="00231CD1"/>
    <w:rsid w:val="00232A3C"/>
    <w:rsid w:val="00233353"/>
    <w:rsid w:val="00233CCA"/>
    <w:rsid w:val="00234C31"/>
    <w:rsid w:val="002351E7"/>
    <w:rsid w:val="002368C5"/>
    <w:rsid w:val="00236FA5"/>
    <w:rsid w:val="0024070A"/>
    <w:rsid w:val="00241B9E"/>
    <w:rsid w:val="00241F98"/>
    <w:rsid w:val="0024247E"/>
    <w:rsid w:val="0024379B"/>
    <w:rsid w:val="00244E7D"/>
    <w:rsid w:val="00245446"/>
    <w:rsid w:val="00245452"/>
    <w:rsid w:val="00245F40"/>
    <w:rsid w:val="00246E7D"/>
    <w:rsid w:val="00247019"/>
    <w:rsid w:val="00247403"/>
    <w:rsid w:val="00247542"/>
    <w:rsid w:val="00247592"/>
    <w:rsid w:val="00247E0E"/>
    <w:rsid w:val="00250662"/>
    <w:rsid w:val="00250B61"/>
    <w:rsid w:val="00250F0E"/>
    <w:rsid w:val="00250F42"/>
    <w:rsid w:val="0025100E"/>
    <w:rsid w:val="002520C0"/>
    <w:rsid w:val="00253F1B"/>
    <w:rsid w:val="00255140"/>
    <w:rsid w:val="002552DF"/>
    <w:rsid w:val="0025532E"/>
    <w:rsid w:val="00255475"/>
    <w:rsid w:val="00255759"/>
    <w:rsid w:val="002560C3"/>
    <w:rsid w:val="00256813"/>
    <w:rsid w:val="00256D45"/>
    <w:rsid w:val="0025711C"/>
    <w:rsid w:val="0025755D"/>
    <w:rsid w:val="00257893"/>
    <w:rsid w:val="00260C70"/>
    <w:rsid w:val="0026109F"/>
    <w:rsid w:val="0026124E"/>
    <w:rsid w:val="0026154C"/>
    <w:rsid w:val="00261C06"/>
    <w:rsid w:val="002626A2"/>
    <w:rsid w:val="002626F5"/>
    <w:rsid w:val="00262ECA"/>
    <w:rsid w:val="00263B2B"/>
    <w:rsid w:val="00263BC9"/>
    <w:rsid w:val="00264033"/>
    <w:rsid w:val="00264870"/>
    <w:rsid w:val="00264944"/>
    <w:rsid w:val="00265BAE"/>
    <w:rsid w:val="00266092"/>
    <w:rsid w:val="00266B61"/>
    <w:rsid w:val="0026712A"/>
    <w:rsid w:val="00267891"/>
    <w:rsid w:val="00267EF0"/>
    <w:rsid w:val="0027004C"/>
    <w:rsid w:val="002701A7"/>
    <w:rsid w:val="002704DB"/>
    <w:rsid w:val="002704E0"/>
    <w:rsid w:val="002706E4"/>
    <w:rsid w:val="00270C7A"/>
    <w:rsid w:val="00271104"/>
    <w:rsid w:val="00271175"/>
    <w:rsid w:val="00272596"/>
    <w:rsid w:val="00272854"/>
    <w:rsid w:val="00272A02"/>
    <w:rsid w:val="00272DEF"/>
    <w:rsid w:val="00272F7D"/>
    <w:rsid w:val="00273032"/>
    <w:rsid w:val="002730F6"/>
    <w:rsid w:val="00274F86"/>
    <w:rsid w:val="00275FC9"/>
    <w:rsid w:val="0027671E"/>
    <w:rsid w:val="00276C31"/>
    <w:rsid w:val="002772E3"/>
    <w:rsid w:val="002809AC"/>
    <w:rsid w:val="0028111A"/>
    <w:rsid w:val="00283909"/>
    <w:rsid w:val="0028392E"/>
    <w:rsid w:val="00284173"/>
    <w:rsid w:val="00284C09"/>
    <w:rsid w:val="00284E86"/>
    <w:rsid w:val="002869C6"/>
    <w:rsid w:val="00287642"/>
    <w:rsid w:val="00287B22"/>
    <w:rsid w:val="00290094"/>
    <w:rsid w:val="00291C7D"/>
    <w:rsid w:val="00292239"/>
    <w:rsid w:val="00292CEC"/>
    <w:rsid w:val="0029397E"/>
    <w:rsid w:val="00293AEB"/>
    <w:rsid w:val="00293B75"/>
    <w:rsid w:val="0029466E"/>
    <w:rsid w:val="00294727"/>
    <w:rsid w:val="00294B4A"/>
    <w:rsid w:val="00294FA9"/>
    <w:rsid w:val="0029523E"/>
    <w:rsid w:val="002955D3"/>
    <w:rsid w:val="002957D7"/>
    <w:rsid w:val="00295C76"/>
    <w:rsid w:val="0029615A"/>
    <w:rsid w:val="002963E4"/>
    <w:rsid w:val="00296BE8"/>
    <w:rsid w:val="00296EC2"/>
    <w:rsid w:val="0029715B"/>
    <w:rsid w:val="00297288"/>
    <w:rsid w:val="0029754B"/>
    <w:rsid w:val="00297630"/>
    <w:rsid w:val="002A00C2"/>
    <w:rsid w:val="002A036F"/>
    <w:rsid w:val="002A05B1"/>
    <w:rsid w:val="002A1564"/>
    <w:rsid w:val="002A1C6E"/>
    <w:rsid w:val="002A1D6A"/>
    <w:rsid w:val="002A1EF3"/>
    <w:rsid w:val="002A24D4"/>
    <w:rsid w:val="002A2593"/>
    <w:rsid w:val="002A2720"/>
    <w:rsid w:val="002A3CD5"/>
    <w:rsid w:val="002A5150"/>
    <w:rsid w:val="002A555A"/>
    <w:rsid w:val="002A733A"/>
    <w:rsid w:val="002A7A01"/>
    <w:rsid w:val="002B008D"/>
    <w:rsid w:val="002B0374"/>
    <w:rsid w:val="002B0BE7"/>
    <w:rsid w:val="002B0C15"/>
    <w:rsid w:val="002B110C"/>
    <w:rsid w:val="002B1184"/>
    <w:rsid w:val="002B1D55"/>
    <w:rsid w:val="002B2AB5"/>
    <w:rsid w:val="002B30E6"/>
    <w:rsid w:val="002B3A2B"/>
    <w:rsid w:val="002B3CCF"/>
    <w:rsid w:val="002B4417"/>
    <w:rsid w:val="002B4B61"/>
    <w:rsid w:val="002B5794"/>
    <w:rsid w:val="002B5AF9"/>
    <w:rsid w:val="002B5F8A"/>
    <w:rsid w:val="002B67D0"/>
    <w:rsid w:val="002B7448"/>
    <w:rsid w:val="002C0B64"/>
    <w:rsid w:val="002C10D7"/>
    <w:rsid w:val="002C1641"/>
    <w:rsid w:val="002C1EB3"/>
    <w:rsid w:val="002C1F13"/>
    <w:rsid w:val="002C2769"/>
    <w:rsid w:val="002C2792"/>
    <w:rsid w:val="002C3312"/>
    <w:rsid w:val="002C3671"/>
    <w:rsid w:val="002C37C7"/>
    <w:rsid w:val="002C3D66"/>
    <w:rsid w:val="002C4070"/>
    <w:rsid w:val="002C58D2"/>
    <w:rsid w:val="002C5A89"/>
    <w:rsid w:val="002C5BCE"/>
    <w:rsid w:val="002C5EC4"/>
    <w:rsid w:val="002C6C33"/>
    <w:rsid w:val="002D033F"/>
    <w:rsid w:val="002D064D"/>
    <w:rsid w:val="002D0D0D"/>
    <w:rsid w:val="002D12CF"/>
    <w:rsid w:val="002D1B85"/>
    <w:rsid w:val="002D1CFA"/>
    <w:rsid w:val="002D33B3"/>
    <w:rsid w:val="002D40D8"/>
    <w:rsid w:val="002D45C2"/>
    <w:rsid w:val="002D4CA0"/>
    <w:rsid w:val="002D5514"/>
    <w:rsid w:val="002D5A05"/>
    <w:rsid w:val="002D5D4E"/>
    <w:rsid w:val="002D622C"/>
    <w:rsid w:val="002D628F"/>
    <w:rsid w:val="002D6E69"/>
    <w:rsid w:val="002D7DC4"/>
    <w:rsid w:val="002D7EA2"/>
    <w:rsid w:val="002E03A4"/>
    <w:rsid w:val="002E10CD"/>
    <w:rsid w:val="002E10DC"/>
    <w:rsid w:val="002E15DF"/>
    <w:rsid w:val="002E16E8"/>
    <w:rsid w:val="002E187C"/>
    <w:rsid w:val="002E18E3"/>
    <w:rsid w:val="002E1CDE"/>
    <w:rsid w:val="002E1F0B"/>
    <w:rsid w:val="002E349E"/>
    <w:rsid w:val="002E35D7"/>
    <w:rsid w:val="002E3921"/>
    <w:rsid w:val="002E3C15"/>
    <w:rsid w:val="002E432F"/>
    <w:rsid w:val="002E4F0A"/>
    <w:rsid w:val="002E5A58"/>
    <w:rsid w:val="002E61E7"/>
    <w:rsid w:val="002E620F"/>
    <w:rsid w:val="002E6267"/>
    <w:rsid w:val="002E6663"/>
    <w:rsid w:val="002E6B47"/>
    <w:rsid w:val="002E6E57"/>
    <w:rsid w:val="002E755E"/>
    <w:rsid w:val="002E78C1"/>
    <w:rsid w:val="002E7E79"/>
    <w:rsid w:val="002F023D"/>
    <w:rsid w:val="002F097A"/>
    <w:rsid w:val="002F12A8"/>
    <w:rsid w:val="002F17C9"/>
    <w:rsid w:val="002F1B00"/>
    <w:rsid w:val="002F1B4A"/>
    <w:rsid w:val="002F2358"/>
    <w:rsid w:val="002F2D41"/>
    <w:rsid w:val="002F2FCB"/>
    <w:rsid w:val="002F3202"/>
    <w:rsid w:val="002F3554"/>
    <w:rsid w:val="002F3598"/>
    <w:rsid w:val="002F35CB"/>
    <w:rsid w:val="002F3D27"/>
    <w:rsid w:val="002F414B"/>
    <w:rsid w:val="002F443F"/>
    <w:rsid w:val="002F4FE5"/>
    <w:rsid w:val="002F503E"/>
    <w:rsid w:val="002F5668"/>
    <w:rsid w:val="002F5686"/>
    <w:rsid w:val="002F5941"/>
    <w:rsid w:val="002F5E45"/>
    <w:rsid w:val="002F6201"/>
    <w:rsid w:val="002F63D9"/>
    <w:rsid w:val="002F6504"/>
    <w:rsid w:val="002F6C1E"/>
    <w:rsid w:val="002F6ECD"/>
    <w:rsid w:val="002F7B0F"/>
    <w:rsid w:val="00300F38"/>
    <w:rsid w:val="00301075"/>
    <w:rsid w:val="00301B3D"/>
    <w:rsid w:val="00301F71"/>
    <w:rsid w:val="00302733"/>
    <w:rsid w:val="00303352"/>
    <w:rsid w:val="003035DD"/>
    <w:rsid w:val="00303B04"/>
    <w:rsid w:val="00304182"/>
    <w:rsid w:val="0030446B"/>
    <w:rsid w:val="003045FF"/>
    <w:rsid w:val="00304EED"/>
    <w:rsid w:val="003058E3"/>
    <w:rsid w:val="0030600F"/>
    <w:rsid w:val="00306012"/>
    <w:rsid w:val="00306C30"/>
    <w:rsid w:val="00306D2A"/>
    <w:rsid w:val="003070EA"/>
    <w:rsid w:val="00307577"/>
    <w:rsid w:val="00307C8D"/>
    <w:rsid w:val="00307DF7"/>
    <w:rsid w:val="003112C6"/>
    <w:rsid w:val="00311A4F"/>
    <w:rsid w:val="00313332"/>
    <w:rsid w:val="00313519"/>
    <w:rsid w:val="00314078"/>
    <w:rsid w:val="00315905"/>
    <w:rsid w:val="00316026"/>
    <w:rsid w:val="00316559"/>
    <w:rsid w:val="003169FA"/>
    <w:rsid w:val="0031724D"/>
    <w:rsid w:val="00317255"/>
    <w:rsid w:val="00317E8A"/>
    <w:rsid w:val="00317FC6"/>
    <w:rsid w:val="00320402"/>
    <w:rsid w:val="00320A3A"/>
    <w:rsid w:val="00320A64"/>
    <w:rsid w:val="00320D26"/>
    <w:rsid w:val="003215F2"/>
    <w:rsid w:val="003218DF"/>
    <w:rsid w:val="00321A96"/>
    <w:rsid w:val="00322398"/>
    <w:rsid w:val="00322450"/>
    <w:rsid w:val="003241CF"/>
    <w:rsid w:val="00324590"/>
    <w:rsid w:val="003245A7"/>
    <w:rsid w:val="003246B5"/>
    <w:rsid w:val="00324882"/>
    <w:rsid w:val="003249CF"/>
    <w:rsid w:val="003267B5"/>
    <w:rsid w:val="00327501"/>
    <w:rsid w:val="00327AC5"/>
    <w:rsid w:val="00330196"/>
    <w:rsid w:val="0033054B"/>
    <w:rsid w:val="00330E0E"/>
    <w:rsid w:val="0033161A"/>
    <w:rsid w:val="00331687"/>
    <w:rsid w:val="0033169F"/>
    <w:rsid w:val="00331F29"/>
    <w:rsid w:val="00332152"/>
    <w:rsid w:val="003326C2"/>
    <w:rsid w:val="00332A4D"/>
    <w:rsid w:val="003330D2"/>
    <w:rsid w:val="00333FDB"/>
    <w:rsid w:val="003343F1"/>
    <w:rsid w:val="0033591F"/>
    <w:rsid w:val="00336085"/>
    <w:rsid w:val="00337546"/>
    <w:rsid w:val="003378E0"/>
    <w:rsid w:val="00337961"/>
    <w:rsid w:val="00337C43"/>
    <w:rsid w:val="003407E0"/>
    <w:rsid w:val="00340A95"/>
    <w:rsid w:val="003410A6"/>
    <w:rsid w:val="003414AC"/>
    <w:rsid w:val="003414E6"/>
    <w:rsid w:val="00341F71"/>
    <w:rsid w:val="00342070"/>
    <w:rsid w:val="003423B6"/>
    <w:rsid w:val="00342FA8"/>
    <w:rsid w:val="003447BB"/>
    <w:rsid w:val="003447DA"/>
    <w:rsid w:val="00344B38"/>
    <w:rsid w:val="0034569F"/>
    <w:rsid w:val="003464E3"/>
    <w:rsid w:val="00346D16"/>
    <w:rsid w:val="00347742"/>
    <w:rsid w:val="00351655"/>
    <w:rsid w:val="00351CDF"/>
    <w:rsid w:val="003520F3"/>
    <w:rsid w:val="0035485A"/>
    <w:rsid w:val="00355079"/>
    <w:rsid w:val="00355779"/>
    <w:rsid w:val="00356185"/>
    <w:rsid w:val="003567C7"/>
    <w:rsid w:val="00357206"/>
    <w:rsid w:val="00357961"/>
    <w:rsid w:val="00357C4D"/>
    <w:rsid w:val="00357D78"/>
    <w:rsid w:val="00360380"/>
    <w:rsid w:val="0036056F"/>
    <w:rsid w:val="0036137D"/>
    <w:rsid w:val="00361EB7"/>
    <w:rsid w:val="00362FE0"/>
    <w:rsid w:val="0036346A"/>
    <w:rsid w:val="00363954"/>
    <w:rsid w:val="003659F2"/>
    <w:rsid w:val="00365C45"/>
    <w:rsid w:val="00365D52"/>
    <w:rsid w:val="00366182"/>
    <w:rsid w:val="00366DBE"/>
    <w:rsid w:val="00367444"/>
    <w:rsid w:val="003675B8"/>
    <w:rsid w:val="003676F1"/>
    <w:rsid w:val="0036775E"/>
    <w:rsid w:val="00367EDD"/>
    <w:rsid w:val="00370DD4"/>
    <w:rsid w:val="003712A0"/>
    <w:rsid w:val="003712A7"/>
    <w:rsid w:val="00371EFD"/>
    <w:rsid w:val="003729BF"/>
    <w:rsid w:val="00372AD5"/>
    <w:rsid w:val="00372B13"/>
    <w:rsid w:val="00372F8E"/>
    <w:rsid w:val="00373790"/>
    <w:rsid w:val="003741EF"/>
    <w:rsid w:val="003745F9"/>
    <w:rsid w:val="00374940"/>
    <w:rsid w:val="003750C8"/>
    <w:rsid w:val="003752A9"/>
    <w:rsid w:val="003759D2"/>
    <w:rsid w:val="00375D88"/>
    <w:rsid w:val="00376244"/>
    <w:rsid w:val="00376462"/>
    <w:rsid w:val="00376CCB"/>
    <w:rsid w:val="00377AD8"/>
    <w:rsid w:val="00380645"/>
    <w:rsid w:val="00380831"/>
    <w:rsid w:val="00380A1D"/>
    <w:rsid w:val="00380B68"/>
    <w:rsid w:val="00380ECF"/>
    <w:rsid w:val="00382073"/>
    <w:rsid w:val="0038209A"/>
    <w:rsid w:val="00382598"/>
    <w:rsid w:val="0038262B"/>
    <w:rsid w:val="00382CE7"/>
    <w:rsid w:val="003832D9"/>
    <w:rsid w:val="0038330F"/>
    <w:rsid w:val="00384072"/>
    <w:rsid w:val="0038421B"/>
    <w:rsid w:val="00384BAF"/>
    <w:rsid w:val="0038559B"/>
    <w:rsid w:val="00385B08"/>
    <w:rsid w:val="00386CF0"/>
    <w:rsid w:val="00386FEA"/>
    <w:rsid w:val="00387CF0"/>
    <w:rsid w:val="003902B2"/>
    <w:rsid w:val="00390397"/>
    <w:rsid w:val="0039061F"/>
    <w:rsid w:val="00390D19"/>
    <w:rsid w:val="00391056"/>
    <w:rsid w:val="00391B88"/>
    <w:rsid w:val="00391CD8"/>
    <w:rsid w:val="00393C8E"/>
    <w:rsid w:val="00394608"/>
    <w:rsid w:val="0039471C"/>
    <w:rsid w:val="00394A5D"/>
    <w:rsid w:val="00395D14"/>
    <w:rsid w:val="00396106"/>
    <w:rsid w:val="003964BF"/>
    <w:rsid w:val="003A110C"/>
    <w:rsid w:val="003A187E"/>
    <w:rsid w:val="003A18F4"/>
    <w:rsid w:val="003A1AE3"/>
    <w:rsid w:val="003A27F4"/>
    <w:rsid w:val="003A2DC1"/>
    <w:rsid w:val="003A33F8"/>
    <w:rsid w:val="003A348D"/>
    <w:rsid w:val="003A3C43"/>
    <w:rsid w:val="003A430F"/>
    <w:rsid w:val="003A4337"/>
    <w:rsid w:val="003A4790"/>
    <w:rsid w:val="003A485E"/>
    <w:rsid w:val="003A4B42"/>
    <w:rsid w:val="003A527A"/>
    <w:rsid w:val="003A54CE"/>
    <w:rsid w:val="003A5CAF"/>
    <w:rsid w:val="003A5E9B"/>
    <w:rsid w:val="003A6019"/>
    <w:rsid w:val="003A620A"/>
    <w:rsid w:val="003A632E"/>
    <w:rsid w:val="003A7118"/>
    <w:rsid w:val="003A71F1"/>
    <w:rsid w:val="003A7BFE"/>
    <w:rsid w:val="003B1BD7"/>
    <w:rsid w:val="003B1D61"/>
    <w:rsid w:val="003B27EA"/>
    <w:rsid w:val="003B2C86"/>
    <w:rsid w:val="003B349D"/>
    <w:rsid w:val="003B3E94"/>
    <w:rsid w:val="003B4DEB"/>
    <w:rsid w:val="003B5191"/>
    <w:rsid w:val="003B5C8C"/>
    <w:rsid w:val="003B63A0"/>
    <w:rsid w:val="003B640E"/>
    <w:rsid w:val="003B6423"/>
    <w:rsid w:val="003B66DC"/>
    <w:rsid w:val="003B6950"/>
    <w:rsid w:val="003C21BD"/>
    <w:rsid w:val="003C269F"/>
    <w:rsid w:val="003C32BC"/>
    <w:rsid w:val="003C3722"/>
    <w:rsid w:val="003C49F4"/>
    <w:rsid w:val="003C4BC0"/>
    <w:rsid w:val="003C4F69"/>
    <w:rsid w:val="003C54AD"/>
    <w:rsid w:val="003C6480"/>
    <w:rsid w:val="003C7061"/>
    <w:rsid w:val="003C75F3"/>
    <w:rsid w:val="003C79A9"/>
    <w:rsid w:val="003D007D"/>
    <w:rsid w:val="003D0C05"/>
    <w:rsid w:val="003D0D3E"/>
    <w:rsid w:val="003D1E49"/>
    <w:rsid w:val="003D2871"/>
    <w:rsid w:val="003D2C7F"/>
    <w:rsid w:val="003D3279"/>
    <w:rsid w:val="003D33D6"/>
    <w:rsid w:val="003D3435"/>
    <w:rsid w:val="003D3507"/>
    <w:rsid w:val="003D372C"/>
    <w:rsid w:val="003D3CAC"/>
    <w:rsid w:val="003D3E1C"/>
    <w:rsid w:val="003D40A7"/>
    <w:rsid w:val="003D45DE"/>
    <w:rsid w:val="003D4A67"/>
    <w:rsid w:val="003D51A2"/>
    <w:rsid w:val="003D5A38"/>
    <w:rsid w:val="003D5C6C"/>
    <w:rsid w:val="003D5CD7"/>
    <w:rsid w:val="003D5F18"/>
    <w:rsid w:val="003D79BC"/>
    <w:rsid w:val="003E06A3"/>
    <w:rsid w:val="003E0852"/>
    <w:rsid w:val="003E1231"/>
    <w:rsid w:val="003E14B0"/>
    <w:rsid w:val="003E1FEC"/>
    <w:rsid w:val="003E2564"/>
    <w:rsid w:val="003E2DFE"/>
    <w:rsid w:val="003E366F"/>
    <w:rsid w:val="003E4D93"/>
    <w:rsid w:val="003E4E8A"/>
    <w:rsid w:val="003E520F"/>
    <w:rsid w:val="003E60B8"/>
    <w:rsid w:val="003E65E7"/>
    <w:rsid w:val="003E68BB"/>
    <w:rsid w:val="003E6FB6"/>
    <w:rsid w:val="003E70A6"/>
    <w:rsid w:val="003E7291"/>
    <w:rsid w:val="003E7380"/>
    <w:rsid w:val="003E752C"/>
    <w:rsid w:val="003F0153"/>
    <w:rsid w:val="003F03FA"/>
    <w:rsid w:val="003F0B2B"/>
    <w:rsid w:val="003F1230"/>
    <w:rsid w:val="003F19D4"/>
    <w:rsid w:val="003F1BBF"/>
    <w:rsid w:val="003F2D46"/>
    <w:rsid w:val="003F572E"/>
    <w:rsid w:val="003F57C9"/>
    <w:rsid w:val="003F6707"/>
    <w:rsid w:val="003F7001"/>
    <w:rsid w:val="003F7161"/>
    <w:rsid w:val="00400C14"/>
    <w:rsid w:val="00400E6B"/>
    <w:rsid w:val="00400EA4"/>
    <w:rsid w:val="00400FF0"/>
    <w:rsid w:val="004010E9"/>
    <w:rsid w:val="0040128B"/>
    <w:rsid w:val="004022E4"/>
    <w:rsid w:val="00404333"/>
    <w:rsid w:val="00404A51"/>
    <w:rsid w:val="00404EFC"/>
    <w:rsid w:val="00404F22"/>
    <w:rsid w:val="00405991"/>
    <w:rsid w:val="00405F19"/>
    <w:rsid w:val="00406721"/>
    <w:rsid w:val="00406CB6"/>
    <w:rsid w:val="0040735D"/>
    <w:rsid w:val="0040759C"/>
    <w:rsid w:val="00407F3D"/>
    <w:rsid w:val="004106DD"/>
    <w:rsid w:val="00410925"/>
    <w:rsid w:val="00410F58"/>
    <w:rsid w:val="0041204B"/>
    <w:rsid w:val="004122AE"/>
    <w:rsid w:val="00412AF2"/>
    <w:rsid w:val="00413779"/>
    <w:rsid w:val="0041384F"/>
    <w:rsid w:val="00413B37"/>
    <w:rsid w:val="004142F6"/>
    <w:rsid w:val="00414A54"/>
    <w:rsid w:val="00414D3F"/>
    <w:rsid w:val="00415929"/>
    <w:rsid w:val="00415BAE"/>
    <w:rsid w:val="00416443"/>
    <w:rsid w:val="004165C2"/>
    <w:rsid w:val="00416614"/>
    <w:rsid w:val="00416AD8"/>
    <w:rsid w:val="00416BC5"/>
    <w:rsid w:val="00417263"/>
    <w:rsid w:val="00417356"/>
    <w:rsid w:val="0041797E"/>
    <w:rsid w:val="00420486"/>
    <w:rsid w:val="00421966"/>
    <w:rsid w:val="00421D29"/>
    <w:rsid w:val="00422536"/>
    <w:rsid w:val="00423909"/>
    <w:rsid w:val="00423E69"/>
    <w:rsid w:val="004262BB"/>
    <w:rsid w:val="004264FA"/>
    <w:rsid w:val="00426A93"/>
    <w:rsid w:val="00426DB7"/>
    <w:rsid w:val="00427406"/>
    <w:rsid w:val="0042749C"/>
    <w:rsid w:val="00427737"/>
    <w:rsid w:val="00430052"/>
    <w:rsid w:val="0043073C"/>
    <w:rsid w:val="00431AAA"/>
    <w:rsid w:val="00432731"/>
    <w:rsid w:val="004332C3"/>
    <w:rsid w:val="004334A4"/>
    <w:rsid w:val="004343C8"/>
    <w:rsid w:val="004359E6"/>
    <w:rsid w:val="00436C66"/>
    <w:rsid w:val="004375C9"/>
    <w:rsid w:val="00437A98"/>
    <w:rsid w:val="004400CE"/>
    <w:rsid w:val="00440CD9"/>
    <w:rsid w:val="00440DB6"/>
    <w:rsid w:val="00440E90"/>
    <w:rsid w:val="004413C0"/>
    <w:rsid w:val="00441D48"/>
    <w:rsid w:val="00443C71"/>
    <w:rsid w:val="00444596"/>
    <w:rsid w:val="00445C74"/>
    <w:rsid w:val="0044650B"/>
    <w:rsid w:val="004467BD"/>
    <w:rsid w:val="00446B98"/>
    <w:rsid w:val="00446F15"/>
    <w:rsid w:val="0044706E"/>
    <w:rsid w:val="00447468"/>
    <w:rsid w:val="00447B8F"/>
    <w:rsid w:val="00447CE2"/>
    <w:rsid w:val="00450A4A"/>
    <w:rsid w:val="00450D96"/>
    <w:rsid w:val="00453466"/>
    <w:rsid w:val="00454345"/>
    <w:rsid w:val="00454492"/>
    <w:rsid w:val="0045481D"/>
    <w:rsid w:val="00455165"/>
    <w:rsid w:val="0045524E"/>
    <w:rsid w:val="00456CCD"/>
    <w:rsid w:val="00456D70"/>
    <w:rsid w:val="00456FF9"/>
    <w:rsid w:val="00457228"/>
    <w:rsid w:val="00457974"/>
    <w:rsid w:val="00457B89"/>
    <w:rsid w:val="0046041C"/>
    <w:rsid w:val="004606C0"/>
    <w:rsid w:val="0046072C"/>
    <w:rsid w:val="00461E19"/>
    <w:rsid w:val="0046208F"/>
    <w:rsid w:val="00462248"/>
    <w:rsid w:val="00462781"/>
    <w:rsid w:val="00462F9A"/>
    <w:rsid w:val="004642EF"/>
    <w:rsid w:val="0046488C"/>
    <w:rsid w:val="0046574C"/>
    <w:rsid w:val="004662B0"/>
    <w:rsid w:val="004666FB"/>
    <w:rsid w:val="00466F19"/>
    <w:rsid w:val="00467542"/>
    <w:rsid w:val="00467B7E"/>
    <w:rsid w:val="00467CF1"/>
    <w:rsid w:val="0047006D"/>
    <w:rsid w:val="004702E9"/>
    <w:rsid w:val="004703D5"/>
    <w:rsid w:val="004715B7"/>
    <w:rsid w:val="00471BC8"/>
    <w:rsid w:val="00471ED1"/>
    <w:rsid w:val="00472B0E"/>
    <w:rsid w:val="004730AF"/>
    <w:rsid w:val="00473197"/>
    <w:rsid w:val="00475C62"/>
    <w:rsid w:val="00476B10"/>
    <w:rsid w:val="00477BE3"/>
    <w:rsid w:val="00477D29"/>
    <w:rsid w:val="00477E53"/>
    <w:rsid w:val="00480B24"/>
    <w:rsid w:val="004810B3"/>
    <w:rsid w:val="0048119E"/>
    <w:rsid w:val="004817BD"/>
    <w:rsid w:val="00481C1F"/>
    <w:rsid w:val="00482208"/>
    <w:rsid w:val="00482528"/>
    <w:rsid w:val="00482644"/>
    <w:rsid w:val="00483146"/>
    <w:rsid w:val="00483668"/>
    <w:rsid w:val="00483697"/>
    <w:rsid w:val="00483801"/>
    <w:rsid w:val="00483974"/>
    <w:rsid w:val="00483D9E"/>
    <w:rsid w:val="00484B2F"/>
    <w:rsid w:val="00484F80"/>
    <w:rsid w:val="004850C2"/>
    <w:rsid w:val="00486A15"/>
    <w:rsid w:val="0048701C"/>
    <w:rsid w:val="004907E1"/>
    <w:rsid w:val="00490BE7"/>
    <w:rsid w:val="00490C98"/>
    <w:rsid w:val="0049419D"/>
    <w:rsid w:val="004949AA"/>
    <w:rsid w:val="00494BFF"/>
    <w:rsid w:val="00495029"/>
    <w:rsid w:val="00495396"/>
    <w:rsid w:val="00495CD7"/>
    <w:rsid w:val="004962B8"/>
    <w:rsid w:val="00496687"/>
    <w:rsid w:val="00496C69"/>
    <w:rsid w:val="00496DBC"/>
    <w:rsid w:val="00497493"/>
    <w:rsid w:val="0049749D"/>
    <w:rsid w:val="004977D3"/>
    <w:rsid w:val="00497AA2"/>
    <w:rsid w:val="00497D68"/>
    <w:rsid w:val="004A0977"/>
    <w:rsid w:val="004A1588"/>
    <w:rsid w:val="004A17A5"/>
    <w:rsid w:val="004A1B3A"/>
    <w:rsid w:val="004A1B66"/>
    <w:rsid w:val="004A1EEA"/>
    <w:rsid w:val="004A2B9D"/>
    <w:rsid w:val="004A37A5"/>
    <w:rsid w:val="004A3806"/>
    <w:rsid w:val="004A38DF"/>
    <w:rsid w:val="004A3921"/>
    <w:rsid w:val="004A3DC4"/>
    <w:rsid w:val="004A423C"/>
    <w:rsid w:val="004A4400"/>
    <w:rsid w:val="004A4A3E"/>
    <w:rsid w:val="004A4DB0"/>
    <w:rsid w:val="004A514F"/>
    <w:rsid w:val="004A53E7"/>
    <w:rsid w:val="004A5614"/>
    <w:rsid w:val="004A5A1D"/>
    <w:rsid w:val="004A5E29"/>
    <w:rsid w:val="004A6298"/>
    <w:rsid w:val="004A6629"/>
    <w:rsid w:val="004B0A49"/>
    <w:rsid w:val="004B23FB"/>
    <w:rsid w:val="004B2429"/>
    <w:rsid w:val="004B2762"/>
    <w:rsid w:val="004B2DE8"/>
    <w:rsid w:val="004B31F9"/>
    <w:rsid w:val="004B388C"/>
    <w:rsid w:val="004B40A9"/>
    <w:rsid w:val="004B45B7"/>
    <w:rsid w:val="004B4E6F"/>
    <w:rsid w:val="004B634D"/>
    <w:rsid w:val="004B7D4C"/>
    <w:rsid w:val="004B7EB6"/>
    <w:rsid w:val="004C0FE4"/>
    <w:rsid w:val="004C14B0"/>
    <w:rsid w:val="004C17B4"/>
    <w:rsid w:val="004C2235"/>
    <w:rsid w:val="004C427F"/>
    <w:rsid w:val="004C4B62"/>
    <w:rsid w:val="004C5505"/>
    <w:rsid w:val="004C599D"/>
    <w:rsid w:val="004C68B8"/>
    <w:rsid w:val="004C7257"/>
    <w:rsid w:val="004C758F"/>
    <w:rsid w:val="004C77DC"/>
    <w:rsid w:val="004C7B18"/>
    <w:rsid w:val="004C7EE2"/>
    <w:rsid w:val="004D0229"/>
    <w:rsid w:val="004D15C2"/>
    <w:rsid w:val="004D26F5"/>
    <w:rsid w:val="004D37B1"/>
    <w:rsid w:val="004D46A5"/>
    <w:rsid w:val="004D4782"/>
    <w:rsid w:val="004D4A62"/>
    <w:rsid w:val="004D4A6A"/>
    <w:rsid w:val="004D4D1B"/>
    <w:rsid w:val="004D4E01"/>
    <w:rsid w:val="004D5FA1"/>
    <w:rsid w:val="004D6025"/>
    <w:rsid w:val="004D61E8"/>
    <w:rsid w:val="004D657F"/>
    <w:rsid w:val="004D677E"/>
    <w:rsid w:val="004D6A97"/>
    <w:rsid w:val="004D72BC"/>
    <w:rsid w:val="004D78B4"/>
    <w:rsid w:val="004E021C"/>
    <w:rsid w:val="004E13F5"/>
    <w:rsid w:val="004E2452"/>
    <w:rsid w:val="004E2FE2"/>
    <w:rsid w:val="004E3879"/>
    <w:rsid w:val="004E3A16"/>
    <w:rsid w:val="004E4761"/>
    <w:rsid w:val="004E4C6B"/>
    <w:rsid w:val="004E662D"/>
    <w:rsid w:val="004E6C9C"/>
    <w:rsid w:val="004F04A5"/>
    <w:rsid w:val="004F0842"/>
    <w:rsid w:val="004F0E48"/>
    <w:rsid w:val="004F15C4"/>
    <w:rsid w:val="004F16E8"/>
    <w:rsid w:val="004F173D"/>
    <w:rsid w:val="004F1DAD"/>
    <w:rsid w:val="004F2694"/>
    <w:rsid w:val="004F2FC4"/>
    <w:rsid w:val="004F302F"/>
    <w:rsid w:val="004F37CA"/>
    <w:rsid w:val="004F3905"/>
    <w:rsid w:val="004F441A"/>
    <w:rsid w:val="004F4C1C"/>
    <w:rsid w:val="004F530D"/>
    <w:rsid w:val="004F5466"/>
    <w:rsid w:val="004F5EE6"/>
    <w:rsid w:val="004F65A8"/>
    <w:rsid w:val="004F6949"/>
    <w:rsid w:val="004F69EA"/>
    <w:rsid w:val="004F69ED"/>
    <w:rsid w:val="004F6D1E"/>
    <w:rsid w:val="004F7707"/>
    <w:rsid w:val="005008C7"/>
    <w:rsid w:val="00501399"/>
    <w:rsid w:val="00501CF1"/>
    <w:rsid w:val="00501D6B"/>
    <w:rsid w:val="00501DFB"/>
    <w:rsid w:val="00502E35"/>
    <w:rsid w:val="00503391"/>
    <w:rsid w:val="00503C4C"/>
    <w:rsid w:val="0050536C"/>
    <w:rsid w:val="00505B63"/>
    <w:rsid w:val="005066A4"/>
    <w:rsid w:val="005068B0"/>
    <w:rsid w:val="00507534"/>
    <w:rsid w:val="00507B5A"/>
    <w:rsid w:val="00507BC4"/>
    <w:rsid w:val="00507C24"/>
    <w:rsid w:val="00510142"/>
    <w:rsid w:val="00510311"/>
    <w:rsid w:val="00510327"/>
    <w:rsid w:val="005128E4"/>
    <w:rsid w:val="00512A35"/>
    <w:rsid w:val="00513229"/>
    <w:rsid w:val="00513B84"/>
    <w:rsid w:val="005140FC"/>
    <w:rsid w:val="005142E0"/>
    <w:rsid w:val="005152B7"/>
    <w:rsid w:val="00516035"/>
    <w:rsid w:val="00516BBE"/>
    <w:rsid w:val="00520369"/>
    <w:rsid w:val="00521895"/>
    <w:rsid w:val="00521909"/>
    <w:rsid w:val="005223AF"/>
    <w:rsid w:val="005234E7"/>
    <w:rsid w:val="00523977"/>
    <w:rsid w:val="00524268"/>
    <w:rsid w:val="00524748"/>
    <w:rsid w:val="00524EB4"/>
    <w:rsid w:val="00525278"/>
    <w:rsid w:val="00525560"/>
    <w:rsid w:val="00525C32"/>
    <w:rsid w:val="00525F05"/>
    <w:rsid w:val="00526204"/>
    <w:rsid w:val="00526492"/>
    <w:rsid w:val="005267AC"/>
    <w:rsid w:val="00526EF8"/>
    <w:rsid w:val="0052719A"/>
    <w:rsid w:val="00527461"/>
    <w:rsid w:val="00527E0A"/>
    <w:rsid w:val="00530295"/>
    <w:rsid w:val="00530B2B"/>
    <w:rsid w:val="00531008"/>
    <w:rsid w:val="0053134C"/>
    <w:rsid w:val="005313DA"/>
    <w:rsid w:val="00531517"/>
    <w:rsid w:val="0053187E"/>
    <w:rsid w:val="005325F6"/>
    <w:rsid w:val="005343C0"/>
    <w:rsid w:val="005346E1"/>
    <w:rsid w:val="00535135"/>
    <w:rsid w:val="005357A6"/>
    <w:rsid w:val="0053592E"/>
    <w:rsid w:val="00535D22"/>
    <w:rsid w:val="00535FF9"/>
    <w:rsid w:val="005366E5"/>
    <w:rsid w:val="005367D0"/>
    <w:rsid w:val="00536848"/>
    <w:rsid w:val="005369AE"/>
    <w:rsid w:val="00536ADF"/>
    <w:rsid w:val="00536B9E"/>
    <w:rsid w:val="005401F2"/>
    <w:rsid w:val="00540AEC"/>
    <w:rsid w:val="00540DC8"/>
    <w:rsid w:val="00541B01"/>
    <w:rsid w:val="005422EF"/>
    <w:rsid w:val="00542375"/>
    <w:rsid w:val="005430A6"/>
    <w:rsid w:val="00543705"/>
    <w:rsid w:val="005439C3"/>
    <w:rsid w:val="00544C49"/>
    <w:rsid w:val="0054561F"/>
    <w:rsid w:val="005456B2"/>
    <w:rsid w:val="005458F3"/>
    <w:rsid w:val="0054591A"/>
    <w:rsid w:val="00546C7A"/>
    <w:rsid w:val="00547EB7"/>
    <w:rsid w:val="00550141"/>
    <w:rsid w:val="00550FAA"/>
    <w:rsid w:val="0055160C"/>
    <w:rsid w:val="005531BB"/>
    <w:rsid w:val="00553A04"/>
    <w:rsid w:val="00553EC6"/>
    <w:rsid w:val="00554BAB"/>
    <w:rsid w:val="00555492"/>
    <w:rsid w:val="005557F2"/>
    <w:rsid w:val="00555A6E"/>
    <w:rsid w:val="00555C6B"/>
    <w:rsid w:val="00555E95"/>
    <w:rsid w:val="0055667E"/>
    <w:rsid w:val="00557C07"/>
    <w:rsid w:val="00560563"/>
    <w:rsid w:val="00560F51"/>
    <w:rsid w:val="00562460"/>
    <w:rsid w:val="005627FD"/>
    <w:rsid w:val="00562E4A"/>
    <w:rsid w:val="00563167"/>
    <w:rsid w:val="00563314"/>
    <w:rsid w:val="005633E7"/>
    <w:rsid w:val="00563F04"/>
    <w:rsid w:val="0056432A"/>
    <w:rsid w:val="005656C4"/>
    <w:rsid w:val="00565B4B"/>
    <w:rsid w:val="00565C1A"/>
    <w:rsid w:val="00566AEA"/>
    <w:rsid w:val="00570699"/>
    <w:rsid w:val="005706EF"/>
    <w:rsid w:val="00570AF2"/>
    <w:rsid w:val="00571247"/>
    <w:rsid w:val="005713C7"/>
    <w:rsid w:val="00572495"/>
    <w:rsid w:val="0057276F"/>
    <w:rsid w:val="0057402A"/>
    <w:rsid w:val="00574148"/>
    <w:rsid w:val="005744A4"/>
    <w:rsid w:val="00574D8E"/>
    <w:rsid w:val="0057516B"/>
    <w:rsid w:val="005755D5"/>
    <w:rsid w:val="005761DA"/>
    <w:rsid w:val="005764DD"/>
    <w:rsid w:val="00576832"/>
    <w:rsid w:val="00576ECB"/>
    <w:rsid w:val="005771D0"/>
    <w:rsid w:val="00577B42"/>
    <w:rsid w:val="0058022B"/>
    <w:rsid w:val="00580EE0"/>
    <w:rsid w:val="005826EA"/>
    <w:rsid w:val="00582750"/>
    <w:rsid w:val="00582D0D"/>
    <w:rsid w:val="0058343A"/>
    <w:rsid w:val="00584C28"/>
    <w:rsid w:val="00584F43"/>
    <w:rsid w:val="00585DED"/>
    <w:rsid w:val="00587964"/>
    <w:rsid w:val="005902A3"/>
    <w:rsid w:val="0059066D"/>
    <w:rsid w:val="00590A3C"/>
    <w:rsid w:val="00590A78"/>
    <w:rsid w:val="00590BF3"/>
    <w:rsid w:val="00590C43"/>
    <w:rsid w:val="00590C5B"/>
    <w:rsid w:val="00590E8E"/>
    <w:rsid w:val="005910C0"/>
    <w:rsid w:val="005916E2"/>
    <w:rsid w:val="0059191A"/>
    <w:rsid w:val="00591B96"/>
    <w:rsid w:val="00591F60"/>
    <w:rsid w:val="005921FF"/>
    <w:rsid w:val="00592299"/>
    <w:rsid w:val="0059234D"/>
    <w:rsid w:val="0059318E"/>
    <w:rsid w:val="005937E2"/>
    <w:rsid w:val="005946FF"/>
    <w:rsid w:val="00594CE1"/>
    <w:rsid w:val="00595766"/>
    <w:rsid w:val="00596514"/>
    <w:rsid w:val="0059670F"/>
    <w:rsid w:val="00596ABE"/>
    <w:rsid w:val="00596AD3"/>
    <w:rsid w:val="00596B97"/>
    <w:rsid w:val="00596EFF"/>
    <w:rsid w:val="00596F42"/>
    <w:rsid w:val="00597162"/>
    <w:rsid w:val="0059770B"/>
    <w:rsid w:val="00597C8A"/>
    <w:rsid w:val="005A01B6"/>
    <w:rsid w:val="005A0410"/>
    <w:rsid w:val="005A0B5A"/>
    <w:rsid w:val="005A10C2"/>
    <w:rsid w:val="005A2E9B"/>
    <w:rsid w:val="005A37BB"/>
    <w:rsid w:val="005A482E"/>
    <w:rsid w:val="005A4B8E"/>
    <w:rsid w:val="005A6205"/>
    <w:rsid w:val="005A6A13"/>
    <w:rsid w:val="005A6D0E"/>
    <w:rsid w:val="005A6E50"/>
    <w:rsid w:val="005A6E68"/>
    <w:rsid w:val="005A734E"/>
    <w:rsid w:val="005B0001"/>
    <w:rsid w:val="005B0676"/>
    <w:rsid w:val="005B0C41"/>
    <w:rsid w:val="005B12C2"/>
    <w:rsid w:val="005B1DBA"/>
    <w:rsid w:val="005B222D"/>
    <w:rsid w:val="005B245E"/>
    <w:rsid w:val="005B28A7"/>
    <w:rsid w:val="005B3609"/>
    <w:rsid w:val="005B3795"/>
    <w:rsid w:val="005B3A12"/>
    <w:rsid w:val="005B3DEC"/>
    <w:rsid w:val="005B3EF2"/>
    <w:rsid w:val="005B52B0"/>
    <w:rsid w:val="005B65AF"/>
    <w:rsid w:val="005B67DE"/>
    <w:rsid w:val="005B6806"/>
    <w:rsid w:val="005B711D"/>
    <w:rsid w:val="005B7EDC"/>
    <w:rsid w:val="005C00F9"/>
    <w:rsid w:val="005C05FA"/>
    <w:rsid w:val="005C0994"/>
    <w:rsid w:val="005C164F"/>
    <w:rsid w:val="005C1853"/>
    <w:rsid w:val="005C1A8D"/>
    <w:rsid w:val="005C1D8E"/>
    <w:rsid w:val="005C1EA5"/>
    <w:rsid w:val="005C207A"/>
    <w:rsid w:val="005C23BD"/>
    <w:rsid w:val="005C2B10"/>
    <w:rsid w:val="005C2BA2"/>
    <w:rsid w:val="005C2E02"/>
    <w:rsid w:val="005C3149"/>
    <w:rsid w:val="005C34BB"/>
    <w:rsid w:val="005C3944"/>
    <w:rsid w:val="005C3DAB"/>
    <w:rsid w:val="005C3E22"/>
    <w:rsid w:val="005C4011"/>
    <w:rsid w:val="005C4225"/>
    <w:rsid w:val="005C4541"/>
    <w:rsid w:val="005C456D"/>
    <w:rsid w:val="005C4AF4"/>
    <w:rsid w:val="005C5243"/>
    <w:rsid w:val="005C566A"/>
    <w:rsid w:val="005C5F93"/>
    <w:rsid w:val="005C6248"/>
    <w:rsid w:val="005C6F09"/>
    <w:rsid w:val="005D0AC5"/>
    <w:rsid w:val="005D0FBF"/>
    <w:rsid w:val="005D1076"/>
    <w:rsid w:val="005D1128"/>
    <w:rsid w:val="005D1D34"/>
    <w:rsid w:val="005D2E13"/>
    <w:rsid w:val="005D447F"/>
    <w:rsid w:val="005D489C"/>
    <w:rsid w:val="005D50AD"/>
    <w:rsid w:val="005D55A5"/>
    <w:rsid w:val="005D5A45"/>
    <w:rsid w:val="005D5C54"/>
    <w:rsid w:val="005D5DED"/>
    <w:rsid w:val="005D5FAD"/>
    <w:rsid w:val="005D6891"/>
    <w:rsid w:val="005D6A03"/>
    <w:rsid w:val="005D6AC4"/>
    <w:rsid w:val="005D6B2C"/>
    <w:rsid w:val="005D7191"/>
    <w:rsid w:val="005D7280"/>
    <w:rsid w:val="005E04BC"/>
    <w:rsid w:val="005E09BC"/>
    <w:rsid w:val="005E1D4B"/>
    <w:rsid w:val="005E2BDE"/>
    <w:rsid w:val="005E3FEB"/>
    <w:rsid w:val="005E47E8"/>
    <w:rsid w:val="005E4A95"/>
    <w:rsid w:val="005E4CF1"/>
    <w:rsid w:val="005E5196"/>
    <w:rsid w:val="005E5258"/>
    <w:rsid w:val="005E5419"/>
    <w:rsid w:val="005E61D1"/>
    <w:rsid w:val="005E6203"/>
    <w:rsid w:val="005E6C0C"/>
    <w:rsid w:val="005E6EE3"/>
    <w:rsid w:val="005E74C5"/>
    <w:rsid w:val="005E7642"/>
    <w:rsid w:val="005F0331"/>
    <w:rsid w:val="005F0F33"/>
    <w:rsid w:val="005F1C54"/>
    <w:rsid w:val="005F1F31"/>
    <w:rsid w:val="005F2A0D"/>
    <w:rsid w:val="005F32A0"/>
    <w:rsid w:val="005F3F11"/>
    <w:rsid w:val="005F5456"/>
    <w:rsid w:val="005F55DC"/>
    <w:rsid w:val="005F57C1"/>
    <w:rsid w:val="005F6871"/>
    <w:rsid w:val="005F7C35"/>
    <w:rsid w:val="0060040E"/>
    <w:rsid w:val="006005C1"/>
    <w:rsid w:val="00600A96"/>
    <w:rsid w:val="00600DEB"/>
    <w:rsid w:val="00600EE3"/>
    <w:rsid w:val="00602146"/>
    <w:rsid w:val="006021D4"/>
    <w:rsid w:val="0060270A"/>
    <w:rsid w:val="00602B9B"/>
    <w:rsid w:val="00603D6F"/>
    <w:rsid w:val="00603F56"/>
    <w:rsid w:val="006049BD"/>
    <w:rsid w:val="00604B83"/>
    <w:rsid w:val="006059FA"/>
    <w:rsid w:val="00606B40"/>
    <w:rsid w:val="00607325"/>
    <w:rsid w:val="00607F83"/>
    <w:rsid w:val="006104FA"/>
    <w:rsid w:val="006112EF"/>
    <w:rsid w:val="00612B39"/>
    <w:rsid w:val="00613027"/>
    <w:rsid w:val="00613120"/>
    <w:rsid w:val="006135F5"/>
    <w:rsid w:val="00613A08"/>
    <w:rsid w:val="0061412F"/>
    <w:rsid w:val="00614153"/>
    <w:rsid w:val="006146AC"/>
    <w:rsid w:val="00614AE8"/>
    <w:rsid w:val="00615073"/>
    <w:rsid w:val="0061546B"/>
    <w:rsid w:val="00615B67"/>
    <w:rsid w:val="00615F46"/>
    <w:rsid w:val="00616320"/>
    <w:rsid w:val="00617156"/>
    <w:rsid w:val="006176BF"/>
    <w:rsid w:val="00617842"/>
    <w:rsid w:val="006206FF"/>
    <w:rsid w:val="00620A30"/>
    <w:rsid w:val="00620A65"/>
    <w:rsid w:val="00620B75"/>
    <w:rsid w:val="006225B7"/>
    <w:rsid w:val="00623324"/>
    <w:rsid w:val="006238CB"/>
    <w:rsid w:val="00624716"/>
    <w:rsid w:val="006247DB"/>
    <w:rsid w:val="00624E66"/>
    <w:rsid w:val="006250EE"/>
    <w:rsid w:val="00625577"/>
    <w:rsid w:val="00625585"/>
    <w:rsid w:val="006260B6"/>
    <w:rsid w:val="00626360"/>
    <w:rsid w:val="006263C9"/>
    <w:rsid w:val="006263CE"/>
    <w:rsid w:val="00626A1D"/>
    <w:rsid w:val="00626FB3"/>
    <w:rsid w:val="006272AD"/>
    <w:rsid w:val="00627A51"/>
    <w:rsid w:val="00627C9F"/>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54CD"/>
    <w:rsid w:val="006360C4"/>
    <w:rsid w:val="00636406"/>
    <w:rsid w:val="00636E0C"/>
    <w:rsid w:val="00636F4A"/>
    <w:rsid w:val="00637539"/>
    <w:rsid w:val="00637B7B"/>
    <w:rsid w:val="00637E84"/>
    <w:rsid w:val="00640173"/>
    <w:rsid w:val="0064172A"/>
    <w:rsid w:val="006418C1"/>
    <w:rsid w:val="006420B7"/>
    <w:rsid w:val="00642573"/>
    <w:rsid w:val="00642810"/>
    <w:rsid w:val="006433A9"/>
    <w:rsid w:val="00643F66"/>
    <w:rsid w:val="006458AD"/>
    <w:rsid w:val="00647033"/>
    <w:rsid w:val="0064712F"/>
    <w:rsid w:val="0064793C"/>
    <w:rsid w:val="00647C9A"/>
    <w:rsid w:val="006504D5"/>
    <w:rsid w:val="00650FA3"/>
    <w:rsid w:val="0065154E"/>
    <w:rsid w:val="006516A4"/>
    <w:rsid w:val="006516FE"/>
    <w:rsid w:val="00651D1D"/>
    <w:rsid w:val="00652333"/>
    <w:rsid w:val="00653FB1"/>
    <w:rsid w:val="006543B4"/>
    <w:rsid w:val="006549A4"/>
    <w:rsid w:val="00656085"/>
    <w:rsid w:val="00656FE7"/>
    <w:rsid w:val="0065723A"/>
    <w:rsid w:val="00657241"/>
    <w:rsid w:val="0065765B"/>
    <w:rsid w:val="006605AC"/>
    <w:rsid w:val="006609DD"/>
    <w:rsid w:val="00662F5D"/>
    <w:rsid w:val="0066333A"/>
    <w:rsid w:val="006634C1"/>
    <w:rsid w:val="006635A6"/>
    <w:rsid w:val="00663FCB"/>
    <w:rsid w:val="00664548"/>
    <w:rsid w:val="00664C08"/>
    <w:rsid w:val="00664DDE"/>
    <w:rsid w:val="0066584C"/>
    <w:rsid w:val="00665A14"/>
    <w:rsid w:val="00665FF9"/>
    <w:rsid w:val="00666382"/>
    <w:rsid w:val="006663C5"/>
    <w:rsid w:val="00666536"/>
    <w:rsid w:val="0066666B"/>
    <w:rsid w:val="00666AEF"/>
    <w:rsid w:val="006705A7"/>
    <w:rsid w:val="00670B3D"/>
    <w:rsid w:val="006712E0"/>
    <w:rsid w:val="006716B8"/>
    <w:rsid w:val="0067329C"/>
    <w:rsid w:val="00674465"/>
    <w:rsid w:val="0067472A"/>
    <w:rsid w:val="00674C6A"/>
    <w:rsid w:val="00676ED0"/>
    <w:rsid w:val="00677938"/>
    <w:rsid w:val="00677DA7"/>
    <w:rsid w:val="0068009E"/>
    <w:rsid w:val="00680A71"/>
    <w:rsid w:val="00680AC6"/>
    <w:rsid w:val="00681A6B"/>
    <w:rsid w:val="00681ED3"/>
    <w:rsid w:val="00682CC9"/>
    <w:rsid w:val="00682D35"/>
    <w:rsid w:val="006831D4"/>
    <w:rsid w:val="00683305"/>
    <w:rsid w:val="00684434"/>
    <w:rsid w:val="006847BC"/>
    <w:rsid w:val="006849BF"/>
    <w:rsid w:val="00684EFB"/>
    <w:rsid w:val="00685184"/>
    <w:rsid w:val="0068579A"/>
    <w:rsid w:val="006865D7"/>
    <w:rsid w:val="00686D22"/>
    <w:rsid w:val="00687432"/>
    <w:rsid w:val="006874B7"/>
    <w:rsid w:val="00687725"/>
    <w:rsid w:val="006901ED"/>
    <w:rsid w:val="006912EE"/>
    <w:rsid w:val="00691DE4"/>
    <w:rsid w:val="0069244C"/>
    <w:rsid w:val="00692996"/>
    <w:rsid w:val="00692A55"/>
    <w:rsid w:val="00692F79"/>
    <w:rsid w:val="006951BB"/>
    <w:rsid w:val="0069578C"/>
    <w:rsid w:val="00695EAA"/>
    <w:rsid w:val="00696944"/>
    <w:rsid w:val="006972FB"/>
    <w:rsid w:val="00697B2C"/>
    <w:rsid w:val="006A0548"/>
    <w:rsid w:val="006A0F00"/>
    <w:rsid w:val="006A0F77"/>
    <w:rsid w:val="006A11FD"/>
    <w:rsid w:val="006A15B5"/>
    <w:rsid w:val="006A17D2"/>
    <w:rsid w:val="006A2490"/>
    <w:rsid w:val="006A288E"/>
    <w:rsid w:val="006A3B33"/>
    <w:rsid w:val="006A3EE1"/>
    <w:rsid w:val="006A4B8C"/>
    <w:rsid w:val="006A508B"/>
    <w:rsid w:val="006A538E"/>
    <w:rsid w:val="006A5570"/>
    <w:rsid w:val="006A58D1"/>
    <w:rsid w:val="006A6DB8"/>
    <w:rsid w:val="006A6E1A"/>
    <w:rsid w:val="006A70B4"/>
    <w:rsid w:val="006A73E6"/>
    <w:rsid w:val="006A7408"/>
    <w:rsid w:val="006A7764"/>
    <w:rsid w:val="006B00DA"/>
    <w:rsid w:val="006B0169"/>
    <w:rsid w:val="006B05D1"/>
    <w:rsid w:val="006B130C"/>
    <w:rsid w:val="006B17B3"/>
    <w:rsid w:val="006B1875"/>
    <w:rsid w:val="006B22C0"/>
    <w:rsid w:val="006B231D"/>
    <w:rsid w:val="006B248C"/>
    <w:rsid w:val="006B2623"/>
    <w:rsid w:val="006B265D"/>
    <w:rsid w:val="006B295E"/>
    <w:rsid w:val="006B2D5C"/>
    <w:rsid w:val="006B37DA"/>
    <w:rsid w:val="006B3BC7"/>
    <w:rsid w:val="006B4324"/>
    <w:rsid w:val="006B544B"/>
    <w:rsid w:val="006B5C2E"/>
    <w:rsid w:val="006B5FBA"/>
    <w:rsid w:val="006B6C00"/>
    <w:rsid w:val="006B6D64"/>
    <w:rsid w:val="006B6FFA"/>
    <w:rsid w:val="006C030E"/>
    <w:rsid w:val="006C0F5D"/>
    <w:rsid w:val="006C116A"/>
    <w:rsid w:val="006C11E8"/>
    <w:rsid w:val="006C1815"/>
    <w:rsid w:val="006C2346"/>
    <w:rsid w:val="006C2B38"/>
    <w:rsid w:val="006C3179"/>
    <w:rsid w:val="006C4233"/>
    <w:rsid w:val="006C448A"/>
    <w:rsid w:val="006C4596"/>
    <w:rsid w:val="006C4D48"/>
    <w:rsid w:val="006C4EB1"/>
    <w:rsid w:val="006C6E31"/>
    <w:rsid w:val="006C73ED"/>
    <w:rsid w:val="006C7E62"/>
    <w:rsid w:val="006D0195"/>
    <w:rsid w:val="006D01E3"/>
    <w:rsid w:val="006D0424"/>
    <w:rsid w:val="006D0A9A"/>
    <w:rsid w:val="006D1A3C"/>
    <w:rsid w:val="006D1D69"/>
    <w:rsid w:val="006D2C28"/>
    <w:rsid w:val="006D2CC2"/>
    <w:rsid w:val="006D2D13"/>
    <w:rsid w:val="006D4259"/>
    <w:rsid w:val="006D44D3"/>
    <w:rsid w:val="006D48BB"/>
    <w:rsid w:val="006D52FC"/>
    <w:rsid w:val="006D5D5D"/>
    <w:rsid w:val="006D6E36"/>
    <w:rsid w:val="006D6FD5"/>
    <w:rsid w:val="006D7976"/>
    <w:rsid w:val="006E00AB"/>
    <w:rsid w:val="006E0166"/>
    <w:rsid w:val="006E0DF6"/>
    <w:rsid w:val="006E0F9B"/>
    <w:rsid w:val="006E0FB2"/>
    <w:rsid w:val="006E1163"/>
    <w:rsid w:val="006E1407"/>
    <w:rsid w:val="006E18B8"/>
    <w:rsid w:val="006E2E6B"/>
    <w:rsid w:val="006E30DB"/>
    <w:rsid w:val="006E35A0"/>
    <w:rsid w:val="006E37D3"/>
    <w:rsid w:val="006E436B"/>
    <w:rsid w:val="006E4B61"/>
    <w:rsid w:val="006E4CCE"/>
    <w:rsid w:val="006E5C58"/>
    <w:rsid w:val="006E6048"/>
    <w:rsid w:val="006E67F6"/>
    <w:rsid w:val="006E6C78"/>
    <w:rsid w:val="006E6F1E"/>
    <w:rsid w:val="006E7B34"/>
    <w:rsid w:val="006E7EA4"/>
    <w:rsid w:val="006F157C"/>
    <w:rsid w:val="006F1601"/>
    <w:rsid w:val="006F1716"/>
    <w:rsid w:val="006F2580"/>
    <w:rsid w:val="006F3590"/>
    <w:rsid w:val="006F3597"/>
    <w:rsid w:val="006F374D"/>
    <w:rsid w:val="006F41F1"/>
    <w:rsid w:val="006F56CE"/>
    <w:rsid w:val="006F5723"/>
    <w:rsid w:val="006F672E"/>
    <w:rsid w:val="006F6DFD"/>
    <w:rsid w:val="006F6EE6"/>
    <w:rsid w:val="006F7488"/>
    <w:rsid w:val="0070045F"/>
    <w:rsid w:val="00700471"/>
    <w:rsid w:val="00700726"/>
    <w:rsid w:val="00700C65"/>
    <w:rsid w:val="00700E42"/>
    <w:rsid w:val="00701610"/>
    <w:rsid w:val="007016FE"/>
    <w:rsid w:val="00701B24"/>
    <w:rsid w:val="00702565"/>
    <w:rsid w:val="007025EB"/>
    <w:rsid w:val="0070267B"/>
    <w:rsid w:val="00702A7C"/>
    <w:rsid w:val="00702CC5"/>
    <w:rsid w:val="00702CD7"/>
    <w:rsid w:val="00702DE6"/>
    <w:rsid w:val="00702EA5"/>
    <w:rsid w:val="00703F16"/>
    <w:rsid w:val="00703F90"/>
    <w:rsid w:val="0070404E"/>
    <w:rsid w:val="00704098"/>
    <w:rsid w:val="0070456C"/>
    <w:rsid w:val="00704B18"/>
    <w:rsid w:val="00705E5C"/>
    <w:rsid w:val="00705FAC"/>
    <w:rsid w:val="0070603C"/>
    <w:rsid w:val="00706591"/>
    <w:rsid w:val="00706698"/>
    <w:rsid w:val="00706D7E"/>
    <w:rsid w:val="00707486"/>
    <w:rsid w:val="00707A5C"/>
    <w:rsid w:val="00707BAF"/>
    <w:rsid w:val="00707E8E"/>
    <w:rsid w:val="00710376"/>
    <w:rsid w:val="00710ED5"/>
    <w:rsid w:val="00711137"/>
    <w:rsid w:val="00711F7B"/>
    <w:rsid w:val="007140C0"/>
    <w:rsid w:val="00715928"/>
    <w:rsid w:val="00716BEC"/>
    <w:rsid w:val="00716D62"/>
    <w:rsid w:val="00717B70"/>
    <w:rsid w:val="0072003B"/>
    <w:rsid w:val="0072130B"/>
    <w:rsid w:val="00721AC2"/>
    <w:rsid w:val="00722293"/>
    <w:rsid w:val="0072287B"/>
    <w:rsid w:val="00722990"/>
    <w:rsid w:val="0072335A"/>
    <w:rsid w:val="007237C3"/>
    <w:rsid w:val="0072472F"/>
    <w:rsid w:val="007247E2"/>
    <w:rsid w:val="007258C2"/>
    <w:rsid w:val="00727D80"/>
    <w:rsid w:val="00730731"/>
    <w:rsid w:val="00731457"/>
    <w:rsid w:val="00731DA0"/>
    <w:rsid w:val="00733573"/>
    <w:rsid w:val="007359CB"/>
    <w:rsid w:val="00737A15"/>
    <w:rsid w:val="007400D8"/>
    <w:rsid w:val="00741346"/>
    <w:rsid w:val="0074145C"/>
    <w:rsid w:val="00741D4C"/>
    <w:rsid w:val="0074296A"/>
    <w:rsid w:val="007433B0"/>
    <w:rsid w:val="007451C8"/>
    <w:rsid w:val="0074535C"/>
    <w:rsid w:val="0074572F"/>
    <w:rsid w:val="0074581C"/>
    <w:rsid w:val="00745899"/>
    <w:rsid w:val="007475F5"/>
    <w:rsid w:val="00750078"/>
    <w:rsid w:val="00750568"/>
    <w:rsid w:val="00750BB6"/>
    <w:rsid w:val="00750E1A"/>
    <w:rsid w:val="007510D4"/>
    <w:rsid w:val="00751379"/>
    <w:rsid w:val="0075164B"/>
    <w:rsid w:val="00753374"/>
    <w:rsid w:val="007538FC"/>
    <w:rsid w:val="00754A2A"/>
    <w:rsid w:val="00754E95"/>
    <w:rsid w:val="00755F05"/>
    <w:rsid w:val="007561AD"/>
    <w:rsid w:val="007569B0"/>
    <w:rsid w:val="00756D00"/>
    <w:rsid w:val="007570FA"/>
    <w:rsid w:val="00757F66"/>
    <w:rsid w:val="007607C4"/>
    <w:rsid w:val="007607EC"/>
    <w:rsid w:val="007611A5"/>
    <w:rsid w:val="00761A58"/>
    <w:rsid w:val="00761FA1"/>
    <w:rsid w:val="00762A2F"/>
    <w:rsid w:val="00762CE4"/>
    <w:rsid w:val="0076368E"/>
    <w:rsid w:val="00764470"/>
    <w:rsid w:val="0076495F"/>
    <w:rsid w:val="007649AF"/>
    <w:rsid w:val="00765584"/>
    <w:rsid w:val="00765CB7"/>
    <w:rsid w:val="0076643F"/>
    <w:rsid w:val="007676F5"/>
    <w:rsid w:val="00770D4B"/>
    <w:rsid w:val="00771045"/>
    <w:rsid w:val="0077118F"/>
    <w:rsid w:val="00771205"/>
    <w:rsid w:val="00773C5A"/>
    <w:rsid w:val="00774375"/>
    <w:rsid w:val="007744CC"/>
    <w:rsid w:val="0077454A"/>
    <w:rsid w:val="00774C36"/>
    <w:rsid w:val="0077572B"/>
    <w:rsid w:val="00776561"/>
    <w:rsid w:val="007769BE"/>
    <w:rsid w:val="007771C5"/>
    <w:rsid w:val="007775C0"/>
    <w:rsid w:val="007776FF"/>
    <w:rsid w:val="0078069F"/>
    <w:rsid w:val="007809DA"/>
    <w:rsid w:val="00780BCB"/>
    <w:rsid w:val="00780ED7"/>
    <w:rsid w:val="00781C89"/>
    <w:rsid w:val="007820BB"/>
    <w:rsid w:val="00782E68"/>
    <w:rsid w:val="0078426B"/>
    <w:rsid w:val="00784600"/>
    <w:rsid w:val="00784DE5"/>
    <w:rsid w:val="00784FEC"/>
    <w:rsid w:val="00785522"/>
    <w:rsid w:val="007855C3"/>
    <w:rsid w:val="0078587E"/>
    <w:rsid w:val="0078595F"/>
    <w:rsid w:val="00785F8D"/>
    <w:rsid w:val="00786501"/>
    <w:rsid w:val="0078761D"/>
    <w:rsid w:val="00787D57"/>
    <w:rsid w:val="00790499"/>
    <w:rsid w:val="00791124"/>
    <w:rsid w:val="007928DA"/>
    <w:rsid w:val="00792EA6"/>
    <w:rsid w:val="00793A12"/>
    <w:rsid w:val="00794E14"/>
    <w:rsid w:val="00795940"/>
    <w:rsid w:val="00795B5E"/>
    <w:rsid w:val="00795E01"/>
    <w:rsid w:val="00796E7A"/>
    <w:rsid w:val="007977A5"/>
    <w:rsid w:val="00797AE7"/>
    <w:rsid w:val="00797B54"/>
    <w:rsid w:val="007A037E"/>
    <w:rsid w:val="007A13D7"/>
    <w:rsid w:val="007A17C8"/>
    <w:rsid w:val="007A18EB"/>
    <w:rsid w:val="007A2423"/>
    <w:rsid w:val="007A281C"/>
    <w:rsid w:val="007A2BD9"/>
    <w:rsid w:val="007A2EC7"/>
    <w:rsid w:val="007A2F70"/>
    <w:rsid w:val="007A3293"/>
    <w:rsid w:val="007A3478"/>
    <w:rsid w:val="007A4240"/>
    <w:rsid w:val="007A4760"/>
    <w:rsid w:val="007A4980"/>
    <w:rsid w:val="007A51E3"/>
    <w:rsid w:val="007A57A6"/>
    <w:rsid w:val="007A5893"/>
    <w:rsid w:val="007A636F"/>
    <w:rsid w:val="007A6474"/>
    <w:rsid w:val="007A7F31"/>
    <w:rsid w:val="007B030C"/>
    <w:rsid w:val="007B04BF"/>
    <w:rsid w:val="007B0DBB"/>
    <w:rsid w:val="007B1494"/>
    <w:rsid w:val="007B186C"/>
    <w:rsid w:val="007B19A1"/>
    <w:rsid w:val="007B19FE"/>
    <w:rsid w:val="007B1B6A"/>
    <w:rsid w:val="007B2769"/>
    <w:rsid w:val="007B3C72"/>
    <w:rsid w:val="007B430B"/>
    <w:rsid w:val="007B4826"/>
    <w:rsid w:val="007B4C00"/>
    <w:rsid w:val="007B54BA"/>
    <w:rsid w:val="007B5867"/>
    <w:rsid w:val="007B6279"/>
    <w:rsid w:val="007B6C22"/>
    <w:rsid w:val="007B6EC4"/>
    <w:rsid w:val="007B762A"/>
    <w:rsid w:val="007C0F3E"/>
    <w:rsid w:val="007C10AC"/>
    <w:rsid w:val="007C16AB"/>
    <w:rsid w:val="007C1BDE"/>
    <w:rsid w:val="007C1D74"/>
    <w:rsid w:val="007C22DF"/>
    <w:rsid w:val="007C2B7D"/>
    <w:rsid w:val="007C3334"/>
    <w:rsid w:val="007C3481"/>
    <w:rsid w:val="007C3734"/>
    <w:rsid w:val="007C4F1C"/>
    <w:rsid w:val="007C50F6"/>
    <w:rsid w:val="007C52BB"/>
    <w:rsid w:val="007C5476"/>
    <w:rsid w:val="007C58E8"/>
    <w:rsid w:val="007C6630"/>
    <w:rsid w:val="007C7402"/>
    <w:rsid w:val="007C757E"/>
    <w:rsid w:val="007C769E"/>
    <w:rsid w:val="007C798F"/>
    <w:rsid w:val="007C7AE1"/>
    <w:rsid w:val="007C7B95"/>
    <w:rsid w:val="007D0207"/>
    <w:rsid w:val="007D0309"/>
    <w:rsid w:val="007D06CB"/>
    <w:rsid w:val="007D071A"/>
    <w:rsid w:val="007D1757"/>
    <w:rsid w:val="007D278F"/>
    <w:rsid w:val="007D2B98"/>
    <w:rsid w:val="007D2FEE"/>
    <w:rsid w:val="007D362A"/>
    <w:rsid w:val="007D3E9B"/>
    <w:rsid w:val="007D4C93"/>
    <w:rsid w:val="007D4CD9"/>
    <w:rsid w:val="007D4FA5"/>
    <w:rsid w:val="007D5D0A"/>
    <w:rsid w:val="007D69AC"/>
    <w:rsid w:val="007E13CE"/>
    <w:rsid w:val="007E1856"/>
    <w:rsid w:val="007E2569"/>
    <w:rsid w:val="007E2C05"/>
    <w:rsid w:val="007E2CB3"/>
    <w:rsid w:val="007E33C3"/>
    <w:rsid w:val="007E42C4"/>
    <w:rsid w:val="007E5338"/>
    <w:rsid w:val="007E59F7"/>
    <w:rsid w:val="007E5CC7"/>
    <w:rsid w:val="007E6DAC"/>
    <w:rsid w:val="007E715E"/>
    <w:rsid w:val="007E783F"/>
    <w:rsid w:val="007F05E6"/>
    <w:rsid w:val="007F074A"/>
    <w:rsid w:val="007F094E"/>
    <w:rsid w:val="007F1641"/>
    <w:rsid w:val="007F210C"/>
    <w:rsid w:val="007F39A0"/>
    <w:rsid w:val="007F410D"/>
    <w:rsid w:val="007F4167"/>
    <w:rsid w:val="007F42BF"/>
    <w:rsid w:val="007F4652"/>
    <w:rsid w:val="007F4A54"/>
    <w:rsid w:val="007F4B82"/>
    <w:rsid w:val="007F4F2C"/>
    <w:rsid w:val="007F4FE2"/>
    <w:rsid w:val="007F6BB0"/>
    <w:rsid w:val="00800983"/>
    <w:rsid w:val="00800C25"/>
    <w:rsid w:val="00800E57"/>
    <w:rsid w:val="00800F71"/>
    <w:rsid w:val="00801A7F"/>
    <w:rsid w:val="00801B96"/>
    <w:rsid w:val="00801C7F"/>
    <w:rsid w:val="0080230B"/>
    <w:rsid w:val="0080231F"/>
    <w:rsid w:val="00802A23"/>
    <w:rsid w:val="0080393B"/>
    <w:rsid w:val="00803F1C"/>
    <w:rsid w:val="00804D7B"/>
    <w:rsid w:val="0080600E"/>
    <w:rsid w:val="0080677A"/>
    <w:rsid w:val="0081181A"/>
    <w:rsid w:val="00812C8D"/>
    <w:rsid w:val="00812EAF"/>
    <w:rsid w:val="0081365E"/>
    <w:rsid w:val="008150B2"/>
    <w:rsid w:val="00816E06"/>
    <w:rsid w:val="00817612"/>
    <w:rsid w:val="00817884"/>
    <w:rsid w:val="00817967"/>
    <w:rsid w:val="00817D2F"/>
    <w:rsid w:val="008204AE"/>
    <w:rsid w:val="00820D73"/>
    <w:rsid w:val="008215C0"/>
    <w:rsid w:val="008218A2"/>
    <w:rsid w:val="008222EC"/>
    <w:rsid w:val="00823A91"/>
    <w:rsid w:val="008245AD"/>
    <w:rsid w:val="00824ACC"/>
    <w:rsid w:val="00824B62"/>
    <w:rsid w:val="00825876"/>
    <w:rsid w:val="00825952"/>
    <w:rsid w:val="00825B7F"/>
    <w:rsid w:val="00827DB7"/>
    <w:rsid w:val="0083055F"/>
    <w:rsid w:val="00830E88"/>
    <w:rsid w:val="00830FDA"/>
    <w:rsid w:val="008315C5"/>
    <w:rsid w:val="008316A7"/>
    <w:rsid w:val="00831D65"/>
    <w:rsid w:val="008341F9"/>
    <w:rsid w:val="00835A28"/>
    <w:rsid w:val="00835F5A"/>
    <w:rsid w:val="0083716D"/>
    <w:rsid w:val="008373B6"/>
    <w:rsid w:val="0083797A"/>
    <w:rsid w:val="00837C45"/>
    <w:rsid w:val="00837EDD"/>
    <w:rsid w:val="0084043E"/>
    <w:rsid w:val="00840923"/>
    <w:rsid w:val="008414A3"/>
    <w:rsid w:val="008417E4"/>
    <w:rsid w:val="008422DA"/>
    <w:rsid w:val="008426FE"/>
    <w:rsid w:val="0084302E"/>
    <w:rsid w:val="00843C1B"/>
    <w:rsid w:val="00843E8C"/>
    <w:rsid w:val="008456F3"/>
    <w:rsid w:val="00845C1A"/>
    <w:rsid w:val="00846865"/>
    <w:rsid w:val="00846B2C"/>
    <w:rsid w:val="00846D39"/>
    <w:rsid w:val="008472FB"/>
    <w:rsid w:val="008473B2"/>
    <w:rsid w:val="00847A8B"/>
    <w:rsid w:val="00847B26"/>
    <w:rsid w:val="00850933"/>
    <w:rsid w:val="008509CC"/>
    <w:rsid w:val="0085268D"/>
    <w:rsid w:val="0085323F"/>
    <w:rsid w:val="00853419"/>
    <w:rsid w:val="00853512"/>
    <w:rsid w:val="00853A23"/>
    <w:rsid w:val="00854FE3"/>
    <w:rsid w:val="00855876"/>
    <w:rsid w:val="008560E1"/>
    <w:rsid w:val="00856256"/>
    <w:rsid w:val="008573A3"/>
    <w:rsid w:val="00860233"/>
    <w:rsid w:val="00860A02"/>
    <w:rsid w:val="00860C50"/>
    <w:rsid w:val="00860E35"/>
    <w:rsid w:val="00861437"/>
    <w:rsid w:val="0086147D"/>
    <w:rsid w:val="00861972"/>
    <w:rsid w:val="00861A73"/>
    <w:rsid w:val="00861D01"/>
    <w:rsid w:val="00861EC2"/>
    <w:rsid w:val="00861F6D"/>
    <w:rsid w:val="008628FD"/>
    <w:rsid w:val="00863E9F"/>
    <w:rsid w:val="00864785"/>
    <w:rsid w:val="00865279"/>
    <w:rsid w:val="00865368"/>
    <w:rsid w:val="00865C9B"/>
    <w:rsid w:val="0086628D"/>
    <w:rsid w:val="008665EC"/>
    <w:rsid w:val="00866D7E"/>
    <w:rsid w:val="008676D3"/>
    <w:rsid w:val="008678EF"/>
    <w:rsid w:val="00867DA3"/>
    <w:rsid w:val="0087014C"/>
    <w:rsid w:val="00871372"/>
    <w:rsid w:val="00871EBE"/>
    <w:rsid w:val="008741A2"/>
    <w:rsid w:val="008745BF"/>
    <w:rsid w:val="00874BEE"/>
    <w:rsid w:val="00875ABB"/>
    <w:rsid w:val="00875EC6"/>
    <w:rsid w:val="00876085"/>
    <w:rsid w:val="00877E1B"/>
    <w:rsid w:val="00880B21"/>
    <w:rsid w:val="00880F95"/>
    <w:rsid w:val="0088253F"/>
    <w:rsid w:val="00882952"/>
    <w:rsid w:val="00882C32"/>
    <w:rsid w:val="0088373B"/>
    <w:rsid w:val="00883E89"/>
    <w:rsid w:val="00883EA4"/>
    <w:rsid w:val="00884270"/>
    <w:rsid w:val="008869BA"/>
    <w:rsid w:val="00887B7D"/>
    <w:rsid w:val="008903D5"/>
    <w:rsid w:val="0089156D"/>
    <w:rsid w:val="008917C2"/>
    <w:rsid w:val="00893A3F"/>
    <w:rsid w:val="00893E24"/>
    <w:rsid w:val="00893E44"/>
    <w:rsid w:val="008945B4"/>
    <w:rsid w:val="0089514B"/>
    <w:rsid w:val="00895C72"/>
    <w:rsid w:val="008969D3"/>
    <w:rsid w:val="00896EC2"/>
    <w:rsid w:val="008971D8"/>
    <w:rsid w:val="00897A3D"/>
    <w:rsid w:val="00897E12"/>
    <w:rsid w:val="008A023D"/>
    <w:rsid w:val="008A065A"/>
    <w:rsid w:val="008A0A23"/>
    <w:rsid w:val="008A1C4B"/>
    <w:rsid w:val="008A2C74"/>
    <w:rsid w:val="008A3434"/>
    <w:rsid w:val="008A36FA"/>
    <w:rsid w:val="008A4FAC"/>
    <w:rsid w:val="008A5A80"/>
    <w:rsid w:val="008A5BF4"/>
    <w:rsid w:val="008A5F54"/>
    <w:rsid w:val="008A6043"/>
    <w:rsid w:val="008A6435"/>
    <w:rsid w:val="008A645F"/>
    <w:rsid w:val="008A67CF"/>
    <w:rsid w:val="008A6DA2"/>
    <w:rsid w:val="008A7460"/>
    <w:rsid w:val="008A7DDF"/>
    <w:rsid w:val="008A7E83"/>
    <w:rsid w:val="008A7F97"/>
    <w:rsid w:val="008A7FC7"/>
    <w:rsid w:val="008B0E6D"/>
    <w:rsid w:val="008B0EE7"/>
    <w:rsid w:val="008B14CB"/>
    <w:rsid w:val="008B1CA7"/>
    <w:rsid w:val="008B1EF4"/>
    <w:rsid w:val="008B24D5"/>
    <w:rsid w:val="008B25FC"/>
    <w:rsid w:val="008B2DA9"/>
    <w:rsid w:val="008B3466"/>
    <w:rsid w:val="008B44C5"/>
    <w:rsid w:val="008B5124"/>
    <w:rsid w:val="008B768E"/>
    <w:rsid w:val="008B7B3C"/>
    <w:rsid w:val="008C00EE"/>
    <w:rsid w:val="008C05DD"/>
    <w:rsid w:val="008C067C"/>
    <w:rsid w:val="008C2789"/>
    <w:rsid w:val="008C2DF6"/>
    <w:rsid w:val="008C3B28"/>
    <w:rsid w:val="008C5978"/>
    <w:rsid w:val="008C606A"/>
    <w:rsid w:val="008C698C"/>
    <w:rsid w:val="008C6F82"/>
    <w:rsid w:val="008C6FC4"/>
    <w:rsid w:val="008C7564"/>
    <w:rsid w:val="008D02D4"/>
    <w:rsid w:val="008D0556"/>
    <w:rsid w:val="008D07D4"/>
    <w:rsid w:val="008D0D4E"/>
    <w:rsid w:val="008D0DD0"/>
    <w:rsid w:val="008D1734"/>
    <w:rsid w:val="008D2272"/>
    <w:rsid w:val="008D2EA5"/>
    <w:rsid w:val="008D307A"/>
    <w:rsid w:val="008D33C9"/>
    <w:rsid w:val="008D3D6F"/>
    <w:rsid w:val="008D3DF6"/>
    <w:rsid w:val="008D43BA"/>
    <w:rsid w:val="008D4F11"/>
    <w:rsid w:val="008D6086"/>
    <w:rsid w:val="008D6249"/>
    <w:rsid w:val="008D7317"/>
    <w:rsid w:val="008D7DF4"/>
    <w:rsid w:val="008E06C9"/>
    <w:rsid w:val="008E0A77"/>
    <w:rsid w:val="008E10AE"/>
    <w:rsid w:val="008E1322"/>
    <w:rsid w:val="008E164D"/>
    <w:rsid w:val="008E33FB"/>
    <w:rsid w:val="008E3759"/>
    <w:rsid w:val="008E3EE8"/>
    <w:rsid w:val="008E53E4"/>
    <w:rsid w:val="008E5615"/>
    <w:rsid w:val="008E57D1"/>
    <w:rsid w:val="008E62A4"/>
    <w:rsid w:val="008E71E6"/>
    <w:rsid w:val="008F019D"/>
    <w:rsid w:val="008F166D"/>
    <w:rsid w:val="008F298E"/>
    <w:rsid w:val="008F2A35"/>
    <w:rsid w:val="008F2A73"/>
    <w:rsid w:val="008F2E03"/>
    <w:rsid w:val="008F2E1C"/>
    <w:rsid w:val="008F3B12"/>
    <w:rsid w:val="008F3BF9"/>
    <w:rsid w:val="008F3C7F"/>
    <w:rsid w:val="008F3E4A"/>
    <w:rsid w:val="008F4101"/>
    <w:rsid w:val="008F4522"/>
    <w:rsid w:val="008F49E6"/>
    <w:rsid w:val="008F559D"/>
    <w:rsid w:val="008F6014"/>
    <w:rsid w:val="008F7B4C"/>
    <w:rsid w:val="008F7F3F"/>
    <w:rsid w:val="00900365"/>
    <w:rsid w:val="00900D01"/>
    <w:rsid w:val="009021D6"/>
    <w:rsid w:val="00902D58"/>
    <w:rsid w:val="009039DC"/>
    <w:rsid w:val="00903BE6"/>
    <w:rsid w:val="009041DC"/>
    <w:rsid w:val="009047EE"/>
    <w:rsid w:val="009049AF"/>
    <w:rsid w:val="00904B4B"/>
    <w:rsid w:val="00905AD0"/>
    <w:rsid w:val="009062C5"/>
    <w:rsid w:val="0090640F"/>
    <w:rsid w:val="009065A1"/>
    <w:rsid w:val="0090668D"/>
    <w:rsid w:val="009104B4"/>
    <w:rsid w:val="009111FF"/>
    <w:rsid w:val="00912171"/>
    <w:rsid w:val="00912642"/>
    <w:rsid w:val="00913B6D"/>
    <w:rsid w:val="00915B02"/>
    <w:rsid w:val="00915CDE"/>
    <w:rsid w:val="00915FDE"/>
    <w:rsid w:val="0091677E"/>
    <w:rsid w:val="0091728F"/>
    <w:rsid w:val="0091789D"/>
    <w:rsid w:val="00917F4B"/>
    <w:rsid w:val="00920A6E"/>
    <w:rsid w:val="00921023"/>
    <w:rsid w:val="009214A7"/>
    <w:rsid w:val="009214C8"/>
    <w:rsid w:val="009223E9"/>
    <w:rsid w:val="00922A9F"/>
    <w:rsid w:val="00922B74"/>
    <w:rsid w:val="00922E4D"/>
    <w:rsid w:val="00923920"/>
    <w:rsid w:val="00923E54"/>
    <w:rsid w:val="00923EA6"/>
    <w:rsid w:val="00924F0A"/>
    <w:rsid w:val="00925FCD"/>
    <w:rsid w:val="009266DD"/>
    <w:rsid w:val="00927B0B"/>
    <w:rsid w:val="009300A7"/>
    <w:rsid w:val="0093035E"/>
    <w:rsid w:val="00930A5D"/>
    <w:rsid w:val="00930ED0"/>
    <w:rsid w:val="00931F7C"/>
    <w:rsid w:val="009320F5"/>
    <w:rsid w:val="009322FE"/>
    <w:rsid w:val="00932B67"/>
    <w:rsid w:val="00933621"/>
    <w:rsid w:val="0093441A"/>
    <w:rsid w:val="00934829"/>
    <w:rsid w:val="009356F2"/>
    <w:rsid w:val="00935735"/>
    <w:rsid w:val="009359E3"/>
    <w:rsid w:val="00935A29"/>
    <w:rsid w:val="00936C4F"/>
    <w:rsid w:val="00940D0A"/>
    <w:rsid w:val="009412E0"/>
    <w:rsid w:val="00941393"/>
    <w:rsid w:val="0094199B"/>
    <w:rsid w:val="009424BD"/>
    <w:rsid w:val="0094253B"/>
    <w:rsid w:val="00942AA6"/>
    <w:rsid w:val="00942BBC"/>
    <w:rsid w:val="009435DC"/>
    <w:rsid w:val="00945F51"/>
    <w:rsid w:val="00946729"/>
    <w:rsid w:val="0094702E"/>
    <w:rsid w:val="00947215"/>
    <w:rsid w:val="00947B86"/>
    <w:rsid w:val="00947C4A"/>
    <w:rsid w:val="00950D77"/>
    <w:rsid w:val="00951A16"/>
    <w:rsid w:val="00952CAA"/>
    <w:rsid w:val="00952DC4"/>
    <w:rsid w:val="009544AF"/>
    <w:rsid w:val="0095466D"/>
    <w:rsid w:val="00954BF7"/>
    <w:rsid w:val="00955093"/>
    <w:rsid w:val="009552DA"/>
    <w:rsid w:val="009554F0"/>
    <w:rsid w:val="00955C06"/>
    <w:rsid w:val="00955CB9"/>
    <w:rsid w:val="00955EA3"/>
    <w:rsid w:val="0095641C"/>
    <w:rsid w:val="00956868"/>
    <w:rsid w:val="00956AAD"/>
    <w:rsid w:val="0095713F"/>
    <w:rsid w:val="009579D8"/>
    <w:rsid w:val="00957A32"/>
    <w:rsid w:val="00957C98"/>
    <w:rsid w:val="00960555"/>
    <w:rsid w:val="00963233"/>
    <w:rsid w:val="00964917"/>
    <w:rsid w:val="00964BC4"/>
    <w:rsid w:val="009653A0"/>
    <w:rsid w:val="00965F42"/>
    <w:rsid w:val="009661DF"/>
    <w:rsid w:val="009668D9"/>
    <w:rsid w:val="009668E5"/>
    <w:rsid w:val="0096706E"/>
    <w:rsid w:val="009678C3"/>
    <w:rsid w:val="00967987"/>
    <w:rsid w:val="00967B1D"/>
    <w:rsid w:val="00967ECF"/>
    <w:rsid w:val="00970813"/>
    <w:rsid w:val="00970FD7"/>
    <w:rsid w:val="009714F6"/>
    <w:rsid w:val="009724C3"/>
    <w:rsid w:val="0097261D"/>
    <w:rsid w:val="00973675"/>
    <w:rsid w:val="00973798"/>
    <w:rsid w:val="00973E1D"/>
    <w:rsid w:val="009753D7"/>
    <w:rsid w:val="009757D0"/>
    <w:rsid w:val="00976295"/>
    <w:rsid w:val="0097691D"/>
    <w:rsid w:val="00976E74"/>
    <w:rsid w:val="00981FBA"/>
    <w:rsid w:val="00982E24"/>
    <w:rsid w:val="00983AF6"/>
    <w:rsid w:val="00983D6A"/>
    <w:rsid w:val="009843A2"/>
    <w:rsid w:val="009856D7"/>
    <w:rsid w:val="00985A4B"/>
    <w:rsid w:val="00986129"/>
    <w:rsid w:val="00986662"/>
    <w:rsid w:val="009869B3"/>
    <w:rsid w:val="00986AEE"/>
    <w:rsid w:val="009879D3"/>
    <w:rsid w:val="00992D3D"/>
    <w:rsid w:val="009937A7"/>
    <w:rsid w:val="00994ECF"/>
    <w:rsid w:val="0099538C"/>
    <w:rsid w:val="009963C2"/>
    <w:rsid w:val="009967AF"/>
    <w:rsid w:val="0099714E"/>
    <w:rsid w:val="009978F5"/>
    <w:rsid w:val="00997E99"/>
    <w:rsid w:val="009A01D8"/>
    <w:rsid w:val="009A03E7"/>
    <w:rsid w:val="009A0816"/>
    <w:rsid w:val="009A0B09"/>
    <w:rsid w:val="009A0F04"/>
    <w:rsid w:val="009A1A5D"/>
    <w:rsid w:val="009A1D2A"/>
    <w:rsid w:val="009A28FA"/>
    <w:rsid w:val="009A6130"/>
    <w:rsid w:val="009A700D"/>
    <w:rsid w:val="009A71DD"/>
    <w:rsid w:val="009A7953"/>
    <w:rsid w:val="009B074C"/>
    <w:rsid w:val="009B07BE"/>
    <w:rsid w:val="009B1206"/>
    <w:rsid w:val="009B1525"/>
    <w:rsid w:val="009B18E1"/>
    <w:rsid w:val="009B26C8"/>
    <w:rsid w:val="009B2F9E"/>
    <w:rsid w:val="009B351F"/>
    <w:rsid w:val="009B381B"/>
    <w:rsid w:val="009B5129"/>
    <w:rsid w:val="009B541A"/>
    <w:rsid w:val="009B5D32"/>
    <w:rsid w:val="009B61B2"/>
    <w:rsid w:val="009B6619"/>
    <w:rsid w:val="009B71D5"/>
    <w:rsid w:val="009B71EF"/>
    <w:rsid w:val="009B74A4"/>
    <w:rsid w:val="009B76BF"/>
    <w:rsid w:val="009C03AE"/>
    <w:rsid w:val="009C047F"/>
    <w:rsid w:val="009C14DA"/>
    <w:rsid w:val="009C1615"/>
    <w:rsid w:val="009C1691"/>
    <w:rsid w:val="009C1877"/>
    <w:rsid w:val="009C1D8B"/>
    <w:rsid w:val="009C202F"/>
    <w:rsid w:val="009C2F75"/>
    <w:rsid w:val="009C2F9F"/>
    <w:rsid w:val="009C458A"/>
    <w:rsid w:val="009C4893"/>
    <w:rsid w:val="009C4D68"/>
    <w:rsid w:val="009C59D3"/>
    <w:rsid w:val="009C6457"/>
    <w:rsid w:val="009C799E"/>
    <w:rsid w:val="009D0012"/>
    <w:rsid w:val="009D0946"/>
    <w:rsid w:val="009D0B9F"/>
    <w:rsid w:val="009D0DEE"/>
    <w:rsid w:val="009D15C7"/>
    <w:rsid w:val="009D16D3"/>
    <w:rsid w:val="009D173B"/>
    <w:rsid w:val="009D2342"/>
    <w:rsid w:val="009D241E"/>
    <w:rsid w:val="009D280B"/>
    <w:rsid w:val="009D2BBE"/>
    <w:rsid w:val="009D3728"/>
    <w:rsid w:val="009D561E"/>
    <w:rsid w:val="009D6116"/>
    <w:rsid w:val="009D62CD"/>
    <w:rsid w:val="009D7611"/>
    <w:rsid w:val="009E075C"/>
    <w:rsid w:val="009E15DB"/>
    <w:rsid w:val="009E25B3"/>
    <w:rsid w:val="009E27A9"/>
    <w:rsid w:val="009E3488"/>
    <w:rsid w:val="009E374A"/>
    <w:rsid w:val="009E3A41"/>
    <w:rsid w:val="009E3ABD"/>
    <w:rsid w:val="009E3C23"/>
    <w:rsid w:val="009E3F7C"/>
    <w:rsid w:val="009E41B3"/>
    <w:rsid w:val="009E4906"/>
    <w:rsid w:val="009E53DE"/>
    <w:rsid w:val="009E5A64"/>
    <w:rsid w:val="009E6FD9"/>
    <w:rsid w:val="009F0885"/>
    <w:rsid w:val="009F0AED"/>
    <w:rsid w:val="009F0D8A"/>
    <w:rsid w:val="009F114F"/>
    <w:rsid w:val="009F1ED5"/>
    <w:rsid w:val="009F229C"/>
    <w:rsid w:val="009F2349"/>
    <w:rsid w:val="009F24AF"/>
    <w:rsid w:val="009F24FF"/>
    <w:rsid w:val="009F297A"/>
    <w:rsid w:val="009F2CC4"/>
    <w:rsid w:val="009F382B"/>
    <w:rsid w:val="009F5AE9"/>
    <w:rsid w:val="009F7113"/>
    <w:rsid w:val="009F76DF"/>
    <w:rsid w:val="009F76E5"/>
    <w:rsid w:val="009F7E41"/>
    <w:rsid w:val="00A01453"/>
    <w:rsid w:val="00A014DA"/>
    <w:rsid w:val="00A03222"/>
    <w:rsid w:val="00A0345B"/>
    <w:rsid w:val="00A03579"/>
    <w:rsid w:val="00A03B6C"/>
    <w:rsid w:val="00A03DA5"/>
    <w:rsid w:val="00A04910"/>
    <w:rsid w:val="00A050D8"/>
    <w:rsid w:val="00A05601"/>
    <w:rsid w:val="00A057B8"/>
    <w:rsid w:val="00A05C64"/>
    <w:rsid w:val="00A062DD"/>
    <w:rsid w:val="00A0645D"/>
    <w:rsid w:val="00A06FEB"/>
    <w:rsid w:val="00A07134"/>
    <w:rsid w:val="00A07809"/>
    <w:rsid w:val="00A10246"/>
    <w:rsid w:val="00A10403"/>
    <w:rsid w:val="00A10450"/>
    <w:rsid w:val="00A10863"/>
    <w:rsid w:val="00A10C01"/>
    <w:rsid w:val="00A10CCC"/>
    <w:rsid w:val="00A1131F"/>
    <w:rsid w:val="00A12250"/>
    <w:rsid w:val="00A12773"/>
    <w:rsid w:val="00A12E5E"/>
    <w:rsid w:val="00A13A94"/>
    <w:rsid w:val="00A14D37"/>
    <w:rsid w:val="00A15A9B"/>
    <w:rsid w:val="00A15C9A"/>
    <w:rsid w:val="00A163A4"/>
    <w:rsid w:val="00A1688B"/>
    <w:rsid w:val="00A16943"/>
    <w:rsid w:val="00A17625"/>
    <w:rsid w:val="00A17E82"/>
    <w:rsid w:val="00A2015A"/>
    <w:rsid w:val="00A2089E"/>
    <w:rsid w:val="00A20B65"/>
    <w:rsid w:val="00A20F5F"/>
    <w:rsid w:val="00A2130F"/>
    <w:rsid w:val="00A21930"/>
    <w:rsid w:val="00A21BFD"/>
    <w:rsid w:val="00A2232B"/>
    <w:rsid w:val="00A22B7B"/>
    <w:rsid w:val="00A23100"/>
    <w:rsid w:val="00A23924"/>
    <w:rsid w:val="00A23AFA"/>
    <w:rsid w:val="00A23E45"/>
    <w:rsid w:val="00A24331"/>
    <w:rsid w:val="00A2456A"/>
    <w:rsid w:val="00A249A8"/>
    <w:rsid w:val="00A255BD"/>
    <w:rsid w:val="00A26545"/>
    <w:rsid w:val="00A269C8"/>
    <w:rsid w:val="00A27314"/>
    <w:rsid w:val="00A27C5A"/>
    <w:rsid w:val="00A3014C"/>
    <w:rsid w:val="00A30ECB"/>
    <w:rsid w:val="00A31451"/>
    <w:rsid w:val="00A31CB0"/>
    <w:rsid w:val="00A321C2"/>
    <w:rsid w:val="00A3286C"/>
    <w:rsid w:val="00A32D38"/>
    <w:rsid w:val="00A33219"/>
    <w:rsid w:val="00A33DB9"/>
    <w:rsid w:val="00A34273"/>
    <w:rsid w:val="00A36168"/>
    <w:rsid w:val="00A36BE9"/>
    <w:rsid w:val="00A36C33"/>
    <w:rsid w:val="00A36E16"/>
    <w:rsid w:val="00A37DA9"/>
    <w:rsid w:val="00A40463"/>
    <w:rsid w:val="00A40C4A"/>
    <w:rsid w:val="00A40CED"/>
    <w:rsid w:val="00A42803"/>
    <w:rsid w:val="00A43458"/>
    <w:rsid w:val="00A438C4"/>
    <w:rsid w:val="00A438F6"/>
    <w:rsid w:val="00A43E87"/>
    <w:rsid w:val="00A444C4"/>
    <w:rsid w:val="00A445B3"/>
    <w:rsid w:val="00A447CD"/>
    <w:rsid w:val="00A47174"/>
    <w:rsid w:val="00A473E3"/>
    <w:rsid w:val="00A47406"/>
    <w:rsid w:val="00A47D0B"/>
    <w:rsid w:val="00A500DA"/>
    <w:rsid w:val="00A50201"/>
    <w:rsid w:val="00A5028C"/>
    <w:rsid w:val="00A50CF2"/>
    <w:rsid w:val="00A51D32"/>
    <w:rsid w:val="00A52375"/>
    <w:rsid w:val="00A5251F"/>
    <w:rsid w:val="00A527E1"/>
    <w:rsid w:val="00A52876"/>
    <w:rsid w:val="00A528D1"/>
    <w:rsid w:val="00A52D39"/>
    <w:rsid w:val="00A53D23"/>
    <w:rsid w:val="00A542D1"/>
    <w:rsid w:val="00A547A8"/>
    <w:rsid w:val="00A54E22"/>
    <w:rsid w:val="00A55776"/>
    <w:rsid w:val="00A60093"/>
    <w:rsid w:val="00A60F07"/>
    <w:rsid w:val="00A6269C"/>
    <w:rsid w:val="00A6287A"/>
    <w:rsid w:val="00A6379D"/>
    <w:rsid w:val="00A6386E"/>
    <w:rsid w:val="00A63958"/>
    <w:rsid w:val="00A642B6"/>
    <w:rsid w:val="00A647EB"/>
    <w:rsid w:val="00A649AE"/>
    <w:rsid w:val="00A64DA8"/>
    <w:rsid w:val="00A64EE8"/>
    <w:rsid w:val="00A64F5F"/>
    <w:rsid w:val="00A650D1"/>
    <w:rsid w:val="00A6588A"/>
    <w:rsid w:val="00A669C6"/>
    <w:rsid w:val="00A66BE5"/>
    <w:rsid w:val="00A67461"/>
    <w:rsid w:val="00A709DB"/>
    <w:rsid w:val="00A70FA6"/>
    <w:rsid w:val="00A71D99"/>
    <w:rsid w:val="00A73439"/>
    <w:rsid w:val="00A734B2"/>
    <w:rsid w:val="00A73772"/>
    <w:rsid w:val="00A75A39"/>
    <w:rsid w:val="00A7605D"/>
    <w:rsid w:val="00A774E2"/>
    <w:rsid w:val="00A77E82"/>
    <w:rsid w:val="00A80079"/>
    <w:rsid w:val="00A80C1E"/>
    <w:rsid w:val="00A8162B"/>
    <w:rsid w:val="00A81A9A"/>
    <w:rsid w:val="00A81D28"/>
    <w:rsid w:val="00A823ED"/>
    <w:rsid w:val="00A832B7"/>
    <w:rsid w:val="00A8335C"/>
    <w:rsid w:val="00A83588"/>
    <w:rsid w:val="00A845BE"/>
    <w:rsid w:val="00A84A45"/>
    <w:rsid w:val="00A84A53"/>
    <w:rsid w:val="00A84B01"/>
    <w:rsid w:val="00A84E1C"/>
    <w:rsid w:val="00A86CF8"/>
    <w:rsid w:val="00A871CA"/>
    <w:rsid w:val="00A87FF5"/>
    <w:rsid w:val="00A91578"/>
    <w:rsid w:val="00A91614"/>
    <w:rsid w:val="00A91C87"/>
    <w:rsid w:val="00A91ED0"/>
    <w:rsid w:val="00A91F89"/>
    <w:rsid w:val="00A92714"/>
    <w:rsid w:val="00A92DCA"/>
    <w:rsid w:val="00A947C6"/>
    <w:rsid w:val="00A94BBB"/>
    <w:rsid w:val="00A95F1A"/>
    <w:rsid w:val="00A9641B"/>
    <w:rsid w:val="00A96D18"/>
    <w:rsid w:val="00A96F96"/>
    <w:rsid w:val="00A97366"/>
    <w:rsid w:val="00A978E7"/>
    <w:rsid w:val="00A979CE"/>
    <w:rsid w:val="00A97CDE"/>
    <w:rsid w:val="00AA07DC"/>
    <w:rsid w:val="00AA23D3"/>
    <w:rsid w:val="00AA33AF"/>
    <w:rsid w:val="00AA3C9F"/>
    <w:rsid w:val="00AA4746"/>
    <w:rsid w:val="00AA4D70"/>
    <w:rsid w:val="00AA4DF0"/>
    <w:rsid w:val="00AA51B5"/>
    <w:rsid w:val="00AA5C88"/>
    <w:rsid w:val="00AA792C"/>
    <w:rsid w:val="00AA7A2C"/>
    <w:rsid w:val="00AA7A53"/>
    <w:rsid w:val="00AA7E8A"/>
    <w:rsid w:val="00AB0745"/>
    <w:rsid w:val="00AB074C"/>
    <w:rsid w:val="00AB097B"/>
    <w:rsid w:val="00AB2ECE"/>
    <w:rsid w:val="00AB3118"/>
    <w:rsid w:val="00AB3712"/>
    <w:rsid w:val="00AB45A1"/>
    <w:rsid w:val="00AB55B8"/>
    <w:rsid w:val="00AB5E60"/>
    <w:rsid w:val="00AB6166"/>
    <w:rsid w:val="00AB6D53"/>
    <w:rsid w:val="00AB6F62"/>
    <w:rsid w:val="00AB7EE1"/>
    <w:rsid w:val="00AC00EA"/>
    <w:rsid w:val="00AC0531"/>
    <w:rsid w:val="00AC0F5B"/>
    <w:rsid w:val="00AC2C44"/>
    <w:rsid w:val="00AC30C7"/>
    <w:rsid w:val="00AC313B"/>
    <w:rsid w:val="00AC388E"/>
    <w:rsid w:val="00AC4106"/>
    <w:rsid w:val="00AC4350"/>
    <w:rsid w:val="00AC4B75"/>
    <w:rsid w:val="00AC4E50"/>
    <w:rsid w:val="00AC4F7C"/>
    <w:rsid w:val="00AC53DA"/>
    <w:rsid w:val="00AC6AE6"/>
    <w:rsid w:val="00AC740E"/>
    <w:rsid w:val="00AC7969"/>
    <w:rsid w:val="00AC7AC6"/>
    <w:rsid w:val="00AC7F4D"/>
    <w:rsid w:val="00AD08D1"/>
    <w:rsid w:val="00AD0D8F"/>
    <w:rsid w:val="00AD0E15"/>
    <w:rsid w:val="00AD1293"/>
    <w:rsid w:val="00AD1317"/>
    <w:rsid w:val="00AD1E27"/>
    <w:rsid w:val="00AD2957"/>
    <w:rsid w:val="00AD29F5"/>
    <w:rsid w:val="00AD34D9"/>
    <w:rsid w:val="00AD37C1"/>
    <w:rsid w:val="00AD38E9"/>
    <w:rsid w:val="00AD4435"/>
    <w:rsid w:val="00AD452E"/>
    <w:rsid w:val="00AD4A7C"/>
    <w:rsid w:val="00AD4C43"/>
    <w:rsid w:val="00AD4CD7"/>
    <w:rsid w:val="00AD4E05"/>
    <w:rsid w:val="00AD5EB5"/>
    <w:rsid w:val="00AD72AC"/>
    <w:rsid w:val="00AD73A3"/>
    <w:rsid w:val="00AD7A33"/>
    <w:rsid w:val="00AE0DEC"/>
    <w:rsid w:val="00AE15A9"/>
    <w:rsid w:val="00AE1852"/>
    <w:rsid w:val="00AE1A2D"/>
    <w:rsid w:val="00AE1F0C"/>
    <w:rsid w:val="00AE3F3C"/>
    <w:rsid w:val="00AE4C05"/>
    <w:rsid w:val="00AE4C43"/>
    <w:rsid w:val="00AE501F"/>
    <w:rsid w:val="00AE6271"/>
    <w:rsid w:val="00AE653F"/>
    <w:rsid w:val="00AE66EC"/>
    <w:rsid w:val="00AE6AE5"/>
    <w:rsid w:val="00AE6F91"/>
    <w:rsid w:val="00AF010B"/>
    <w:rsid w:val="00AF0440"/>
    <w:rsid w:val="00AF0FB6"/>
    <w:rsid w:val="00AF10BC"/>
    <w:rsid w:val="00AF14A6"/>
    <w:rsid w:val="00AF22CE"/>
    <w:rsid w:val="00AF2782"/>
    <w:rsid w:val="00AF3344"/>
    <w:rsid w:val="00AF5571"/>
    <w:rsid w:val="00AF5B3F"/>
    <w:rsid w:val="00AF7526"/>
    <w:rsid w:val="00AF79FA"/>
    <w:rsid w:val="00B00CBD"/>
    <w:rsid w:val="00B016BF"/>
    <w:rsid w:val="00B016EF"/>
    <w:rsid w:val="00B018F6"/>
    <w:rsid w:val="00B01D8D"/>
    <w:rsid w:val="00B0207D"/>
    <w:rsid w:val="00B033E8"/>
    <w:rsid w:val="00B0379A"/>
    <w:rsid w:val="00B04F9C"/>
    <w:rsid w:val="00B05B2D"/>
    <w:rsid w:val="00B06114"/>
    <w:rsid w:val="00B0667E"/>
    <w:rsid w:val="00B06BF4"/>
    <w:rsid w:val="00B07033"/>
    <w:rsid w:val="00B07227"/>
    <w:rsid w:val="00B11C6F"/>
    <w:rsid w:val="00B11E55"/>
    <w:rsid w:val="00B11F9A"/>
    <w:rsid w:val="00B124E6"/>
    <w:rsid w:val="00B12638"/>
    <w:rsid w:val="00B13ABA"/>
    <w:rsid w:val="00B14837"/>
    <w:rsid w:val="00B160A4"/>
    <w:rsid w:val="00B167E9"/>
    <w:rsid w:val="00B16FF4"/>
    <w:rsid w:val="00B1724A"/>
    <w:rsid w:val="00B207F5"/>
    <w:rsid w:val="00B20B83"/>
    <w:rsid w:val="00B21064"/>
    <w:rsid w:val="00B2177F"/>
    <w:rsid w:val="00B21BC5"/>
    <w:rsid w:val="00B22C40"/>
    <w:rsid w:val="00B23A86"/>
    <w:rsid w:val="00B24749"/>
    <w:rsid w:val="00B24A00"/>
    <w:rsid w:val="00B270C2"/>
    <w:rsid w:val="00B27127"/>
    <w:rsid w:val="00B2728E"/>
    <w:rsid w:val="00B301E8"/>
    <w:rsid w:val="00B30278"/>
    <w:rsid w:val="00B31391"/>
    <w:rsid w:val="00B314DB"/>
    <w:rsid w:val="00B316A7"/>
    <w:rsid w:val="00B31EBE"/>
    <w:rsid w:val="00B324F0"/>
    <w:rsid w:val="00B327DE"/>
    <w:rsid w:val="00B3401D"/>
    <w:rsid w:val="00B34D82"/>
    <w:rsid w:val="00B34E2B"/>
    <w:rsid w:val="00B34F8C"/>
    <w:rsid w:val="00B36330"/>
    <w:rsid w:val="00B367B1"/>
    <w:rsid w:val="00B36E37"/>
    <w:rsid w:val="00B3718B"/>
    <w:rsid w:val="00B37584"/>
    <w:rsid w:val="00B37C3B"/>
    <w:rsid w:val="00B41A5F"/>
    <w:rsid w:val="00B41AAC"/>
    <w:rsid w:val="00B424CD"/>
    <w:rsid w:val="00B42ABC"/>
    <w:rsid w:val="00B432D6"/>
    <w:rsid w:val="00B441B9"/>
    <w:rsid w:val="00B44448"/>
    <w:rsid w:val="00B444FB"/>
    <w:rsid w:val="00B44F4C"/>
    <w:rsid w:val="00B45BE7"/>
    <w:rsid w:val="00B45ECD"/>
    <w:rsid w:val="00B46033"/>
    <w:rsid w:val="00B46313"/>
    <w:rsid w:val="00B4632A"/>
    <w:rsid w:val="00B46771"/>
    <w:rsid w:val="00B478B1"/>
    <w:rsid w:val="00B478C4"/>
    <w:rsid w:val="00B506F8"/>
    <w:rsid w:val="00B50B18"/>
    <w:rsid w:val="00B5149E"/>
    <w:rsid w:val="00B515A8"/>
    <w:rsid w:val="00B52BB8"/>
    <w:rsid w:val="00B52D4D"/>
    <w:rsid w:val="00B540E8"/>
    <w:rsid w:val="00B54366"/>
    <w:rsid w:val="00B54DF4"/>
    <w:rsid w:val="00B552E7"/>
    <w:rsid w:val="00B55402"/>
    <w:rsid w:val="00B55E95"/>
    <w:rsid w:val="00B55F23"/>
    <w:rsid w:val="00B56F13"/>
    <w:rsid w:val="00B5746F"/>
    <w:rsid w:val="00B574A0"/>
    <w:rsid w:val="00B574EE"/>
    <w:rsid w:val="00B575D6"/>
    <w:rsid w:val="00B57C17"/>
    <w:rsid w:val="00B57C7D"/>
    <w:rsid w:val="00B6077E"/>
    <w:rsid w:val="00B60E25"/>
    <w:rsid w:val="00B62894"/>
    <w:rsid w:val="00B62BC0"/>
    <w:rsid w:val="00B63572"/>
    <w:rsid w:val="00B63577"/>
    <w:rsid w:val="00B64CF2"/>
    <w:rsid w:val="00B66B51"/>
    <w:rsid w:val="00B67053"/>
    <w:rsid w:val="00B673F4"/>
    <w:rsid w:val="00B67B19"/>
    <w:rsid w:val="00B70462"/>
    <w:rsid w:val="00B72E00"/>
    <w:rsid w:val="00B72F71"/>
    <w:rsid w:val="00B74BBA"/>
    <w:rsid w:val="00B74DAF"/>
    <w:rsid w:val="00B75D57"/>
    <w:rsid w:val="00B765F1"/>
    <w:rsid w:val="00B766A1"/>
    <w:rsid w:val="00B76BE8"/>
    <w:rsid w:val="00B777B0"/>
    <w:rsid w:val="00B77B09"/>
    <w:rsid w:val="00B801CB"/>
    <w:rsid w:val="00B84FC7"/>
    <w:rsid w:val="00B8596A"/>
    <w:rsid w:val="00B85B6B"/>
    <w:rsid w:val="00B8646F"/>
    <w:rsid w:val="00B86577"/>
    <w:rsid w:val="00B8664E"/>
    <w:rsid w:val="00B868A4"/>
    <w:rsid w:val="00B86D99"/>
    <w:rsid w:val="00B8786D"/>
    <w:rsid w:val="00B90178"/>
    <w:rsid w:val="00B90496"/>
    <w:rsid w:val="00B920B7"/>
    <w:rsid w:val="00B92546"/>
    <w:rsid w:val="00B926B1"/>
    <w:rsid w:val="00B92DC9"/>
    <w:rsid w:val="00B933E4"/>
    <w:rsid w:val="00B93EF7"/>
    <w:rsid w:val="00B9441F"/>
    <w:rsid w:val="00B96FE9"/>
    <w:rsid w:val="00B97838"/>
    <w:rsid w:val="00BA0E3E"/>
    <w:rsid w:val="00BA10D9"/>
    <w:rsid w:val="00BA11D2"/>
    <w:rsid w:val="00BA198F"/>
    <w:rsid w:val="00BA1D41"/>
    <w:rsid w:val="00BA276C"/>
    <w:rsid w:val="00BA2988"/>
    <w:rsid w:val="00BA3099"/>
    <w:rsid w:val="00BA3133"/>
    <w:rsid w:val="00BA31DF"/>
    <w:rsid w:val="00BA3DCF"/>
    <w:rsid w:val="00BA542F"/>
    <w:rsid w:val="00BA6FFA"/>
    <w:rsid w:val="00BA7984"/>
    <w:rsid w:val="00BB151F"/>
    <w:rsid w:val="00BB17B3"/>
    <w:rsid w:val="00BB285D"/>
    <w:rsid w:val="00BB2AFE"/>
    <w:rsid w:val="00BB3066"/>
    <w:rsid w:val="00BB306F"/>
    <w:rsid w:val="00BB3466"/>
    <w:rsid w:val="00BB356D"/>
    <w:rsid w:val="00BB36D4"/>
    <w:rsid w:val="00BB4212"/>
    <w:rsid w:val="00BB4566"/>
    <w:rsid w:val="00BB521F"/>
    <w:rsid w:val="00BB53AD"/>
    <w:rsid w:val="00BB5A59"/>
    <w:rsid w:val="00BB645E"/>
    <w:rsid w:val="00BB6D82"/>
    <w:rsid w:val="00BB6D96"/>
    <w:rsid w:val="00BB7163"/>
    <w:rsid w:val="00BB76B9"/>
    <w:rsid w:val="00BB78FE"/>
    <w:rsid w:val="00BB7B0A"/>
    <w:rsid w:val="00BB7C52"/>
    <w:rsid w:val="00BC04F8"/>
    <w:rsid w:val="00BC1521"/>
    <w:rsid w:val="00BC2154"/>
    <w:rsid w:val="00BC243A"/>
    <w:rsid w:val="00BC2F46"/>
    <w:rsid w:val="00BC35EB"/>
    <w:rsid w:val="00BC397C"/>
    <w:rsid w:val="00BC5766"/>
    <w:rsid w:val="00BC68ED"/>
    <w:rsid w:val="00BC6DA1"/>
    <w:rsid w:val="00BC6FB1"/>
    <w:rsid w:val="00BC73B5"/>
    <w:rsid w:val="00BD10AC"/>
    <w:rsid w:val="00BD232B"/>
    <w:rsid w:val="00BD2C5B"/>
    <w:rsid w:val="00BD3469"/>
    <w:rsid w:val="00BD393F"/>
    <w:rsid w:val="00BD4B89"/>
    <w:rsid w:val="00BD5B66"/>
    <w:rsid w:val="00BD5CCE"/>
    <w:rsid w:val="00BD5E83"/>
    <w:rsid w:val="00BD63B7"/>
    <w:rsid w:val="00BD7D23"/>
    <w:rsid w:val="00BD7F14"/>
    <w:rsid w:val="00BE0098"/>
    <w:rsid w:val="00BE014C"/>
    <w:rsid w:val="00BE118B"/>
    <w:rsid w:val="00BE1438"/>
    <w:rsid w:val="00BE1B74"/>
    <w:rsid w:val="00BE201A"/>
    <w:rsid w:val="00BE319E"/>
    <w:rsid w:val="00BE336E"/>
    <w:rsid w:val="00BE34C6"/>
    <w:rsid w:val="00BE3560"/>
    <w:rsid w:val="00BE35D9"/>
    <w:rsid w:val="00BE36D7"/>
    <w:rsid w:val="00BE3967"/>
    <w:rsid w:val="00BE4872"/>
    <w:rsid w:val="00BE4C89"/>
    <w:rsid w:val="00BE5AD0"/>
    <w:rsid w:val="00BE60A3"/>
    <w:rsid w:val="00BE6182"/>
    <w:rsid w:val="00BE66B0"/>
    <w:rsid w:val="00BE6B74"/>
    <w:rsid w:val="00BE7E23"/>
    <w:rsid w:val="00BF0063"/>
    <w:rsid w:val="00BF08CB"/>
    <w:rsid w:val="00BF1F10"/>
    <w:rsid w:val="00BF2523"/>
    <w:rsid w:val="00BF2939"/>
    <w:rsid w:val="00BF2EA8"/>
    <w:rsid w:val="00BF40C6"/>
    <w:rsid w:val="00BF4600"/>
    <w:rsid w:val="00BF4865"/>
    <w:rsid w:val="00BF4871"/>
    <w:rsid w:val="00BF4AF7"/>
    <w:rsid w:val="00BF649B"/>
    <w:rsid w:val="00BF65BD"/>
    <w:rsid w:val="00BF7C42"/>
    <w:rsid w:val="00C0028D"/>
    <w:rsid w:val="00C01451"/>
    <w:rsid w:val="00C01882"/>
    <w:rsid w:val="00C018FF"/>
    <w:rsid w:val="00C02A78"/>
    <w:rsid w:val="00C03059"/>
    <w:rsid w:val="00C0391B"/>
    <w:rsid w:val="00C03A29"/>
    <w:rsid w:val="00C04473"/>
    <w:rsid w:val="00C05169"/>
    <w:rsid w:val="00C0546D"/>
    <w:rsid w:val="00C05820"/>
    <w:rsid w:val="00C06128"/>
    <w:rsid w:val="00C070BA"/>
    <w:rsid w:val="00C07884"/>
    <w:rsid w:val="00C101BC"/>
    <w:rsid w:val="00C10EA4"/>
    <w:rsid w:val="00C136FB"/>
    <w:rsid w:val="00C144E7"/>
    <w:rsid w:val="00C14557"/>
    <w:rsid w:val="00C14701"/>
    <w:rsid w:val="00C14A51"/>
    <w:rsid w:val="00C14CE0"/>
    <w:rsid w:val="00C1525C"/>
    <w:rsid w:val="00C153DE"/>
    <w:rsid w:val="00C16D95"/>
    <w:rsid w:val="00C17BAA"/>
    <w:rsid w:val="00C20667"/>
    <w:rsid w:val="00C2142B"/>
    <w:rsid w:val="00C21762"/>
    <w:rsid w:val="00C21EFD"/>
    <w:rsid w:val="00C221B1"/>
    <w:rsid w:val="00C224DF"/>
    <w:rsid w:val="00C22DD6"/>
    <w:rsid w:val="00C23BA8"/>
    <w:rsid w:val="00C24049"/>
    <w:rsid w:val="00C24543"/>
    <w:rsid w:val="00C256A2"/>
    <w:rsid w:val="00C25804"/>
    <w:rsid w:val="00C25808"/>
    <w:rsid w:val="00C258A0"/>
    <w:rsid w:val="00C25B0D"/>
    <w:rsid w:val="00C26350"/>
    <w:rsid w:val="00C26A69"/>
    <w:rsid w:val="00C31770"/>
    <w:rsid w:val="00C3238A"/>
    <w:rsid w:val="00C32415"/>
    <w:rsid w:val="00C32A61"/>
    <w:rsid w:val="00C338B0"/>
    <w:rsid w:val="00C33EB0"/>
    <w:rsid w:val="00C340DC"/>
    <w:rsid w:val="00C344B0"/>
    <w:rsid w:val="00C3492D"/>
    <w:rsid w:val="00C34973"/>
    <w:rsid w:val="00C34F68"/>
    <w:rsid w:val="00C35423"/>
    <w:rsid w:val="00C3629F"/>
    <w:rsid w:val="00C36568"/>
    <w:rsid w:val="00C36E35"/>
    <w:rsid w:val="00C4068A"/>
    <w:rsid w:val="00C41AB9"/>
    <w:rsid w:val="00C4237D"/>
    <w:rsid w:val="00C423E4"/>
    <w:rsid w:val="00C432D8"/>
    <w:rsid w:val="00C435B4"/>
    <w:rsid w:val="00C43943"/>
    <w:rsid w:val="00C43FC7"/>
    <w:rsid w:val="00C443E8"/>
    <w:rsid w:val="00C44886"/>
    <w:rsid w:val="00C4488B"/>
    <w:rsid w:val="00C44A35"/>
    <w:rsid w:val="00C44ECB"/>
    <w:rsid w:val="00C45555"/>
    <w:rsid w:val="00C45976"/>
    <w:rsid w:val="00C45A93"/>
    <w:rsid w:val="00C46068"/>
    <w:rsid w:val="00C4696E"/>
    <w:rsid w:val="00C46A80"/>
    <w:rsid w:val="00C4716E"/>
    <w:rsid w:val="00C47285"/>
    <w:rsid w:val="00C47791"/>
    <w:rsid w:val="00C4793D"/>
    <w:rsid w:val="00C47E39"/>
    <w:rsid w:val="00C506EB"/>
    <w:rsid w:val="00C50C1E"/>
    <w:rsid w:val="00C51C98"/>
    <w:rsid w:val="00C5237D"/>
    <w:rsid w:val="00C535F1"/>
    <w:rsid w:val="00C53F60"/>
    <w:rsid w:val="00C546AB"/>
    <w:rsid w:val="00C5474E"/>
    <w:rsid w:val="00C548F2"/>
    <w:rsid w:val="00C548FA"/>
    <w:rsid w:val="00C55378"/>
    <w:rsid w:val="00C55560"/>
    <w:rsid w:val="00C57994"/>
    <w:rsid w:val="00C60644"/>
    <w:rsid w:val="00C60AB3"/>
    <w:rsid w:val="00C61956"/>
    <w:rsid w:val="00C61997"/>
    <w:rsid w:val="00C62393"/>
    <w:rsid w:val="00C62BF4"/>
    <w:rsid w:val="00C6323C"/>
    <w:rsid w:val="00C634B4"/>
    <w:rsid w:val="00C63585"/>
    <w:rsid w:val="00C65998"/>
    <w:rsid w:val="00C669C1"/>
    <w:rsid w:val="00C66B72"/>
    <w:rsid w:val="00C674CD"/>
    <w:rsid w:val="00C67622"/>
    <w:rsid w:val="00C67F18"/>
    <w:rsid w:val="00C714BB"/>
    <w:rsid w:val="00C7275B"/>
    <w:rsid w:val="00C7281A"/>
    <w:rsid w:val="00C73738"/>
    <w:rsid w:val="00C7377E"/>
    <w:rsid w:val="00C73BAE"/>
    <w:rsid w:val="00C748D8"/>
    <w:rsid w:val="00C74AAA"/>
    <w:rsid w:val="00C74C37"/>
    <w:rsid w:val="00C7526E"/>
    <w:rsid w:val="00C759BE"/>
    <w:rsid w:val="00C75A4F"/>
    <w:rsid w:val="00C75E68"/>
    <w:rsid w:val="00C76135"/>
    <w:rsid w:val="00C768EA"/>
    <w:rsid w:val="00C76C96"/>
    <w:rsid w:val="00C77013"/>
    <w:rsid w:val="00C771AA"/>
    <w:rsid w:val="00C77F47"/>
    <w:rsid w:val="00C811BA"/>
    <w:rsid w:val="00C81339"/>
    <w:rsid w:val="00C81FBE"/>
    <w:rsid w:val="00C82B0B"/>
    <w:rsid w:val="00C83A33"/>
    <w:rsid w:val="00C83A40"/>
    <w:rsid w:val="00C84B0E"/>
    <w:rsid w:val="00C84E16"/>
    <w:rsid w:val="00C850FD"/>
    <w:rsid w:val="00C857A1"/>
    <w:rsid w:val="00C85897"/>
    <w:rsid w:val="00C85CF6"/>
    <w:rsid w:val="00C85DDE"/>
    <w:rsid w:val="00C86C06"/>
    <w:rsid w:val="00C8734C"/>
    <w:rsid w:val="00C8737F"/>
    <w:rsid w:val="00C9055F"/>
    <w:rsid w:val="00C91645"/>
    <w:rsid w:val="00C92CF7"/>
    <w:rsid w:val="00C936C3"/>
    <w:rsid w:val="00C93DCE"/>
    <w:rsid w:val="00C940E6"/>
    <w:rsid w:val="00C949E2"/>
    <w:rsid w:val="00C94BF5"/>
    <w:rsid w:val="00C9567A"/>
    <w:rsid w:val="00C957E5"/>
    <w:rsid w:val="00C95BF6"/>
    <w:rsid w:val="00C9670F"/>
    <w:rsid w:val="00C96AF3"/>
    <w:rsid w:val="00C96BFF"/>
    <w:rsid w:val="00C97B52"/>
    <w:rsid w:val="00CA0428"/>
    <w:rsid w:val="00CA0730"/>
    <w:rsid w:val="00CA0E2F"/>
    <w:rsid w:val="00CA1D19"/>
    <w:rsid w:val="00CA249C"/>
    <w:rsid w:val="00CA28C5"/>
    <w:rsid w:val="00CA34BE"/>
    <w:rsid w:val="00CA3B1D"/>
    <w:rsid w:val="00CA4160"/>
    <w:rsid w:val="00CA44E8"/>
    <w:rsid w:val="00CA53D1"/>
    <w:rsid w:val="00CA5B5E"/>
    <w:rsid w:val="00CA61E3"/>
    <w:rsid w:val="00CA6219"/>
    <w:rsid w:val="00CA65F1"/>
    <w:rsid w:val="00CA6E49"/>
    <w:rsid w:val="00CA6EE1"/>
    <w:rsid w:val="00CB08A1"/>
    <w:rsid w:val="00CB13BC"/>
    <w:rsid w:val="00CB17C1"/>
    <w:rsid w:val="00CB2422"/>
    <w:rsid w:val="00CB2660"/>
    <w:rsid w:val="00CB2A1A"/>
    <w:rsid w:val="00CB320F"/>
    <w:rsid w:val="00CB3418"/>
    <w:rsid w:val="00CB36CE"/>
    <w:rsid w:val="00CB3738"/>
    <w:rsid w:val="00CB3827"/>
    <w:rsid w:val="00CB3A1A"/>
    <w:rsid w:val="00CB4965"/>
    <w:rsid w:val="00CB4C01"/>
    <w:rsid w:val="00CB5334"/>
    <w:rsid w:val="00CB712B"/>
    <w:rsid w:val="00CB7A42"/>
    <w:rsid w:val="00CB7D6F"/>
    <w:rsid w:val="00CC0E8C"/>
    <w:rsid w:val="00CC1157"/>
    <w:rsid w:val="00CC232B"/>
    <w:rsid w:val="00CC25A6"/>
    <w:rsid w:val="00CC30E5"/>
    <w:rsid w:val="00CC44ED"/>
    <w:rsid w:val="00CC460F"/>
    <w:rsid w:val="00CC5639"/>
    <w:rsid w:val="00CC5E13"/>
    <w:rsid w:val="00CC5E90"/>
    <w:rsid w:val="00CC72FB"/>
    <w:rsid w:val="00CD046C"/>
    <w:rsid w:val="00CD0979"/>
    <w:rsid w:val="00CD261C"/>
    <w:rsid w:val="00CD36BA"/>
    <w:rsid w:val="00CD38C8"/>
    <w:rsid w:val="00CD403E"/>
    <w:rsid w:val="00CD6BCF"/>
    <w:rsid w:val="00CD7BBE"/>
    <w:rsid w:val="00CE0052"/>
    <w:rsid w:val="00CE1390"/>
    <w:rsid w:val="00CE1E71"/>
    <w:rsid w:val="00CE2A6C"/>
    <w:rsid w:val="00CE405C"/>
    <w:rsid w:val="00CE4868"/>
    <w:rsid w:val="00CE4999"/>
    <w:rsid w:val="00CE5199"/>
    <w:rsid w:val="00CE66D5"/>
    <w:rsid w:val="00CE66E4"/>
    <w:rsid w:val="00CF07C3"/>
    <w:rsid w:val="00CF0A29"/>
    <w:rsid w:val="00CF0AD5"/>
    <w:rsid w:val="00CF12C1"/>
    <w:rsid w:val="00CF1E94"/>
    <w:rsid w:val="00CF1FF5"/>
    <w:rsid w:val="00CF273B"/>
    <w:rsid w:val="00CF2824"/>
    <w:rsid w:val="00CF3EBB"/>
    <w:rsid w:val="00CF4138"/>
    <w:rsid w:val="00CF439C"/>
    <w:rsid w:val="00CF5539"/>
    <w:rsid w:val="00CF63BF"/>
    <w:rsid w:val="00CF6754"/>
    <w:rsid w:val="00CF768E"/>
    <w:rsid w:val="00D002FC"/>
    <w:rsid w:val="00D01F78"/>
    <w:rsid w:val="00D01FAC"/>
    <w:rsid w:val="00D0228D"/>
    <w:rsid w:val="00D02E9F"/>
    <w:rsid w:val="00D03633"/>
    <w:rsid w:val="00D03C39"/>
    <w:rsid w:val="00D04137"/>
    <w:rsid w:val="00D04674"/>
    <w:rsid w:val="00D05066"/>
    <w:rsid w:val="00D05DAE"/>
    <w:rsid w:val="00D065A9"/>
    <w:rsid w:val="00D06D0A"/>
    <w:rsid w:val="00D070D7"/>
    <w:rsid w:val="00D07439"/>
    <w:rsid w:val="00D0799B"/>
    <w:rsid w:val="00D07A1B"/>
    <w:rsid w:val="00D10D00"/>
    <w:rsid w:val="00D10E59"/>
    <w:rsid w:val="00D11349"/>
    <w:rsid w:val="00D1134B"/>
    <w:rsid w:val="00D1169D"/>
    <w:rsid w:val="00D11888"/>
    <w:rsid w:val="00D12883"/>
    <w:rsid w:val="00D12D6C"/>
    <w:rsid w:val="00D12F97"/>
    <w:rsid w:val="00D13FAB"/>
    <w:rsid w:val="00D14582"/>
    <w:rsid w:val="00D14B21"/>
    <w:rsid w:val="00D14FBC"/>
    <w:rsid w:val="00D15377"/>
    <w:rsid w:val="00D1539E"/>
    <w:rsid w:val="00D15ABB"/>
    <w:rsid w:val="00D15E54"/>
    <w:rsid w:val="00D16299"/>
    <w:rsid w:val="00D162B0"/>
    <w:rsid w:val="00D16C41"/>
    <w:rsid w:val="00D2095A"/>
    <w:rsid w:val="00D20BFA"/>
    <w:rsid w:val="00D20D54"/>
    <w:rsid w:val="00D210F8"/>
    <w:rsid w:val="00D211D9"/>
    <w:rsid w:val="00D2131F"/>
    <w:rsid w:val="00D21D95"/>
    <w:rsid w:val="00D21DA2"/>
    <w:rsid w:val="00D2250C"/>
    <w:rsid w:val="00D22F94"/>
    <w:rsid w:val="00D2345D"/>
    <w:rsid w:val="00D23567"/>
    <w:rsid w:val="00D23785"/>
    <w:rsid w:val="00D23A91"/>
    <w:rsid w:val="00D24291"/>
    <w:rsid w:val="00D2456B"/>
    <w:rsid w:val="00D25889"/>
    <w:rsid w:val="00D25C75"/>
    <w:rsid w:val="00D25FCD"/>
    <w:rsid w:val="00D275B4"/>
    <w:rsid w:val="00D27FBF"/>
    <w:rsid w:val="00D31472"/>
    <w:rsid w:val="00D31A13"/>
    <w:rsid w:val="00D31A84"/>
    <w:rsid w:val="00D32BCF"/>
    <w:rsid w:val="00D32D94"/>
    <w:rsid w:val="00D330A7"/>
    <w:rsid w:val="00D3350E"/>
    <w:rsid w:val="00D340AA"/>
    <w:rsid w:val="00D34786"/>
    <w:rsid w:val="00D35609"/>
    <w:rsid w:val="00D35A0A"/>
    <w:rsid w:val="00D35CFB"/>
    <w:rsid w:val="00D36696"/>
    <w:rsid w:val="00D36A2C"/>
    <w:rsid w:val="00D37539"/>
    <w:rsid w:val="00D37557"/>
    <w:rsid w:val="00D4040F"/>
    <w:rsid w:val="00D40A1E"/>
    <w:rsid w:val="00D41308"/>
    <w:rsid w:val="00D42007"/>
    <w:rsid w:val="00D42A76"/>
    <w:rsid w:val="00D42BAB"/>
    <w:rsid w:val="00D43C78"/>
    <w:rsid w:val="00D43D02"/>
    <w:rsid w:val="00D44A80"/>
    <w:rsid w:val="00D44B04"/>
    <w:rsid w:val="00D44BDF"/>
    <w:rsid w:val="00D45150"/>
    <w:rsid w:val="00D45500"/>
    <w:rsid w:val="00D4662C"/>
    <w:rsid w:val="00D46CDC"/>
    <w:rsid w:val="00D46FBE"/>
    <w:rsid w:val="00D47631"/>
    <w:rsid w:val="00D47E97"/>
    <w:rsid w:val="00D47F4D"/>
    <w:rsid w:val="00D5025B"/>
    <w:rsid w:val="00D50AFF"/>
    <w:rsid w:val="00D50CBE"/>
    <w:rsid w:val="00D512DC"/>
    <w:rsid w:val="00D523C3"/>
    <w:rsid w:val="00D52B5B"/>
    <w:rsid w:val="00D52C14"/>
    <w:rsid w:val="00D537DA"/>
    <w:rsid w:val="00D53960"/>
    <w:rsid w:val="00D539A6"/>
    <w:rsid w:val="00D53F3D"/>
    <w:rsid w:val="00D54FD9"/>
    <w:rsid w:val="00D558C4"/>
    <w:rsid w:val="00D55D01"/>
    <w:rsid w:val="00D568A0"/>
    <w:rsid w:val="00D56E33"/>
    <w:rsid w:val="00D57019"/>
    <w:rsid w:val="00D57833"/>
    <w:rsid w:val="00D6092C"/>
    <w:rsid w:val="00D60BBD"/>
    <w:rsid w:val="00D60D42"/>
    <w:rsid w:val="00D61163"/>
    <w:rsid w:val="00D6144B"/>
    <w:rsid w:val="00D620D2"/>
    <w:rsid w:val="00D62894"/>
    <w:rsid w:val="00D62BD0"/>
    <w:rsid w:val="00D62F66"/>
    <w:rsid w:val="00D62FB8"/>
    <w:rsid w:val="00D63033"/>
    <w:rsid w:val="00D63233"/>
    <w:rsid w:val="00D64AAD"/>
    <w:rsid w:val="00D65E4F"/>
    <w:rsid w:val="00D6603B"/>
    <w:rsid w:val="00D66113"/>
    <w:rsid w:val="00D66EBD"/>
    <w:rsid w:val="00D66F60"/>
    <w:rsid w:val="00D671D3"/>
    <w:rsid w:val="00D677D5"/>
    <w:rsid w:val="00D70778"/>
    <w:rsid w:val="00D70D74"/>
    <w:rsid w:val="00D70EFB"/>
    <w:rsid w:val="00D712D3"/>
    <w:rsid w:val="00D71422"/>
    <w:rsid w:val="00D7145E"/>
    <w:rsid w:val="00D72789"/>
    <w:rsid w:val="00D72985"/>
    <w:rsid w:val="00D72ED0"/>
    <w:rsid w:val="00D73376"/>
    <w:rsid w:val="00D73D78"/>
    <w:rsid w:val="00D73E27"/>
    <w:rsid w:val="00D74A1F"/>
    <w:rsid w:val="00D74B5B"/>
    <w:rsid w:val="00D74C93"/>
    <w:rsid w:val="00D74F68"/>
    <w:rsid w:val="00D7514B"/>
    <w:rsid w:val="00D7558D"/>
    <w:rsid w:val="00D76232"/>
    <w:rsid w:val="00D7649A"/>
    <w:rsid w:val="00D76A3D"/>
    <w:rsid w:val="00D77A99"/>
    <w:rsid w:val="00D77B2C"/>
    <w:rsid w:val="00D77BCE"/>
    <w:rsid w:val="00D80440"/>
    <w:rsid w:val="00D80B8C"/>
    <w:rsid w:val="00D80C85"/>
    <w:rsid w:val="00D811FF"/>
    <w:rsid w:val="00D81C90"/>
    <w:rsid w:val="00D81D92"/>
    <w:rsid w:val="00D81F73"/>
    <w:rsid w:val="00D826A0"/>
    <w:rsid w:val="00D82760"/>
    <w:rsid w:val="00D82876"/>
    <w:rsid w:val="00D82EA8"/>
    <w:rsid w:val="00D838BE"/>
    <w:rsid w:val="00D83DD3"/>
    <w:rsid w:val="00D83FFE"/>
    <w:rsid w:val="00D86402"/>
    <w:rsid w:val="00D86569"/>
    <w:rsid w:val="00D865A2"/>
    <w:rsid w:val="00D87416"/>
    <w:rsid w:val="00D8763F"/>
    <w:rsid w:val="00D878CA"/>
    <w:rsid w:val="00D9040B"/>
    <w:rsid w:val="00D9087A"/>
    <w:rsid w:val="00D91047"/>
    <w:rsid w:val="00D912A6"/>
    <w:rsid w:val="00D9141D"/>
    <w:rsid w:val="00D915AB"/>
    <w:rsid w:val="00D91B1E"/>
    <w:rsid w:val="00D91D59"/>
    <w:rsid w:val="00D92374"/>
    <w:rsid w:val="00D93446"/>
    <w:rsid w:val="00D9382D"/>
    <w:rsid w:val="00D941FB"/>
    <w:rsid w:val="00D946AA"/>
    <w:rsid w:val="00D94D1C"/>
    <w:rsid w:val="00D94F44"/>
    <w:rsid w:val="00D9539C"/>
    <w:rsid w:val="00D95402"/>
    <w:rsid w:val="00D96245"/>
    <w:rsid w:val="00D975F8"/>
    <w:rsid w:val="00D978E5"/>
    <w:rsid w:val="00DA062D"/>
    <w:rsid w:val="00DA1520"/>
    <w:rsid w:val="00DA1F9E"/>
    <w:rsid w:val="00DA2A7C"/>
    <w:rsid w:val="00DA3005"/>
    <w:rsid w:val="00DA300A"/>
    <w:rsid w:val="00DA36AE"/>
    <w:rsid w:val="00DA40CF"/>
    <w:rsid w:val="00DA4E4E"/>
    <w:rsid w:val="00DA5ECF"/>
    <w:rsid w:val="00DA6AB3"/>
    <w:rsid w:val="00DA7151"/>
    <w:rsid w:val="00DA755B"/>
    <w:rsid w:val="00DA77AA"/>
    <w:rsid w:val="00DA7982"/>
    <w:rsid w:val="00DA79D0"/>
    <w:rsid w:val="00DA7B5F"/>
    <w:rsid w:val="00DB18A8"/>
    <w:rsid w:val="00DB1D14"/>
    <w:rsid w:val="00DB3050"/>
    <w:rsid w:val="00DB30EC"/>
    <w:rsid w:val="00DB3374"/>
    <w:rsid w:val="00DB4A1E"/>
    <w:rsid w:val="00DB4D80"/>
    <w:rsid w:val="00DB5C3C"/>
    <w:rsid w:val="00DB6C6C"/>
    <w:rsid w:val="00DC07A4"/>
    <w:rsid w:val="00DC12A5"/>
    <w:rsid w:val="00DC174D"/>
    <w:rsid w:val="00DC2858"/>
    <w:rsid w:val="00DC28C0"/>
    <w:rsid w:val="00DC2F9D"/>
    <w:rsid w:val="00DC2FF2"/>
    <w:rsid w:val="00DC3121"/>
    <w:rsid w:val="00DC4839"/>
    <w:rsid w:val="00DC6453"/>
    <w:rsid w:val="00DC6D2C"/>
    <w:rsid w:val="00DC7597"/>
    <w:rsid w:val="00DC7693"/>
    <w:rsid w:val="00DC7F0B"/>
    <w:rsid w:val="00DD045E"/>
    <w:rsid w:val="00DD1E65"/>
    <w:rsid w:val="00DD2032"/>
    <w:rsid w:val="00DD2635"/>
    <w:rsid w:val="00DD2BE4"/>
    <w:rsid w:val="00DD2C54"/>
    <w:rsid w:val="00DD4B5B"/>
    <w:rsid w:val="00DD5501"/>
    <w:rsid w:val="00DD6D8F"/>
    <w:rsid w:val="00DD6DEF"/>
    <w:rsid w:val="00DD6F04"/>
    <w:rsid w:val="00DD759E"/>
    <w:rsid w:val="00DD7F29"/>
    <w:rsid w:val="00DE01CB"/>
    <w:rsid w:val="00DE0266"/>
    <w:rsid w:val="00DE0893"/>
    <w:rsid w:val="00DE16C3"/>
    <w:rsid w:val="00DE181C"/>
    <w:rsid w:val="00DE26A2"/>
    <w:rsid w:val="00DE3B4F"/>
    <w:rsid w:val="00DE3E14"/>
    <w:rsid w:val="00DE4162"/>
    <w:rsid w:val="00DE6249"/>
    <w:rsid w:val="00DE62F2"/>
    <w:rsid w:val="00DE69AC"/>
    <w:rsid w:val="00DE735D"/>
    <w:rsid w:val="00DE7417"/>
    <w:rsid w:val="00DE783D"/>
    <w:rsid w:val="00DE7D2E"/>
    <w:rsid w:val="00DF1CDD"/>
    <w:rsid w:val="00DF1DF9"/>
    <w:rsid w:val="00DF2FDC"/>
    <w:rsid w:val="00DF3130"/>
    <w:rsid w:val="00DF3A3C"/>
    <w:rsid w:val="00DF42A0"/>
    <w:rsid w:val="00DF472F"/>
    <w:rsid w:val="00DF498D"/>
    <w:rsid w:val="00DF4BDE"/>
    <w:rsid w:val="00DF5077"/>
    <w:rsid w:val="00DF56EC"/>
    <w:rsid w:val="00DF7793"/>
    <w:rsid w:val="00E0059C"/>
    <w:rsid w:val="00E01798"/>
    <w:rsid w:val="00E018BA"/>
    <w:rsid w:val="00E01B40"/>
    <w:rsid w:val="00E02360"/>
    <w:rsid w:val="00E023DF"/>
    <w:rsid w:val="00E052B0"/>
    <w:rsid w:val="00E067A6"/>
    <w:rsid w:val="00E068E0"/>
    <w:rsid w:val="00E06BAE"/>
    <w:rsid w:val="00E06DDE"/>
    <w:rsid w:val="00E0702F"/>
    <w:rsid w:val="00E070DA"/>
    <w:rsid w:val="00E07187"/>
    <w:rsid w:val="00E0734B"/>
    <w:rsid w:val="00E0740A"/>
    <w:rsid w:val="00E079D8"/>
    <w:rsid w:val="00E11392"/>
    <w:rsid w:val="00E114A7"/>
    <w:rsid w:val="00E13D70"/>
    <w:rsid w:val="00E1451D"/>
    <w:rsid w:val="00E15130"/>
    <w:rsid w:val="00E15217"/>
    <w:rsid w:val="00E1542D"/>
    <w:rsid w:val="00E1578C"/>
    <w:rsid w:val="00E15F82"/>
    <w:rsid w:val="00E15FBA"/>
    <w:rsid w:val="00E16F9D"/>
    <w:rsid w:val="00E17683"/>
    <w:rsid w:val="00E2121C"/>
    <w:rsid w:val="00E22278"/>
    <w:rsid w:val="00E2284A"/>
    <w:rsid w:val="00E230FD"/>
    <w:rsid w:val="00E236F1"/>
    <w:rsid w:val="00E2398E"/>
    <w:rsid w:val="00E23A98"/>
    <w:rsid w:val="00E25A41"/>
    <w:rsid w:val="00E25BE4"/>
    <w:rsid w:val="00E2673A"/>
    <w:rsid w:val="00E26F97"/>
    <w:rsid w:val="00E26FCD"/>
    <w:rsid w:val="00E272A4"/>
    <w:rsid w:val="00E27AA4"/>
    <w:rsid w:val="00E30281"/>
    <w:rsid w:val="00E30994"/>
    <w:rsid w:val="00E314FA"/>
    <w:rsid w:val="00E31AAE"/>
    <w:rsid w:val="00E32FE3"/>
    <w:rsid w:val="00E3317B"/>
    <w:rsid w:val="00E33181"/>
    <w:rsid w:val="00E337D9"/>
    <w:rsid w:val="00E3386F"/>
    <w:rsid w:val="00E33E64"/>
    <w:rsid w:val="00E3533B"/>
    <w:rsid w:val="00E3622A"/>
    <w:rsid w:val="00E364C4"/>
    <w:rsid w:val="00E37292"/>
    <w:rsid w:val="00E3757F"/>
    <w:rsid w:val="00E37980"/>
    <w:rsid w:val="00E40AEA"/>
    <w:rsid w:val="00E41133"/>
    <w:rsid w:val="00E41E9F"/>
    <w:rsid w:val="00E42994"/>
    <w:rsid w:val="00E42C74"/>
    <w:rsid w:val="00E43157"/>
    <w:rsid w:val="00E43212"/>
    <w:rsid w:val="00E4390D"/>
    <w:rsid w:val="00E43C54"/>
    <w:rsid w:val="00E43C96"/>
    <w:rsid w:val="00E43E39"/>
    <w:rsid w:val="00E44853"/>
    <w:rsid w:val="00E44961"/>
    <w:rsid w:val="00E45D29"/>
    <w:rsid w:val="00E461F9"/>
    <w:rsid w:val="00E46307"/>
    <w:rsid w:val="00E477E8"/>
    <w:rsid w:val="00E4781D"/>
    <w:rsid w:val="00E47E00"/>
    <w:rsid w:val="00E50136"/>
    <w:rsid w:val="00E51067"/>
    <w:rsid w:val="00E52427"/>
    <w:rsid w:val="00E524D4"/>
    <w:rsid w:val="00E533FF"/>
    <w:rsid w:val="00E53BD8"/>
    <w:rsid w:val="00E53DC6"/>
    <w:rsid w:val="00E53E5E"/>
    <w:rsid w:val="00E54100"/>
    <w:rsid w:val="00E54CE4"/>
    <w:rsid w:val="00E54EF8"/>
    <w:rsid w:val="00E54EF9"/>
    <w:rsid w:val="00E56125"/>
    <w:rsid w:val="00E56477"/>
    <w:rsid w:val="00E57833"/>
    <w:rsid w:val="00E57AC6"/>
    <w:rsid w:val="00E57B6B"/>
    <w:rsid w:val="00E57ECF"/>
    <w:rsid w:val="00E608CA"/>
    <w:rsid w:val="00E61067"/>
    <w:rsid w:val="00E61DC3"/>
    <w:rsid w:val="00E61FC3"/>
    <w:rsid w:val="00E62965"/>
    <w:rsid w:val="00E62BF1"/>
    <w:rsid w:val="00E6356C"/>
    <w:rsid w:val="00E6364D"/>
    <w:rsid w:val="00E63B98"/>
    <w:rsid w:val="00E64645"/>
    <w:rsid w:val="00E64863"/>
    <w:rsid w:val="00E648F3"/>
    <w:rsid w:val="00E64AF6"/>
    <w:rsid w:val="00E64E6F"/>
    <w:rsid w:val="00E64FF5"/>
    <w:rsid w:val="00E654A2"/>
    <w:rsid w:val="00E65711"/>
    <w:rsid w:val="00E65CB4"/>
    <w:rsid w:val="00E661FD"/>
    <w:rsid w:val="00E6703B"/>
    <w:rsid w:val="00E67CBA"/>
    <w:rsid w:val="00E709B3"/>
    <w:rsid w:val="00E70B54"/>
    <w:rsid w:val="00E711AB"/>
    <w:rsid w:val="00E7126F"/>
    <w:rsid w:val="00E71410"/>
    <w:rsid w:val="00E7193A"/>
    <w:rsid w:val="00E71B41"/>
    <w:rsid w:val="00E71E57"/>
    <w:rsid w:val="00E71E89"/>
    <w:rsid w:val="00E71FD7"/>
    <w:rsid w:val="00E72FFF"/>
    <w:rsid w:val="00E74123"/>
    <w:rsid w:val="00E74177"/>
    <w:rsid w:val="00E753FA"/>
    <w:rsid w:val="00E75440"/>
    <w:rsid w:val="00E75F13"/>
    <w:rsid w:val="00E7676B"/>
    <w:rsid w:val="00E767BD"/>
    <w:rsid w:val="00E76C84"/>
    <w:rsid w:val="00E76CBC"/>
    <w:rsid w:val="00E76E80"/>
    <w:rsid w:val="00E7739E"/>
    <w:rsid w:val="00E774E4"/>
    <w:rsid w:val="00E807AA"/>
    <w:rsid w:val="00E80E83"/>
    <w:rsid w:val="00E81771"/>
    <w:rsid w:val="00E81A3E"/>
    <w:rsid w:val="00E82CCD"/>
    <w:rsid w:val="00E82F32"/>
    <w:rsid w:val="00E830CC"/>
    <w:rsid w:val="00E833E9"/>
    <w:rsid w:val="00E833FA"/>
    <w:rsid w:val="00E83848"/>
    <w:rsid w:val="00E855B5"/>
    <w:rsid w:val="00E8617F"/>
    <w:rsid w:val="00E86ABD"/>
    <w:rsid w:val="00E86E84"/>
    <w:rsid w:val="00E86EAF"/>
    <w:rsid w:val="00E87515"/>
    <w:rsid w:val="00E8789F"/>
    <w:rsid w:val="00E908CF"/>
    <w:rsid w:val="00E91BE2"/>
    <w:rsid w:val="00E920D0"/>
    <w:rsid w:val="00E92215"/>
    <w:rsid w:val="00E92993"/>
    <w:rsid w:val="00E92E80"/>
    <w:rsid w:val="00E9316D"/>
    <w:rsid w:val="00E93BDB"/>
    <w:rsid w:val="00E94203"/>
    <w:rsid w:val="00E94D19"/>
    <w:rsid w:val="00E94E3D"/>
    <w:rsid w:val="00E961D0"/>
    <w:rsid w:val="00E96942"/>
    <w:rsid w:val="00E978C5"/>
    <w:rsid w:val="00E97B71"/>
    <w:rsid w:val="00E97CED"/>
    <w:rsid w:val="00EA01E7"/>
    <w:rsid w:val="00EA077D"/>
    <w:rsid w:val="00EA0836"/>
    <w:rsid w:val="00EA1283"/>
    <w:rsid w:val="00EA26BA"/>
    <w:rsid w:val="00EA48EC"/>
    <w:rsid w:val="00EA4EB1"/>
    <w:rsid w:val="00EA4F82"/>
    <w:rsid w:val="00EA5A04"/>
    <w:rsid w:val="00EA5FE2"/>
    <w:rsid w:val="00EA603E"/>
    <w:rsid w:val="00EA6A6E"/>
    <w:rsid w:val="00EA70E0"/>
    <w:rsid w:val="00EA7448"/>
    <w:rsid w:val="00EA7F95"/>
    <w:rsid w:val="00EB01F4"/>
    <w:rsid w:val="00EB0252"/>
    <w:rsid w:val="00EB15FF"/>
    <w:rsid w:val="00EB18F6"/>
    <w:rsid w:val="00EB1CAE"/>
    <w:rsid w:val="00EB1D83"/>
    <w:rsid w:val="00EB24D7"/>
    <w:rsid w:val="00EB2ED9"/>
    <w:rsid w:val="00EB394F"/>
    <w:rsid w:val="00EB4080"/>
    <w:rsid w:val="00EB4249"/>
    <w:rsid w:val="00EB454D"/>
    <w:rsid w:val="00EB454F"/>
    <w:rsid w:val="00EB4B7E"/>
    <w:rsid w:val="00EB51DC"/>
    <w:rsid w:val="00EB51EA"/>
    <w:rsid w:val="00EB55C1"/>
    <w:rsid w:val="00EB5B7A"/>
    <w:rsid w:val="00EB6170"/>
    <w:rsid w:val="00EB62D9"/>
    <w:rsid w:val="00EB6B06"/>
    <w:rsid w:val="00EB7A72"/>
    <w:rsid w:val="00EB7F0A"/>
    <w:rsid w:val="00EC0BA4"/>
    <w:rsid w:val="00EC112E"/>
    <w:rsid w:val="00EC20C2"/>
    <w:rsid w:val="00EC2AAD"/>
    <w:rsid w:val="00EC31F9"/>
    <w:rsid w:val="00EC36F6"/>
    <w:rsid w:val="00EC437D"/>
    <w:rsid w:val="00EC440C"/>
    <w:rsid w:val="00EC45C1"/>
    <w:rsid w:val="00EC5123"/>
    <w:rsid w:val="00EC514D"/>
    <w:rsid w:val="00EC5570"/>
    <w:rsid w:val="00EC59D9"/>
    <w:rsid w:val="00EC68B2"/>
    <w:rsid w:val="00EC6931"/>
    <w:rsid w:val="00EC6F2B"/>
    <w:rsid w:val="00EC703E"/>
    <w:rsid w:val="00EC714E"/>
    <w:rsid w:val="00EC74EB"/>
    <w:rsid w:val="00EC7C31"/>
    <w:rsid w:val="00ED0268"/>
    <w:rsid w:val="00ED04F8"/>
    <w:rsid w:val="00ED0E31"/>
    <w:rsid w:val="00ED0F40"/>
    <w:rsid w:val="00ED1405"/>
    <w:rsid w:val="00ED147C"/>
    <w:rsid w:val="00ED18FD"/>
    <w:rsid w:val="00ED19E9"/>
    <w:rsid w:val="00ED2A53"/>
    <w:rsid w:val="00ED2D1D"/>
    <w:rsid w:val="00ED3A8E"/>
    <w:rsid w:val="00ED3AB2"/>
    <w:rsid w:val="00ED5284"/>
    <w:rsid w:val="00ED52B0"/>
    <w:rsid w:val="00ED56AB"/>
    <w:rsid w:val="00ED5BE1"/>
    <w:rsid w:val="00EE04C1"/>
    <w:rsid w:val="00EE0BA9"/>
    <w:rsid w:val="00EE0D3E"/>
    <w:rsid w:val="00EE140F"/>
    <w:rsid w:val="00EE2931"/>
    <w:rsid w:val="00EE2BD2"/>
    <w:rsid w:val="00EE3522"/>
    <w:rsid w:val="00EE36D7"/>
    <w:rsid w:val="00EE39AD"/>
    <w:rsid w:val="00EE4E4B"/>
    <w:rsid w:val="00EE5C5E"/>
    <w:rsid w:val="00EE5D7E"/>
    <w:rsid w:val="00EE5E58"/>
    <w:rsid w:val="00EE7718"/>
    <w:rsid w:val="00EF04A0"/>
    <w:rsid w:val="00EF0CEF"/>
    <w:rsid w:val="00EF2493"/>
    <w:rsid w:val="00EF2BCD"/>
    <w:rsid w:val="00EF36AC"/>
    <w:rsid w:val="00EF4804"/>
    <w:rsid w:val="00EF49F0"/>
    <w:rsid w:val="00EF4C4E"/>
    <w:rsid w:val="00EF4EC3"/>
    <w:rsid w:val="00EF56CE"/>
    <w:rsid w:val="00EF5839"/>
    <w:rsid w:val="00EF5AA9"/>
    <w:rsid w:val="00EF619B"/>
    <w:rsid w:val="00EF620A"/>
    <w:rsid w:val="00EF6972"/>
    <w:rsid w:val="00EF7231"/>
    <w:rsid w:val="00EF78C3"/>
    <w:rsid w:val="00F001CA"/>
    <w:rsid w:val="00F005EE"/>
    <w:rsid w:val="00F00B55"/>
    <w:rsid w:val="00F0235E"/>
    <w:rsid w:val="00F02586"/>
    <w:rsid w:val="00F03705"/>
    <w:rsid w:val="00F04AFE"/>
    <w:rsid w:val="00F059CF"/>
    <w:rsid w:val="00F0639A"/>
    <w:rsid w:val="00F06961"/>
    <w:rsid w:val="00F06AE9"/>
    <w:rsid w:val="00F1005F"/>
    <w:rsid w:val="00F10CE6"/>
    <w:rsid w:val="00F11242"/>
    <w:rsid w:val="00F1129E"/>
    <w:rsid w:val="00F1188B"/>
    <w:rsid w:val="00F11EF1"/>
    <w:rsid w:val="00F1380F"/>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27E6"/>
    <w:rsid w:val="00F2328B"/>
    <w:rsid w:val="00F2435F"/>
    <w:rsid w:val="00F24C29"/>
    <w:rsid w:val="00F253CC"/>
    <w:rsid w:val="00F25C31"/>
    <w:rsid w:val="00F267BE"/>
    <w:rsid w:val="00F267E4"/>
    <w:rsid w:val="00F26B0B"/>
    <w:rsid w:val="00F27458"/>
    <w:rsid w:val="00F277DB"/>
    <w:rsid w:val="00F27ACD"/>
    <w:rsid w:val="00F27C08"/>
    <w:rsid w:val="00F27CD8"/>
    <w:rsid w:val="00F27CFD"/>
    <w:rsid w:val="00F27F00"/>
    <w:rsid w:val="00F311E2"/>
    <w:rsid w:val="00F31814"/>
    <w:rsid w:val="00F32262"/>
    <w:rsid w:val="00F3379A"/>
    <w:rsid w:val="00F34265"/>
    <w:rsid w:val="00F345AF"/>
    <w:rsid w:val="00F34A7E"/>
    <w:rsid w:val="00F35C2A"/>
    <w:rsid w:val="00F35E2A"/>
    <w:rsid w:val="00F36C33"/>
    <w:rsid w:val="00F36D40"/>
    <w:rsid w:val="00F36F27"/>
    <w:rsid w:val="00F37481"/>
    <w:rsid w:val="00F377BE"/>
    <w:rsid w:val="00F37F99"/>
    <w:rsid w:val="00F40B92"/>
    <w:rsid w:val="00F4139C"/>
    <w:rsid w:val="00F41A44"/>
    <w:rsid w:val="00F427E6"/>
    <w:rsid w:val="00F434F9"/>
    <w:rsid w:val="00F438CD"/>
    <w:rsid w:val="00F441B9"/>
    <w:rsid w:val="00F45EBF"/>
    <w:rsid w:val="00F46107"/>
    <w:rsid w:val="00F46498"/>
    <w:rsid w:val="00F503B5"/>
    <w:rsid w:val="00F50844"/>
    <w:rsid w:val="00F50CCD"/>
    <w:rsid w:val="00F516D3"/>
    <w:rsid w:val="00F51F0D"/>
    <w:rsid w:val="00F545AC"/>
    <w:rsid w:val="00F54873"/>
    <w:rsid w:val="00F548A6"/>
    <w:rsid w:val="00F5497B"/>
    <w:rsid w:val="00F54F56"/>
    <w:rsid w:val="00F55507"/>
    <w:rsid w:val="00F55F3B"/>
    <w:rsid w:val="00F566C6"/>
    <w:rsid w:val="00F5694D"/>
    <w:rsid w:val="00F56A40"/>
    <w:rsid w:val="00F56BA5"/>
    <w:rsid w:val="00F56BE1"/>
    <w:rsid w:val="00F56D59"/>
    <w:rsid w:val="00F57538"/>
    <w:rsid w:val="00F57731"/>
    <w:rsid w:val="00F6022A"/>
    <w:rsid w:val="00F60E01"/>
    <w:rsid w:val="00F6108F"/>
    <w:rsid w:val="00F61379"/>
    <w:rsid w:val="00F6160F"/>
    <w:rsid w:val="00F61B4C"/>
    <w:rsid w:val="00F61BE4"/>
    <w:rsid w:val="00F62179"/>
    <w:rsid w:val="00F6255A"/>
    <w:rsid w:val="00F629C7"/>
    <w:rsid w:val="00F62C42"/>
    <w:rsid w:val="00F6351B"/>
    <w:rsid w:val="00F637BF"/>
    <w:rsid w:val="00F644E6"/>
    <w:rsid w:val="00F652F0"/>
    <w:rsid w:val="00F6589A"/>
    <w:rsid w:val="00F666B5"/>
    <w:rsid w:val="00F66BDC"/>
    <w:rsid w:val="00F70342"/>
    <w:rsid w:val="00F71643"/>
    <w:rsid w:val="00F71982"/>
    <w:rsid w:val="00F71F53"/>
    <w:rsid w:val="00F72247"/>
    <w:rsid w:val="00F724F3"/>
    <w:rsid w:val="00F725D1"/>
    <w:rsid w:val="00F72B58"/>
    <w:rsid w:val="00F737D9"/>
    <w:rsid w:val="00F7392C"/>
    <w:rsid w:val="00F746CA"/>
    <w:rsid w:val="00F74B0B"/>
    <w:rsid w:val="00F75A39"/>
    <w:rsid w:val="00F769C7"/>
    <w:rsid w:val="00F7730A"/>
    <w:rsid w:val="00F7784C"/>
    <w:rsid w:val="00F77995"/>
    <w:rsid w:val="00F77BFA"/>
    <w:rsid w:val="00F77E6F"/>
    <w:rsid w:val="00F820EF"/>
    <w:rsid w:val="00F8244B"/>
    <w:rsid w:val="00F82683"/>
    <w:rsid w:val="00F83D11"/>
    <w:rsid w:val="00F849BF"/>
    <w:rsid w:val="00F857F6"/>
    <w:rsid w:val="00F867F6"/>
    <w:rsid w:val="00F86ACE"/>
    <w:rsid w:val="00F86E36"/>
    <w:rsid w:val="00F86EE8"/>
    <w:rsid w:val="00F87A9A"/>
    <w:rsid w:val="00F902BF"/>
    <w:rsid w:val="00F91540"/>
    <w:rsid w:val="00F916AC"/>
    <w:rsid w:val="00F929C3"/>
    <w:rsid w:val="00F92CA1"/>
    <w:rsid w:val="00F93826"/>
    <w:rsid w:val="00F9653B"/>
    <w:rsid w:val="00F968E5"/>
    <w:rsid w:val="00F977ED"/>
    <w:rsid w:val="00F97B89"/>
    <w:rsid w:val="00F97D53"/>
    <w:rsid w:val="00FA01C8"/>
    <w:rsid w:val="00FA081A"/>
    <w:rsid w:val="00FA1759"/>
    <w:rsid w:val="00FA1ADA"/>
    <w:rsid w:val="00FA21FC"/>
    <w:rsid w:val="00FA2245"/>
    <w:rsid w:val="00FA2C02"/>
    <w:rsid w:val="00FA2C1D"/>
    <w:rsid w:val="00FA310E"/>
    <w:rsid w:val="00FA33B5"/>
    <w:rsid w:val="00FA359A"/>
    <w:rsid w:val="00FA3A17"/>
    <w:rsid w:val="00FA3BDF"/>
    <w:rsid w:val="00FA5E83"/>
    <w:rsid w:val="00FA63CD"/>
    <w:rsid w:val="00FA73EB"/>
    <w:rsid w:val="00FA773D"/>
    <w:rsid w:val="00FA7982"/>
    <w:rsid w:val="00FA7CCD"/>
    <w:rsid w:val="00FB0135"/>
    <w:rsid w:val="00FB0E27"/>
    <w:rsid w:val="00FB0F94"/>
    <w:rsid w:val="00FB1A16"/>
    <w:rsid w:val="00FB1A3C"/>
    <w:rsid w:val="00FB2597"/>
    <w:rsid w:val="00FB3C92"/>
    <w:rsid w:val="00FB49E0"/>
    <w:rsid w:val="00FB4EE9"/>
    <w:rsid w:val="00FB62CF"/>
    <w:rsid w:val="00FB74A8"/>
    <w:rsid w:val="00FC052E"/>
    <w:rsid w:val="00FC07EE"/>
    <w:rsid w:val="00FC084F"/>
    <w:rsid w:val="00FC13F0"/>
    <w:rsid w:val="00FC1E3D"/>
    <w:rsid w:val="00FC28E6"/>
    <w:rsid w:val="00FC2B57"/>
    <w:rsid w:val="00FC3262"/>
    <w:rsid w:val="00FC3283"/>
    <w:rsid w:val="00FC3E0A"/>
    <w:rsid w:val="00FC3EB4"/>
    <w:rsid w:val="00FC47F7"/>
    <w:rsid w:val="00FC4AB2"/>
    <w:rsid w:val="00FC544A"/>
    <w:rsid w:val="00FC5458"/>
    <w:rsid w:val="00FC5E2A"/>
    <w:rsid w:val="00FC6C58"/>
    <w:rsid w:val="00FC70D7"/>
    <w:rsid w:val="00FC77D2"/>
    <w:rsid w:val="00FC78B0"/>
    <w:rsid w:val="00FD1863"/>
    <w:rsid w:val="00FD1C8A"/>
    <w:rsid w:val="00FD1DD0"/>
    <w:rsid w:val="00FD279F"/>
    <w:rsid w:val="00FD3BD1"/>
    <w:rsid w:val="00FD3E3D"/>
    <w:rsid w:val="00FD5518"/>
    <w:rsid w:val="00FD56CC"/>
    <w:rsid w:val="00FD635E"/>
    <w:rsid w:val="00FD6361"/>
    <w:rsid w:val="00FD6B02"/>
    <w:rsid w:val="00FD71F0"/>
    <w:rsid w:val="00FD746F"/>
    <w:rsid w:val="00FE09CA"/>
    <w:rsid w:val="00FE144F"/>
    <w:rsid w:val="00FE157F"/>
    <w:rsid w:val="00FE1C4E"/>
    <w:rsid w:val="00FE1EAD"/>
    <w:rsid w:val="00FE21AB"/>
    <w:rsid w:val="00FE25F4"/>
    <w:rsid w:val="00FE3CC4"/>
    <w:rsid w:val="00FE3CEC"/>
    <w:rsid w:val="00FE40DE"/>
    <w:rsid w:val="00FE4DAB"/>
    <w:rsid w:val="00FE5494"/>
    <w:rsid w:val="00FE5C4B"/>
    <w:rsid w:val="00FE6A5A"/>
    <w:rsid w:val="00FE6B45"/>
    <w:rsid w:val="00FE6B58"/>
    <w:rsid w:val="00FE6EBC"/>
    <w:rsid w:val="00FE6F98"/>
    <w:rsid w:val="00FE769E"/>
    <w:rsid w:val="00FF05BC"/>
    <w:rsid w:val="00FF0651"/>
    <w:rsid w:val="00FF19BA"/>
    <w:rsid w:val="00FF1B45"/>
    <w:rsid w:val="00FF1B5F"/>
    <w:rsid w:val="00FF1C0D"/>
    <w:rsid w:val="00FF1C1C"/>
    <w:rsid w:val="00FF379A"/>
    <w:rsid w:val="00FF3FB7"/>
    <w:rsid w:val="00FF4B22"/>
    <w:rsid w:val="00FF4FE6"/>
    <w:rsid w:val="00FF5724"/>
    <w:rsid w:val="00FF5851"/>
    <w:rsid w:val="00FF6B34"/>
    <w:rsid w:val="00FF6C89"/>
    <w:rsid w:val="00FF7145"/>
    <w:rsid w:val="00FF7535"/>
    <w:rsid w:val="00FF7650"/>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2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65A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65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36AE"/>
    <w:rPr>
      <w:u w:val="single"/>
    </w:rPr>
  </w:style>
  <w:style w:type="paragraph" w:customStyle="1" w:styleId="Cabeceraypie">
    <w:name w:val="Cabecera y pie"/>
    <w:rsid w:val="00DA36AE"/>
    <w:pPr>
      <w:tabs>
        <w:tab w:val="right" w:pos="9020"/>
      </w:tabs>
    </w:pPr>
    <w:rPr>
      <w:rFonts w:ascii="Helvetica" w:hAnsi="Arial Unicode MS" w:cs="Arial Unicode MS"/>
      <w:color w:val="000000"/>
      <w:sz w:val="24"/>
      <w:szCs w:val="24"/>
    </w:rPr>
  </w:style>
  <w:style w:type="paragraph" w:styleId="Footer">
    <w:name w:val="footer"/>
    <w:link w:val="FooterChar"/>
    <w:uiPriority w:val="99"/>
    <w:rsid w:val="00DA36AE"/>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DA36AE"/>
    <w:rPr>
      <w:rFonts w:ascii="Cambria" w:eastAsia="Cambria" w:hAnsi="Cambria" w:cs="Cambria"/>
      <w:color w:val="000000"/>
      <w:sz w:val="24"/>
      <w:szCs w:val="24"/>
      <w:u w:color="000000"/>
    </w:rPr>
  </w:style>
  <w:style w:type="paragraph" w:styleId="BodyTextIndent">
    <w:name w:val="Body Text Indent"/>
    <w:rsid w:val="00DA36AE"/>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DA36AE"/>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DA36AE"/>
    <w:pPr>
      <w:numPr>
        <w:numId w:val="31"/>
      </w:numPr>
    </w:pPr>
  </w:style>
  <w:style w:type="numbering" w:customStyle="1" w:styleId="Estiloimportado1">
    <w:name w:val="Estilo importado 1"/>
    <w:rsid w:val="00DA36AE"/>
  </w:style>
  <w:style w:type="numbering" w:customStyle="1" w:styleId="List1">
    <w:name w:val="List 1"/>
    <w:basedOn w:val="Estiloimportado2"/>
    <w:rsid w:val="00DA36AE"/>
    <w:pPr>
      <w:numPr>
        <w:numId w:val="1"/>
      </w:numPr>
    </w:pPr>
  </w:style>
  <w:style w:type="numbering" w:customStyle="1" w:styleId="Estiloimportado2">
    <w:name w:val="Estilo importado 2"/>
    <w:rsid w:val="00DA36AE"/>
  </w:style>
  <w:style w:type="numbering" w:customStyle="1" w:styleId="List210">
    <w:name w:val="List 21"/>
    <w:basedOn w:val="Estiloimportado3"/>
    <w:rsid w:val="00DA36AE"/>
    <w:pPr>
      <w:numPr>
        <w:numId w:val="52"/>
      </w:numPr>
    </w:pPr>
  </w:style>
  <w:style w:type="numbering" w:customStyle="1" w:styleId="Estiloimportado3">
    <w:name w:val="Estilo importado 3"/>
    <w:rsid w:val="00DA36AE"/>
  </w:style>
  <w:style w:type="numbering" w:customStyle="1" w:styleId="List31">
    <w:name w:val="List 31"/>
    <w:basedOn w:val="Estiloimportado4"/>
    <w:rsid w:val="00DA36AE"/>
    <w:pPr>
      <w:numPr>
        <w:numId w:val="51"/>
      </w:numPr>
    </w:pPr>
  </w:style>
  <w:style w:type="numbering" w:customStyle="1" w:styleId="Estiloimportado4">
    <w:name w:val="Estilo importado 4"/>
    <w:rsid w:val="00DA36AE"/>
  </w:style>
  <w:style w:type="numbering" w:customStyle="1" w:styleId="List41">
    <w:name w:val="List 41"/>
    <w:basedOn w:val="Estiloimportado5"/>
    <w:rsid w:val="00DA36AE"/>
    <w:pPr>
      <w:numPr>
        <w:numId w:val="2"/>
      </w:numPr>
    </w:pPr>
  </w:style>
  <w:style w:type="numbering" w:customStyle="1" w:styleId="Estiloimportado5">
    <w:name w:val="Estilo importado 5"/>
    <w:rsid w:val="00DA36AE"/>
  </w:style>
  <w:style w:type="numbering" w:customStyle="1" w:styleId="List510">
    <w:name w:val="List 51"/>
    <w:basedOn w:val="Estiloimportado6"/>
    <w:rsid w:val="00DA36AE"/>
    <w:pPr>
      <w:numPr>
        <w:numId w:val="54"/>
      </w:numPr>
    </w:pPr>
  </w:style>
  <w:style w:type="numbering" w:customStyle="1" w:styleId="Estiloimportado6">
    <w:name w:val="Estilo importado 6"/>
    <w:rsid w:val="00DA36AE"/>
  </w:style>
  <w:style w:type="numbering" w:customStyle="1" w:styleId="List6">
    <w:name w:val="List 6"/>
    <w:basedOn w:val="Estiloimportado7"/>
    <w:rsid w:val="00DA36AE"/>
    <w:pPr>
      <w:numPr>
        <w:numId w:val="3"/>
      </w:numPr>
    </w:pPr>
  </w:style>
  <w:style w:type="numbering" w:customStyle="1" w:styleId="Estiloimportado7">
    <w:name w:val="Estilo importado 7"/>
    <w:rsid w:val="00DA36AE"/>
  </w:style>
  <w:style w:type="numbering" w:customStyle="1" w:styleId="List7">
    <w:name w:val="List 7"/>
    <w:basedOn w:val="Estiloimportado8"/>
    <w:rsid w:val="00DA36AE"/>
    <w:pPr>
      <w:numPr>
        <w:numId w:val="4"/>
      </w:numPr>
    </w:pPr>
  </w:style>
  <w:style w:type="numbering" w:customStyle="1" w:styleId="Estiloimportado8">
    <w:name w:val="Estilo importado 8"/>
    <w:rsid w:val="00DA36AE"/>
  </w:style>
  <w:style w:type="numbering" w:customStyle="1" w:styleId="List8">
    <w:name w:val="List 8"/>
    <w:basedOn w:val="Estiloimportado9"/>
    <w:rsid w:val="00DA36AE"/>
    <w:pPr>
      <w:numPr>
        <w:numId w:val="5"/>
      </w:numPr>
    </w:pPr>
  </w:style>
  <w:style w:type="numbering" w:customStyle="1" w:styleId="Estiloimportado9">
    <w:name w:val="Estilo importado 9"/>
    <w:rsid w:val="00DA36AE"/>
  </w:style>
  <w:style w:type="numbering" w:customStyle="1" w:styleId="List9">
    <w:name w:val="List 9"/>
    <w:basedOn w:val="Estiloimportado10"/>
    <w:rsid w:val="00DA36AE"/>
    <w:pPr>
      <w:numPr>
        <w:numId w:val="22"/>
      </w:numPr>
    </w:pPr>
  </w:style>
  <w:style w:type="numbering" w:customStyle="1" w:styleId="Estiloimportado10">
    <w:name w:val="Estilo importado 10"/>
    <w:rsid w:val="00DA36AE"/>
  </w:style>
  <w:style w:type="numbering" w:customStyle="1" w:styleId="List10">
    <w:name w:val="List 10"/>
    <w:basedOn w:val="Estiloimportado11"/>
    <w:rsid w:val="00DA36AE"/>
    <w:pPr>
      <w:numPr>
        <w:numId w:val="6"/>
      </w:numPr>
    </w:pPr>
  </w:style>
  <w:style w:type="numbering" w:customStyle="1" w:styleId="Estiloimportado11">
    <w:name w:val="Estilo importado 11"/>
    <w:rsid w:val="00DA36AE"/>
  </w:style>
  <w:style w:type="numbering" w:customStyle="1" w:styleId="List11">
    <w:name w:val="List 11"/>
    <w:basedOn w:val="Estiloimportado12"/>
    <w:rsid w:val="00DA36AE"/>
    <w:pPr>
      <w:numPr>
        <w:numId w:val="7"/>
      </w:numPr>
    </w:pPr>
  </w:style>
  <w:style w:type="numbering" w:customStyle="1" w:styleId="Estiloimportado12">
    <w:name w:val="Estilo importado 12"/>
    <w:rsid w:val="00DA36AE"/>
  </w:style>
  <w:style w:type="numbering" w:customStyle="1" w:styleId="List12">
    <w:name w:val="List 12"/>
    <w:basedOn w:val="Estiloimportado13"/>
    <w:rsid w:val="00DA36AE"/>
    <w:pPr>
      <w:numPr>
        <w:numId w:val="36"/>
      </w:numPr>
    </w:pPr>
  </w:style>
  <w:style w:type="numbering" w:customStyle="1" w:styleId="Estiloimportado13">
    <w:name w:val="Estilo importado 13"/>
    <w:rsid w:val="00DA36AE"/>
  </w:style>
  <w:style w:type="numbering" w:customStyle="1" w:styleId="List13">
    <w:name w:val="List 13"/>
    <w:basedOn w:val="Estiloimportado14"/>
    <w:rsid w:val="00DA36AE"/>
    <w:pPr>
      <w:numPr>
        <w:numId w:val="42"/>
      </w:numPr>
    </w:pPr>
  </w:style>
  <w:style w:type="numbering" w:customStyle="1" w:styleId="Estiloimportado14">
    <w:name w:val="Estilo importado 14"/>
    <w:rsid w:val="00DA36AE"/>
  </w:style>
  <w:style w:type="numbering" w:customStyle="1" w:styleId="List14">
    <w:name w:val="List 14"/>
    <w:basedOn w:val="Estiloimportado15"/>
    <w:rsid w:val="00DA36AE"/>
    <w:pPr>
      <w:numPr>
        <w:numId w:val="17"/>
      </w:numPr>
    </w:pPr>
  </w:style>
  <w:style w:type="numbering" w:customStyle="1" w:styleId="Estiloimportado15">
    <w:name w:val="Estilo importado 15"/>
    <w:rsid w:val="00DA36AE"/>
  </w:style>
  <w:style w:type="numbering" w:customStyle="1" w:styleId="List15">
    <w:name w:val="List 15"/>
    <w:basedOn w:val="Estiloimportado16"/>
    <w:rsid w:val="00DA36AE"/>
    <w:pPr>
      <w:numPr>
        <w:numId w:val="16"/>
      </w:numPr>
    </w:pPr>
  </w:style>
  <w:style w:type="numbering" w:customStyle="1" w:styleId="Estiloimportado16">
    <w:name w:val="Estilo importado 16"/>
    <w:rsid w:val="00DA36AE"/>
  </w:style>
  <w:style w:type="numbering" w:customStyle="1" w:styleId="List16">
    <w:name w:val="List 16"/>
    <w:basedOn w:val="Estiloimportado16"/>
    <w:rsid w:val="00DA36AE"/>
    <w:pPr>
      <w:numPr>
        <w:numId w:val="10"/>
      </w:numPr>
    </w:pPr>
  </w:style>
  <w:style w:type="numbering" w:customStyle="1" w:styleId="List17">
    <w:name w:val="List 17"/>
    <w:basedOn w:val="Estiloimportado17"/>
    <w:rsid w:val="00DA36AE"/>
    <w:pPr>
      <w:numPr>
        <w:numId w:val="25"/>
      </w:numPr>
    </w:pPr>
  </w:style>
  <w:style w:type="numbering" w:customStyle="1" w:styleId="Estiloimportado17">
    <w:name w:val="Estilo importado 17"/>
    <w:rsid w:val="00DA36AE"/>
  </w:style>
  <w:style w:type="numbering" w:customStyle="1" w:styleId="List18">
    <w:name w:val="List 18"/>
    <w:basedOn w:val="Estiloimportado18"/>
    <w:rsid w:val="00DA36AE"/>
    <w:pPr>
      <w:numPr>
        <w:numId w:val="27"/>
      </w:numPr>
    </w:pPr>
  </w:style>
  <w:style w:type="numbering" w:customStyle="1" w:styleId="Estiloimportado18">
    <w:name w:val="Estilo importado 18"/>
    <w:rsid w:val="00DA36AE"/>
  </w:style>
  <w:style w:type="numbering" w:customStyle="1" w:styleId="List19">
    <w:name w:val="List 19"/>
    <w:basedOn w:val="Estiloimportado10"/>
    <w:rsid w:val="00DA36AE"/>
    <w:pPr>
      <w:numPr>
        <w:numId w:val="19"/>
      </w:numPr>
    </w:pPr>
  </w:style>
  <w:style w:type="numbering" w:customStyle="1" w:styleId="List20">
    <w:name w:val="List 20"/>
    <w:basedOn w:val="Estiloimportado12"/>
    <w:rsid w:val="00DA36AE"/>
    <w:pPr>
      <w:numPr>
        <w:numId w:val="43"/>
      </w:numPr>
    </w:pPr>
  </w:style>
  <w:style w:type="numbering" w:customStyle="1" w:styleId="List21">
    <w:name w:val="List 21"/>
    <w:basedOn w:val="Estiloimportado19"/>
    <w:rsid w:val="00DA36AE"/>
    <w:pPr>
      <w:numPr>
        <w:numId w:val="38"/>
      </w:numPr>
    </w:pPr>
  </w:style>
  <w:style w:type="numbering" w:customStyle="1" w:styleId="Estiloimportado19">
    <w:name w:val="Estilo importado 19"/>
    <w:rsid w:val="00DA36AE"/>
  </w:style>
  <w:style w:type="numbering" w:customStyle="1" w:styleId="List22">
    <w:name w:val="List 22"/>
    <w:basedOn w:val="Estiloimportado19"/>
    <w:rsid w:val="00DA36AE"/>
    <w:pPr>
      <w:numPr>
        <w:numId w:val="28"/>
      </w:numPr>
    </w:pPr>
  </w:style>
  <w:style w:type="numbering" w:customStyle="1" w:styleId="List23">
    <w:name w:val="List 23"/>
    <w:basedOn w:val="Estiloimportado19"/>
    <w:rsid w:val="00DA36AE"/>
    <w:pPr>
      <w:numPr>
        <w:numId w:val="18"/>
      </w:numPr>
    </w:pPr>
  </w:style>
  <w:style w:type="numbering" w:customStyle="1" w:styleId="List24">
    <w:name w:val="List 24"/>
    <w:basedOn w:val="Estiloimportado20"/>
    <w:rsid w:val="00DA36AE"/>
    <w:pPr>
      <w:numPr>
        <w:numId w:val="13"/>
      </w:numPr>
    </w:pPr>
  </w:style>
  <w:style w:type="numbering" w:customStyle="1" w:styleId="Estiloimportado20">
    <w:name w:val="Estilo importado 20"/>
    <w:rsid w:val="00DA36AE"/>
  </w:style>
  <w:style w:type="numbering" w:customStyle="1" w:styleId="List25">
    <w:name w:val="List 25"/>
    <w:basedOn w:val="Estiloimportado21"/>
    <w:rsid w:val="00DA36AE"/>
    <w:pPr>
      <w:numPr>
        <w:numId w:val="15"/>
      </w:numPr>
    </w:pPr>
  </w:style>
  <w:style w:type="numbering" w:customStyle="1" w:styleId="Estiloimportado21">
    <w:name w:val="Estilo importado 21"/>
    <w:rsid w:val="00DA36AE"/>
  </w:style>
  <w:style w:type="numbering" w:customStyle="1" w:styleId="List26">
    <w:name w:val="List 26"/>
    <w:basedOn w:val="Estiloimportado22"/>
    <w:rsid w:val="00DA36AE"/>
    <w:pPr>
      <w:numPr>
        <w:numId w:val="49"/>
      </w:numPr>
    </w:pPr>
  </w:style>
  <w:style w:type="numbering" w:customStyle="1" w:styleId="Estiloimportado22">
    <w:name w:val="Estilo importado 22"/>
    <w:rsid w:val="00DA36AE"/>
  </w:style>
  <w:style w:type="numbering" w:customStyle="1" w:styleId="List27">
    <w:name w:val="List 27"/>
    <w:basedOn w:val="Estiloimportado23"/>
    <w:rsid w:val="00DA36AE"/>
    <w:pPr>
      <w:numPr>
        <w:numId w:val="41"/>
      </w:numPr>
    </w:pPr>
  </w:style>
  <w:style w:type="numbering" w:customStyle="1" w:styleId="Estiloimportado23">
    <w:name w:val="Estilo importado 23"/>
    <w:rsid w:val="00DA36AE"/>
  </w:style>
  <w:style w:type="numbering" w:customStyle="1" w:styleId="List28">
    <w:name w:val="List 28"/>
    <w:basedOn w:val="Estiloimportado24"/>
    <w:rsid w:val="00DA36AE"/>
    <w:pPr>
      <w:numPr>
        <w:numId w:val="30"/>
      </w:numPr>
    </w:pPr>
  </w:style>
  <w:style w:type="numbering" w:customStyle="1" w:styleId="Estiloimportado24">
    <w:name w:val="Estilo importado 24"/>
    <w:rsid w:val="00DA36AE"/>
  </w:style>
  <w:style w:type="numbering" w:customStyle="1" w:styleId="List29">
    <w:name w:val="List 29"/>
    <w:basedOn w:val="Estiloimportado25"/>
    <w:rsid w:val="00DA36AE"/>
    <w:pPr>
      <w:numPr>
        <w:numId w:val="34"/>
      </w:numPr>
    </w:pPr>
  </w:style>
  <w:style w:type="numbering" w:customStyle="1" w:styleId="Estiloimportado25">
    <w:name w:val="Estilo importado 25"/>
    <w:rsid w:val="00DA36AE"/>
  </w:style>
  <w:style w:type="numbering" w:customStyle="1" w:styleId="List30">
    <w:name w:val="List 30"/>
    <w:basedOn w:val="Estiloimportado26"/>
    <w:rsid w:val="00DA36AE"/>
    <w:pPr>
      <w:numPr>
        <w:numId w:val="32"/>
      </w:numPr>
    </w:pPr>
  </w:style>
  <w:style w:type="numbering" w:customStyle="1" w:styleId="Estiloimportado26">
    <w:name w:val="Estilo importado 26"/>
    <w:rsid w:val="00DA36AE"/>
  </w:style>
  <w:style w:type="numbering" w:customStyle="1" w:styleId="List310">
    <w:name w:val="List 31"/>
    <w:basedOn w:val="Estiloimportado27"/>
    <w:rsid w:val="00DA36AE"/>
    <w:pPr>
      <w:numPr>
        <w:numId w:val="45"/>
      </w:numPr>
    </w:pPr>
  </w:style>
  <w:style w:type="numbering" w:customStyle="1" w:styleId="Estiloimportado27">
    <w:name w:val="Estilo importado 27"/>
    <w:rsid w:val="00DA36AE"/>
  </w:style>
  <w:style w:type="numbering" w:customStyle="1" w:styleId="List32">
    <w:name w:val="List 32"/>
    <w:basedOn w:val="Estiloimportado28"/>
    <w:rsid w:val="00DA36AE"/>
    <w:pPr>
      <w:numPr>
        <w:numId w:val="48"/>
      </w:numPr>
    </w:pPr>
  </w:style>
  <w:style w:type="numbering" w:customStyle="1" w:styleId="Estiloimportado28">
    <w:name w:val="Estilo importado 28"/>
    <w:rsid w:val="00DA36A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DA36AE"/>
    <w:rPr>
      <w:rFonts w:ascii="Calibri" w:eastAsia="Calibri" w:hAnsi="Calibri" w:cs="Calibri"/>
      <w:color w:val="000000"/>
      <w:u w:color="000000"/>
      <w:lang w:val="en-US"/>
    </w:rPr>
  </w:style>
  <w:style w:type="numbering" w:customStyle="1" w:styleId="List33">
    <w:name w:val="List 33"/>
    <w:basedOn w:val="Estiloimportado29"/>
    <w:rsid w:val="00DA36AE"/>
    <w:pPr>
      <w:numPr>
        <w:numId w:val="26"/>
      </w:numPr>
    </w:pPr>
  </w:style>
  <w:style w:type="numbering" w:customStyle="1" w:styleId="Estiloimportado29">
    <w:name w:val="Estilo importado 29"/>
    <w:rsid w:val="00DA36AE"/>
  </w:style>
  <w:style w:type="numbering" w:customStyle="1" w:styleId="List34">
    <w:name w:val="List 34"/>
    <w:basedOn w:val="Estiloimportado30"/>
    <w:rsid w:val="00DA36AE"/>
    <w:pPr>
      <w:numPr>
        <w:numId w:val="11"/>
      </w:numPr>
    </w:pPr>
  </w:style>
  <w:style w:type="numbering" w:customStyle="1" w:styleId="Estiloimportado30">
    <w:name w:val="Estilo importado 30"/>
    <w:rsid w:val="00DA36AE"/>
  </w:style>
  <w:style w:type="numbering" w:customStyle="1" w:styleId="List35">
    <w:name w:val="List 35"/>
    <w:basedOn w:val="Estiloimportado31"/>
    <w:rsid w:val="00DA36AE"/>
    <w:pPr>
      <w:numPr>
        <w:numId w:val="8"/>
      </w:numPr>
    </w:pPr>
  </w:style>
  <w:style w:type="numbering" w:customStyle="1" w:styleId="Estiloimportado31">
    <w:name w:val="Estilo importado 31"/>
    <w:rsid w:val="00DA36AE"/>
  </w:style>
  <w:style w:type="numbering" w:customStyle="1" w:styleId="List36">
    <w:name w:val="List 36"/>
    <w:basedOn w:val="Estiloimportado32"/>
    <w:rsid w:val="00DA36AE"/>
    <w:pPr>
      <w:numPr>
        <w:numId w:val="14"/>
      </w:numPr>
    </w:pPr>
  </w:style>
  <w:style w:type="numbering" w:customStyle="1" w:styleId="Estiloimportado32">
    <w:name w:val="Estilo importado 32"/>
    <w:rsid w:val="00DA36AE"/>
  </w:style>
  <w:style w:type="numbering" w:customStyle="1" w:styleId="List37">
    <w:name w:val="List 37"/>
    <w:basedOn w:val="Estiloimportado33"/>
    <w:rsid w:val="00DA36AE"/>
    <w:pPr>
      <w:numPr>
        <w:numId w:val="47"/>
      </w:numPr>
    </w:pPr>
  </w:style>
  <w:style w:type="numbering" w:customStyle="1" w:styleId="Estiloimportado33">
    <w:name w:val="Estilo importado 33"/>
    <w:rsid w:val="00DA36AE"/>
  </w:style>
  <w:style w:type="numbering" w:customStyle="1" w:styleId="List38">
    <w:name w:val="List 38"/>
    <w:basedOn w:val="Estiloimportado34"/>
    <w:rsid w:val="00DA36AE"/>
    <w:pPr>
      <w:numPr>
        <w:numId w:val="35"/>
      </w:numPr>
    </w:pPr>
  </w:style>
  <w:style w:type="numbering" w:customStyle="1" w:styleId="Estiloimportado34">
    <w:name w:val="Estilo importado 34"/>
    <w:rsid w:val="00DA36AE"/>
  </w:style>
  <w:style w:type="numbering" w:customStyle="1" w:styleId="List39">
    <w:name w:val="List 39"/>
    <w:basedOn w:val="Estiloimportado35"/>
    <w:rsid w:val="00DA36AE"/>
    <w:pPr>
      <w:numPr>
        <w:numId w:val="46"/>
      </w:numPr>
    </w:pPr>
  </w:style>
  <w:style w:type="numbering" w:customStyle="1" w:styleId="Estiloimportado35">
    <w:name w:val="Estilo importado 35"/>
    <w:rsid w:val="00DA36AE"/>
  </w:style>
  <w:style w:type="numbering" w:customStyle="1" w:styleId="List40">
    <w:name w:val="List 40"/>
    <w:basedOn w:val="Estiloimportado36"/>
    <w:rsid w:val="00DA36AE"/>
    <w:pPr>
      <w:numPr>
        <w:numId w:val="21"/>
      </w:numPr>
    </w:pPr>
  </w:style>
  <w:style w:type="numbering" w:customStyle="1" w:styleId="Estiloimportado36">
    <w:name w:val="Estilo importado 36"/>
    <w:rsid w:val="00DA36AE"/>
  </w:style>
  <w:style w:type="numbering" w:customStyle="1" w:styleId="List410">
    <w:name w:val="List 41"/>
    <w:basedOn w:val="Estiloimportado37"/>
    <w:rsid w:val="00DA36AE"/>
    <w:pPr>
      <w:numPr>
        <w:numId w:val="44"/>
      </w:numPr>
    </w:pPr>
  </w:style>
  <w:style w:type="numbering" w:customStyle="1" w:styleId="Estiloimportado37">
    <w:name w:val="Estilo importado 37"/>
    <w:rsid w:val="00DA36AE"/>
  </w:style>
  <w:style w:type="numbering" w:customStyle="1" w:styleId="List42">
    <w:name w:val="List 42"/>
    <w:basedOn w:val="Estiloimportado12"/>
    <w:rsid w:val="00DA36AE"/>
    <w:pPr>
      <w:numPr>
        <w:numId w:val="12"/>
      </w:numPr>
    </w:pPr>
  </w:style>
  <w:style w:type="numbering" w:customStyle="1" w:styleId="List43">
    <w:name w:val="List 43"/>
    <w:basedOn w:val="Estiloimportado38"/>
    <w:rsid w:val="00DA36AE"/>
    <w:pPr>
      <w:numPr>
        <w:numId w:val="23"/>
      </w:numPr>
    </w:pPr>
  </w:style>
  <w:style w:type="numbering" w:customStyle="1" w:styleId="Estiloimportado38">
    <w:name w:val="Estilo importado 38"/>
    <w:rsid w:val="00DA36AE"/>
  </w:style>
  <w:style w:type="numbering" w:customStyle="1" w:styleId="List44">
    <w:name w:val="List 44"/>
    <w:basedOn w:val="Estiloimportado39"/>
    <w:rsid w:val="00DA36AE"/>
    <w:pPr>
      <w:numPr>
        <w:numId w:val="40"/>
      </w:numPr>
    </w:pPr>
  </w:style>
  <w:style w:type="numbering" w:customStyle="1" w:styleId="Estiloimportado39">
    <w:name w:val="Estilo importado 39"/>
    <w:rsid w:val="00DA36AE"/>
  </w:style>
  <w:style w:type="numbering" w:customStyle="1" w:styleId="List45">
    <w:name w:val="List 45"/>
    <w:basedOn w:val="Estiloimportado40"/>
    <w:rsid w:val="00DA36AE"/>
    <w:pPr>
      <w:numPr>
        <w:numId w:val="20"/>
      </w:numPr>
    </w:pPr>
  </w:style>
  <w:style w:type="numbering" w:customStyle="1" w:styleId="Estiloimportado40">
    <w:name w:val="Estilo importado 40"/>
    <w:rsid w:val="00DA36AE"/>
  </w:style>
  <w:style w:type="numbering" w:customStyle="1" w:styleId="List46">
    <w:name w:val="List 46"/>
    <w:basedOn w:val="Estiloimportado41"/>
    <w:rsid w:val="00DA36AE"/>
    <w:pPr>
      <w:numPr>
        <w:numId w:val="24"/>
      </w:numPr>
    </w:pPr>
  </w:style>
  <w:style w:type="numbering" w:customStyle="1" w:styleId="Estiloimportado41">
    <w:name w:val="Estilo importado 41"/>
    <w:rsid w:val="00DA36AE"/>
  </w:style>
  <w:style w:type="numbering" w:customStyle="1" w:styleId="List47">
    <w:name w:val="List 47"/>
    <w:basedOn w:val="Estiloimportado42"/>
    <w:rsid w:val="00DA36AE"/>
    <w:pPr>
      <w:numPr>
        <w:numId w:val="29"/>
      </w:numPr>
    </w:pPr>
  </w:style>
  <w:style w:type="numbering" w:customStyle="1" w:styleId="Estiloimportado42">
    <w:name w:val="Estilo importado 42"/>
    <w:rsid w:val="00DA36AE"/>
  </w:style>
  <w:style w:type="numbering" w:customStyle="1" w:styleId="List48">
    <w:name w:val="List 48"/>
    <w:basedOn w:val="Estiloimportado43"/>
    <w:rsid w:val="00DA36AE"/>
    <w:pPr>
      <w:numPr>
        <w:numId w:val="50"/>
      </w:numPr>
    </w:pPr>
  </w:style>
  <w:style w:type="numbering" w:customStyle="1" w:styleId="Estiloimportado43">
    <w:name w:val="Estilo importado 43"/>
    <w:rsid w:val="00DA36AE"/>
  </w:style>
  <w:style w:type="numbering" w:customStyle="1" w:styleId="List49">
    <w:name w:val="List 49"/>
    <w:basedOn w:val="Estiloimportado44"/>
    <w:rsid w:val="00DA36AE"/>
    <w:pPr>
      <w:numPr>
        <w:numId w:val="39"/>
      </w:numPr>
    </w:pPr>
  </w:style>
  <w:style w:type="numbering" w:customStyle="1" w:styleId="Estiloimportado44">
    <w:name w:val="Estilo importado 44"/>
    <w:rsid w:val="00DA36AE"/>
  </w:style>
  <w:style w:type="numbering" w:customStyle="1" w:styleId="List50">
    <w:name w:val="List 50"/>
    <w:basedOn w:val="Estiloimportado45"/>
    <w:rsid w:val="00DA36AE"/>
    <w:pPr>
      <w:numPr>
        <w:numId w:val="37"/>
      </w:numPr>
    </w:pPr>
  </w:style>
  <w:style w:type="numbering" w:customStyle="1" w:styleId="Estiloimportado45">
    <w:name w:val="Estilo importado 45"/>
    <w:rsid w:val="00DA36AE"/>
  </w:style>
  <w:style w:type="numbering" w:customStyle="1" w:styleId="List51">
    <w:name w:val="List 51"/>
    <w:basedOn w:val="Estiloimportado46"/>
    <w:rsid w:val="00DA36AE"/>
    <w:pPr>
      <w:numPr>
        <w:numId w:val="33"/>
      </w:numPr>
    </w:pPr>
  </w:style>
  <w:style w:type="numbering" w:customStyle="1" w:styleId="Estiloimportado46">
    <w:name w:val="Estilo importado 46"/>
    <w:rsid w:val="00DA36AE"/>
  </w:style>
  <w:style w:type="numbering" w:customStyle="1" w:styleId="List52">
    <w:name w:val="List 52"/>
    <w:basedOn w:val="Estiloimportado1"/>
    <w:rsid w:val="00DA36A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rsid w:val="00232A3C"/>
    <w:pPr>
      <w:tabs>
        <w:tab w:val="left" w:pos="1440"/>
        <w:tab w:val="right" w:leader="dot" w:pos="9350"/>
      </w:tabs>
      <w:spacing w:after="100"/>
      <w:ind w:left="72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6"/>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character" w:customStyle="1" w:styleId="Heading4Char">
    <w:name w:val="Heading 4 Char"/>
    <w:basedOn w:val="DefaultParagraphFont"/>
    <w:link w:val="Heading4"/>
    <w:uiPriority w:val="9"/>
    <w:rsid w:val="002F6504"/>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312029165">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upremecourt.gov/opinions/07pdf/06-984.pdf" TargetMode="External"/><Relationship Id="rId2" Type="http://schemas.openxmlformats.org/officeDocument/2006/relationships/hyperlink" Target="http://www.icj-cij.org/docket/files/128/8188.pdf" TargetMode="External"/><Relationship Id="rId1" Type="http://schemas.openxmlformats.org/officeDocument/2006/relationships/hyperlink" Target="https://deathpenaltyinfo.org/facts-and-research/dpic-reports/dpic-special-reports/ohio-executions-scheduled-for-2017-2022" TargetMode="External"/><Relationship Id="rId4" Type="http://schemas.openxmlformats.org/officeDocument/2006/relationships/hyperlink" Target="http://www.abanet.org/legalservices/downloads/%20sclaid/deathpenalty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21AAA-BC14-4846-AE5F-CC775181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12923</Words>
  <Characters>66169</Characters>
  <Application>Microsoft Office Word</Application>
  <DocSecurity>0</DocSecurity>
  <Lines>1050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454/21</dc:title>
  <dc:creator/>
  <cp:lastModifiedBy/>
  <cp:revision>1</cp:revision>
  <dcterms:created xsi:type="dcterms:W3CDTF">2022-04-04T17:41:00Z</dcterms:created>
  <dcterms:modified xsi:type="dcterms:W3CDTF">2022-04-04T17:41:00Z</dcterms:modified>
</cp:coreProperties>
</file>