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B82B" w14:textId="77777777" w:rsidR="00040C3A" w:rsidRPr="00B645F5" w:rsidRDefault="0057078E" w:rsidP="00EC55EA">
      <w:pPr>
        <w:jc w:val="both"/>
        <w:rPr>
          <w:rFonts w:asciiTheme="majorHAnsi" w:hAnsiTheme="majorHAnsi" w:cs="Univers"/>
          <w:b/>
          <w:bCs/>
          <w:sz w:val="20"/>
          <w:szCs w:val="20"/>
        </w:rPr>
      </w:pPr>
      <w:r w:rsidRPr="00B645F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E5578BE" wp14:editId="0005CA6C">
                <wp:simplePos x="0" y="0"/>
                <wp:positionH relativeFrom="column">
                  <wp:posOffset>-415925</wp:posOffset>
                </wp:positionH>
                <wp:positionV relativeFrom="paragraph">
                  <wp:posOffset>-356870</wp:posOffset>
                </wp:positionV>
                <wp:extent cx="1409700" cy="8977630"/>
                <wp:effectExtent l="3175" t="0" r="0" b="0"/>
                <wp:wrapNone/>
                <wp:docPr id="1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A6963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" fillcolor="#67ae3c" stroked="f" strokeweight="2pt">
                <o:lock v:ext="edit" aspectratio="t"/>
              </v:rect>
            </w:pict>
          </mc:Fallback>
        </mc:AlternateContent>
      </w:r>
      <w:r w:rsidRPr="00B645F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93349F4" wp14:editId="3FA902BD">
                <wp:simplePos x="0" y="0"/>
                <wp:positionH relativeFrom="column">
                  <wp:posOffset>1143000</wp:posOffset>
                </wp:positionH>
                <wp:positionV relativeFrom="paragraph">
                  <wp:posOffset>-371475</wp:posOffset>
                </wp:positionV>
                <wp:extent cx="4486275" cy="75247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1A039" w14:textId="77777777" w:rsidR="006E0105" w:rsidRDefault="006E0105">
                            <w:r>
                              <w:rPr>
                                <w:noProof/>
                              </w:rPr>
                              <w:drawing>
                                <wp:inline distT="0" distB="0" distL="0" distR="0" wp14:anchorId="219C5592" wp14:editId="058B7A50">
                                  <wp:extent cx="2522763" cy="485775"/>
                                  <wp:effectExtent l="0" t="0" r="0" b="0"/>
                                  <wp:docPr id="13" name="Picture 1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349F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" filled="f" stroked="f" strokeweight=".5pt">
                <v:textbox>
                  <w:txbxContent>
                    <w:p w14:paraId="2701A039" w14:textId="77777777" w:rsidR="006E0105" w:rsidRDefault="006E0105">
                      <w:r>
                        <w:rPr>
                          <w:noProof/>
                        </w:rPr>
                        <w:drawing>
                          <wp:inline distT="0" distB="0" distL="0" distR="0" wp14:anchorId="219C5592" wp14:editId="058B7A50">
                            <wp:extent cx="2522763" cy="485775"/>
                            <wp:effectExtent l="0" t="0" r="0" b="0"/>
                            <wp:docPr id="13" name="Picture 1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CE257F" w:rsidRPr="00B645F5">
        <w:rPr>
          <w:rFonts w:asciiTheme="majorHAnsi" w:hAnsiTheme="majorHAnsi" w:cs="Univers"/>
          <w:b/>
          <w:bCs/>
          <w:sz w:val="20"/>
          <w:szCs w:val="20"/>
        </w:rPr>
        <w:t>5</w:t>
      </w:r>
    </w:p>
    <w:p w14:paraId="7A9E0E8D" w14:textId="77777777" w:rsidR="00040C3A" w:rsidRPr="00B645F5" w:rsidRDefault="00040C3A" w:rsidP="00EC55EA">
      <w:pPr>
        <w:tabs>
          <w:tab w:val="center" w:pos="5400"/>
        </w:tabs>
        <w:suppressAutoHyphens/>
        <w:jc w:val="both"/>
        <w:rPr>
          <w:rFonts w:asciiTheme="majorHAnsi" w:hAnsiTheme="majorHAnsi"/>
          <w:sz w:val="20"/>
          <w:szCs w:val="20"/>
        </w:rPr>
      </w:pPr>
    </w:p>
    <w:p w14:paraId="1CA13BA0" w14:textId="77777777" w:rsidR="00040C3A" w:rsidRPr="00B645F5" w:rsidRDefault="00040C3A" w:rsidP="00EC55EA">
      <w:pPr>
        <w:tabs>
          <w:tab w:val="center" w:pos="5400"/>
        </w:tabs>
        <w:suppressAutoHyphens/>
        <w:jc w:val="both"/>
        <w:rPr>
          <w:rFonts w:asciiTheme="majorHAnsi" w:hAnsiTheme="majorHAnsi"/>
          <w:sz w:val="20"/>
          <w:szCs w:val="20"/>
        </w:rPr>
      </w:pPr>
    </w:p>
    <w:p w14:paraId="70791B19" w14:textId="77777777" w:rsidR="005128E4" w:rsidRPr="00B645F5" w:rsidRDefault="005128E4" w:rsidP="00EC55EA">
      <w:pPr>
        <w:tabs>
          <w:tab w:val="center" w:pos="5400"/>
        </w:tabs>
        <w:suppressAutoHyphens/>
        <w:rPr>
          <w:rFonts w:asciiTheme="majorHAnsi" w:hAnsiTheme="majorHAnsi"/>
          <w:sz w:val="20"/>
          <w:szCs w:val="20"/>
        </w:rPr>
      </w:pPr>
    </w:p>
    <w:p w14:paraId="71119433" w14:textId="77777777" w:rsidR="005128E4" w:rsidRPr="00B645F5" w:rsidRDefault="005128E4" w:rsidP="00EC55EA">
      <w:pPr>
        <w:tabs>
          <w:tab w:val="center" w:pos="5400"/>
        </w:tabs>
        <w:suppressAutoHyphens/>
        <w:rPr>
          <w:rFonts w:asciiTheme="majorHAnsi" w:hAnsiTheme="majorHAnsi"/>
          <w:sz w:val="20"/>
          <w:szCs w:val="20"/>
        </w:rPr>
      </w:pPr>
    </w:p>
    <w:p w14:paraId="4A6F6E20" w14:textId="77777777" w:rsidR="005128E4" w:rsidRPr="00B645F5" w:rsidRDefault="005128E4" w:rsidP="00EC55EA">
      <w:pPr>
        <w:tabs>
          <w:tab w:val="center" w:pos="5400"/>
        </w:tabs>
        <w:suppressAutoHyphens/>
        <w:rPr>
          <w:rFonts w:asciiTheme="majorHAnsi" w:hAnsiTheme="majorHAnsi"/>
          <w:sz w:val="20"/>
          <w:szCs w:val="20"/>
        </w:rPr>
      </w:pPr>
    </w:p>
    <w:p w14:paraId="2FE0965F" w14:textId="77777777" w:rsidR="00040C3A" w:rsidRPr="00B645F5" w:rsidRDefault="00040C3A" w:rsidP="00EC55EA">
      <w:pPr>
        <w:tabs>
          <w:tab w:val="center" w:pos="5400"/>
        </w:tabs>
        <w:suppressAutoHyphens/>
        <w:jc w:val="center"/>
        <w:rPr>
          <w:rFonts w:asciiTheme="majorHAnsi" w:hAnsiTheme="majorHAnsi"/>
          <w:sz w:val="20"/>
          <w:szCs w:val="20"/>
        </w:rPr>
      </w:pPr>
    </w:p>
    <w:p w14:paraId="55F57EB2" w14:textId="77777777" w:rsidR="00040C3A" w:rsidRPr="00B645F5" w:rsidRDefault="0057078E" w:rsidP="00EC55EA">
      <w:pPr>
        <w:tabs>
          <w:tab w:val="center" w:pos="5400"/>
        </w:tabs>
        <w:suppressAutoHyphens/>
        <w:jc w:val="center"/>
        <w:rPr>
          <w:rFonts w:asciiTheme="majorHAnsi" w:hAnsiTheme="majorHAnsi"/>
          <w:sz w:val="20"/>
          <w:szCs w:val="20"/>
        </w:rPr>
      </w:pPr>
      <w:r w:rsidRPr="00B645F5">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51DAE00E" wp14:editId="54D2594B">
                <wp:simplePos x="0" y="0"/>
                <wp:positionH relativeFrom="column">
                  <wp:posOffset>1078230</wp:posOffset>
                </wp:positionH>
                <wp:positionV relativeFrom="paragraph">
                  <wp:posOffset>88900</wp:posOffset>
                </wp:positionV>
                <wp:extent cx="4333875" cy="3677920"/>
                <wp:effectExtent l="1905" t="0"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67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8575D0" w14:textId="77777777" w:rsidR="006E0105" w:rsidRDefault="006E0105" w:rsidP="004B7EB6">
                            <w:pPr>
                              <w:spacing w:line="276" w:lineRule="auto"/>
                              <w:rPr>
                                <w:rFonts w:asciiTheme="majorHAnsi" w:hAnsiTheme="majorHAnsi" w:cs="Arial"/>
                                <w:b/>
                                <w:bCs/>
                                <w:color w:val="0D0D0D" w:themeColor="text1" w:themeTint="F2"/>
                                <w:sz w:val="36"/>
                                <w:szCs w:val="40"/>
                              </w:rPr>
                            </w:pPr>
                          </w:p>
                          <w:p w14:paraId="14058FD8" w14:textId="77777777" w:rsidR="006E0105" w:rsidRDefault="006E0105" w:rsidP="004B7EB6">
                            <w:pPr>
                              <w:spacing w:line="276" w:lineRule="auto"/>
                              <w:rPr>
                                <w:rFonts w:asciiTheme="majorHAnsi" w:hAnsiTheme="majorHAnsi" w:cs="Arial"/>
                                <w:b/>
                                <w:bCs/>
                                <w:color w:val="0D0D0D" w:themeColor="text1" w:themeTint="F2"/>
                                <w:sz w:val="36"/>
                                <w:szCs w:val="40"/>
                              </w:rPr>
                            </w:pPr>
                          </w:p>
                          <w:p w14:paraId="346C1ECC" w14:textId="77777777" w:rsidR="006E0105" w:rsidRDefault="006E0105" w:rsidP="004B7EB6">
                            <w:pPr>
                              <w:spacing w:line="276" w:lineRule="auto"/>
                              <w:rPr>
                                <w:rFonts w:asciiTheme="majorHAnsi" w:hAnsiTheme="majorHAnsi" w:cs="Arial"/>
                                <w:b/>
                                <w:bCs/>
                                <w:color w:val="0D0D0D" w:themeColor="text1" w:themeTint="F2"/>
                                <w:sz w:val="36"/>
                                <w:szCs w:val="40"/>
                              </w:rPr>
                            </w:pPr>
                          </w:p>
                          <w:p w14:paraId="32E63CF8" w14:textId="77777777" w:rsidR="006E0105" w:rsidRDefault="006E0105" w:rsidP="004B7EB6">
                            <w:pPr>
                              <w:spacing w:line="276" w:lineRule="auto"/>
                              <w:rPr>
                                <w:rFonts w:asciiTheme="majorHAnsi" w:hAnsiTheme="majorHAnsi" w:cs="Arial"/>
                                <w:b/>
                                <w:bCs/>
                                <w:color w:val="0D0D0D" w:themeColor="text1" w:themeTint="F2"/>
                                <w:sz w:val="36"/>
                                <w:szCs w:val="40"/>
                              </w:rPr>
                            </w:pPr>
                          </w:p>
                          <w:p w14:paraId="45BDCD29" w14:textId="0BFAFBB8" w:rsidR="006E0105" w:rsidRPr="004B7EB6" w:rsidRDefault="006E010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D639B">
                              <w:rPr>
                                <w:rFonts w:asciiTheme="majorHAnsi" w:hAnsiTheme="majorHAnsi" w:cs="Arial"/>
                                <w:b/>
                                <w:bCs/>
                                <w:color w:val="0D0D0D" w:themeColor="text1" w:themeTint="F2"/>
                                <w:sz w:val="36"/>
                                <w:szCs w:val="40"/>
                              </w:rPr>
                              <w:t>456</w:t>
                            </w:r>
                            <w:r>
                              <w:rPr>
                                <w:rFonts w:asciiTheme="majorHAnsi" w:hAnsiTheme="majorHAnsi" w:cs="Arial"/>
                                <w:b/>
                                <w:bCs/>
                                <w:color w:val="0D0D0D" w:themeColor="text1" w:themeTint="F2"/>
                                <w:sz w:val="36"/>
                                <w:szCs w:val="40"/>
                              </w:rPr>
                              <w:t>/21</w:t>
                            </w:r>
                          </w:p>
                          <w:p w14:paraId="1D747A49" w14:textId="77777777" w:rsidR="006E0105" w:rsidRPr="004B7EB6" w:rsidRDefault="006E010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13.829</w:t>
                            </w:r>
                          </w:p>
                          <w:p w14:paraId="1883F493" w14:textId="2093B3AD" w:rsidR="006E0105" w:rsidRPr="004B7EB6" w:rsidRDefault="006E0105"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(PUBLICATION)</w:t>
                            </w:r>
                            <w:r w:rsidRPr="004B7EB6">
                              <w:rPr>
                                <w:rFonts w:asciiTheme="majorHAnsi" w:hAnsiTheme="majorHAnsi" w:cs="Arial"/>
                                <w:color w:val="0D0D0D" w:themeColor="text1" w:themeTint="F2"/>
                                <w:szCs w:val="22"/>
                              </w:rPr>
                              <w:t xml:space="preserve"> </w:t>
                            </w:r>
                          </w:p>
                          <w:p w14:paraId="194A6BC5" w14:textId="77777777" w:rsidR="006E0105" w:rsidRPr="004B7EB6" w:rsidRDefault="006E0105" w:rsidP="004B7EB6">
                            <w:pPr>
                              <w:spacing w:line="276" w:lineRule="auto"/>
                              <w:rPr>
                                <w:rFonts w:asciiTheme="majorHAnsi" w:hAnsiTheme="majorHAnsi" w:cs="Arial"/>
                                <w:color w:val="0D0D0D" w:themeColor="text1" w:themeTint="F2"/>
                                <w:szCs w:val="22"/>
                              </w:rPr>
                            </w:pPr>
                          </w:p>
                          <w:p w14:paraId="5715192A" w14:textId="77777777" w:rsidR="006E0105" w:rsidRPr="00C669BD" w:rsidRDefault="006E0105" w:rsidP="004B7EB6">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rPr>
                              <w:t>RAMIRO IBARRA RUBI</w:t>
                            </w:r>
                          </w:p>
                          <w:p w14:paraId="5F734DBA" w14:textId="77777777" w:rsidR="006E0105" w:rsidRDefault="006E010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579C0DE" w14:textId="77777777" w:rsidR="006E0105" w:rsidRPr="00E57833" w:rsidRDefault="006E0105" w:rsidP="008D2EA5">
                            <w:pPr>
                              <w:spacing w:line="276" w:lineRule="auto"/>
                              <w:jc w:val="both"/>
                              <w:rPr>
                                <w:rFonts w:asciiTheme="majorHAnsi" w:hAnsiTheme="majorHAnsi"/>
                                <w:color w:val="0D0D0D" w:themeColor="text1" w:themeTint="F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AE00E"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" filled="f" stroked="f" strokeweight=".5pt">
                <v:textbox>
                  <w:txbxContent>
                    <w:p w14:paraId="4D8575D0" w14:textId="77777777" w:rsidR="006E0105" w:rsidRDefault="006E0105" w:rsidP="004B7EB6">
                      <w:pPr>
                        <w:spacing w:line="276" w:lineRule="auto"/>
                        <w:rPr>
                          <w:rFonts w:asciiTheme="majorHAnsi" w:hAnsiTheme="majorHAnsi" w:cs="Arial"/>
                          <w:b/>
                          <w:bCs/>
                          <w:color w:val="0D0D0D" w:themeColor="text1" w:themeTint="F2"/>
                          <w:sz w:val="36"/>
                          <w:szCs w:val="40"/>
                        </w:rPr>
                      </w:pPr>
                    </w:p>
                    <w:p w14:paraId="14058FD8" w14:textId="77777777" w:rsidR="006E0105" w:rsidRDefault="006E0105" w:rsidP="004B7EB6">
                      <w:pPr>
                        <w:spacing w:line="276" w:lineRule="auto"/>
                        <w:rPr>
                          <w:rFonts w:asciiTheme="majorHAnsi" w:hAnsiTheme="majorHAnsi" w:cs="Arial"/>
                          <w:b/>
                          <w:bCs/>
                          <w:color w:val="0D0D0D" w:themeColor="text1" w:themeTint="F2"/>
                          <w:sz w:val="36"/>
                          <w:szCs w:val="40"/>
                        </w:rPr>
                      </w:pPr>
                    </w:p>
                    <w:p w14:paraId="346C1ECC" w14:textId="77777777" w:rsidR="006E0105" w:rsidRDefault="006E0105" w:rsidP="004B7EB6">
                      <w:pPr>
                        <w:spacing w:line="276" w:lineRule="auto"/>
                        <w:rPr>
                          <w:rFonts w:asciiTheme="majorHAnsi" w:hAnsiTheme="majorHAnsi" w:cs="Arial"/>
                          <w:b/>
                          <w:bCs/>
                          <w:color w:val="0D0D0D" w:themeColor="text1" w:themeTint="F2"/>
                          <w:sz w:val="36"/>
                          <w:szCs w:val="40"/>
                        </w:rPr>
                      </w:pPr>
                    </w:p>
                    <w:p w14:paraId="32E63CF8" w14:textId="77777777" w:rsidR="006E0105" w:rsidRDefault="006E0105" w:rsidP="004B7EB6">
                      <w:pPr>
                        <w:spacing w:line="276" w:lineRule="auto"/>
                        <w:rPr>
                          <w:rFonts w:asciiTheme="majorHAnsi" w:hAnsiTheme="majorHAnsi" w:cs="Arial"/>
                          <w:b/>
                          <w:bCs/>
                          <w:color w:val="0D0D0D" w:themeColor="text1" w:themeTint="F2"/>
                          <w:sz w:val="36"/>
                          <w:szCs w:val="40"/>
                        </w:rPr>
                      </w:pPr>
                    </w:p>
                    <w:p w14:paraId="45BDCD29" w14:textId="0BFAFBB8" w:rsidR="006E0105" w:rsidRPr="004B7EB6" w:rsidRDefault="006E010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D639B">
                        <w:rPr>
                          <w:rFonts w:asciiTheme="majorHAnsi" w:hAnsiTheme="majorHAnsi" w:cs="Arial"/>
                          <w:b/>
                          <w:bCs/>
                          <w:color w:val="0D0D0D" w:themeColor="text1" w:themeTint="F2"/>
                          <w:sz w:val="36"/>
                          <w:szCs w:val="40"/>
                        </w:rPr>
                        <w:t>456</w:t>
                      </w:r>
                      <w:r>
                        <w:rPr>
                          <w:rFonts w:asciiTheme="majorHAnsi" w:hAnsiTheme="majorHAnsi" w:cs="Arial"/>
                          <w:b/>
                          <w:bCs/>
                          <w:color w:val="0D0D0D" w:themeColor="text1" w:themeTint="F2"/>
                          <w:sz w:val="36"/>
                          <w:szCs w:val="40"/>
                        </w:rPr>
                        <w:t>/21</w:t>
                      </w:r>
                    </w:p>
                    <w:p w14:paraId="1D747A49" w14:textId="77777777" w:rsidR="006E0105" w:rsidRPr="004B7EB6" w:rsidRDefault="006E010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13.829</w:t>
                      </w:r>
                    </w:p>
                    <w:p w14:paraId="1883F493" w14:textId="2093B3AD" w:rsidR="006E0105" w:rsidRPr="004B7EB6" w:rsidRDefault="006E0105" w:rsidP="00F45EBF">
                      <w:pPr>
                        <w:spacing w:line="276" w:lineRule="auto"/>
                        <w:rPr>
                          <w:rFonts w:asciiTheme="majorHAnsi" w:hAnsiTheme="majorHAnsi" w:cs="Arial"/>
                          <w:color w:val="0D0D0D" w:themeColor="text1" w:themeTint="F2"/>
                          <w:szCs w:val="22"/>
                        </w:rPr>
                      </w:pPr>
                      <w:r w:rsidRPr="00E05E02">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(PUBLICATION)</w:t>
                      </w:r>
                      <w:r w:rsidRPr="004B7EB6">
                        <w:rPr>
                          <w:rFonts w:asciiTheme="majorHAnsi" w:hAnsiTheme="majorHAnsi" w:cs="Arial"/>
                          <w:color w:val="0D0D0D" w:themeColor="text1" w:themeTint="F2"/>
                          <w:szCs w:val="22"/>
                        </w:rPr>
                        <w:t xml:space="preserve"> </w:t>
                      </w:r>
                    </w:p>
                    <w:p w14:paraId="194A6BC5" w14:textId="77777777" w:rsidR="006E0105" w:rsidRPr="004B7EB6" w:rsidRDefault="006E0105" w:rsidP="004B7EB6">
                      <w:pPr>
                        <w:spacing w:line="276" w:lineRule="auto"/>
                        <w:rPr>
                          <w:rFonts w:asciiTheme="majorHAnsi" w:hAnsiTheme="majorHAnsi" w:cs="Arial"/>
                          <w:color w:val="0D0D0D" w:themeColor="text1" w:themeTint="F2"/>
                          <w:szCs w:val="22"/>
                        </w:rPr>
                      </w:pPr>
                    </w:p>
                    <w:p w14:paraId="5715192A" w14:textId="77777777" w:rsidR="006E0105" w:rsidRPr="00C669BD" w:rsidRDefault="006E0105" w:rsidP="004B7EB6">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rPr>
                        <w:t>RAMIRO IBARRA RUBI</w:t>
                      </w:r>
                    </w:p>
                    <w:p w14:paraId="5F734DBA" w14:textId="77777777" w:rsidR="006E0105" w:rsidRDefault="006E010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579C0DE" w14:textId="77777777" w:rsidR="006E0105" w:rsidRPr="00E57833" w:rsidRDefault="006E0105" w:rsidP="008D2EA5">
                      <w:pPr>
                        <w:spacing w:line="276" w:lineRule="auto"/>
                        <w:jc w:val="both"/>
                        <w:rPr>
                          <w:rFonts w:asciiTheme="majorHAnsi" w:hAnsiTheme="majorHAnsi"/>
                          <w:color w:val="0D0D0D" w:themeColor="text1" w:themeTint="F2"/>
                        </w:rPr>
                      </w:pPr>
                    </w:p>
                  </w:txbxContent>
                </v:textbox>
              </v:shape>
            </w:pict>
          </mc:Fallback>
        </mc:AlternateContent>
      </w:r>
    </w:p>
    <w:p w14:paraId="460A57BE" w14:textId="77777777" w:rsidR="005B52B0" w:rsidRPr="00B645F5" w:rsidRDefault="005B52B0" w:rsidP="00EC55EA">
      <w:pPr>
        <w:tabs>
          <w:tab w:val="center" w:pos="5400"/>
        </w:tabs>
        <w:suppressAutoHyphens/>
        <w:jc w:val="center"/>
        <w:rPr>
          <w:rFonts w:asciiTheme="majorHAnsi" w:hAnsiTheme="majorHAnsi"/>
          <w:sz w:val="20"/>
          <w:szCs w:val="20"/>
        </w:rPr>
      </w:pPr>
    </w:p>
    <w:p w14:paraId="15D4EF24" w14:textId="77777777" w:rsidR="005B52B0" w:rsidRPr="00B645F5" w:rsidRDefault="005B52B0" w:rsidP="00EC55EA">
      <w:pPr>
        <w:tabs>
          <w:tab w:val="center" w:pos="5400"/>
        </w:tabs>
        <w:suppressAutoHyphens/>
        <w:jc w:val="center"/>
        <w:rPr>
          <w:rFonts w:asciiTheme="majorHAnsi" w:hAnsiTheme="majorHAnsi"/>
          <w:sz w:val="20"/>
          <w:szCs w:val="20"/>
        </w:rPr>
      </w:pPr>
    </w:p>
    <w:p w14:paraId="24E6E6C3" w14:textId="77777777" w:rsidR="005B52B0" w:rsidRPr="00B645F5" w:rsidRDefault="005B52B0" w:rsidP="00EC55EA">
      <w:pPr>
        <w:tabs>
          <w:tab w:val="center" w:pos="5400"/>
        </w:tabs>
        <w:suppressAutoHyphens/>
        <w:jc w:val="center"/>
        <w:rPr>
          <w:rFonts w:asciiTheme="majorHAnsi" w:hAnsiTheme="majorHAnsi"/>
          <w:sz w:val="20"/>
          <w:szCs w:val="20"/>
        </w:rPr>
      </w:pPr>
    </w:p>
    <w:p w14:paraId="492F8089" w14:textId="77777777" w:rsidR="00040C3A" w:rsidRPr="00B645F5" w:rsidRDefault="00040C3A" w:rsidP="00EC55EA">
      <w:pPr>
        <w:tabs>
          <w:tab w:val="center" w:pos="5400"/>
        </w:tabs>
        <w:suppressAutoHyphens/>
        <w:jc w:val="center"/>
        <w:rPr>
          <w:rFonts w:asciiTheme="majorHAnsi" w:hAnsiTheme="majorHAnsi"/>
          <w:sz w:val="20"/>
          <w:szCs w:val="20"/>
        </w:rPr>
      </w:pPr>
    </w:p>
    <w:p w14:paraId="3E62DC5D" w14:textId="77777777" w:rsidR="00040C3A" w:rsidRPr="00B645F5" w:rsidRDefault="00040C3A" w:rsidP="00EC55EA">
      <w:pPr>
        <w:tabs>
          <w:tab w:val="center" w:pos="5400"/>
        </w:tabs>
        <w:suppressAutoHyphens/>
        <w:jc w:val="center"/>
        <w:rPr>
          <w:rFonts w:asciiTheme="majorHAnsi" w:hAnsiTheme="majorHAnsi"/>
          <w:sz w:val="20"/>
          <w:szCs w:val="20"/>
        </w:rPr>
      </w:pPr>
    </w:p>
    <w:p w14:paraId="71ACB865" w14:textId="77777777" w:rsidR="00040C3A" w:rsidRPr="00B645F5" w:rsidRDefault="00040C3A" w:rsidP="00EC55EA">
      <w:pPr>
        <w:tabs>
          <w:tab w:val="center" w:pos="5400"/>
        </w:tabs>
        <w:suppressAutoHyphens/>
        <w:jc w:val="center"/>
        <w:rPr>
          <w:rFonts w:asciiTheme="majorHAnsi" w:hAnsiTheme="majorHAnsi"/>
          <w:sz w:val="20"/>
          <w:szCs w:val="20"/>
        </w:rPr>
      </w:pPr>
    </w:p>
    <w:p w14:paraId="0A2AE804" w14:textId="77777777" w:rsidR="00040C3A" w:rsidRPr="00B645F5" w:rsidRDefault="00040C3A" w:rsidP="00EC55EA">
      <w:pPr>
        <w:tabs>
          <w:tab w:val="center" w:pos="5400"/>
        </w:tabs>
        <w:suppressAutoHyphens/>
        <w:jc w:val="center"/>
        <w:rPr>
          <w:rFonts w:asciiTheme="majorHAnsi" w:hAnsiTheme="majorHAnsi"/>
          <w:sz w:val="20"/>
          <w:szCs w:val="20"/>
        </w:rPr>
      </w:pPr>
    </w:p>
    <w:p w14:paraId="2B139588" w14:textId="77777777" w:rsidR="00040C3A" w:rsidRPr="00B645F5" w:rsidRDefault="0057078E" w:rsidP="00EC55EA">
      <w:pPr>
        <w:tabs>
          <w:tab w:val="center" w:pos="5400"/>
        </w:tabs>
        <w:suppressAutoHyphens/>
        <w:jc w:val="center"/>
        <w:rPr>
          <w:rFonts w:asciiTheme="majorHAnsi" w:hAnsiTheme="majorHAnsi"/>
          <w:sz w:val="20"/>
          <w:szCs w:val="20"/>
        </w:rPr>
      </w:pPr>
      <w:r w:rsidRPr="00B645F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4B874C7" wp14:editId="5364CAA9">
                <wp:simplePos x="0" y="0"/>
                <wp:positionH relativeFrom="column">
                  <wp:posOffset>-370205</wp:posOffset>
                </wp:positionH>
                <wp:positionV relativeFrom="paragraph">
                  <wp:posOffset>43180</wp:posOffset>
                </wp:positionV>
                <wp:extent cx="1334135" cy="835025"/>
                <wp:effectExtent l="127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85FB37" w14:textId="1B105067" w:rsidR="006E0105" w:rsidRPr="006B6E2E" w:rsidRDefault="006E0105" w:rsidP="002C1641">
                            <w:pPr>
                              <w:jc w:val="right"/>
                              <w:rPr>
                                <w:rFonts w:asciiTheme="minorHAnsi" w:hAnsiTheme="minorHAnsi"/>
                                <w:color w:val="FFFFFF" w:themeColor="background1"/>
                                <w:sz w:val="22"/>
                                <w:lang w:val="es-US"/>
                              </w:rPr>
                            </w:pPr>
                            <w:r w:rsidRPr="006B6E2E">
                              <w:rPr>
                                <w:rFonts w:asciiTheme="minorHAnsi" w:hAnsiTheme="minorHAnsi"/>
                                <w:color w:val="FFFFFF" w:themeColor="background1"/>
                                <w:sz w:val="22"/>
                                <w:lang w:val="es-US"/>
                              </w:rPr>
                              <w:t>OEA/</w:t>
                            </w:r>
                            <w:proofErr w:type="spellStart"/>
                            <w:r w:rsidRPr="006B6E2E">
                              <w:rPr>
                                <w:rFonts w:asciiTheme="minorHAnsi" w:hAnsiTheme="minorHAnsi"/>
                                <w:color w:val="FFFFFF" w:themeColor="background1"/>
                                <w:sz w:val="22"/>
                                <w:lang w:val="es-US"/>
                              </w:rPr>
                              <w:t>Ser.L</w:t>
                            </w:r>
                            <w:proofErr w:type="spellEnd"/>
                            <w:r w:rsidRPr="006B6E2E">
                              <w:rPr>
                                <w:rFonts w:asciiTheme="minorHAnsi" w:hAnsiTheme="minorHAnsi"/>
                                <w:color w:val="FFFFFF" w:themeColor="background1"/>
                                <w:sz w:val="22"/>
                                <w:lang w:val="es-US"/>
                              </w:rPr>
                              <w:t>/V/II</w:t>
                            </w:r>
                          </w:p>
                          <w:p w14:paraId="5A0336C9" w14:textId="7FCA1248" w:rsidR="006E0105" w:rsidRPr="006B6E2E" w:rsidRDefault="006E0105" w:rsidP="002C1641">
                            <w:pPr>
                              <w:jc w:val="right"/>
                              <w:rPr>
                                <w:rFonts w:asciiTheme="minorHAnsi" w:hAnsiTheme="minorHAnsi"/>
                                <w:color w:val="FFFFFF" w:themeColor="background1"/>
                                <w:sz w:val="22"/>
                                <w:lang w:val="es-US"/>
                              </w:rPr>
                            </w:pPr>
                            <w:r w:rsidRPr="006B6E2E">
                              <w:rPr>
                                <w:rFonts w:asciiTheme="minorHAnsi" w:hAnsiTheme="minorHAnsi"/>
                                <w:color w:val="FFFFFF" w:themeColor="background1"/>
                                <w:sz w:val="22"/>
                                <w:lang w:val="es-US"/>
                              </w:rPr>
                              <w:t xml:space="preserve">Doc. </w:t>
                            </w:r>
                            <w:r w:rsidR="00ED639B" w:rsidRPr="006B6E2E">
                              <w:rPr>
                                <w:rFonts w:asciiTheme="minorHAnsi" w:hAnsiTheme="minorHAnsi"/>
                                <w:color w:val="FFFFFF" w:themeColor="background1"/>
                                <w:sz w:val="22"/>
                                <w:lang w:val="es-US"/>
                              </w:rPr>
                              <w:t>470</w:t>
                            </w:r>
                          </w:p>
                          <w:p w14:paraId="485993A3" w14:textId="4AF60227" w:rsidR="006E0105" w:rsidRPr="004B7EB6" w:rsidRDefault="006B6E2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6E0105">
                              <w:rPr>
                                <w:rFonts w:asciiTheme="minorHAnsi" w:hAnsiTheme="minorHAnsi"/>
                                <w:color w:val="FFFFFF" w:themeColor="background1"/>
                                <w:sz w:val="22"/>
                              </w:rPr>
                              <w:t>December 2021</w:t>
                            </w:r>
                          </w:p>
                          <w:p w14:paraId="2F81AD28" w14:textId="77777777" w:rsidR="006E0105" w:rsidRPr="004B7EB6" w:rsidRDefault="006E010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874C7" id="_x0000_t202" coordsize="21600,21600" o:spt="202" path="m,l,21600r21600,l21600,xe">
                <v:stroke joinstyle="miter"/>
                <v:path gradientshapeok="t" o:connecttype="rect"/>
              </v:shapetype>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" filled="f" stroked="f" strokeweight=".5pt">
                <v:textbox>
                  <w:txbxContent>
                    <w:p w14:paraId="2785FB37" w14:textId="1B105067" w:rsidR="006E0105" w:rsidRPr="006B6E2E" w:rsidRDefault="006E0105" w:rsidP="002C1641">
                      <w:pPr>
                        <w:jc w:val="right"/>
                        <w:rPr>
                          <w:rFonts w:asciiTheme="minorHAnsi" w:hAnsiTheme="minorHAnsi"/>
                          <w:color w:val="FFFFFF" w:themeColor="background1"/>
                          <w:sz w:val="22"/>
                          <w:lang w:val="es-US"/>
                        </w:rPr>
                      </w:pPr>
                      <w:r w:rsidRPr="006B6E2E">
                        <w:rPr>
                          <w:rFonts w:asciiTheme="minorHAnsi" w:hAnsiTheme="minorHAnsi"/>
                          <w:color w:val="FFFFFF" w:themeColor="background1"/>
                          <w:sz w:val="22"/>
                          <w:lang w:val="es-US"/>
                        </w:rPr>
                        <w:t>OEA/</w:t>
                      </w:r>
                      <w:proofErr w:type="spellStart"/>
                      <w:r w:rsidRPr="006B6E2E">
                        <w:rPr>
                          <w:rFonts w:asciiTheme="minorHAnsi" w:hAnsiTheme="minorHAnsi"/>
                          <w:color w:val="FFFFFF" w:themeColor="background1"/>
                          <w:sz w:val="22"/>
                          <w:lang w:val="es-US"/>
                        </w:rPr>
                        <w:t>Ser.L</w:t>
                      </w:r>
                      <w:proofErr w:type="spellEnd"/>
                      <w:r w:rsidRPr="006B6E2E">
                        <w:rPr>
                          <w:rFonts w:asciiTheme="minorHAnsi" w:hAnsiTheme="minorHAnsi"/>
                          <w:color w:val="FFFFFF" w:themeColor="background1"/>
                          <w:sz w:val="22"/>
                          <w:lang w:val="es-US"/>
                        </w:rPr>
                        <w:t>/V/II</w:t>
                      </w:r>
                    </w:p>
                    <w:p w14:paraId="5A0336C9" w14:textId="7FCA1248" w:rsidR="006E0105" w:rsidRPr="006B6E2E" w:rsidRDefault="006E0105" w:rsidP="002C1641">
                      <w:pPr>
                        <w:jc w:val="right"/>
                        <w:rPr>
                          <w:rFonts w:asciiTheme="minorHAnsi" w:hAnsiTheme="minorHAnsi"/>
                          <w:color w:val="FFFFFF" w:themeColor="background1"/>
                          <w:sz w:val="22"/>
                          <w:lang w:val="es-US"/>
                        </w:rPr>
                      </w:pPr>
                      <w:r w:rsidRPr="006B6E2E">
                        <w:rPr>
                          <w:rFonts w:asciiTheme="minorHAnsi" w:hAnsiTheme="minorHAnsi"/>
                          <w:color w:val="FFFFFF" w:themeColor="background1"/>
                          <w:sz w:val="22"/>
                          <w:lang w:val="es-US"/>
                        </w:rPr>
                        <w:t xml:space="preserve">Doc. </w:t>
                      </w:r>
                      <w:r w:rsidR="00ED639B" w:rsidRPr="006B6E2E">
                        <w:rPr>
                          <w:rFonts w:asciiTheme="minorHAnsi" w:hAnsiTheme="minorHAnsi"/>
                          <w:color w:val="FFFFFF" w:themeColor="background1"/>
                          <w:sz w:val="22"/>
                          <w:lang w:val="es-US"/>
                        </w:rPr>
                        <w:t>470</w:t>
                      </w:r>
                    </w:p>
                    <w:p w14:paraId="485993A3" w14:textId="4AF60227" w:rsidR="006E0105" w:rsidRPr="004B7EB6" w:rsidRDefault="006B6E2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6E0105">
                        <w:rPr>
                          <w:rFonts w:asciiTheme="minorHAnsi" w:hAnsiTheme="minorHAnsi"/>
                          <w:color w:val="FFFFFF" w:themeColor="background1"/>
                          <w:sz w:val="22"/>
                        </w:rPr>
                        <w:t>December 2021</w:t>
                      </w:r>
                    </w:p>
                    <w:p w14:paraId="2F81AD28" w14:textId="77777777" w:rsidR="006E0105" w:rsidRPr="004B7EB6" w:rsidRDefault="006E010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295C3F1A" w14:textId="77777777" w:rsidR="00040C3A" w:rsidRPr="00B645F5" w:rsidRDefault="00040C3A" w:rsidP="00EC55EA">
      <w:pPr>
        <w:tabs>
          <w:tab w:val="center" w:pos="5400"/>
        </w:tabs>
        <w:suppressAutoHyphens/>
        <w:jc w:val="center"/>
        <w:rPr>
          <w:rFonts w:asciiTheme="majorHAnsi" w:hAnsiTheme="majorHAnsi" w:cs="Arial"/>
          <w:sz w:val="20"/>
          <w:szCs w:val="20"/>
        </w:rPr>
      </w:pPr>
    </w:p>
    <w:p w14:paraId="52ED80DE" w14:textId="77777777" w:rsidR="00040C3A" w:rsidRPr="00B645F5" w:rsidRDefault="00040C3A" w:rsidP="00EC55EA">
      <w:pPr>
        <w:tabs>
          <w:tab w:val="center" w:pos="5400"/>
        </w:tabs>
        <w:suppressAutoHyphens/>
        <w:jc w:val="center"/>
        <w:rPr>
          <w:rFonts w:asciiTheme="majorHAnsi" w:hAnsiTheme="majorHAnsi"/>
          <w:sz w:val="20"/>
          <w:szCs w:val="20"/>
        </w:rPr>
      </w:pPr>
    </w:p>
    <w:p w14:paraId="7C7595DE" w14:textId="77777777" w:rsidR="00040C3A" w:rsidRPr="00B645F5" w:rsidRDefault="00040C3A" w:rsidP="00EC55EA">
      <w:pPr>
        <w:tabs>
          <w:tab w:val="center" w:pos="5400"/>
        </w:tabs>
        <w:suppressAutoHyphens/>
        <w:jc w:val="center"/>
        <w:rPr>
          <w:rFonts w:asciiTheme="majorHAnsi" w:hAnsiTheme="majorHAnsi"/>
          <w:sz w:val="20"/>
          <w:szCs w:val="20"/>
        </w:rPr>
      </w:pPr>
    </w:p>
    <w:p w14:paraId="460361F4" w14:textId="77777777" w:rsidR="00040C3A" w:rsidRPr="00B645F5" w:rsidRDefault="00040C3A" w:rsidP="00EC55EA">
      <w:pPr>
        <w:tabs>
          <w:tab w:val="center" w:pos="5400"/>
        </w:tabs>
        <w:suppressAutoHyphens/>
        <w:jc w:val="center"/>
        <w:rPr>
          <w:rFonts w:asciiTheme="majorHAnsi" w:hAnsiTheme="majorHAnsi"/>
          <w:sz w:val="20"/>
          <w:szCs w:val="20"/>
        </w:rPr>
      </w:pPr>
    </w:p>
    <w:p w14:paraId="0AD1B4AC" w14:textId="77777777" w:rsidR="00040C3A" w:rsidRPr="00B645F5" w:rsidRDefault="00040C3A" w:rsidP="00EC55EA">
      <w:pPr>
        <w:tabs>
          <w:tab w:val="center" w:pos="5400"/>
        </w:tabs>
        <w:suppressAutoHyphens/>
        <w:jc w:val="center"/>
        <w:rPr>
          <w:rFonts w:asciiTheme="majorHAnsi" w:hAnsiTheme="majorHAnsi"/>
          <w:sz w:val="20"/>
          <w:szCs w:val="20"/>
        </w:rPr>
      </w:pPr>
    </w:p>
    <w:p w14:paraId="2A0CD499" w14:textId="77777777" w:rsidR="005128E4" w:rsidRPr="00B645F5" w:rsidRDefault="005128E4" w:rsidP="00EC55EA">
      <w:pPr>
        <w:tabs>
          <w:tab w:val="center" w:pos="5400"/>
        </w:tabs>
        <w:suppressAutoHyphens/>
        <w:jc w:val="center"/>
        <w:rPr>
          <w:rFonts w:asciiTheme="majorHAnsi" w:hAnsiTheme="majorHAnsi"/>
          <w:sz w:val="20"/>
          <w:szCs w:val="20"/>
        </w:rPr>
      </w:pPr>
    </w:p>
    <w:p w14:paraId="4944A834" w14:textId="77777777" w:rsidR="00040C3A" w:rsidRPr="00B645F5" w:rsidRDefault="00040C3A" w:rsidP="00EC55EA">
      <w:pPr>
        <w:tabs>
          <w:tab w:val="center" w:pos="5400"/>
        </w:tabs>
        <w:suppressAutoHyphens/>
        <w:jc w:val="center"/>
        <w:rPr>
          <w:rFonts w:asciiTheme="majorHAnsi" w:hAnsiTheme="majorHAnsi"/>
          <w:sz w:val="20"/>
          <w:szCs w:val="20"/>
        </w:rPr>
      </w:pPr>
    </w:p>
    <w:p w14:paraId="69F5BCB0" w14:textId="77777777" w:rsidR="005128E4" w:rsidRPr="00B645F5" w:rsidRDefault="005128E4" w:rsidP="00EC55EA">
      <w:pPr>
        <w:tabs>
          <w:tab w:val="center" w:pos="5400"/>
        </w:tabs>
        <w:suppressAutoHyphens/>
        <w:jc w:val="center"/>
        <w:rPr>
          <w:rFonts w:asciiTheme="majorHAnsi" w:hAnsiTheme="majorHAnsi"/>
          <w:sz w:val="20"/>
          <w:szCs w:val="20"/>
        </w:rPr>
      </w:pPr>
    </w:p>
    <w:p w14:paraId="13549810" w14:textId="77777777" w:rsidR="005128E4" w:rsidRPr="00B645F5" w:rsidRDefault="005128E4" w:rsidP="00EC55EA">
      <w:pPr>
        <w:tabs>
          <w:tab w:val="center" w:pos="5400"/>
        </w:tabs>
        <w:suppressAutoHyphens/>
        <w:jc w:val="center"/>
        <w:rPr>
          <w:rFonts w:asciiTheme="majorHAnsi" w:hAnsiTheme="majorHAnsi"/>
          <w:sz w:val="20"/>
          <w:szCs w:val="20"/>
        </w:rPr>
      </w:pPr>
    </w:p>
    <w:p w14:paraId="2F5A5569" w14:textId="77777777" w:rsidR="005128E4" w:rsidRPr="00B645F5" w:rsidRDefault="005128E4" w:rsidP="00EC55EA">
      <w:pPr>
        <w:tabs>
          <w:tab w:val="center" w:pos="5400"/>
        </w:tabs>
        <w:suppressAutoHyphens/>
        <w:jc w:val="center"/>
        <w:rPr>
          <w:rFonts w:asciiTheme="majorHAnsi" w:hAnsiTheme="majorHAnsi"/>
          <w:sz w:val="20"/>
          <w:szCs w:val="20"/>
        </w:rPr>
      </w:pPr>
    </w:p>
    <w:p w14:paraId="378B6E71" w14:textId="77777777" w:rsidR="00040C3A" w:rsidRPr="00B645F5" w:rsidRDefault="00040C3A" w:rsidP="00EC55EA">
      <w:pPr>
        <w:tabs>
          <w:tab w:val="center" w:pos="5400"/>
        </w:tabs>
        <w:suppressAutoHyphens/>
        <w:jc w:val="center"/>
        <w:rPr>
          <w:rFonts w:asciiTheme="majorHAnsi" w:hAnsiTheme="majorHAnsi"/>
          <w:sz w:val="20"/>
          <w:szCs w:val="20"/>
        </w:rPr>
      </w:pPr>
    </w:p>
    <w:p w14:paraId="7B18C1F5" w14:textId="77777777" w:rsidR="00040C3A" w:rsidRPr="00B645F5" w:rsidRDefault="00040C3A" w:rsidP="00EC55EA">
      <w:pPr>
        <w:tabs>
          <w:tab w:val="center" w:pos="5400"/>
        </w:tabs>
        <w:suppressAutoHyphens/>
        <w:jc w:val="center"/>
        <w:rPr>
          <w:rFonts w:asciiTheme="majorHAnsi" w:hAnsiTheme="majorHAnsi"/>
          <w:sz w:val="20"/>
          <w:szCs w:val="20"/>
        </w:rPr>
      </w:pPr>
    </w:p>
    <w:p w14:paraId="7FD5DD32" w14:textId="77777777" w:rsidR="002C1641" w:rsidRPr="00B645F5" w:rsidRDefault="002C1641" w:rsidP="00EC55EA">
      <w:pPr>
        <w:tabs>
          <w:tab w:val="center" w:pos="5400"/>
        </w:tabs>
        <w:suppressAutoHyphens/>
        <w:jc w:val="center"/>
        <w:rPr>
          <w:rFonts w:asciiTheme="majorHAnsi" w:hAnsiTheme="majorHAnsi"/>
          <w:sz w:val="20"/>
          <w:szCs w:val="20"/>
        </w:rPr>
      </w:pPr>
    </w:p>
    <w:p w14:paraId="4A93B77B" w14:textId="77777777" w:rsidR="002C1641" w:rsidRPr="00B645F5" w:rsidRDefault="002C1641" w:rsidP="00EC55EA">
      <w:pPr>
        <w:tabs>
          <w:tab w:val="center" w:pos="5400"/>
        </w:tabs>
        <w:suppressAutoHyphens/>
        <w:jc w:val="center"/>
        <w:rPr>
          <w:rFonts w:asciiTheme="majorHAnsi" w:hAnsiTheme="majorHAnsi"/>
          <w:sz w:val="20"/>
          <w:szCs w:val="20"/>
        </w:rPr>
      </w:pPr>
    </w:p>
    <w:p w14:paraId="1FF2CE51" w14:textId="77777777" w:rsidR="002C1641" w:rsidRPr="00B645F5" w:rsidRDefault="002C1641" w:rsidP="00EC55EA">
      <w:pPr>
        <w:tabs>
          <w:tab w:val="center" w:pos="5400"/>
        </w:tabs>
        <w:suppressAutoHyphens/>
        <w:jc w:val="center"/>
        <w:rPr>
          <w:rFonts w:asciiTheme="majorHAnsi" w:hAnsiTheme="majorHAnsi"/>
          <w:sz w:val="20"/>
          <w:szCs w:val="20"/>
        </w:rPr>
      </w:pPr>
    </w:p>
    <w:p w14:paraId="40E1AABB" w14:textId="77777777" w:rsidR="002C1641" w:rsidRPr="00B645F5" w:rsidRDefault="002C1641" w:rsidP="00EC55EA">
      <w:pPr>
        <w:tabs>
          <w:tab w:val="center" w:pos="5400"/>
        </w:tabs>
        <w:suppressAutoHyphens/>
        <w:jc w:val="center"/>
        <w:rPr>
          <w:rFonts w:asciiTheme="majorHAnsi" w:hAnsiTheme="majorHAnsi"/>
          <w:sz w:val="20"/>
          <w:szCs w:val="20"/>
        </w:rPr>
      </w:pPr>
    </w:p>
    <w:p w14:paraId="2C5F8F57" w14:textId="77777777" w:rsidR="002C1641" w:rsidRPr="00B645F5" w:rsidRDefault="002C1641" w:rsidP="00EC55EA">
      <w:pPr>
        <w:tabs>
          <w:tab w:val="center" w:pos="5400"/>
        </w:tabs>
        <w:suppressAutoHyphens/>
        <w:jc w:val="center"/>
        <w:rPr>
          <w:rFonts w:asciiTheme="majorHAnsi" w:hAnsiTheme="majorHAnsi"/>
          <w:sz w:val="20"/>
          <w:szCs w:val="20"/>
        </w:rPr>
      </w:pPr>
    </w:p>
    <w:p w14:paraId="690ADA6A" w14:textId="77777777" w:rsidR="002C1641" w:rsidRPr="00B645F5" w:rsidRDefault="002C1641" w:rsidP="00EC55EA">
      <w:pPr>
        <w:tabs>
          <w:tab w:val="center" w:pos="5400"/>
        </w:tabs>
        <w:suppressAutoHyphens/>
        <w:jc w:val="center"/>
        <w:rPr>
          <w:rFonts w:asciiTheme="majorHAnsi" w:hAnsiTheme="majorHAnsi"/>
          <w:sz w:val="20"/>
          <w:szCs w:val="20"/>
        </w:rPr>
      </w:pPr>
    </w:p>
    <w:p w14:paraId="6069FE3B" w14:textId="77777777" w:rsidR="002C1641" w:rsidRPr="00B645F5" w:rsidRDefault="002C1641" w:rsidP="00EC55EA">
      <w:pPr>
        <w:tabs>
          <w:tab w:val="center" w:pos="5400"/>
        </w:tabs>
        <w:suppressAutoHyphens/>
        <w:jc w:val="center"/>
        <w:rPr>
          <w:rFonts w:asciiTheme="majorHAnsi" w:hAnsiTheme="majorHAnsi"/>
          <w:sz w:val="20"/>
          <w:szCs w:val="20"/>
        </w:rPr>
      </w:pPr>
    </w:p>
    <w:p w14:paraId="5D4B0296" w14:textId="77777777" w:rsidR="002C1641" w:rsidRPr="00B645F5" w:rsidRDefault="002C1641" w:rsidP="00EC55EA">
      <w:pPr>
        <w:tabs>
          <w:tab w:val="center" w:pos="5400"/>
        </w:tabs>
        <w:suppressAutoHyphens/>
        <w:jc w:val="center"/>
        <w:rPr>
          <w:rFonts w:asciiTheme="majorHAnsi" w:hAnsiTheme="majorHAnsi"/>
          <w:sz w:val="20"/>
          <w:szCs w:val="20"/>
        </w:rPr>
      </w:pPr>
    </w:p>
    <w:p w14:paraId="21AF1693" w14:textId="77777777" w:rsidR="002C1641" w:rsidRPr="00B645F5" w:rsidRDefault="002C1641" w:rsidP="00EC55EA">
      <w:pPr>
        <w:tabs>
          <w:tab w:val="center" w:pos="5400"/>
        </w:tabs>
        <w:suppressAutoHyphens/>
        <w:jc w:val="center"/>
        <w:rPr>
          <w:rFonts w:asciiTheme="majorHAnsi" w:hAnsiTheme="majorHAnsi"/>
          <w:sz w:val="20"/>
          <w:szCs w:val="20"/>
        </w:rPr>
      </w:pPr>
    </w:p>
    <w:p w14:paraId="5501D653" w14:textId="77777777" w:rsidR="002C1641" w:rsidRPr="00B645F5" w:rsidRDefault="002C1641" w:rsidP="00EC55EA">
      <w:pPr>
        <w:tabs>
          <w:tab w:val="center" w:pos="5400"/>
        </w:tabs>
        <w:suppressAutoHyphens/>
        <w:jc w:val="center"/>
        <w:rPr>
          <w:rFonts w:asciiTheme="majorHAnsi" w:hAnsiTheme="majorHAnsi"/>
          <w:sz w:val="20"/>
          <w:szCs w:val="20"/>
        </w:rPr>
      </w:pPr>
    </w:p>
    <w:p w14:paraId="42880E96" w14:textId="77777777" w:rsidR="002C1641" w:rsidRPr="00B645F5" w:rsidRDefault="002C1641" w:rsidP="00EC55EA">
      <w:pPr>
        <w:tabs>
          <w:tab w:val="center" w:pos="5400"/>
        </w:tabs>
        <w:suppressAutoHyphens/>
        <w:jc w:val="center"/>
        <w:rPr>
          <w:rFonts w:asciiTheme="majorHAnsi" w:hAnsiTheme="majorHAnsi"/>
          <w:sz w:val="20"/>
          <w:szCs w:val="20"/>
        </w:rPr>
      </w:pPr>
    </w:p>
    <w:p w14:paraId="78A46190" w14:textId="77777777" w:rsidR="002C1641" w:rsidRPr="00B645F5" w:rsidRDefault="002C1641" w:rsidP="00EC55EA">
      <w:pPr>
        <w:tabs>
          <w:tab w:val="center" w:pos="5400"/>
        </w:tabs>
        <w:suppressAutoHyphens/>
        <w:jc w:val="center"/>
        <w:rPr>
          <w:rFonts w:asciiTheme="majorHAnsi" w:hAnsiTheme="majorHAnsi"/>
          <w:sz w:val="20"/>
          <w:szCs w:val="20"/>
        </w:rPr>
      </w:pPr>
    </w:p>
    <w:p w14:paraId="553FBFAE" w14:textId="77777777" w:rsidR="002C1641" w:rsidRPr="00B645F5" w:rsidRDefault="0057078E" w:rsidP="00EC55EA">
      <w:pPr>
        <w:tabs>
          <w:tab w:val="center" w:pos="5400"/>
        </w:tabs>
        <w:suppressAutoHyphens/>
        <w:jc w:val="center"/>
        <w:rPr>
          <w:rFonts w:asciiTheme="majorHAnsi" w:hAnsiTheme="majorHAnsi"/>
          <w:sz w:val="20"/>
          <w:szCs w:val="20"/>
        </w:rPr>
      </w:pPr>
      <w:r w:rsidRPr="00B645F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CBFA376" wp14:editId="3EEEDF8D">
                <wp:simplePos x="0" y="0"/>
                <wp:positionH relativeFrom="column">
                  <wp:posOffset>1209675</wp:posOffset>
                </wp:positionH>
                <wp:positionV relativeFrom="paragraph">
                  <wp:posOffset>71120</wp:posOffset>
                </wp:positionV>
                <wp:extent cx="4595495" cy="695325"/>
                <wp:effectExtent l="0" t="0" r="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B952D" w14:textId="749E017A" w:rsidR="006E0105" w:rsidRPr="003C32BC" w:rsidRDefault="006E010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w:t>
                            </w:r>
                            <w:r>
                              <w:rPr>
                                <w:rFonts w:asciiTheme="majorHAnsi" w:hAnsiTheme="majorHAnsi"/>
                                <w:color w:val="0D0D0D" w:themeColor="text1" w:themeTint="F2"/>
                                <w:sz w:val="18"/>
                                <w:szCs w:val="20"/>
                              </w:rPr>
                              <w:t xml:space="preserve">e Commission </w:t>
                            </w:r>
                            <w:r w:rsidRPr="003C32BC">
                              <w:rPr>
                                <w:rFonts w:asciiTheme="majorHAnsi" w:hAnsiTheme="majorHAnsi"/>
                                <w:color w:val="0D0D0D" w:themeColor="text1" w:themeTint="F2"/>
                                <w:sz w:val="18"/>
                                <w:szCs w:val="20"/>
                              </w:rPr>
                              <w:t>on</w:t>
                            </w:r>
                            <w:r>
                              <w:rPr>
                                <w:rFonts w:asciiTheme="majorHAnsi" w:hAnsiTheme="majorHAnsi"/>
                                <w:color w:val="0D0D0D" w:themeColor="text1" w:themeTint="F2"/>
                                <w:sz w:val="18"/>
                                <w:szCs w:val="20"/>
                              </w:rPr>
                              <w:t xml:space="preserve"> December </w:t>
                            </w:r>
                            <w:r w:rsidR="00ED639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FA37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" filled="f" stroked="f" strokeweight=".5pt">
                <v:textbox>
                  <w:txbxContent>
                    <w:p w14:paraId="574B952D" w14:textId="749E017A" w:rsidR="006E0105" w:rsidRPr="003C32BC" w:rsidRDefault="006E010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w:t>
                      </w:r>
                      <w:r>
                        <w:rPr>
                          <w:rFonts w:asciiTheme="majorHAnsi" w:hAnsiTheme="majorHAnsi"/>
                          <w:color w:val="0D0D0D" w:themeColor="text1" w:themeTint="F2"/>
                          <w:sz w:val="18"/>
                          <w:szCs w:val="20"/>
                        </w:rPr>
                        <w:t xml:space="preserve">e Commission </w:t>
                      </w:r>
                      <w:r w:rsidRPr="003C32BC">
                        <w:rPr>
                          <w:rFonts w:asciiTheme="majorHAnsi" w:hAnsiTheme="majorHAnsi"/>
                          <w:color w:val="0D0D0D" w:themeColor="text1" w:themeTint="F2"/>
                          <w:sz w:val="18"/>
                          <w:szCs w:val="20"/>
                        </w:rPr>
                        <w:t>on</w:t>
                      </w:r>
                      <w:r>
                        <w:rPr>
                          <w:rFonts w:asciiTheme="majorHAnsi" w:hAnsiTheme="majorHAnsi"/>
                          <w:color w:val="0D0D0D" w:themeColor="text1" w:themeTint="F2"/>
                          <w:sz w:val="18"/>
                          <w:szCs w:val="20"/>
                        </w:rPr>
                        <w:t xml:space="preserve"> December </w:t>
                      </w:r>
                      <w:r w:rsidR="00ED639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p>
                  </w:txbxContent>
                </v:textbox>
              </v:shape>
            </w:pict>
          </mc:Fallback>
        </mc:AlternateContent>
      </w:r>
    </w:p>
    <w:p w14:paraId="09A9657C" w14:textId="77777777" w:rsidR="002C1641" w:rsidRPr="00B645F5" w:rsidRDefault="002C1641" w:rsidP="00EC55EA">
      <w:pPr>
        <w:tabs>
          <w:tab w:val="center" w:pos="5400"/>
        </w:tabs>
        <w:suppressAutoHyphens/>
        <w:jc w:val="center"/>
        <w:rPr>
          <w:rFonts w:asciiTheme="majorHAnsi" w:hAnsiTheme="majorHAnsi"/>
          <w:sz w:val="20"/>
          <w:szCs w:val="20"/>
        </w:rPr>
      </w:pPr>
    </w:p>
    <w:p w14:paraId="42A6EF68" w14:textId="77777777" w:rsidR="002C1641" w:rsidRPr="00B645F5" w:rsidRDefault="002C1641" w:rsidP="00EC55EA">
      <w:pPr>
        <w:tabs>
          <w:tab w:val="center" w:pos="5400"/>
        </w:tabs>
        <w:suppressAutoHyphens/>
        <w:jc w:val="center"/>
        <w:rPr>
          <w:rFonts w:asciiTheme="majorHAnsi" w:hAnsiTheme="majorHAnsi"/>
          <w:sz w:val="20"/>
          <w:szCs w:val="20"/>
        </w:rPr>
      </w:pPr>
    </w:p>
    <w:p w14:paraId="193B4CD0" w14:textId="77777777" w:rsidR="002C1641" w:rsidRPr="00B645F5" w:rsidRDefault="002C1641" w:rsidP="00EC55EA">
      <w:pPr>
        <w:tabs>
          <w:tab w:val="center" w:pos="5400"/>
        </w:tabs>
        <w:suppressAutoHyphens/>
        <w:jc w:val="center"/>
        <w:rPr>
          <w:rFonts w:asciiTheme="majorHAnsi" w:hAnsiTheme="majorHAnsi"/>
          <w:sz w:val="20"/>
          <w:szCs w:val="20"/>
        </w:rPr>
      </w:pPr>
    </w:p>
    <w:p w14:paraId="12FE8DD9" w14:textId="77777777" w:rsidR="002C1641" w:rsidRPr="00B645F5" w:rsidRDefault="002C1641" w:rsidP="00EC55EA">
      <w:pPr>
        <w:tabs>
          <w:tab w:val="center" w:pos="5400"/>
        </w:tabs>
        <w:suppressAutoHyphens/>
        <w:jc w:val="center"/>
        <w:rPr>
          <w:rFonts w:asciiTheme="majorHAnsi" w:hAnsiTheme="majorHAnsi"/>
          <w:sz w:val="20"/>
          <w:szCs w:val="20"/>
        </w:rPr>
      </w:pPr>
    </w:p>
    <w:p w14:paraId="4A947FD8" w14:textId="77777777" w:rsidR="002C1641" w:rsidRPr="00B645F5" w:rsidRDefault="0057078E" w:rsidP="00EC55EA">
      <w:pPr>
        <w:tabs>
          <w:tab w:val="center" w:pos="5400"/>
        </w:tabs>
        <w:suppressAutoHyphens/>
        <w:jc w:val="center"/>
        <w:rPr>
          <w:rFonts w:asciiTheme="majorHAnsi" w:hAnsiTheme="majorHAnsi"/>
          <w:sz w:val="20"/>
          <w:szCs w:val="20"/>
        </w:rPr>
      </w:pPr>
      <w:r w:rsidRPr="00B645F5">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6D02FD76" wp14:editId="26C27E85">
                <wp:simplePos x="0" y="0"/>
                <wp:positionH relativeFrom="column">
                  <wp:posOffset>1209675</wp:posOffset>
                </wp:positionH>
                <wp:positionV relativeFrom="paragraph">
                  <wp:posOffset>92075</wp:posOffset>
                </wp:positionV>
                <wp:extent cx="4824095" cy="609600"/>
                <wp:effectExtent l="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70F1B3" w14:textId="6CD6541A" w:rsidR="006E0105" w:rsidRPr="003C32BC" w:rsidRDefault="006E0105"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D639B">
                              <w:rPr>
                                <w:rFonts w:asciiTheme="majorHAnsi" w:hAnsiTheme="majorHAnsi"/>
                                <w:color w:val="595959" w:themeColor="text1" w:themeTint="A6"/>
                                <w:sz w:val="18"/>
                              </w:rPr>
                              <w:t>456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13.829</w:t>
                            </w:r>
                            <w:r w:rsidRPr="00E05E02">
                              <w:rPr>
                                <w:rFonts w:asciiTheme="majorHAnsi" w:hAnsiTheme="majorHAnsi"/>
                                <w:color w:val="595959" w:themeColor="text1" w:themeTint="A6"/>
                                <w:sz w:val="18"/>
                              </w:rPr>
                              <w:t>. Admissibility and Merits</w:t>
                            </w:r>
                            <w:r>
                              <w:rPr>
                                <w:rFonts w:asciiTheme="majorHAnsi" w:hAnsiTheme="majorHAnsi"/>
                                <w:color w:val="595959" w:themeColor="text1" w:themeTint="A6"/>
                                <w:sz w:val="18"/>
                              </w:rPr>
                              <w:t xml:space="preserve"> (</w:t>
                            </w:r>
                            <w:r w:rsidRPr="00ED639B">
                              <w:rPr>
                                <w:rFonts w:asciiTheme="majorHAnsi" w:hAnsiTheme="majorHAnsi"/>
                                <w:color w:val="595959" w:themeColor="text1" w:themeTint="A6"/>
                                <w:sz w:val="18"/>
                              </w:rPr>
                              <w:t>Publication</w:t>
                            </w:r>
                            <w:r>
                              <w:rPr>
                                <w:rFonts w:asciiTheme="majorHAnsi" w:hAnsiTheme="majorHAnsi"/>
                                <w:color w:val="595959" w:themeColor="text1" w:themeTint="A6"/>
                                <w:sz w:val="18"/>
                              </w:rPr>
                              <w:t>)</w:t>
                            </w:r>
                            <w:r w:rsidRPr="00E05E02">
                              <w:rPr>
                                <w:rFonts w:asciiTheme="majorHAnsi" w:hAnsiTheme="majorHAnsi"/>
                                <w:color w:val="595959" w:themeColor="text1" w:themeTint="A6"/>
                                <w:sz w:val="18"/>
                              </w:rPr>
                              <w:t xml:space="preserve">. </w:t>
                            </w:r>
                            <w:r>
                              <w:rPr>
                                <w:rFonts w:asciiTheme="majorHAnsi" w:hAnsiTheme="majorHAnsi"/>
                                <w:color w:val="595959" w:themeColor="text1" w:themeTint="A6"/>
                                <w:sz w:val="18"/>
                              </w:rPr>
                              <w:t>Ramiro Ibarra Rubi</w:t>
                            </w:r>
                            <w:r w:rsidRPr="00E05E02">
                              <w:rPr>
                                <w:rFonts w:asciiTheme="majorHAnsi" w:hAnsiTheme="majorHAnsi"/>
                                <w:color w:val="595959" w:themeColor="text1" w:themeTint="A6"/>
                                <w:sz w:val="18"/>
                              </w:rPr>
                              <w:t>. Un</w:t>
                            </w:r>
                            <w:r>
                              <w:rPr>
                                <w:rFonts w:asciiTheme="majorHAnsi" w:hAnsiTheme="majorHAnsi"/>
                                <w:color w:val="595959" w:themeColor="text1" w:themeTint="A6"/>
                                <w:sz w:val="18"/>
                              </w:rPr>
                              <w:t>ited States of America. Dec</w:t>
                            </w:r>
                            <w:r w:rsidRPr="00B645F5">
                              <w:rPr>
                                <w:rFonts w:asciiTheme="majorHAnsi" w:hAnsiTheme="majorHAnsi"/>
                                <w:color w:val="595959" w:themeColor="text1" w:themeTint="A6"/>
                                <w:sz w:val="18"/>
                              </w:rPr>
                              <w:t xml:space="preserve">ember </w:t>
                            </w:r>
                            <w:r w:rsidR="00ED639B">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E05E02">
                              <w:rPr>
                                <w:rFonts w:asciiTheme="majorHAnsi" w:hAnsiTheme="majorHAnsi"/>
                                <w:color w:val="595959" w:themeColor="text1" w:themeTint="A6"/>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2FD7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" filled="f" stroked="f" strokeweight=".5pt">
                <v:textbox>
                  <w:txbxContent>
                    <w:p w14:paraId="5F70F1B3" w14:textId="6CD6541A" w:rsidR="006E0105" w:rsidRPr="003C32BC" w:rsidRDefault="006E0105"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D639B">
                        <w:rPr>
                          <w:rFonts w:asciiTheme="majorHAnsi" w:hAnsiTheme="majorHAnsi"/>
                          <w:color w:val="595959" w:themeColor="text1" w:themeTint="A6"/>
                          <w:sz w:val="18"/>
                        </w:rPr>
                        <w:t>456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13.829</w:t>
                      </w:r>
                      <w:r w:rsidRPr="00E05E02">
                        <w:rPr>
                          <w:rFonts w:asciiTheme="majorHAnsi" w:hAnsiTheme="majorHAnsi"/>
                          <w:color w:val="595959" w:themeColor="text1" w:themeTint="A6"/>
                          <w:sz w:val="18"/>
                        </w:rPr>
                        <w:t>. Admissibility and Merits</w:t>
                      </w:r>
                      <w:r>
                        <w:rPr>
                          <w:rFonts w:asciiTheme="majorHAnsi" w:hAnsiTheme="majorHAnsi"/>
                          <w:color w:val="595959" w:themeColor="text1" w:themeTint="A6"/>
                          <w:sz w:val="18"/>
                        </w:rPr>
                        <w:t xml:space="preserve"> (</w:t>
                      </w:r>
                      <w:r w:rsidRPr="00ED639B">
                        <w:rPr>
                          <w:rFonts w:asciiTheme="majorHAnsi" w:hAnsiTheme="majorHAnsi"/>
                          <w:color w:val="595959" w:themeColor="text1" w:themeTint="A6"/>
                          <w:sz w:val="18"/>
                        </w:rPr>
                        <w:t>Publication</w:t>
                      </w:r>
                      <w:r>
                        <w:rPr>
                          <w:rFonts w:asciiTheme="majorHAnsi" w:hAnsiTheme="majorHAnsi"/>
                          <w:color w:val="595959" w:themeColor="text1" w:themeTint="A6"/>
                          <w:sz w:val="18"/>
                        </w:rPr>
                        <w:t>)</w:t>
                      </w:r>
                      <w:r w:rsidRPr="00E05E02">
                        <w:rPr>
                          <w:rFonts w:asciiTheme="majorHAnsi" w:hAnsiTheme="majorHAnsi"/>
                          <w:color w:val="595959" w:themeColor="text1" w:themeTint="A6"/>
                          <w:sz w:val="18"/>
                        </w:rPr>
                        <w:t xml:space="preserve">. </w:t>
                      </w:r>
                      <w:r>
                        <w:rPr>
                          <w:rFonts w:asciiTheme="majorHAnsi" w:hAnsiTheme="majorHAnsi"/>
                          <w:color w:val="595959" w:themeColor="text1" w:themeTint="A6"/>
                          <w:sz w:val="18"/>
                        </w:rPr>
                        <w:t>Ramiro Ibarra Rubi</w:t>
                      </w:r>
                      <w:r w:rsidRPr="00E05E02">
                        <w:rPr>
                          <w:rFonts w:asciiTheme="majorHAnsi" w:hAnsiTheme="majorHAnsi"/>
                          <w:color w:val="595959" w:themeColor="text1" w:themeTint="A6"/>
                          <w:sz w:val="18"/>
                        </w:rPr>
                        <w:t>. Un</w:t>
                      </w:r>
                      <w:r>
                        <w:rPr>
                          <w:rFonts w:asciiTheme="majorHAnsi" w:hAnsiTheme="majorHAnsi"/>
                          <w:color w:val="595959" w:themeColor="text1" w:themeTint="A6"/>
                          <w:sz w:val="18"/>
                        </w:rPr>
                        <w:t>ited States of America. Dec</w:t>
                      </w:r>
                      <w:r w:rsidRPr="00B645F5">
                        <w:rPr>
                          <w:rFonts w:asciiTheme="majorHAnsi" w:hAnsiTheme="majorHAnsi"/>
                          <w:color w:val="595959" w:themeColor="text1" w:themeTint="A6"/>
                          <w:sz w:val="18"/>
                        </w:rPr>
                        <w:t xml:space="preserve">ember </w:t>
                      </w:r>
                      <w:r w:rsidR="00ED639B">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E05E02">
                        <w:rPr>
                          <w:rFonts w:asciiTheme="majorHAnsi" w:hAnsiTheme="majorHAnsi"/>
                          <w:color w:val="595959" w:themeColor="text1" w:themeTint="A6"/>
                          <w:sz w:val="18"/>
                        </w:rPr>
                        <w:t>.</w:t>
                      </w:r>
                    </w:p>
                  </w:txbxContent>
                </v:textbox>
              </v:shape>
            </w:pict>
          </mc:Fallback>
        </mc:AlternateContent>
      </w:r>
    </w:p>
    <w:p w14:paraId="3DF95C48" w14:textId="77777777" w:rsidR="002C1641" w:rsidRPr="00B645F5" w:rsidRDefault="002C1641" w:rsidP="00EC55EA">
      <w:pPr>
        <w:tabs>
          <w:tab w:val="center" w:pos="5400"/>
        </w:tabs>
        <w:suppressAutoHyphens/>
        <w:jc w:val="center"/>
        <w:rPr>
          <w:rFonts w:asciiTheme="majorHAnsi" w:hAnsiTheme="majorHAnsi"/>
          <w:sz w:val="20"/>
          <w:szCs w:val="20"/>
        </w:rPr>
      </w:pPr>
    </w:p>
    <w:p w14:paraId="225615B1" w14:textId="77777777" w:rsidR="002C1641" w:rsidRPr="00B645F5" w:rsidRDefault="002C1641" w:rsidP="00EC55EA">
      <w:pPr>
        <w:tabs>
          <w:tab w:val="center" w:pos="5400"/>
        </w:tabs>
        <w:suppressAutoHyphens/>
        <w:jc w:val="center"/>
        <w:rPr>
          <w:rFonts w:asciiTheme="majorHAnsi" w:hAnsiTheme="majorHAnsi"/>
          <w:sz w:val="20"/>
          <w:szCs w:val="20"/>
        </w:rPr>
      </w:pPr>
    </w:p>
    <w:p w14:paraId="5B8AF17A" w14:textId="77777777" w:rsidR="003C32BC" w:rsidRPr="00B645F5" w:rsidRDefault="003C32BC" w:rsidP="00EC55EA">
      <w:pPr>
        <w:tabs>
          <w:tab w:val="center" w:pos="5400"/>
        </w:tabs>
        <w:suppressAutoHyphens/>
        <w:jc w:val="center"/>
        <w:rPr>
          <w:rFonts w:asciiTheme="majorHAnsi" w:hAnsiTheme="majorHAnsi"/>
          <w:sz w:val="20"/>
          <w:szCs w:val="20"/>
        </w:rPr>
      </w:pPr>
    </w:p>
    <w:p w14:paraId="7C5ECEC7" w14:textId="77777777" w:rsidR="003C32BC" w:rsidRPr="00B645F5" w:rsidRDefault="0057078E" w:rsidP="00EC55EA">
      <w:pPr>
        <w:tabs>
          <w:tab w:val="center" w:pos="5400"/>
        </w:tabs>
        <w:suppressAutoHyphens/>
        <w:jc w:val="center"/>
        <w:rPr>
          <w:rFonts w:asciiTheme="majorHAnsi" w:hAnsiTheme="majorHAnsi"/>
          <w:sz w:val="20"/>
          <w:szCs w:val="20"/>
        </w:rPr>
      </w:pPr>
      <w:r w:rsidRPr="00B645F5">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0E7C8877" wp14:editId="5A8BF008">
                <wp:simplePos x="0" y="0"/>
                <wp:positionH relativeFrom="column">
                  <wp:posOffset>-299085</wp:posOffset>
                </wp:positionH>
                <wp:positionV relativeFrom="paragraph">
                  <wp:posOffset>859155</wp:posOffset>
                </wp:positionV>
                <wp:extent cx="1181100" cy="332740"/>
                <wp:effectExtent l="0" t="127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3565C1" w14:textId="77777777" w:rsidR="006E0105" w:rsidRPr="004B7EB6" w:rsidRDefault="006E010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C887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" filled="f" stroked="f" strokeweight=".5pt">
                <v:textbox>
                  <w:txbxContent>
                    <w:p w14:paraId="7D3565C1" w14:textId="77777777" w:rsidR="006E0105" w:rsidRPr="004B7EB6" w:rsidRDefault="006E010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645F5">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5844297" wp14:editId="4681FE9F">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F845A8" w14:textId="50ABBEF2" w:rsidR="006E0105" w:rsidRDefault="006B6E2E">
                            <w:r>
                              <w:rPr>
                                <w:noProof/>
                              </w:rPr>
                              <w:drawing>
                                <wp:inline distT="0" distB="0" distL="0" distR="0" wp14:anchorId="67C936B5" wp14:editId="4A9D33A7">
                                  <wp:extent cx="1544320" cy="394335"/>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4320" cy="3943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4429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" fillcolor="white [3201]" stroked="f" strokeweight=".5pt">
                <v:textbox>
                  <w:txbxContent>
                    <w:p w14:paraId="49F845A8" w14:textId="50ABBEF2" w:rsidR="006E0105" w:rsidRDefault="006B6E2E">
                      <w:r>
                        <w:rPr>
                          <w:noProof/>
                        </w:rPr>
                        <w:drawing>
                          <wp:inline distT="0" distB="0" distL="0" distR="0" wp14:anchorId="67C936B5" wp14:editId="4A9D33A7">
                            <wp:extent cx="1544320" cy="394335"/>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44320" cy="394335"/>
                                    </a:xfrm>
                                    <a:prstGeom prst="rect">
                                      <a:avLst/>
                                    </a:prstGeom>
                                  </pic:spPr>
                                </pic:pic>
                              </a:graphicData>
                            </a:graphic>
                          </wp:inline>
                        </w:drawing>
                      </w:r>
                    </w:p>
                  </w:txbxContent>
                </v:textbox>
              </v:shape>
            </w:pict>
          </mc:Fallback>
        </mc:AlternateContent>
      </w:r>
    </w:p>
    <w:p w14:paraId="5C2F92FD" w14:textId="77777777" w:rsidR="007607C4" w:rsidRPr="00B645F5" w:rsidRDefault="007607C4" w:rsidP="00EC55EA">
      <w:pPr>
        <w:tabs>
          <w:tab w:val="center" w:pos="5400"/>
        </w:tabs>
        <w:suppressAutoHyphens/>
        <w:jc w:val="center"/>
        <w:rPr>
          <w:rFonts w:asciiTheme="majorHAnsi" w:hAnsiTheme="majorHAnsi"/>
          <w:sz w:val="20"/>
          <w:szCs w:val="20"/>
        </w:rPr>
        <w:sectPr w:rsidR="007607C4" w:rsidRPr="00B645F5">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2826E6ED" w14:textId="77777777" w:rsidR="00FC3EB4" w:rsidRPr="00B645F5" w:rsidRDefault="00FC3EB4" w:rsidP="00EC55EA">
      <w:pPr>
        <w:tabs>
          <w:tab w:val="center" w:pos="5400"/>
        </w:tabs>
        <w:suppressAutoHyphens/>
        <w:spacing w:line="276" w:lineRule="auto"/>
        <w:jc w:val="center"/>
        <w:rPr>
          <w:rFonts w:asciiTheme="majorHAnsi" w:hAnsiTheme="majorHAnsi"/>
          <w:b/>
          <w:sz w:val="20"/>
          <w:szCs w:val="20"/>
        </w:rPr>
      </w:pPr>
      <w:r w:rsidRPr="00B645F5">
        <w:rPr>
          <w:rFonts w:asciiTheme="majorHAnsi" w:hAnsiTheme="majorHAnsi"/>
          <w:b/>
          <w:sz w:val="20"/>
          <w:szCs w:val="20"/>
        </w:rPr>
        <w:lastRenderedPageBreak/>
        <w:t>INDEX</w:t>
      </w:r>
    </w:p>
    <w:p w14:paraId="7775E4F7" w14:textId="77777777" w:rsidR="007607C4" w:rsidRPr="002710C3" w:rsidRDefault="007607C4" w:rsidP="00EC55EA">
      <w:pPr>
        <w:tabs>
          <w:tab w:val="center" w:pos="5400"/>
        </w:tabs>
        <w:suppressAutoHyphens/>
        <w:spacing w:line="276" w:lineRule="auto"/>
        <w:rPr>
          <w:rFonts w:asciiTheme="majorHAnsi" w:hAnsiTheme="majorHAnsi"/>
          <w:sz w:val="20"/>
          <w:szCs w:val="20"/>
        </w:rPr>
      </w:pPr>
    </w:p>
    <w:p w14:paraId="563F6D07" w14:textId="7EB7DD83" w:rsidR="002710C3" w:rsidRPr="00ED639B" w:rsidRDefault="00193281">
      <w:pPr>
        <w:pStyle w:val="TOC1"/>
        <w:rPr>
          <w:rFonts w:eastAsiaTheme="minorEastAsia" w:cstheme="minorBidi"/>
          <w:b w:val="0"/>
          <w:bdr w:val="none" w:sz="0" w:space="0" w:color="auto"/>
          <w:lang w:val="es-US" w:eastAsia="zh-CN"/>
        </w:rPr>
      </w:pPr>
      <w:r w:rsidRPr="00ED639B">
        <w:rPr>
          <w:b w:val="0"/>
        </w:rPr>
        <w:fldChar w:fldCharType="begin"/>
      </w:r>
      <w:r w:rsidR="00864785" w:rsidRPr="00ED639B">
        <w:rPr>
          <w:b w:val="0"/>
          <w:lang w:val="en-US"/>
        </w:rPr>
        <w:instrText xml:space="preserve"> TOC \o "1-3" \h \z \u </w:instrText>
      </w:r>
      <w:r w:rsidRPr="00ED639B">
        <w:rPr>
          <w:b w:val="0"/>
        </w:rPr>
        <w:fldChar w:fldCharType="separate"/>
      </w:r>
      <w:hyperlink w:anchor="_Toc90115110" w:history="1">
        <w:r w:rsidR="002710C3" w:rsidRPr="00ED639B">
          <w:rPr>
            <w:rStyle w:val="Hyperlink"/>
            <w:b w:val="0"/>
          </w:rPr>
          <w:t>I.</w:t>
        </w:r>
        <w:r w:rsidR="002710C3" w:rsidRPr="00ED639B">
          <w:rPr>
            <w:rFonts w:eastAsiaTheme="minorEastAsia" w:cstheme="minorBidi"/>
            <w:b w:val="0"/>
            <w:bdr w:val="none" w:sz="0" w:space="0" w:color="auto"/>
            <w:lang w:val="es-US" w:eastAsia="zh-CN"/>
          </w:rPr>
          <w:tab/>
        </w:r>
        <w:r w:rsidR="002710C3" w:rsidRPr="00ED639B">
          <w:rPr>
            <w:rStyle w:val="Hyperlink"/>
            <w:b w:val="0"/>
          </w:rPr>
          <w:t>INTRODUCTION</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_Toc90115110 \h </w:instrText>
        </w:r>
        <w:r w:rsidR="002710C3" w:rsidRPr="00ED639B">
          <w:rPr>
            <w:b w:val="0"/>
            <w:webHidden/>
          </w:rPr>
        </w:r>
        <w:r w:rsidR="002710C3" w:rsidRPr="00ED639B">
          <w:rPr>
            <w:b w:val="0"/>
            <w:webHidden/>
          </w:rPr>
          <w:fldChar w:fldCharType="separate"/>
        </w:r>
        <w:r w:rsidR="002710C3" w:rsidRPr="00ED639B">
          <w:rPr>
            <w:b w:val="0"/>
            <w:webHidden/>
          </w:rPr>
          <w:t>2</w:t>
        </w:r>
        <w:r w:rsidR="002710C3" w:rsidRPr="00ED639B">
          <w:rPr>
            <w:b w:val="0"/>
            <w:webHidden/>
          </w:rPr>
          <w:fldChar w:fldCharType="end"/>
        </w:r>
      </w:hyperlink>
    </w:p>
    <w:p w14:paraId="5A468201" w14:textId="4F1E2FE5" w:rsidR="002710C3" w:rsidRPr="00ED639B" w:rsidRDefault="00995254">
      <w:pPr>
        <w:pStyle w:val="TOC1"/>
        <w:rPr>
          <w:rFonts w:eastAsiaTheme="minorEastAsia" w:cstheme="minorBidi"/>
          <w:b w:val="0"/>
          <w:bdr w:val="none" w:sz="0" w:space="0" w:color="auto"/>
          <w:lang w:val="es-US" w:eastAsia="zh-CN"/>
        </w:rPr>
      </w:pPr>
      <w:hyperlink w:anchor="_Toc90115111" w:history="1">
        <w:r w:rsidR="002710C3" w:rsidRPr="00ED639B">
          <w:rPr>
            <w:rStyle w:val="Hyperlink"/>
            <w:b w:val="0"/>
          </w:rPr>
          <w:t>II.</w:t>
        </w:r>
        <w:r w:rsidR="002710C3" w:rsidRPr="00ED639B">
          <w:rPr>
            <w:rFonts w:eastAsiaTheme="minorEastAsia" w:cstheme="minorBidi"/>
            <w:b w:val="0"/>
            <w:bdr w:val="none" w:sz="0" w:space="0" w:color="auto"/>
            <w:lang w:val="es-US" w:eastAsia="zh-CN"/>
          </w:rPr>
          <w:tab/>
        </w:r>
        <w:r w:rsidR="002710C3" w:rsidRPr="00ED639B">
          <w:rPr>
            <w:rStyle w:val="Hyperlink"/>
            <w:b w:val="0"/>
          </w:rPr>
          <w:t>POSITIONS OF THE PARTIES</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_Toc90115111 \h </w:instrText>
        </w:r>
        <w:r w:rsidR="002710C3" w:rsidRPr="00ED639B">
          <w:rPr>
            <w:b w:val="0"/>
            <w:webHidden/>
          </w:rPr>
        </w:r>
        <w:r w:rsidR="002710C3" w:rsidRPr="00ED639B">
          <w:rPr>
            <w:b w:val="0"/>
            <w:webHidden/>
          </w:rPr>
          <w:fldChar w:fldCharType="separate"/>
        </w:r>
        <w:r w:rsidR="002710C3" w:rsidRPr="00ED639B">
          <w:rPr>
            <w:b w:val="0"/>
            <w:webHidden/>
          </w:rPr>
          <w:t>2</w:t>
        </w:r>
        <w:r w:rsidR="002710C3" w:rsidRPr="00ED639B">
          <w:rPr>
            <w:b w:val="0"/>
            <w:webHidden/>
          </w:rPr>
          <w:fldChar w:fldCharType="end"/>
        </w:r>
      </w:hyperlink>
    </w:p>
    <w:p w14:paraId="5DF63FBF" w14:textId="6B4270A0" w:rsidR="002710C3" w:rsidRPr="00ED639B" w:rsidRDefault="00995254">
      <w:pPr>
        <w:pStyle w:val="TOC2"/>
        <w:rPr>
          <w:rFonts w:eastAsiaTheme="minorEastAsia" w:cstheme="minorBidi"/>
          <w:bCs w:val="0"/>
          <w:bdr w:val="none" w:sz="0" w:space="0" w:color="auto"/>
          <w:lang w:val="es-US" w:eastAsia="zh-CN"/>
        </w:rPr>
      </w:pPr>
      <w:hyperlink w:anchor="_Toc90115112" w:history="1">
        <w:r w:rsidR="002710C3" w:rsidRPr="00ED639B">
          <w:rPr>
            <w:rStyle w:val="Hyperlink"/>
            <w:bCs w:val="0"/>
          </w:rPr>
          <w:t>A.</w:t>
        </w:r>
        <w:r w:rsidR="002710C3" w:rsidRPr="00ED639B">
          <w:rPr>
            <w:rFonts w:eastAsiaTheme="minorEastAsia" w:cstheme="minorBidi"/>
            <w:bCs w:val="0"/>
            <w:bdr w:val="none" w:sz="0" w:space="0" w:color="auto"/>
            <w:lang w:val="es-US" w:eastAsia="zh-CN"/>
          </w:rPr>
          <w:tab/>
        </w:r>
        <w:r w:rsidR="002710C3" w:rsidRPr="00ED639B">
          <w:rPr>
            <w:rStyle w:val="Hyperlink"/>
            <w:bCs w:val="0"/>
          </w:rPr>
          <w:t>Petitioners</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_Toc90115112 \h </w:instrText>
        </w:r>
        <w:r w:rsidR="002710C3" w:rsidRPr="00ED639B">
          <w:rPr>
            <w:bCs w:val="0"/>
            <w:webHidden/>
          </w:rPr>
        </w:r>
        <w:r w:rsidR="002710C3" w:rsidRPr="00ED639B">
          <w:rPr>
            <w:bCs w:val="0"/>
            <w:webHidden/>
          </w:rPr>
          <w:fldChar w:fldCharType="separate"/>
        </w:r>
        <w:r w:rsidR="002710C3" w:rsidRPr="00ED639B">
          <w:rPr>
            <w:bCs w:val="0"/>
            <w:webHidden/>
          </w:rPr>
          <w:t>2</w:t>
        </w:r>
        <w:r w:rsidR="002710C3" w:rsidRPr="00ED639B">
          <w:rPr>
            <w:bCs w:val="0"/>
            <w:webHidden/>
          </w:rPr>
          <w:fldChar w:fldCharType="end"/>
        </w:r>
      </w:hyperlink>
    </w:p>
    <w:p w14:paraId="4AF864FE" w14:textId="543243C6" w:rsidR="002710C3" w:rsidRPr="00ED639B" w:rsidRDefault="00995254">
      <w:pPr>
        <w:pStyle w:val="TOC2"/>
        <w:rPr>
          <w:rFonts w:eastAsiaTheme="minorEastAsia" w:cstheme="minorBidi"/>
          <w:bCs w:val="0"/>
          <w:bdr w:val="none" w:sz="0" w:space="0" w:color="auto"/>
          <w:lang w:val="es-US" w:eastAsia="zh-CN"/>
        </w:rPr>
      </w:pPr>
      <w:hyperlink w:anchor="_Toc90115113" w:history="1">
        <w:r w:rsidR="002710C3" w:rsidRPr="00ED639B">
          <w:rPr>
            <w:rStyle w:val="Hyperlink"/>
            <w:bCs w:val="0"/>
          </w:rPr>
          <w:t>B.</w:t>
        </w:r>
        <w:r w:rsidR="002710C3" w:rsidRPr="00ED639B">
          <w:rPr>
            <w:rFonts w:eastAsiaTheme="minorEastAsia" w:cstheme="minorBidi"/>
            <w:bCs w:val="0"/>
            <w:bdr w:val="none" w:sz="0" w:space="0" w:color="auto"/>
            <w:lang w:val="es-US" w:eastAsia="zh-CN"/>
          </w:rPr>
          <w:tab/>
        </w:r>
        <w:r w:rsidR="002710C3" w:rsidRPr="00ED639B">
          <w:rPr>
            <w:rStyle w:val="Hyperlink"/>
            <w:bCs w:val="0"/>
          </w:rPr>
          <w:t>State</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_Toc90115113 \h </w:instrText>
        </w:r>
        <w:r w:rsidR="002710C3" w:rsidRPr="00ED639B">
          <w:rPr>
            <w:bCs w:val="0"/>
            <w:webHidden/>
          </w:rPr>
        </w:r>
        <w:r w:rsidR="002710C3" w:rsidRPr="00ED639B">
          <w:rPr>
            <w:bCs w:val="0"/>
            <w:webHidden/>
          </w:rPr>
          <w:fldChar w:fldCharType="separate"/>
        </w:r>
        <w:r w:rsidR="002710C3" w:rsidRPr="00ED639B">
          <w:rPr>
            <w:bCs w:val="0"/>
            <w:webHidden/>
          </w:rPr>
          <w:t>6</w:t>
        </w:r>
        <w:r w:rsidR="002710C3" w:rsidRPr="00ED639B">
          <w:rPr>
            <w:bCs w:val="0"/>
            <w:webHidden/>
          </w:rPr>
          <w:fldChar w:fldCharType="end"/>
        </w:r>
      </w:hyperlink>
    </w:p>
    <w:p w14:paraId="36473F9D" w14:textId="45218427" w:rsidR="002710C3" w:rsidRPr="00ED639B" w:rsidRDefault="00995254">
      <w:pPr>
        <w:pStyle w:val="TOC1"/>
        <w:rPr>
          <w:rFonts w:eastAsiaTheme="minorEastAsia" w:cstheme="minorBidi"/>
          <w:b w:val="0"/>
          <w:bdr w:val="none" w:sz="0" w:space="0" w:color="auto"/>
          <w:lang w:val="es-US" w:eastAsia="zh-CN"/>
        </w:rPr>
      </w:pPr>
      <w:hyperlink w:anchor="_Toc90115114" w:history="1">
        <w:r w:rsidR="002710C3" w:rsidRPr="00ED639B">
          <w:rPr>
            <w:rStyle w:val="Hyperlink"/>
            <w:b w:val="0"/>
          </w:rPr>
          <w:t>III.</w:t>
        </w:r>
        <w:r w:rsidR="002710C3" w:rsidRPr="00ED639B">
          <w:rPr>
            <w:rFonts w:eastAsiaTheme="minorEastAsia" w:cstheme="minorBidi"/>
            <w:b w:val="0"/>
            <w:bdr w:val="none" w:sz="0" w:space="0" w:color="auto"/>
            <w:lang w:val="es-US" w:eastAsia="zh-CN"/>
          </w:rPr>
          <w:tab/>
        </w:r>
        <w:r w:rsidR="002710C3" w:rsidRPr="00ED639B">
          <w:rPr>
            <w:rStyle w:val="Hyperlink"/>
            <w:b w:val="0"/>
          </w:rPr>
          <w:t>ADMISSIBILITY</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_Toc90115114 \h </w:instrText>
        </w:r>
        <w:r w:rsidR="002710C3" w:rsidRPr="00ED639B">
          <w:rPr>
            <w:b w:val="0"/>
            <w:webHidden/>
          </w:rPr>
        </w:r>
        <w:r w:rsidR="002710C3" w:rsidRPr="00ED639B">
          <w:rPr>
            <w:b w:val="0"/>
            <w:webHidden/>
          </w:rPr>
          <w:fldChar w:fldCharType="separate"/>
        </w:r>
        <w:r w:rsidR="002710C3" w:rsidRPr="00ED639B">
          <w:rPr>
            <w:b w:val="0"/>
            <w:webHidden/>
          </w:rPr>
          <w:t>8</w:t>
        </w:r>
        <w:r w:rsidR="002710C3" w:rsidRPr="00ED639B">
          <w:rPr>
            <w:b w:val="0"/>
            <w:webHidden/>
          </w:rPr>
          <w:fldChar w:fldCharType="end"/>
        </w:r>
      </w:hyperlink>
    </w:p>
    <w:p w14:paraId="66602D9E" w14:textId="28EDA111" w:rsidR="002710C3" w:rsidRPr="00ED639B" w:rsidRDefault="00995254">
      <w:pPr>
        <w:pStyle w:val="TOC2"/>
        <w:rPr>
          <w:rFonts w:eastAsiaTheme="minorEastAsia" w:cstheme="minorBidi"/>
          <w:bCs w:val="0"/>
          <w:bdr w:val="none" w:sz="0" w:space="0" w:color="auto"/>
          <w:lang w:val="es-US" w:eastAsia="zh-CN"/>
        </w:rPr>
      </w:pPr>
      <w:hyperlink w:anchor="_Toc90115115" w:history="1">
        <w:r w:rsidR="002710C3" w:rsidRPr="00ED639B">
          <w:rPr>
            <w:rStyle w:val="Hyperlink"/>
            <w:rFonts w:cs="Times New Roman"/>
            <w:bCs w:val="0"/>
          </w:rPr>
          <w:t>A.</w:t>
        </w:r>
        <w:r w:rsidR="002710C3" w:rsidRPr="00ED639B">
          <w:rPr>
            <w:rFonts w:eastAsiaTheme="minorEastAsia" w:cstheme="minorBidi"/>
            <w:bCs w:val="0"/>
            <w:bdr w:val="none" w:sz="0" w:space="0" w:color="auto"/>
            <w:lang w:val="es-US" w:eastAsia="zh-CN"/>
          </w:rPr>
          <w:tab/>
        </w:r>
        <w:r w:rsidR="002710C3" w:rsidRPr="00ED639B">
          <w:rPr>
            <w:rStyle w:val="Hyperlink"/>
            <w:rFonts w:cs="Times New Roman"/>
            <w:bCs w:val="0"/>
          </w:rPr>
          <w:t xml:space="preserve">Competence, duplication of procedures and international </w:t>
        </w:r>
        <w:r w:rsidR="002710C3" w:rsidRPr="00ED639B">
          <w:rPr>
            <w:rStyle w:val="Hyperlink"/>
            <w:rFonts w:cs="Times New Roman"/>
            <w:bCs w:val="0"/>
            <w:i/>
          </w:rPr>
          <w:t>res judicata</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_Toc90115115 \h </w:instrText>
        </w:r>
        <w:r w:rsidR="002710C3" w:rsidRPr="00ED639B">
          <w:rPr>
            <w:bCs w:val="0"/>
            <w:webHidden/>
          </w:rPr>
        </w:r>
        <w:r w:rsidR="002710C3" w:rsidRPr="00ED639B">
          <w:rPr>
            <w:bCs w:val="0"/>
            <w:webHidden/>
          </w:rPr>
          <w:fldChar w:fldCharType="separate"/>
        </w:r>
        <w:r w:rsidR="002710C3" w:rsidRPr="00ED639B">
          <w:rPr>
            <w:bCs w:val="0"/>
            <w:webHidden/>
          </w:rPr>
          <w:t>8</w:t>
        </w:r>
        <w:r w:rsidR="002710C3" w:rsidRPr="00ED639B">
          <w:rPr>
            <w:bCs w:val="0"/>
            <w:webHidden/>
          </w:rPr>
          <w:fldChar w:fldCharType="end"/>
        </w:r>
      </w:hyperlink>
    </w:p>
    <w:p w14:paraId="12C30076" w14:textId="6FFDF3C3" w:rsidR="002710C3" w:rsidRPr="00ED639B" w:rsidRDefault="00995254">
      <w:pPr>
        <w:pStyle w:val="TOC2"/>
        <w:rPr>
          <w:rFonts w:eastAsiaTheme="minorEastAsia" w:cstheme="minorBidi"/>
          <w:bCs w:val="0"/>
          <w:bdr w:val="none" w:sz="0" w:space="0" w:color="auto"/>
          <w:lang w:val="es-US" w:eastAsia="zh-CN"/>
        </w:rPr>
      </w:pPr>
      <w:hyperlink w:anchor="_Toc90115116" w:history="1">
        <w:r w:rsidR="002710C3" w:rsidRPr="00ED639B">
          <w:rPr>
            <w:rStyle w:val="Hyperlink"/>
            <w:rFonts w:cs="Tahoma"/>
            <w:bCs w:val="0"/>
          </w:rPr>
          <w:t>B.</w:t>
        </w:r>
        <w:r w:rsidR="002710C3" w:rsidRPr="00ED639B">
          <w:rPr>
            <w:rFonts w:eastAsiaTheme="minorEastAsia" w:cstheme="minorBidi"/>
            <w:bCs w:val="0"/>
            <w:bdr w:val="none" w:sz="0" w:space="0" w:color="auto"/>
            <w:lang w:val="es-US" w:eastAsia="zh-CN"/>
          </w:rPr>
          <w:tab/>
        </w:r>
        <w:r w:rsidR="002710C3" w:rsidRPr="00ED639B">
          <w:rPr>
            <w:rStyle w:val="Hyperlink"/>
            <w:rFonts w:cs="Tahoma"/>
            <w:bCs w:val="0"/>
            <w:shd w:val="clear" w:color="auto" w:fill="FFFFFF"/>
          </w:rPr>
          <w:t>Exhaustion of domestic remedies and timeliness of the petition</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_Toc90115116 \h </w:instrText>
        </w:r>
        <w:r w:rsidR="002710C3" w:rsidRPr="00ED639B">
          <w:rPr>
            <w:bCs w:val="0"/>
            <w:webHidden/>
          </w:rPr>
        </w:r>
        <w:r w:rsidR="002710C3" w:rsidRPr="00ED639B">
          <w:rPr>
            <w:bCs w:val="0"/>
            <w:webHidden/>
          </w:rPr>
          <w:fldChar w:fldCharType="separate"/>
        </w:r>
        <w:r w:rsidR="002710C3" w:rsidRPr="00ED639B">
          <w:rPr>
            <w:bCs w:val="0"/>
            <w:webHidden/>
          </w:rPr>
          <w:t>8</w:t>
        </w:r>
        <w:r w:rsidR="002710C3" w:rsidRPr="00ED639B">
          <w:rPr>
            <w:bCs w:val="0"/>
            <w:webHidden/>
          </w:rPr>
          <w:fldChar w:fldCharType="end"/>
        </w:r>
      </w:hyperlink>
    </w:p>
    <w:p w14:paraId="5DF55E38" w14:textId="1F5B269F" w:rsidR="002710C3" w:rsidRPr="00ED639B" w:rsidRDefault="00995254">
      <w:pPr>
        <w:pStyle w:val="TOC2"/>
        <w:rPr>
          <w:rFonts w:eastAsiaTheme="minorEastAsia" w:cstheme="minorBidi"/>
          <w:bCs w:val="0"/>
          <w:bdr w:val="none" w:sz="0" w:space="0" w:color="auto"/>
          <w:lang w:val="es-US" w:eastAsia="zh-CN"/>
        </w:rPr>
      </w:pPr>
      <w:hyperlink w:anchor="_Toc90115117" w:history="1">
        <w:r w:rsidR="002710C3" w:rsidRPr="00ED639B">
          <w:rPr>
            <w:rStyle w:val="Hyperlink"/>
            <w:rFonts w:cs="Times New Roman"/>
            <w:bCs w:val="0"/>
          </w:rPr>
          <w:t>C.</w:t>
        </w:r>
        <w:r w:rsidR="002710C3" w:rsidRPr="00ED639B">
          <w:rPr>
            <w:rFonts w:eastAsiaTheme="minorEastAsia" w:cstheme="minorBidi"/>
            <w:bCs w:val="0"/>
            <w:bdr w:val="none" w:sz="0" w:space="0" w:color="auto"/>
            <w:lang w:val="es-US" w:eastAsia="zh-CN"/>
          </w:rPr>
          <w:tab/>
        </w:r>
        <w:r w:rsidR="002710C3" w:rsidRPr="00ED639B">
          <w:rPr>
            <w:rStyle w:val="Hyperlink"/>
            <w:rFonts w:cs="Times New Roman"/>
            <w:bCs w:val="0"/>
          </w:rPr>
          <w:t>Colorable claim</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_Toc90115117 \h </w:instrText>
        </w:r>
        <w:r w:rsidR="002710C3" w:rsidRPr="00ED639B">
          <w:rPr>
            <w:bCs w:val="0"/>
            <w:webHidden/>
          </w:rPr>
        </w:r>
        <w:r w:rsidR="002710C3" w:rsidRPr="00ED639B">
          <w:rPr>
            <w:bCs w:val="0"/>
            <w:webHidden/>
          </w:rPr>
          <w:fldChar w:fldCharType="separate"/>
        </w:r>
        <w:r w:rsidR="002710C3" w:rsidRPr="00ED639B">
          <w:rPr>
            <w:bCs w:val="0"/>
            <w:webHidden/>
          </w:rPr>
          <w:t>9</w:t>
        </w:r>
        <w:r w:rsidR="002710C3" w:rsidRPr="00ED639B">
          <w:rPr>
            <w:bCs w:val="0"/>
            <w:webHidden/>
          </w:rPr>
          <w:fldChar w:fldCharType="end"/>
        </w:r>
      </w:hyperlink>
    </w:p>
    <w:p w14:paraId="292C82C1" w14:textId="6D8CA2D5" w:rsidR="002710C3" w:rsidRPr="00ED639B" w:rsidRDefault="00995254">
      <w:pPr>
        <w:pStyle w:val="TOC1"/>
        <w:rPr>
          <w:rFonts w:eastAsiaTheme="minorEastAsia" w:cstheme="minorBidi"/>
          <w:b w:val="0"/>
          <w:bdr w:val="none" w:sz="0" w:space="0" w:color="auto"/>
          <w:lang w:val="es-US" w:eastAsia="zh-CN"/>
        </w:rPr>
      </w:pPr>
      <w:hyperlink w:anchor="_Toc90115118" w:history="1">
        <w:r w:rsidR="002710C3" w:rsidRPr="00ED639B">
          <w:rPr>
            <w:rStyle w:val="Hyperlink"/>
            <w:b w:val="0"/>
          </w:rPr>
          <w:t>IV.</w:t>
        </w:r>
        <w:r w:rsidR="002710C3" w:rsidRPr="00ED639B">
          <w:rPr>
            <w:rFonts w:eastAsiaTheme="minorEastAsia" w:cstheme="minorBidi"/>
            <w:b w:val="0"/>
            <w:bdr w:val="none" w:sz="0" w:space="0" w:color="auto"/>
            <w:lang w:val="es-US" w:eastAsia="zh-CN"/>
          </w:rPr>
          <w:tab/>
        </w:r>
        <w:r w:rsidR="002710C3" w:rsidRPr="00ED639B">
          <w:rPr>
            <w:rStyle w:val="Hyperlink"/>
            <w:b w:val="0"/>
          </w:rPr>
          <w:t>FINDINGS OF FACT</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_Toc90115118 \h </w:instrText>
        </w:r>
        <w:r w:rsidR="002710C3" w:rsidRPr="00ED639B">
          <w:rPr>
            <w:b w:val="0"/>
            <w:webHidden/>
          </w:rPr>
        </w:r>
        <w:r w:rsidR="002710C3" w:rsidRPr="00ED639B">
          <w:rPr>
            <w:b w:val="0"/>
            <w:webHidden/>
          </w:rPr>
          <w:fldChar w:fldCharType="separate"/>
        </w:r>
        <w:r w:rsidR="002710C3" w:rsidRPr="00ED639B">
          <w:rPr>
            <w:b w:val="0"/>
            <w:webHidden/>
          </w:rPr>
          <w:t>9</w:t>
        </w:r>
        <w:r w:rsidR="002710C3" w:rsidRPr="00ED639B">
          <w:rPr>
            <w:b w:val="0"/>
            <w:webHidden/>
          </w:rPr>
          <w:fldChar w:fldCharType="end"/>
        </w:r>
      </w:hyperlink>
    </w:p>
    <w:p w14:paraId="2BA0FBFC" w14:textId="3C286A26" w:rsidR="002710C3" w:rsidRPr="00ED639B" w:rsidRDefault="00995254">
      <w:pPr>
        <w:pStyle w:val="TOC2"/>
        <w:rPr>
          <w:rFonts w:eastAsiaTheme="minorEastAsia" w:cstheme="minorBidi"/>
          <w:bCs w:val="0"/>
          <w:bdr w:val="none" w:sz="0" w:space="0" w:color="auto"/>
          <w:lang w:val="es-US" w:eastAsia="zh-CN"/>
        </w:rPr>
      </w:pPr>
      <w:hyperlink w:anchor="_Toc90115119" w:history="1">
        <w:r w:rsidR="002710C3" w:rsidRPr="00ED639B">
          <w:rPr>
            <w:rStyle w:val="Hyperlink"/>
            <w:bCs w:val="0"/>
          </w:rPr>
          <w:t>A.</w:t>
        </w:r>
        <w:r w:rsidR="002710C3" w:rsidRPr="00ED639B">
          <w:rPr>
            <w:rFonts w:eastAsiaTheme="minorEastAsia" w:cstheme="minorBidi"/>
            <w:bCs w:val="0"/>
            <w:bdr w:val="none" w:sz="0" w:space="0" w:color="auto"/>
            <w:lang w:val="es-US" w:eastAsia="zh-CN"/>
          </w:rPr>
          <w:tab/>
        </w:r>
        <w:r w:rsidR="002710C3" w:rsidRPr="00ED639B">
          <w:rPr>
            <w:rStyle w:val="Hyperlink"/>
            <w:bCs w:val="0"/>
          </w:rPr>
          <w:t>Facts of the case</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_Toc90115119 \h </w:instrText>
        </w:r>
        <w:r w:rsidR="002710C3" w:rsidRPr="00ED639B">
          <w:rPr>
            <w:bCs w:val="0"/>
            <w:webHidden/>
          </w:rPr>
        </w:r>
        <w:r w:rsidR="002710C3" w:rsidRPr="00ED639B">
          <w:rPr>
            <w:bCs w:val="0"/>
            <w:webHidden/>
          </w:rPr>
          <w:fldChar w:fldCharType="separate"/>
        </w:r>
        <w:r w:rsidR="002710C3" w:rsidRPr="00ED639B">
          <w:rPr>
            <w:bCs w:val="0"/>
            <w:webHidden/>
          </w:rPr>
          <w:t>9</w:t>
        </w:r>
        <w:r w:rsidR="002710C3" w:rsidRPr="00ED639B">
          <w:rPr>
            <w:bCs w:val="0"/>
            <w:webHidden/>
          </w:rPr>
          <w:fldChar w:fldCharType="end"/>
        </w:r>
      </w:hyperlink>
    </w:p>
    <w:p w14:paraId="59EFAC2A" w14:textId="55C9433D" w:rsidR="002710C3" w:rsidRPr="00ED639B" w:rsidRDefault="00995254">
      <w:pPr>
        <w:pStyle w:val="TOC2"/>
        <w:rPr>
          <w:rFonts w:eastAsiaTheme="minorEastAsia" w:cstheme="minorBidi"/>
          <w:bCs w:val="0"/>
          <w:bdr w:val="none" w:sz="0" w:space="0" w:color="auto"/>
          <w:lang w:val="es-US" w:eastAsia="zh-CN"/>
        </w:rPr>
      </w:pPr>
      <w:hyperlink w:anchor="_Toc90115120" w:history="1">
        <w:r w:rsidR="002710C3" w:rsidRPr="00ED639B">
          <w:rPr>
            <w:rStyle w:val="Hyperlink"/>
            <w:bCs w:val="0"/>
          </w:rPr>
          <w:t>B.</w:t>
        </w:r>
        <w:r w:rsidR="002710C3" w:rsidRPr="00ED639B">
          <w:rPr>
            <w:rFonts w:eastAsiaTheme="minorEastAsia" w:cstheme="minorBidi"/>
            <w:bCs w:val="0"/>
            <w:bdr w:val="none" w:sz="0" w:space="0" w:color="auto"/>
            <w:lang w:val="es-US" w:eastAsia="zh-CN"/>
          </w:rPr>
          <w:tab/>
        </w:r>
        <w:r w:rsidR="002710C3" w:rsidRPr="00ED639B">
          <w:rPr>
            <w:rStyle w:val="Hyperlink"/>
            <w:bCs w:val="0"/>
          </w:rPr>
          <w:t>Trial and death sentence</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_Toc90115120 \h </w:instrText>
        </w:r>
        <w:r w:rsidR="002710C3" w:rsidRPr="00ED639B">
          <w:rPr>
            <w:bCs w:val="0"/>
            <w:webHidden/>
          </w:rPr>
        </w:r>
        <w:r w:rsidR="002710C3" w:rsidRPr="00ED639B">
          <w:rPr>
            <w:bCs w:val="0"/>
            <w:webHidden/>
          </w:rPr>
          <w:fldChar w:fldCharType="separate"/>
        </w:r>
        <w:r w:rsidR="002710C3" w:rsidRPr="00ED639B">
          <w:rPr>
            <w:bCs w:val="0"/>
            <w:webHidden/>
          </w:rPr>
          <w:t>10</w:t>
        </w:r>
        <w:r w:rsidR="002710C3" w:rsidRPr="00ED639B">
          <w:rPr>
            <w:bCs w:val="0"/>
            <w:webHidden/>
          </w:rPr>
          <w:fldChar w:fldCharType="end"/>
        </w:r>
      </w:hyperlink>
    </w:p>
    <w:p w14:paraId="5AACBB3F" w14:textId="0E40D46E" w:rsidR="002710C3" w:rsidRPr="00ED639B" w:rsidRDefault="00995254">
      <w:pPr>
        <w:pStyle w:val="TOC2"/>
        <w:rPr>
          <w:rFonts w:eastAsiaTheme="minorEastAsia" w:cstheme="minorBidi"/>
          <w:bCs w:val="0"/>
          <w:bdr w:val="none" w:sz="0" w:space="0" w:color="auto"/>
          <w:lang w:val="es-US" w:eastAsia="zh-CN"/>
        </w:rPr>
      </w:pPr>
      <w:hyperlink w:anchor="_Toc90115121" w:history="1">
        <w:r w:rsidR="002710C3" w:rsidRPr="00ED639B">
          <w:rPr>
            <w:rStyle w:val="Hyperlink"/>
            <w:bCs w:val="0"/>
          </w:rPr>
          <w:t>C.</w:t>
        </w:r>
        <w:r w:rsidR="002710C3" w:rsidRPr="00ED639B">
          <w:rPr>
            <w:rFonts w:eastAsiaTheme="minorEastAsia" w:cstheme="minorBidi"/>
            <w:bCs w:val="0"/>
            <w:bdr w:val="none" w:sz="0" w:space="0" w:color="auto"/>
            <w:lang w:val="es-US" w:eastAsia="zh-CN"/>
          </w:rPr>
          <w:tab/>
        </w:r>
        <w:r w:rsidR="002710C3" w:rsidRPr="00ED639B">
          <w:rPr>
            <w:rStyle w:val="Hyperlink"/>
            <w:bCs w:val="0"/>
          </w:rPr>
          <w:t>Post-conviction relief and other remedies</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_Toc90115121 \h </w:instrText>
        </w:r>
        <w:r w:rsidR="002710C3" w:rsidRPr="00ED639B">
          <w:rPr>
            <w:bCs w:val="0"/>
            <w:webHidden/>
          </w:rPr>
        </w:r>
        <w:r w:rsidR="002710C3" w:rsidRPr="00ED639B">
          <w:rPr>
            <w:bCs w:val="0"/>
            <w:webHidden/>
          </w:rPr>
          <w:fldChar w:fldCharType="separate"/>
        </w:r>
        <w:r w:rsidR="002710C3" w:rsidRPr="00ED639B">
          <w:rPr>
            <w:bCs w:val="0"/>
            <w:webHidden/>
          </w:rPr>
          <w:t>10</w:t>
        </w:r>
        <w:r w:rsidR="002710C3" w:rsidRPr="00ED639B">
          <w:rPr>
            <w:bCs w:val="0"/>
            <w:webHidden/>
          </w:rPr>
          <w:fldChar w:fldCharType="end"/>
        </w:r>
      </w:hyperlink>
    </w:p>
    <w:p w14:paraId="2F98409F" w14:textId="59FBBD2D" w:rsidR="002710C3" w:rsidRPr="00ED639B" w:rsidRDefault="00995254">
      <w:pPr>
        <w:pStyle w:val="TOC2"/>
        <w:rPr>
          <w:rFonts w:eastAsiaTheme="minorEastAsia" w:cstheme="minorBidi"/>
          <w:bCs w:val="0"/>
          <w:bdr w:val="none" w:sz="0" w:space="0" w:color="auto"/>
          <w:lang w:val="es-US" w:eastAsia="zh-CN"/>
        </w:rPr>
      </w:pPr>
      <w:hyperlink w:anchor="_Toc90115122" w:history="1">
        <w:r w:rsidR="002710C3" w:rsidRPr="00ED639B">
          <w:rPr>
            <w:rStyle w:val="Hyperlink"/>
            <w:bCs w:val="0"/>
          </w:rPr>
          <w:t>D.</w:t>
        </w:r>
        <w:r w:rsidR="002710C3" w:rsidRPr="00ED639B">
          <w:rPr>
            <w:rFonts w:eastAsiaTheme="minorEastAsia" w:cstheme="minorBidi"/>
            <w:bCs w:val="0"/>
            <w:bdr w:val="none" w:sz="0" w:space="0" w:color="auto"/>
            <w:lang w:val="es-US" w:eastAsia="zh-CN"/>
          </w:rPr>
          <w:tab/>
        </w:r>
        <w:r w:rsidR="002710C3" w:rsidRPr="00ED639B">
          <w:rPr>
            <w:rStyle w:val="Hyperlink"/>
            <w:bCs w:val="0"/>
          </w:rPr>
          <w:t>Motion to disqualify and judicial misconduct complaint</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_Toc90115122 \h </w:instrText>
        </w:r>
        <w:r w:rsidR="002710C3" w:rsidRPr="00ED639B">
          <w:rPr>
            <w:bCs w:val="0"/>
            <w:webHidden/>
          </w:rPr>
        </w:r>
        <w:r w:rsidR="002710C3" w:rsidRPr="00ED639B">
          <w:rPr>
            <w:bCs w:val="0"/>
            <w:webHidden/>
          </w:rPr>
          <w:fldChar w:fldCharType="separate"/>
        </w:r>
        <w:r w:rsidR="002710C3" w:rsidRPr="00ED639B">
          <w:rPr>
            <w:bCs w:val="0"/>
            <w:webHidden/>
          </w:rPr>
          <w:t>12</w:t>
        </w:r>
        <w:r w:rsidR="002710C3" w:rsidRPr="00ED639B">
          <w:rPr>
            <w:bCs w:val="0"/>
            <w:webHidden/>
          </w:rPr>
          <w:fldChar w:fldCharType="end"/>
        </w:r>
      </w:hyperlink>
    </w:p>
    <w:p w14:paraId="7EF3DA57" w14:textId="199F9DCF" w:rsidR="002710C3" w:rsidRPr="00ED639B" w:rsidRDefault="00995254">
      <w:pPr>
        <w:pStyle w:val="TOC1"/>
        <w:rPr>
          <w:rFonts w:eastAsiaTheme="minorEastAsia" w:cstheme="minorBidi"/>
          <w:b w:val="0"/>
          <w:bdr w:val="none" w:sz="0" w:space="0" w:color="auto"/>
          <w:lang w:val="es-US" w:eastAsia="zh-CN"/>
        </w:rPr>
      </w:pPr>
      <w:hyperlink w:anchor="_Toc90115123" w:history="1">
        <w:r w:rsidR="002710C3" w:rsidRPr="00ED639B">
          <w:rPr>
            <w:rStyle w:val="Hyperlink"/>
            <w:b w:val="0"/>
          </w:rPr>
          <w:t>V.</w:t>
        </w:r>
        <w:r w:rsidR="002710C3" w:rsidRPr="00ED639B">
          <w:rPr>
            <w:rFonts w:eastAsiaTheme="minorEastAsia" w:cstheme="minorBidi"/>
            <w:b w:val="0"/>
            <w:bdr w:val="none" w:sz="0" w:space="0" w:color="auto"/>
            <w:lang w:val="es-US" w:eastAsia="zh-CN"/>
          </w:rPr>
          <w:tab/>
        </w:r>
        <w:r w:rsidR="002710C3" w:rsidRPr="00ED639B">
          <w:rPr>
            <w:rStyle w:val="Hyperlink"/>
            <w:b w:val="0"/>
          </w:rPr>
          <w:t>ANALYSIS OF LAW</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_Toc90115123 \h </w:instrText>
        </w:r>
        <w:r w:rsidR="002710C3" w:rsidRPr="00ED639B">
          <w:rPr>
            <w:b w:val="0"/>
            <w:webHidden/>
          </w:rPr>
        </w:r>
        <w:r w:rsidR="002710C3" w:rsidRPr="00ED639B">
          <w:rPr>
            <w:b w:val="0"/>
            <w:webHidden/>
          </w:rPr>
          <w:fldChar w:fldCharType="separate"/>
        </w:r>
        <w:r w:rsidR="002710C3" w:rsidRPr="00ED639B">
          <w:rPr>
            <w:b w:val="0"/>
            <w:webHidden/>
          </w:rPr>
          <w:t>13</w:t>
        </w:r>
        <w:r w:rsidR="002710C3" w:rsidRPr="00ED639B">
          <w:rPr>
            <w:b w:val="0"/>
            <w:webHidden/>
          </w:rPr>
          <w:fldChar w:fldCharType="end"/>
        </w:r>
      </w:hyperlink>
    </w:p>
    <w:p w14:paraId="6C0C3FDA" w14:textId="1EB185D2" w:rsidR="002710C3" w:rsidRPr="00ED639B" w:rsidRDefault="00995254">
      <w:pPr>
        <w:pStyle w:val="TOC2"/>
        <w:rPr>
          <w:rFonts w:eastAsiaTheme="minorEastAsia" w:cstheme="minorBidi"/>
          <w:bCs w:val="0"/>
          <w:bdr w:val="none" w:sz="0" w:space="0" w:color="auto"/>
          <w:lang w:val="es-US" w:eastAsia="zh-CN"/>
        </w:rPr>
      </w:pPr>
      <w:hyperlink w:anchor="_Toc90115124" w:history="1">
        <w:r w:rsidR="002710C3" w:rsidRPr="00ED639B">
          <w:rPr>
            <w:rStyle w:val="Hyperlink"/>
            <w:bCs w:val="0"/>
          </w:rPr>
          <w:t>A.</w:t>
        </w:r>
        <w:r w:rsidR="002710C3" w:rsidRPr="00ED639B">
          <w:rPr>
            <w:rFonts w:eastAsiaTheme="minorEastAsia" w:cstheme="minorBidi"/>
            <w:bCs w:val="0"/>
            <w:bdr w:val="none" w:sz="0" w:space="0" w:color="auto"/>
            <w:lang w:val="es-US" w:eastAsia="zh-CN"/>
          </w:rPr>
          <w:tab/>
        </w:r>
        <w:r w:rsidR="002710C3" w:rsidRPr="00ED639B">
          <w:rPr>
            <w:rStyle w:val="Hyperlink"/>
            <w:bCs w:val="0"/>
          </w:rPr>
          <w:t>Preliminary considerations</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_Toc90115124 \h </w:instrText>
        </w:r>
        <w:r w:rsidR="002710C3" w:rsidRPr="00ED639B">
          <w:rPr>
            <w:bCs w:val="0"/>
            <w:webHidden/>
          </w:rPr>
        </w:r>
        <w:r w:rsidR="002710C3" w:rsidRPr="00ED639B">
          <w:rPr>
            <w:bCs w:val="0"/>
            <w:webHidden/>
          </w:rPr>
          <w:fldChar w:fldCharType="separate"/>
        </w:r>
        <w:r w:rsidR="002710C3" w:rsidRPr="00ED639B">
          <w:rPr>
            <w:bCs w:val="0"/>
            <w:webHidden/>
          </w:rPr>
          <w:t>13</w:t>
        </w:r>
        <w:r w:rsidR="002710C3" w:rsidRPr="00ED639B">
          <w:rPr>
            <w:bCs w:val="0"/>
            <w:webHidden/>
          </w:rPr>
          <w:fldChar w:fldCharType="end"/>
        </w:r>
      </w:hyperlink>
    </w:p>
    <w:p w14:paraId="2CFA7EF7" w14:textId="05EDCB6F" w:rsidR="002710C3" w:rsidRPr="00ED639B" w:rsidRDefault="00995254">
      <w:pPr>
        <w:pStyle w:val="TOC2"/>
        <w:rPr>
          <w:rFonts w:eastAsiaTheme="minorEastAsia" w:cstheme="minorBidi"/>
          <w:bCs w:val="0"/>
          <w:bdr w:val="none" w:sz="0" w:space="0" w:color="auto"/>
          <w:lang w:val="es-US" w:eastAsia="zh-CN"/>
        </w:rPr>
      </w:pPr>
      <w:hyperlink w:anchor="_Toc90115125" w:history="1">
        <w:r w:rsidR="002710C3" w:rsidRPr="00ED639B">
          <w:rPr>
            <w:rStyle w:val="Hyperlink"/>
            <w:bCs w:val="0"/>
          </w:rPr>
          <w:t>B.</w:t>
        </w:r>
        <w:r w:rsidR="002710C3" w:rsidRPr="00ED639B">
          <w:rPr>
            <w:rFonts w:eastAsiaTheme="minorEastAsia" w:cstheme="minorBidi"/>
            <w:bCs w:val="0"/>
            <w:bdr w:val="none" w:sz="0" w:space="0" w:color="auto"/>
            <w:lang w:val="es-US" w:eastAsia="zh-CN"/>
          </w:rPr>
          <w:tab/>
        </w:r>
        <w:r w:rsidR="002710C3" w:rsidRPr="00ED639B">
          <w:rPr>
            <w:rStyle w:val="Hyperlink"/>
            <w:bCs w:val="0"/>
          </w:rPr>
          <w:t>Right to a fair trial and right to due process of law</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_Toc90115125 \h </w:instrText>
        </w:r>
        <w:r w:rsidR="002710C3" w:rsidRPr="00ED639B">
          <w:rPr>
            <w:bCs w:val="0"/>
            <w:webHidden/>
          </w:rPr>
        </w:r>
        <w:r w:rsidR="002710C3" w:rsidRPr="00ED639B">
          <w:rPr>
            <w:bCs w:val="0"/>
            <w:webHidden/>
          </w:rPr>
          <w:fldChar w:fldCharType="separate"/>
        </w:r>
        <w:r w:rsidR="002710C3" w:rsidRPr="00ED639B">
          <w:rPr>
            <w:bCs w:val="0"/>
            <w:webHidden/>
          </w:rPr>
          <w:t>14</w:t>
        </w:r>
        <w:r w:rsidR="002710C3" w:rsidRPr="00ED639B">
          <w:rPr>
            <w:bCs w:val="0"/>
            <w:webHidden/>
          </w:rPr>
          <w:fldChar w:fldCharType="end"/>
        </w:r>
      </w:hyperlink>
    </w:p>
    <w:p w14:paraId="20E58B72" w14:textId="2E601B55" w:rsidR="002710C3" w:rsidRPr="00ED639B" w:rsidRDefault="00995254">
      <w:pPr>
        <w:pStyle w:val="TOC3"/>
        <w:rPr>
          <w:rFonts w:asciiTheme="majorHAnsi" w:eastAsiaTheme="minorEastAsia" w:hAnsiTheme="majorHAnsi" w:cstheme="minorBidi"/>
          <w:noProof/>
          <w:sz w:val="20"/>
          <w:szCs w:val="20"/>
          <w:bdr w:val="none" w:sz="0" w:space="0" w:color="auto"/>
          <w:lang w:val="es-US" w:eastAsia="zh-CN"/>
        </w:rPr>
      </w:pPr>
      <w:hyperlink w:anchor="_Toc90115126" w:history="1">
        <w:r w:rsidR="002710C3" w:rsidRPr="00ED639B">
          <w:rPr>
            <w:rStyle w:val="Hyperlink"/>
            <w:rFonts w:asciiTheme="majorHAnsi" w:hAnsiTheme="majorHAnsi"/>
            <w:noProof/>
            <w:sz w:val="20"/>
            <w:szCs w:val="20"/>
          </w:rPr>
          <w:t>1.</w:t>
        </w:r>
        <w:r w:rsidR="002710C3" w:rsidRPr="00ED639B">
          <w:rPr>
            <w:rFonts w:asciiTheme="majorHAnsi" w:eastAsiaTheme="minorEastAsia" w:hAnsiTheme="majorHAnsi" w:cstheme="minorBidi"/>
            <w:noProof/>
            <w:sz w:val="20"/>
            <w:szCs w:val="20"/>
            <w:bdr w:val="none" w:sz="0" w:space="0" w:color="auto"/>
            <w:lang w:val="es-US" w:eastAsia="zh-CN"/>
          </w:rPr>
          <w:tab/>
        </w:r>
        <w:r w:rsidR="002710C3" w:rsidRPr="00ED639B">
          <w:rPr>
            <w:rStyle w:val="Hyperlink"/>
            <w:rFonts w:asciiTheme="majorHAnsi" w:hAnsiTheme="majorHAnsi"/>
            <w:noProof/>
            <w:sz w:val="20"/>
            <w:szCs w:val="20"/>
          </w:rPr>
          <w:t>Right to information on consular assistance</w:t>
        </w:r>
        <w:r w:rsidR="002710C3" w:rsidRPr="00ED639B">
          <w:rPr>
            <w:rFonts w:asciiTheme="majorHAnsi" w:hAnsiTheme="majorHAnsi"/>
            <w:noProof/>
            <w:webHidden/>
            <w:sz w:val="20"/>
            <w:szCs w:val="20"/>
          </w:rPr>
          <w:tab/>
        </w:r>
        <w:r w:rsidR="002710C3" w:rsidRPr="00ED639B">
          <w:rPr>
            <w:rFonts w:asciiTheme="majorHAnsi" w:hAnsiTheme="majorHAnsi"/>
            <w:noProof/>
            <w:webHidden/>
            <w:sz w:val="20"/>
            <w:szCs w:val="20"/>
          </w:rPr>
          <w:fldChar w:fldCharType="begin"/>
        </w:r>
        <w:r w:rsidR="002710C3" w:rsidRPr="00ED639B">
          <w:rPr>
            <w:rFonts w:asciiTheme="majorHAnsi" w:hAnsiTheme="majorHAnsi"/>
            <w:noProof/>
            <w:webHidden/>
            <w:sz w:val="20"/>
            <w:szCs w:val="20"/>
          </w:rPr>
          <w:instrText xml:space="preserve"> PAGEREF _Toc90115126 \h </w:instrText>
        </w:r>
        <w:r w:rsidR="002710C3" w:rsidRPr="00ED639B">
          <w:rPr>
            <w:rFonts w:asciiTheme="majorHAnsi" w:hAnsiTheme="majorHAnsi"/>
            <w:noProof/>
            <w:webHidden/>
            <w:sz w:val="20"/>
            <w:szCs w:val="20"/>
          </w:rPr>
        </w:r>
        <w:r w:rsidR="002710C3" w:rsidRPr="00ED639B">
          <w:rPr>
            <w:rFonts w:asciiTheme="majorHAnsi" w:hAnsiTheme="majorHAnsi"/>
            <w:noProof/>
            <w:webHidden/>
            <w:sz w:val="20"/>
            <w:szCs w:val="20"/>
          </w:rPr>
          <w:fldChar w:fldCharType="separate"/>
        </w:r>
        <w:r w:rsidR="002710C3" w:rsidRPr="00ED639B">
          <w:rPr>
            <w:rFonts w:asciiTheme="majorHAnsi" w:hAnsiTheme="majorHAnsi"/>
            <w:noProof/>
            <w:webHidden/>
            <w:sz w:val="20"/>
            <w:szCs w:val="20"/>
          </w:rPr>
          <w:t>14</w:t>
        </w:r>
        <w:r w:rsidR="002710C3" w:rsidRPr="00ED639B">
          <w:rPr>
            <w:rFonts w:asciiTheme="majorHAnsi" w:hAnsiTheme="majorHAnsi"/>
            <w:noProof/>
            <w:webHidden/>
            <w:sz w:val="20"/>
            <w:szCs w:val="20"/>
          </w:rPr>
          <w:fldChar w:fldCharType="end"/>
        </w:r>
      </w:hyperlink>
    </w:p>
    <w:p w14:paraId="2123535B" w14:textId="122B6097" w:rsidR="002710C3" w:rsidRPr="00ED639B" w:rsidRDefault="00995254">
      <w:pPr>
        <w:pStyle w:val="TOC3"/>
        <w:rPr>
          <w:rFonts w:asciiTheme="majorHAnsi" w:eastAsiaTheme="minorEastAsia" w:hAnsiTheme="majorHAnsi" w:cstheme="minorBidi"/>
          <w:noProof/>
          <w:sz w:val="20"/>
          <w:szCs w:val="20"/>
          <w:bdr w:val="none" w:sz="0" w:space="0" w:color="auto"/>
          <w:lang w:val="es-US" w:eastAsia="zh-CN"/>
        </w:rPr>
      </w:pPr>
      <w:hyperlink w:anchor="_Toc90115127" w:history="1">
        <w:r w:rsidR="002710C3" w:rsidRPr="00ED639B">
          <w:rPr>
            <w:rStyle w:val="Hyperlink"/>
            <w:rFonts w:asciiTheme="majorHAnsi" w:hAnsiTheme="majorHAnsi"/>
            <w:noProof/>
            <w:sz w:val="20"/>
            <w:szCs w:val="20"/>
          </w:rPr>
          <w:t>2.</w:t>
        </w:r>
        <w:r w:rsidR="002710C3" w:rsidRPr="00ED639B">
          <w:rPr>
            <w:rFonts w:asciiTheme="majorHAnsi" w:eastAsiaTheme="minorEastAsia" w:hAnsiTheme="majorHAnsi" w:cstheme="minorBidi"/>
            <w:noProof/>
            <w:sz w:val="20"/>
            <w:szCs w:val="20"/>
            <w:bdr w:val="none" w:sz="0" w:space="0" w:color="auto"/>
            <w:lang w:val="es-US" w:eastAsia="zh-CN"/>
          </w:rPr>
          <w:tab/>
        </w:r>
        <w:r w:rsidR="002710C3" w:rsidRPr="00ED639B">
          <w:rPr>
            <w:rStyle w:val="Hyperlink"/>
            <w:rFonts w:asciiTheme="majorHAnsi" w:hAnsiTheme="majorHAnsi"/>
            <w:noProof/>
            <w:sz w:val="20"/>
            <w:szCs w:val="20"/>
          </w:rPr>
          <w:t>Ineffective assistance of court-appointed counsel</w:t>
        </w:r>
        <w:r w:rsidR="002710C3" w:rsidRPr="00ED639B">
          <w:rPr>
            <w:rFonts w:asciiTheme="majorHAnsi" w:hAnsiTheme="majorHAnsi"/>
            <w:noProof/>
            <w:webHidden/>
            <w:sz w:val="20"/>
            <w:szCs w:val="20"/>
          </w:rPr>
          <w:tab/>
        </w:r>
        <w:r w:rsidR="002710C3" w:rsidRPr="00ED639B">
          <w:rPr>
            <w:rFonts w:asciiTheme="majorHAnsi" w:hAnsiTheme="majorHAnsi"/>
            <w:noProof/>
            <w:webHidden/>
            <w:sz w:val="20"/>
            <w:szCs w:val="20"/>
          </w:rPr>
          <w:fldChar w:fldCharType="begin"/>
        </w:r>
        <w:r w:rsidR="002710C3" w:rsidRPr="00ED639B">
          <w:rPr>
            <w:rFonts w:asciiTheme="majorHAnsi" w:hAnsiTheme="majorHAnsi"/>
            <w:noProof/>
            <w:webHidden/>
            <w:sz w:val="20"/>
            <w:szCs w:val="20"/>
          </w:rPr>
          <w:instrText xml:space="preserve"> PAGEREF _Toc90115127 \h </w:instrText>
        </w:r>
        <w:r w:rsidR="002710C3" w:rsidRPr="00ED639B">
          <w:rPr>
            <w:rFonts w:asciiTheme="majorHAnsi" w:hAnsiTheme="majorHAnsi"/>
            <w:noProof/>
            <w:webHidden/>
            <w:sz w:val="20"/>
            <w:szCs w:val="20"/>
          </w:rPr>
        </w:r>
        <w:r w:rsidR="002710C3" w:rsidRPr="00ED639B">
          <w:rPr>
            <w:rFonts w:asciiTheme="majorHAnsi" w:hAnsiTheme="majorHAnsi"/>
            <w:noProof/>
            <w:webHidden/>
            <w:sz w:val="20"/>
            <w:szCs w:val="20"/>
          </w:rPr>
          <w:fldChar w:fldCharType="separate"/>
        </w:r>
        <w:r w:rsidR="002710C3" w:rsidRPr="00ED639B">
          <w:rPr>
            <w:rFonts w:asciiTheme="majorHAnsi" w:hAnsiTheme="majorHAnsi"/>
            <w:noProof/>
            <w:webHidden/>
            <w:sz w:val="20"/>
            <w:szCs w:val="20"/>
          </w:rPr>
          <w:t>15</w:t>
        </w:r>
        <w:r w:rsidR="002710C3" w:rsidRPr="00ED639B">
          <w:rPr>
            <w:rFonts w:asciiTheme="majorHAnsi" w:hAnsiTheme="majorHAnsi"/>
            <w:noProof/>
            <w:webHidden/>
            <w:sz w:val="20"/>
            <w:szCs w:val="20"/>
          </w:rPr>
          <w:fldChar w:fldCharType="end"/>
        </w:r>
      </w:hyperlink>
    </w:p>
    <w:p w14:paraId="634193B6" w14:textId="7C4ED9A0" w:rsidR="002710C3" w:rsidRPr="00ED639B" w:rsidRDefault="00995254">
      <w:pPr>
        <w:pStyle w:val="TOC3"/>
        <w:rPr>
          <w:rFonts w:asciiTheme="majorHAnsi" w:eastAsiaTheme="minorEastAsia" w:hAnsiTheme="majorHAnsi" w:cstheme="minorBidi"/>
          <w:noProof/>
          <w:sz w:val="20"/>
          <w:szCs w:val="20"/>
          <w:bdr w:val="none" w:sz="0" w:space="0" w:color="auto"/>
          <w:lang w:val="es-US" w:eastAsia="zh-CN"/>
        </w:rPr>
      </w:pPr>
      <w:hyperlink w:anchor="_Toc90115128" w:history="1">
        <w:r w:rsidR="002710C3" w:rsidRPr="00ED639B">
          <w:rPr>
            <w:rStyle w:val="Hyperlink"/>
            <w:rFonts w:asciiTheme="majorHAnsi" w:eastAsiaTheme="majorEastAsia" w:hAnsiTheme="majorHAnsi" w:cstheme="majorBidi"/>
            <w:noProof/>
            <w:sz w:val="20"/>
            <w:szCs w:val="20"/>
          </w:rPr>
          <w:t>3.</w:t>
        </w:r>
        <w:r w:rsidR="002710C3" w:rsidRPr="00ED639B">
          <w:rPr>
            <w:rFonts w:asciiTheme="majorHAnsi" w:eastAsiaTheme="minorEastAsia" w:hAnsiTheme="majorHAnsi" w:cstheme="minorBidi"/>
            <w:noProof/>
            <w:sz w:val="20"/>
            <w:szCs w:val="20"/>
            <w:bdr w:val="none" w:sz="0" w:space="0" w:color="auto"/>
            <w:lang w:val="es-US" w:eastAsia="zh-CN"/>
          </w:rPr>
          <w:tab/>
        </w:r>
        <w:r w:rsidR="002710C3" w:rsidRPr="00ED639B">
          <w:rPr>
            <w:rStyle w:val="Hyperlink"/>
            <w:rFonts w:asciiTheme="majorHAnsi" w:eastAsiaTheme="majorEastAsia" w:hAnsiTheme="majorHAnsi" w:cstheme="majorBidi"/>
            <w:noProof/>
            <w:sz w:val="20"/>
            <w:szCs w:val="20"/>
          </w:rPr>
          <w:t>Right to adequate time and to be assisted by legal counsel</w:t>
        </w:r>
        <w:r w:rsidR="002710C3" w:rsidRPr="00ED639B">
          <w:rPr>
            <w:rFonts w:asciiTheme="majorHAnsi" w:hAnsiTheme="majorHAnsi"/>
            <w:noProof/>
            <w:webHidden/>
            <w:sz w:val="20"/>
            <w:szCs w:val="20"/>
          </w:rPr>
          <w:tab/>
        </w:r>
        <w:r w:rsidR="002710C3" w:rsidRPr="00ED639B">
          <w:rPr>
            <w:rFonts w:asciiTheme="majorHAnsi" w:hAnsiTheme="majorHAnsi"/>
            <w:noProof/>
            <w:webHidden/>
            <w:sz w:val="20"/>
            <w:szCs w:val="20"/>
          </w:rPr>
          <w:fldChar w:fldCharType="begin"/>
        </w:r>
        <w:r w:rsidR="002710C3" w:rsidRPr="00ED639B">
          <w:rPr>
            <w:rFonts w:asciiTheme="majorHAnsi" w:hAnsiTheme="majorHAnsi"/>
            <w:noProof/>
            <w:webHidden/>
            <w:sz w:val="20"/>
            <w:szCs w:val="20"/>
          </w:rPr>
          <w:instrText xml:space="preserve"> PAGEREF _Toc90115128 \h </w:instrText>
        </w:r>
        <w:r w:rsidR="002710C3" w:rsidRPr="00ED639B">
          <w:rPr>
            <w:rFonts w:asciiTheme="majorHAnsi" w:hAnsiTheme="majorHAnsi"/>
            <w:noProof/>
            <w:webHidden/>
            <w:sz w:val="20"/>
            <w:szCs w:val="20"/>
          </w:rPr>
        </w:r>
        <w:r w:rsidR="002710C3" w:rsidRPr="00ED639B">
          <w:rPr>
            <w:rFonts w:asciiTheme="majorHAnsi" w:hAnsiTheme="majorHAnsi"/>
            <w:noProof/>
            <w:webHidden/>
            <w:sz w:val="20"/>
            <w:szCs w:val="20"/>
          </w:rPr>
          <w:fldChar w:fldCharType="separate"/>
        </w:r>
        <w:r w:rsidR="002710C3" w:rsidRPr="00ED639B">
          <w:rPr>
            <w:rFonts w:asciiTheme="majorHAnsi" w:hAnsiTheme="majorHAnsi"/>
            <w:noProof/>
            <w:webHidden/>
            <w:sz w:val="20"/>
            <w:szCs w:val="20"/>
          </w:rPr>
          <w:t>16</w:t>
        </w:r>
        <w:r w:rsidR="002710C3" w:rsidRPr="00ED639B">
          <w:rPr>
            <w:rFonts w:asciiTheme="majorHAnsi" w:hAnsiTheme="majorHAnsi"/>
            <w:noProof/>
            <w:webHidden/>
            <w:sz w:val="20"/>
            <w:szCs w:val="20"/>
          </w:rPr>
          <w:fldChar w:fldCharType="end"/>
        </w:r>
      </w:hyperlink>
    </w:p>
    <w:p w14:paraId="65CC9C29" w14:textId="6D77BE4A" w:rsidR="002710C3" w:rsidRPr="00ED639B" w:rsidRDefault="00995254">
      <w:pPr>
        <w:pStyle w:val="TOC1"/>
        <w:rPr>
          <w:rFonts w:eastAsiaTheme="minorEastAsia" w:cstheme="minorBidi"/>
          <w:b w:val="0"/>
          <w:bdr w:val="none" w:sz="0" w:space="0" w:color="auto"/>
          <w:lang w:val="es-US" w:eastAsia="zh-CN"/>
        </w:rPr>
      </w:pPr>
      <w:hyperlink w:anchor="_Toc90115129" w:history="1">
        <w:r w:rsidR="002710C3" w:rsidRPr="00ED639B">
          <w:rPr>
            <w:rStyle w:val="Hyperlink"/>
            <w:b w:val="0"/>
          </w:rPr>
          <w:t>4.</w:t>
        </w:r>
        <w:r w:rsidR="002710C3" w:rsidRPr="00ED639B">
          <w:rPr>
            <w:rFonts w:eastAsiaTheme="minorEastAsia" w:cstheme="minorBidi"/>
            <w:b w:val="0"/>
            <w:bdr w:val="none" w:sz="0" w:space="0" w:color="auto"/>
            <w:lang w:val="es-US" w:eastAsia="zh-CN"/>
          </w:rPr>
          <w:tab/>
        </w:r>
        <w:r w:rsidR="002710C3" w:rsidRPr="00ED639B">
          <w:rPr>
            <w:rStyle w:val="Hyperlink"/>
            <w:b w:val="0"/>
          </w:rPr>
          <w:t>Right to an effective remedy, to be tried by an impartial judge, and to equality before the law and non-discrimination</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_Toc90115129 \h </w:instrText>
        </w:r>
        <w:r w:rsidR="002710C3" w:rsidRPr="00ED639B">
          <w:rPr>
            <w:b w:val="0"/>
            <w:webHidden/>
          </w:rPr>
        </w:r>
        <w:r w:rsidR="002710C3" w:rsidRPr="00ED639B">
          <w:rPr>
            <w:b w:val="0"/>
            <w:webHidden/>
          </w:rPr>
          <w:fldChar w:fldCharType="separate"/>
        </w:r>
        <w:r w:rsidR="002710C3" w:rsidRPr="00ED639B">
          <w:rPr>
            <w:b w:val="0"/>
            <w:webHidden/>
          </w:rPr>
          <w:t>17</w:t>
        </w:r>
        <w:r w:rsidR="002710C3" w:rsidRPr="00ED639B">
          <w:rPr>
            <w:b w:val="0"/>
            <w:webHidden/>
          </w:rPr>
          <w:fldChar w:fldCharType="end"/>
        </w:r>
      </w:hyperlink>
    </w:p>
    <w:p w14:paraId="758FB213" w14:textId="0D88D4D9" w:rsidR="002710C3" w:rsidRPr="00ED639B" w:rsidRDefault="00995254">
      <w:pPr>
        <w:pStyle w:val="TOC2"/>
        <w:rPr>
          <w:rFonts w:eastAsiaTheme="minorEastAsia" w:cstheme="minorBidi"/>
          <w:bCs w:val="0"/>
          <w:bdr w:val="none" w:sz="0" w:space="0" w:color="auto"/>
          <w:lang w:val="es-US" w:eastAsia="zh-CN"/>
        </w:rPr>
      </w:pPr>
      <w:hyperlink w:anchor="_Toc90115130" w:history="1">
        <w:r w:rsidR="002710C3" w:rsidRPr="00ED639B">
          <w:rPr>
            <w:rStyle w:val="Hyperlink"/>
            <w:bCs w:val="0"/>
          </w:rPr>
          <w:t>C.</w:t>
        </w:r>
        <w:r w:rsidR="002710C3" w:rsidRPr="00ED639B">
          <w:rPr>
            <w:rFonts w:eastAsiaTheme="minorEastAsia" w:cstheme="minorBidi"/>
            <w:bCs w:val="0"/>
            <w:bdr w:val="none" w:sz="0" w:space="0" w:color="auto"/>
            <w:lang w:val="es-US" w:eastAsia="zh-CN"/>
          </w:rPr>
          <w:tab/>
        </w:r>
        <w:r w:rsidR="002710C3" w:rsidRPr="00ED639B">
          <w:rPr>
            <w:rStyle w:val="Hyperlink"/>
            <w:bCs w:val="0"/>
          </w:rPr>
          <w:t>Right of every person with mental or intellectual disabilities not to be subjected to the death penalty</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_Toc90115130 \h </w:instrText>
        </w:r>
        <w:r w:rsidR="002710C3" w:rsidRPr="00ED639B">
          <w:rPr>
            <w:bCs w:val="0"/>
            <w:webHidden/>
          </w:rPr>
        </w:r>
        <w:r w:rsidR="002710C3" w:rsidRPr="00ED639B">
          <w:rPr>
            <w:bCs w:val="0"/>
            <w:webHidden/>
          </w:rPr>
          <w:fldChar w:fldCharType="separate"/>
        </w:r>
        <w:r w:rsidR="002710C3" w:rsidRPr="00ED639B">
          <w:rPr>
            <w:bCs w:val="0"/>
            <w:webHidden/>
          </w:rPr>
          <w:t>19</w:t>
        </w:r>
        <w:r w:rsidR="002710C3" w:rsidRPr="00ED639B">
          <w:rPr>
            <w:bCs w:val="0"/>
            <w:webHidden/>
          </w:rPr>
          <w:fldChar w:fldCharType="end"/>
        </w:r>
      </w:hyperlink>
    </w:p>
    <w:p w14:paraId="24AF734C" w14:textId="1425E9AC" w:rsidR="002710C3" w:rsidRPr="00ED639B" w:rsidRDefault="00995254">
      <w:pPr>
        <w:pStyle w:val="TOC2"/>
        <w:rPr>
          <w:rFonts w:eastAsiaTheme="minorEastAsia" w:cstheme="minorBidi"/>
          <w:bCs w:val="0"/>
          <w:bdr w:val="none" w:sz="0" w:space="0" w:color="auto"/>
          <w:lang w:val="es-US" w:eastAsia="zh-CN"/>
        </w:rPr>
      </w:pPr>
      <w:hyperlink w:anchor="_Toc90115131" w:history="1">
        <w:r w:rsidR="002710C3" w:rsidRPr="00ED639B">
          <w:rPr>
            <w:rStyle w:val="Hyperlink"/>
            <w:bCs w:val="0"/>
          </w:rPr>
          <w:t>D.</w:t>
        </w:r>
        <w:r w:rsidR="002710C3" w:rsidRPr="00ED639B">
          <w:rPr>
            <w:rFonts w:eastAsiaTheme="minorEastAsia" w:cstheme="minorBidi"/>
            <w:bCs w:val="0"/>
            <w:bdr w:val="none" w:sz="0" w:space="0" w:color="auto"/>
            <w:lang w:val="es-US" w:eastAsia="zh-CN"/>
          </w:rPr>
          <w:tab/>
        </w:r>
        <w:r w:rsidR="002710C3" w:rsidRPr="00ED639B">
          <w:rPr>
            <w:rStyle w:val="Hyperlink"/>
            <w:bCs w:val="0"/>
          </w:rPr>
          <w:t>The deprivation of liberty on death row and the right of protection against cruel, infamous or unusual punishment</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_Toc90115131 \h </w:instrText>
        </w:r>
        <w:r w:rsidR="002710C3" w:rsidRPr="00ED639B">
          <w:rPr>
            <w:bCs w:val="0"/>
            <w:webHidden/>
          </w:rPr>
        </w:r>
        <w:r w:rsidR="002710C3" w:rsidRPr="00ED639B">
          <w:rPr>
            <w:bCs w:val="0"/>
            <w:webHidden/>
          </w:rPr>
          <w:fldChar w:fldCharType="separate"/>
        </w:r>
        <w:r w:rsidR="002710C3" w:rsidRPr="00ED639B">
          <w:rPr>
            <w:bCs w:val="0"/>
            <w:webHidden/>
          </w:rPr>
          <w:t>22</w:t>
        </w:r>
        <w:r w:rsidR="002710C3" w:rsidRPr="00ED639B">
          <w:rPr>
            <w:bCs w:val="0"/>
            <w:webHidden/>
          </w:rPr>
          <w:fldChar w:fldCharType="end"/>
        </w:r>
      </w:hyperlink>
    </w:p>
    <w:p w14:paraId="79E6EFC4" w14:textId="0BBA5732" w:rsidR="002710C3" w:rsidRPr="00ED639B" w:rsidRDefault="00995254">
      <w:pPr>
        <w:pStyle w:val="TOC2"/>
        <w:rPr>
          <w:rFonts w:eastAsiaTheme="minorEastAsia" w:cstheme="minorBidi"/>
          <w:bCs w:val="0"/>
          <w:bdr w:val="none" w:sz="0" w:space="0" w:color="auto"/>
          <w:lang w:val="es-US" w:eastAsia="zh-CN"/>
        </w:rPr>
      </w:pPr>
      <w:hyperlink w:anchor="_Toc90115132" w:history="1">
        <w:r w:rsidR="002710C3" w:rsidRPr="00ED639B">
          <w:rPr>
            <w:rStyle w:val="Hyperlink"/>
            <w:rFonts w:eastAsia="Arial Unicode MS"/>
            <w:bCs w:val="0"/>
          </w:rPr>
          <w:t>1.</w:t>
        </w:r>
        <w:r w:rsidR="002710C3" w:rsidRPr="00ED639B">
          <w:rPr>
            <w:rFonts w:eastAsiaTheme="minorEastAsia" w:cstheme="minorBidi"/>
            <w:bCs w:val="0"/>
            <w:bdr w:val="none" w:sz="0" w:space="0" w:color="auto"/>
            <w:lang w:val="es-US" w:eastAsia="zh-CN"/>
          </w:rPr>
          <w:tab/>
        </w:r>
        <w:r w:rsidR="002710C3" w:rsidRPr="00ED639B">
          <w:rPr>
            <w:rStyle w:val="Hyperlink"/>
            <w:bCs w:val="0"/>
          </w:rPr>
          <w:t>Death row phenomenon</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_Toc90115132 \h </w:instrText>
        </w:r>
        <w:r w:rsidR="002710C3" w:rsidRPr="00ED639B">
          <w:rPr>
            <w:bCs w:val="0"/>
            <w:webHidden/>
          </w:rPr>
        </w:r>
        <w:r w:rsidR="002710C3" w:rsidRPr="00ED639B">
          <w:rPr>
            <w:bCs w:val="0"/>
            <w:webHidden/>
          </w:rPr>
          <w:fldChar w:fldCharType="separate"/>
        </w:r>
        <w:r w:rsidR="002710C3" w:rsidRPr="00ED639B">
          <w:rPr>
            <w:bCs w:val="0"/>
            <w:webHidden/>
          </w:rPr>
          <w:t>22</w:t>
        </w:r>
        <w:r w:rsidR="002710C3" w:rsidRPr="00ED639B">
          <w:rPr>
            <w:bCs w:val="0"/>
            <w:webHidden/>
          </w:rPr>
          <w:fldChar w:fldCharType="end"/>
        </w:r>
      </w:hyperlink>
    </w:p>
    <w:p w14:paraId="2B892525" w14:textId="784F5559" w:rsidR="002710C3" w:rsidRPr="00ED639B" w:rsidRDefault="00995254">
      <w:pPr>
        <w:pStyle w:val="TOC2"/>
        <w:rPr>
          <w:rFonts w:eastAsiaTheme="minorEastAsia" w:cstheme="minorBidi"/>
          <w:bCs w:val="0"/>
          <w:bdr w:val="none" w:sz="0" w:space="0" w:color="auto"/>
          <w:lang w:val="es-US" w:eastAsia="zh-CN"/>
        </w:rPr>
      </w:pPr>
      <w:hyperlink w:anchor="_Toc90115133" w:history="1">
        <w:r w:rsidR="002710C3" w:rsidRPr="00ED639B">
          <w:rPr>
            <w:rStyle w:val="Hyperlink"/>
            <w:rFonts w:eastAsia="Arial Unicode MS"/>
            <w:bCs w:val="0"/>
          </w:rPr>
          <w:t>2.</w:t>
        </w:r>
        <w:r w:rsidR="002710C3" w:rsidRPr="00ED639B">
          <w:rPr>
            <w:rFonts w:eastAsiaTheme="minorEastAsia" w:cstheme="minorBidi"/>
            <w:bCs w:val="0"/>
            <w:bdr w:val="none" w:sz="0" w:space="0" w:color="auto"/>
            <w:lang w:val="es-US" w:eastAsia="zh-CN"/>
          </w:rPr>
          <w:tab/>
        </w:r>
        <w:r w:rsidR="002710C3" w:rsidRPr="00ED639B">
          <w:rPr>
            <w:rStyle w:val="Hyperlink"/>
            <w:bCs w:val="0"/>
          </w:rPr>
          <w:t>Method of Execution</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_Toc90115133 \h </w:instrText>
        </w:r>
        <w:r w:rsidR="002710C3" w:rsidRPr="00ED639B">
          <w:rPr>
            <w:bCs w:val="0"/>
            <w:webHidden/>
          </w:rPr>
        </w:r>
        <w:r w:rsidR="002710C3" w:rsidRPr="00ED639B">
          <w:rPr>
            <w:bCs w:val="0"/>
            <w:webHidden/>
          </w:rPr>
          <w:fldChar w:fldCharType="separate"/>
        </w:r>
        <w:r w:rsidR="002710C3" w:rsidRPr="00ED639B">
          <w:rPr>
            <w:bCs w:val="0"/>
            <w:webHidden/>
          </w:rPr>
          <w:t>23</w:t>
        </w:r>
        <w:r w:rsidR="002710C3" w:rsidRPr="00ED639B">
          <w:rPr>
            <w:bCs w:val="0"/>
            <w:webHidden/>
          </w:rPr>
          <w:fldChar w:fldCharType="end"/>
        </w:r>
      </w:hyperlink>
    </w:p>
    <w:p w14:paraId="4762C87E" w14:textId="6CB540DF" w:rsidR="002710C3" w:rsidRPr="00ED639B" w:rsidRDefault="00995254">
      <w:pPr>
        <w:pStyle w:val="TOC2"/>
        <w:rPr>
          <w:rFonts w:eastAsiaTheme="minorEastAsia" w:cstheme="minorBidi"/>
          <w:bCs w:val="0"/>
          <w:bdr w:val="none" w:sz="0" w:space="0" w:color="auto"/>
          <w:lang w:val="es-US" w:eastAsia="zh-CN"/>
        </w:rPr>
      </w:pPr>
      <w:hyperlink w:anchor="_Toc90115134" w:history="1">
        <w:r w:rsidR="002710C3" w:rsidRPr="00ED639B">
          <w:rPr>
            <w:rStyle w:val="Hyperlink"/>
            <w:bCs w:val="0"/>
          </w:rPr>
          <w:t>E.</w:t>
        </w:r>
        <w:r w:rsidR="002710C3" w:rsidRPr="00ED639B">
          <w:rPr>
            <w:rFonts w:eastAsiaTheme="minorEastAsia" w:cstheme="minorBidi"/>
            <w:bCs w:val="0"/>
            <w:bdr w:val="none" w:sz="0" w:space="0" w:color="auto"/>
            <w:lang w:val="es-US" w:eastAsia="zh-CN"/>
          </w:rPr>
          <w:tab/>
        </w:r>
        <w:r w:rsidR="002710C3" w:rsidRPr="00ED639B">
          <w:rPr>
            <w:rStyle w:val="Hyperlink"/>
            <w:bCs w:val="0"/>
          </w:rPr>
          <w:t>Right to life and to protection against cruel, infamous or unusual punishment with respect to the eventual execution of Ramiro Ibarra Rubí</w:t>
        </w:r>
        <w:r w:rsidR="002710C3" w:rsidRPr="00ED639B">
          <w:rPr>
            <w:bCs w:val="0"/>
            <w:webHidden/>
          </w:rPr>
          <w:tab/>
        </w:r>
        <w:r w:rsidR="002710C3" w:rsidRPr="00ED639B">
          <w:rPr>
            <w:bCs w:val="0"/>
            <w:webHidden/>
          </w:rPr>
          <w:fldChar w:fldCharType="begin"/>
        </w:r>
        <w:r w:rsidR="002710C3" w:rsidRPr="00ED639B">
          <w:rPr>
            <w:bCs w:val="0"/>
            <w:webHidden/>
          </w:rPr>
          <w:instrText xml:space="preserve"> PAGEREF _Toc90115134 \h </w:instrText>
        </w:r>
        <w:r w:rsidR="002710C3" w:rsidRPr="00ED639B">
          <w:rPr>
            <w:bCs w:val="0"/>
            <w:webHidden/>
          </w:rPr>
        </w:r>
        <w:r w:rsidR="002710C3" w:rsidRPr="00ED639B">
          <w:rPr>
            <w:bCs w:val="0"/>
            <w:webHidden/>
          </w:rPr>
          <w:fldChar w:fldCharType="separate"/>
        </w:r>
        <w:r w:rsidR="002710C3" w:rsidRPr="00ED639B">
          <w:rPr>
            <w:bCs w:val="0"/>
            <w:webHidden/>
          </w:rPr>
          <w:t>25</w:t>
        </w:r>
        <w:r w:rsidR="002710C3" w:rsidRPr="00ED639B">
          <w:rPr>
            <w:bCs w:val="0"/>
            <w:webHidden/>
          </w:rPr>
          <w:fldChar w:fldCharType="end"/>
        </w:r>
      </w:hyperlink>
    </w:p>
    <w:p w14:paraId="33B271A0" w14:textId="71266E99" w:rsidR="002710C3" w:rsidRPr="00ED639B" w:rsidRDefault="00995254">
      <w:pPr>
        <w:pStyle w:val="TOC1"/>
        <w:rPr>
          <w:rFonts w:eastAsiaTheme="minorEastAsia" w:cstheme="minorBidi"/>
          <w:b w:val="0"/>
          <w:bdr w:val="none" w:sz="0" w:space="0" w:color="auto"/>
          <w:lang w:val="es-US" w:eastAsia="zh-CN"/>
        </w:rPr>
      </w:pPr>
      <w:hyperlink w:anchor="_Toc90115135" w:history="1">
        <w:r w:rsidR="002710C3" w:rsidRPr="00ED639B">
          <w:rPr>
            <w:rStyle w:val="Hyperlink"/>
            <w:b w:val="0"/>
          </w:rPr>
          <w:t>VI.</w:t>
        </w:r>
        <w:r w:rsidR="002710C3" w:rsidRPr="00ED639B">
          <w:rPr>
            <w:rFonts w:eastAsiaTheme="minorEastAsia" w:cstheme="minorBidi"/>
            <w:b w:val="0"/>
            <w:bdr w:val="none" w:sz="0" w:space="0" w:color="auto"/>
            <w:lang w:val="es-US" w:eastAsia="zh-CN"/>
          </w:rPr>
          <w:tab/>
        </w:r>
        <w:r w:rsidR="002710C3" w:rsidRPr="00ED639B">
          <w:rPr>
            <w:rStyle w:val="Hyperlink"/>
            <w:b w:val="0"/>
          </w:rPr>
          <w:t>REPORT No. 9/21 AND INFORMATION ABOUT COMPLIANCE</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_Toc90115135 \h </w:instrText>
        </w:r>
        <w:r w:rsidR="002710C3" w:rsidRPr="00ED639B">
          <w:rPr>
            <w:b w:val="0"/>
            <w:webHidden/>
          </w:rPr>
        </w:r>
        <w:r w:rsidR="002710C3" w:rsidRPr="00ED639B">
          <w:rPr>
            <w:b w:val="0"/>
            <w:webHidden/>
          </w:rPr>
          <w:fldChar w:fldCharType="separate"/>
        </w:r>
        <w:r w:rsidR="002710C3" w:rsidRPr="00ED639B">
          <w:rPr>
            <w:b w:val="0"/>
            <w:webHidden/>
          </w:rPr>
          <w:t>25</w:t>
        </w:r>
        <w:r w:rsidR="002710C3" w:rsidRPr="00ED639B">
          <w:rPr>
            <w:b w:val="0"/>
            <w:webHidden/>
          </w:rPr>
          <w:fldChar w:fldCharType="end"/>
        </w:r>
      </w:hyperlink>
    </w:p>
    <w:p w14:paraId="5FBDD785" w14:textId="33573045" w:rsidR="002710C3" w:rsidRPr="00ED639B" w:rsidRDefault="00995254">
      <w:pPr>
        <w:pStyle w:val="TOC1"/>
        <w:rPr>
          <w:rFonts w:eastAsiaTheme="minorEastAsia" w:cstheme="minorBidi"/>
          <w:b w:val="0"/>
          <w:bdr w:val="none" w:sz="0" w:space="0" w:color="auto"/>
          <w:lang w:val="es-US" w:eastAsia="zh-CN"/>
        </w:rPr>
      </w:pPr>
      <w:hyperlink w:anchor="_Toc90115136" w:history="1">
        <w:r w:rsidR="002710C3" w:rsidRPr="00ED639B">
          <w:rPr>
            <w:rStyle w:val="Hyperlink"/>
            <w:b w:val="0"/>
          </w:rPr>
          <w:t>VII.</w:t>
        </w:r>
        <w:r w:rsidR="002710C3" w:rsidRPr="00ED639B">
          <w:rPr>
            <w:rFonts w:eastAsiaTheme="minorEastAsia" w:cstheme="minorBidi"/>
            <w:b w:val="0"/>
            <w:bdr w:val="none" w:sz="0" w:space="0" w:color="auto"/>
            <w:lang w:val="es-US" w:eastAsia="zh-CN"/>
          </w:rPr>
          <w:tab/>
        </w:r>
        <w:r w:rsidR="002710C3" w:rsidRPr="00ED639B">
          <w:rPr>
            <w:rStyle w:val="Hyperlink"/>
            <w:b w:val="0"/>
          </w:rPr>
          <w:t>ACTIONS SUBSEQUENT TO REPORT No. 325/21</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_Toc90115136 \h </w:instrText>
        </w:r>
        <w:r w:rsidR="002710C3" w:rsidRPr="00ED639B">
          <w:rPr>
            <w:b w:val="0"/>
            <w:webHidden/>
          </w:rPr>
        </w:r>
        <w:r w:rsidR="002710C3" w:rsidRPr="00ED639B">
          <w:rPr>
            <w:b w:val="0"/>
            <w:webHidden/>
          </w:rPr>
          <w:fldChar w:fldCharType="separate"/>
        </w:r>
        <w:r w:rsidR="002710C3" w:rsidRPr="00ED639B">
          <w:rPr>
            <w:b w:val="0"/>
            <w:webHidden/>
          </w:rPr>
          <w:t>26</w:t>
        </w:r>
        <w:r w:rsidR="002710C3" w:rsidRPr="00ED639B">
          <w:rPr>
            <w:b w:val="0"/>
            <w:webHidden/>
          </w:rPr>
          <w:fldChar w:fldCharType="end"/>
        </w:r>
      </w:hyperlink>
    </w:p>
    <w:p w14:paraId="110205B3" w14:textId="2449BAD2" w:rsidR="002710C3" w:rsidRPr="00ED639B" w:rsidRDefault="00995254">
      <w:pPr>
        <w:pStyle w:val="TOC1"/>
        <w:rPr>
          <w:rFonts w:eastAsiaTheme="minorEastAsia" w:cstheme="minorBidi"/>
          <w:b w:val="0"/>
          <w:bdr w:val="none" w:sz="0" w:space="0" w:color="auto"/>
          <w:lang w:val="es-US" w:eastAsia="zh-CN"/>
        </w:rPr>
      </w:pPr>
      <w:hyperlink w:anchor="_Toc90115137" w:history="1">
        <w:r w:rsidR="002710C3" w:rsidRPr="00ED639B">
          <w:rPr>
            <w:rStyle w:val="Hyperlink"/>
            <w:b w:val="0"/>
          </w:rPr>
          <w:t>VIII.</w:t>
        </w:r>
        <w:r w:rsidR="002710C3" w:rsidRPr="00ED639B">
          <w:rPr>
            <w:rFonts w:eastAsiaTheme="minorEastAsia" w:cstheme="minorBidi"/>
            <w:b w:val="0"/>
            <w:bdr w:val="none" w:sz="0" w:space="0" w:color="auto"/>
            <w:lang w:val="es-US" w:eastAsia="zh-CN"/>
          </w:rPr>
          <w:tab/>
        </w:r>
        <w:r w:rsidR="002710C3" w:rsidRPr="00ED639B">
          <w:rPr>
            <w:rStyle w:val="Hyperlink"/>
            <w:b w:val="0"/>
          </w:rPr>
          <w:t>FINAL CONCLUSIONS AND RECOMMENDATIONS</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_Toc90115137 \h </w:instrText>
        </w:r>
        <w:r w:rsidR="002710C3" w:rsidRPr="00ED639B">
          <w:rPr>
            <w:b w:val="0"/>
            <w:webHidden/>
          </w:rPr>
        </w:r>
        <w:r w:rsidR="002710C3" w:rsidRPr="00ED639B">
          <w:rPr>
            <w:b w:val="0"/>
            <w:webHidden/>
          </w:rPr>
          <w:fldChar w:fldCharType="separate"/>
        </w:r>
        <w:r w:rsidR="002710C3" w:rsidRPr="00ED639B">
          <w:rPr>
            <w:b w:val="0"/>
            <w:webHidden/>
          </w:rPr>
          <w:t>26</w:t>
        </w:r>
        <w:r w:rsidR="002710C3" w:rsidRPr="00ED639B">
          <w:rPr>
            <w:b w:val="0"/>
            <w:webHidden/>
          </w:rPr>
          <w:fldChar w:fldCharType="end"/>
        </w:r>
      </w:hyperlink>
    </w:p>
    <w:p w14:paraId="15A16B96" w14:textId="63DCE4D7" w:rsidR="002710C3" w:rsidRPr="00ED639B" w:rsidRDefault="00995254">
      <w:pPr>
        <w:pStyle w:val="TOC1"/>
        <w:rPr>
          <w:rFonts w:eastAsiaTheme="minorEastAsia" w:cstheme="minorBidi"/>
          <w:b w:val="0"/>
          <w:bdr w:val="none" w:sz="0" w:space="0" w:color="auto"/>
          <w:lang w:val="es-US" w:eastAsia="zh-CN"/>
        </w:rPr>
      </w:pPr>
      <w:hyperlink w:anchor="_Toc90115138" w:history="1">
        <w:r w:rsidR="002710C3" w:rsidRPr="00ED639B">
          <w:rPr>
            <w:rStyle w:val="Hyperlink"/>
            <w:b w:val="0"/>
          </w:rPr>
          <w:t>IX.</w:t>
        </w:r>
        <w:r w:rsidR="002710C3" w:rsidRPr="00ED639B">
          <w:rPr>
            <w:rFonts w:eastAsiaTheme="minorEastAsia" w:cstheme="minorBidi"/>
            <w:b w:val="0"/>
            <w:bdr w:val="none" w:sz="0" w:space="0" w:color="auto"/>
            <w:lang w:val="es-US" w:eastAsia="zh-CN"/>
          </w:rPr>
          <w:tab/>
        </w:r>
        <w:r w:rsidR="002710C3" w:rsidRPr="00ED639B">
          <w:rPr>
            <w:rStyle w:val="Hyperlink"/>
            <w:b w:val="0"/>
          </w:rPr>
          <w:t>PUBLICATION</w:t>
        </w:r>
        <w:r w:rsidR="002710C3" w:rsidRPr="00ED639B">
          <w:rPr>
            <w:b w:val="0"/>
            <w:webHidden/>
          </w:rPr>
          <w:tab/>
        </w:r>
        <w:r w:rsidR="002710C3" w:rsidRPr="00ED639B">
          <w:rPr>
            <w:b w:val="0"/>
            <w:webHidden/>
          </w:rPr>
          <w:fldChar w:fldCharType="begin"/>
        </w:r>
        <w:r w:rsidR="002710C3" w:rsidRPr="00ED639B">
          <w:rPr>
            <w:b w:val="0"/>
            <w:webHidden/>
          </w:rPr>
          <w:instrText xml:space="preserve"> PAGEREF _Toc90115138 \h </w:instrText>
        </w:r>
        <w:r w:rsidR="002710C3" w:rsidRPr="00ED639B">
          <w:rPr>
            <w:b w:val="0"/>
            <w:webHidden/>
          </w:rPr>
        </w:r>
        <w:r w:rsidR="002710C3" w:rsidRPr="00ED639B">
          <w:rPr>
            <w:b w:val="0"/>
            <w:webHidden/>
          </w:rPr>
          <w:fldChar w:fldCharType="separate"/>
        </w:r>
        <w:r w:rsidR="002710C3" w:rsidRPr="00ED639B">
          <w:rPr>
            <w:b w:val="0"/>
            <w:webHidden/>
          </w:rPr>
          <w:t>27</w:t>
        </w:r>
        <w:r w:rsidR="002710C3" w:rsidRPr="00ED639B">
          <w:rPr>
            <w:b w:val="0"/>
            <w:webHidden/>
          </w:rPr>
          <w:fldChar w:fldCharType="end"/>
        </w:r>
      </w:hyperlink>
    </w:p>
    <w:p w14:paraId="3B330CED" w14:textId="6CA91EE0" w:rsidR="007607C4" w:rsidRPr="00B645F5" w:rsidRDefault="00193281" w:rsidP="00EC55EA">
      <w:pPr>
        <w:tabs>
          <w:tab w:val="center" w:pos="5400"/>
        </w:tabs>
        <w:suppressAutoHyphens/>
        <w:spacing w:line="276" w:lineRule="auto"/>
        <w:rPr>
          <w:rFonts w:asciiTheme="majorHAnsi" w:hAnsiTheme="majorHAnsi"/>
          <w:sz w:val="20"/>
          <w:szCs w:val="20"/>
        </w:rPr>
      </w:pPr>
      <w:r w:rsidRPr="00ED639B">
        <w:rPr>
          <w:rFonts w:asciiTheme="majorHAnsi" w:hAnsiTheme="majorHAnsi"/>
          <w:sz w:val="20"/>
          <w:szCs w:val="20"/>
        </w:rPr>
        <w:fldChar w:fldCharType="end"/>
      </w:r>
    </w:p>
    <w:p w14:paraId="3083C3AE" w14:textId="77777777" w:rsidR="007607C4" w:rsidRPr="00B645F5" w:rsidRDefault="007607C4" w:rsidP="00EC55EA">
      <w:pPr>
        <w:tabs>
          <w:tab w:val="center" w:pos="5400"/>
        </w:tabs>
        <w:suppressAutoHyphens/>
        <w:spacing w:line="276" w:lineRule="auto"/>
        <w:rPr>
          <w:rFonts w:asciiTheme="majorHAnsi" w:hAnsiTheme="majorHAnsi"/>
          <w:sz w:val="20"/>
          <w:szCs w:val="20"/>
        </w:rPr>
      </w:pPr>
    </w:p>
    <w:p w14:paraId="49F6AD0C" w14:textId="77777777" w:rsidR="00DE01CB" w:rsidRPr="00B645F5" w:rsidRDefault="00DE01CB" w:rsidP="00EC55EA">
      <w:pPr>
        <w:tabs>
          <w:tab w:val="center" w:pos="5400"/>
        </w:tabs>
        <w:suppressAutoHyphens/>
        <w:spacing w:line="276" w:lineRule="auto"/>
        <w:rPr>
          <w:rFonts w:asciiTheme="majorHAnsi" w:hAnsiTheme="majorHAnsi"/>
          <w:sz w:val="20"/>
          <w:szCs w:val="20"/>
        </w:rPr>
      </w:pPr>
    </w:p>
    <w:p w14:paraId="1759801A" w14:textId="77777777" w:rsidR="00DE01CB" w:rsidRPr="00B645F5" w:rsidRDefault="00DE01CB" w:rsidP="00EC55EA">
      <w:pPr>
        <w:tabs>
          <w:tab w:val="center" w:pos="5400"/>
        </w:tabs>
        <w:suppressAutoHyphens/>
        <w:spacing w:line="276" w:lineRule="auto"/>
        <w:rPr>
          <w:rFonts w:asciiTheme="majorHAnsi" w:hAnsiTheme="majorHAnsi"/>
          <w:sz w:val="20"/>
          <w:szCs w:val="20"/>
        </w:rPr>
      </w:pPr>
    </w:p>
    <w:p w14:paraId="18E95208" w14:textId="77777777" w:rsidR="00264998" w:rsidRPr="00B645F5" w:rsidRDefault="00264998" w:rsidP="00EC55EA">
      <w:pPr>
        <w:tabs>
          <w:tab w:val="center" w:pos="5400"/>
        </w:tabs>
        <w:suppressAutoHyphens/>
        <w:spacing w:line="276" w:lineRule="auto"/>
        <w:rPr>
          <w:rFonts w:asciiTheme="majorHAnsi" w:hAnsiTheme="majorHAnsi"/>
          <w:sz w:val="20"/>
          <w:szCs w:val="20"/>
        </w:rPr>
      </w:pPr>
    </w:p>
    <w:p w14:paraId="2961E615" w14:textId="77777777" w:rsidR="00DB6682" w:rsidRPr="00B645F5" w:rsidRDefault="00DB6682">
      <w:pPr>
        <w:rPr>
          <w:rFonts w:asciiTheme="majorHAnsi" w:hAnsiTheme="majorHAnsi"/>
          <w:sz w:val="20"/>
          <w:szCs w:val="20"/>
        </w:rPr>
      </w:pPr>
      <w:r w:rsidRPr="00B645F5">
        <w:rPr>
          <w:rFonts w:asciiTheme="majorHAnsi" w:hAnsiTheme="majorHAnsi"/>
          <w:sz w:val="20"/>
          <w:szCs w:val="20"/>
        </w:rPr>
        <w:br w:type="page"/>
      </w:r>
    </w:p>
    <w:p w14:paraId="2BC474AB" w14:textId="77777777" w:rsidR="001C4006" w:rsidRPr="00B645F5" w:rsidRDefault="00830E88" w:rsidP="00EC55EA">
      <w:pPr>
        <w:pStyle w:val="Heading1"/>
        <w:tabs>
          <w:tab w:val="left" w:pos="360"/>
        </w:tabs>
        <w:spacing w:before="0"/>
        <w:ind w:hanging="720"/>
        <w:rPr>
          <w:color w:val="auto"/>
          <w:sz w:val="20"/>
          <w:szCs w:val="20"/>
        </w:rPr>
      </w:pPr>
      <w:bookmarkStart w:id="0" w:name="_Toc90115110"/>
      <w:r w:rsidRPr="00B645F5">
        <w:rPr>
          <w:color w:val="auto"/>
          <w:sz w:val="20"/>
          <w:szCs w:val="20"/>
        </w:rPr>
        <w:lastRenderedPageBreak/>
        <w:t>INTRODUCTION</w:t>
      </w:r>
      <w:bookmarkEnd w:id="0"/>
      <w:r w:rsidR="001C4006" w:rsidRPr="00B645F5">
        <w:rPr>
          <w:color w:val="auto"/>
          <w:sz w:val="20"/>
          <w:szCs w:val="20"/>
        </w:rPr>
        <w:t xml:space="preserve"> </w:t>
      </w:r>
    </w:p>
    <w:p w14:paraId="2ABC9C93" w14:textId="77777777" w:rsidR="001C4006" w:rsidRPr="00B645F5" w:rsidRDefault="001C4006" w:rsidP="00EC55EA">
      <w:pPr>
        <w:suppressAutoHyphens/>
        <w:ind w:left="1440" w:hanging="720"/>
        <w:rPr>
          <w:rFonts w:asciiTheme="majorHAnsi" w:hAnsiTheme="majorHAnsi"/>
          <w:b/>
          <w:sz w:val="20"/>
          <w:szCs w:val="20"/>
        </w:rPr>
      </w:pPr>
    </w:p>
    <w:p w14:paraId="20CF8A6F" w14:textId="5A658B16" w:rsidR="001C4006" w:rsidRPr="00B645F5" w:rsidRDefault="001C4006"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On </w:t>
      </w:r>
      <w:r w:rsidR="004F265C" w:rsidRPr="00B645F5">
        <w:rPr>
          <w:rFonts w:asciiTheme="majorHAnsi" w:hAnsiTheme="majorHAnsi"/>
          <w:sz w:val="20"/>
          <w:szCs w:val="20"/>
        </w:rPr>
        <w:t>February</w:t>
      </w:r>
      <w:r w:rsidR="00202DC2" w:rsidRPr="00B645F5">
        <w:rPr>
          <w:rFonts w:asciiTheme="majorHAnsi" w:hAnsiTheme="majorHAnsi"/>
          <w:sz w:val="20"/>
          <w:szCs w:val="20"/>
        </w:rPr>
        <w:t xml:space="preserve"> 2, 201</w:t>
      </w:r>
      <w:r w:rsidR="004F265C" w:rsidRPr="00B645F5">
        <w:rPr>
          <w:rFonts w:asciiTheme="majorHAnsi" w:hAnsiTheme="majorHAnsi"/>
          <w:sz w:val="20"/>
          <w:szCs w:val="20"/>
        </w:rPr>
        <w:t>8</w:t>
      </w:r>
      <w:r w:rsidR="0007716F" w:rsidRPr="00B645F5">
        <w:rPr>
          <w:rFonts w:asciiTheme="majorHAnsi" w:hAnsiTheme="majorHAnsi"/>
          <w:sz w:val="20"/>
          <w:szCs w:val="20"/>
        </w:rPr>
        <w:t xml:space="preserve">, </w:t>
      </w:r>
      <w:r w:rsidRPr="00B645F5">
        <w:rPr>
          <w:rFonts w:asciiTheme="majorHAnsi" w:hAnsiTheme="majorHAnsi"/>
          <w:sz w:val="20"/>
          <w:szCs w:val="20"/>
        </w:rPr>
        <w:t>the Inter-American Commission on Human Rights (the “Inter-American Commission”</w:t>
      </w:r>
      <w:r w:rsidR="004D4E01" w:rsidRPr="00B645F5">
        <w:rPr>
          <w:rFonts w:asciiTheme="majorHAnsi" w:hAnsiTheme="majorHAnsi"/>
          <w:sz w:val="20"/>
          <w:szCs w:val="20"/>
        </w:rPr>
        <w:t>, “Commission”</w:t>
      </w:r>
      <w:r w:rsidRPr="00B645F5">
        <w:rPr>
          <w:rFonts w:asciiTheme="majorHAnsi" w:hAnsiTheme="majorHAnsi"/>
          <w:sz w:val="20"/>
          <w:szCs w:val="20"/>
        </w:rPr>
        <w:t xml:space="preserve"> or “IACHR”) received a petition</w:t>
      </w:r>
      <w:r w:rsidR="00B24A00" w:rsidRPr="00B645F5">
        <w:rPr>
          <w:rFonts w:asciiTheme="majorHAnsi" w:hAnsiTheme="majorHAnsi"/>
          <w:sz w:val="20"/>
          <w:szCs w:val="20"/>
        </w:rPr>
        <w:t xml:space="preserve"> </w:t>
      </w:r>
      <w:r w:rsidR="00444596" w:rsidRPr="00B645F5">
        <w:rPr>
          <w:rFonts w:asciiTheme="majorHAnsi" w:hAnsiTheme="majorHAnsi"/>
          <w:sz w:val="20"/>
          <w:szCs w:val="20"/>
        </w:rPr>
        <w:t xml:space="preserve">submitted by </w:t>
      </w:r>
      <w:r w:rsidR="008203EB" w:rsidRPr="00B645F5">
        <w:rPr>
          <w:rFonts w:asciiTheme="majorHAnsi" w:hAnsiTheme="majorHAnsi"/>
          <w:sz w:val="20"/>
          <w:szCs w:val="20"/>
        </w:rPr>
        <w:t>Kuykendall and Associates</w:t>
      </w:r>
      <w:r w:rsidR="007C52EB" w:rsidRPr="00B645F5">
        <w:rPr>
          <w:rFonts w:asciiTheme="majorHAnsi" w:hAnsiTheme="majorHAnsi"/>
          <w:sz w:val="20"/>
          <w:szCs w:val="20"/>
        </w:rPr>
        <w:t xml:space="preserve"> </w:t>
      </w:r>
      <w:r w:rsidR="008E7CB4" w:rsidRPr="00B645F5">
        <w:rPr>
          <w:rFonts w:asciiTheme="majorHAnsi" w:hAnsiTheme="majorHAnsi"/>
          <w:sz w:val="20"/>
          <w:szCs w:val="20"/>
        </w:rPr>
        <w:t xml:space="preserve">on behalf of </w:t>
      </w:r>
      <w:r w:rsidR="00811EAB" w:rsidRPr="00B645F5">
        <w:rPr>
          <w:rFonts w:asciiTheme="majorHAnsi" w:hAnsiTheme="majorHAnsi"/>
          <w:sz w:val="20"/>
          <w:szCs w:val="20"/>
        </w:rPr>
        <w:t xml:space="preserve">Ramiro </w:t>
      </w:r>
      <w:r w:rsidR="004544CD" w:rsidRPr="00B645F5">
        <w:rPr>
          <w:rFonts w:asciiTheme="majorHAnsi" w:hAnsiTheme="majorHAnsi"/>
          <w:sz w:val="20"/>
          <w:szCs w:val="20"/>
        </w:rPr>
        <w:t xml:space="preserve">Ibarra </w:t>
      </w:r>
      <w:proofErr w:type="spellStart"/>
      <w:r w:rsidR="005574FC" w:rsidRPr="00B645F5">
        <w:rPr>
          <w:rFonts w:asciiTheme="majorHAnsi" w:hAnsiTheme="majorHAnsi"/>
          <w:sz w:val="20"/>
          <w:szCs w:val="20"/>
        </w:rPr>
        <w:t>Rubí</w:t>
      </w:r>
      <w:proofErr w:type="spellEnd"/>
      <w:r w:rsidR="008E7CB4" w:rsidRPr="00B645F5">
        <w:rPr>
          <w:rFonts w:asciiTheme="majorHAnsi" w:hAnsiTheme="majorHAnsi"/>
          <w:sz w:val="20"/>
          <w:szCs w:val="20"/>
        </w:rPr>
        <w:t xml:space="preserve"> (“M</w:t>
      </w:r>
      <w:r w:rsidR="00D66FE0" w:rsidRPr="00B645F5">
        <w:rPr>
          <w:rFonts w:asciiTheme="majorHAnsi" w:hAnsiTheme="majorHAnsi"/>
          <w:sz w:val="20"/>
          <w:szCs w:val="20"/>
        </w:rPr>
        <w:t>r</w:t>
      </w:r>
      <w:r w:rsidR="008E7CB4" w:rsidRPr="00B645F5">
        <w:rPr>
          <w:rFonts w:asciiTheme="majorHAnsi" w:hAnsiTheme="majorHAnsi"/>
          <w:sz w:val="20"/>
          <w:szCs w:val="20"/>
        </w:rPr>
        <w:t xml:space="preserve">. </w:t>
      </w:r>
      <w:r w:rsidR="0034549C" w:rsidRPr="00B645F5">
        <w:rPr>
          <w:rFonts w:asciiTheme="majorHAnsi" w:hAnsiTheme="majorHAnsi"/>
          <w:sz w:val="20"/>
          <w:szCs w:val="20"/>
        </w:rPr>
        <w:t>Ibarra</w:t>
      </w:r>
      <w:r w:rsidR="008E7CB4" w:rsidRPr="00B645F5">
        <w:rPr>
          <w:rFonts w:asciiTheme="majorHAnsi" w:hAnsiTheme="majorHAnsi"/>
          <w:sz w:val="20"/>
          <w:szCs w:val="20"/>
        </w:rPr>
        <w:t>”</w:t>
      </w:r>
      <w:r w:rsidR="00A936A1" w:rsidRPr="00B645F5">
        <w:rPr>
          <w:rFonts w:asciiTheme="majorHAnsi" w:hAnsiTheme="majorHAnsi"/>
          <w:sz w:val="20"/>
          <w:szCs w:val="20"/>
        </w:rPr>
        <w:t xml:space="preserve"> or</w:t>
      </w:r>
      <w:r w:rsidR="008E7CB4" w:rsidRPr="00B645F5">
        <w:rPr>
          <w:rFonts w:asciiTheme="majorHAnsi" w:hAnsiTheme="majorHAnsi"/>
          <w:sz w:val="20"/>
          <w:szCs w:val="20"/>
        </w:rPr>
        <w:t xml:space="preserve">  “</w:t>
      </w:r>
      <w:r w:rsidR="008203EB" w:rsidRPr="00B645F5">
        <w:rPr>
          <w:rFonts w:asciiTheme="majorHAnsi" w:hAnsiTheme="majorHAnsi"/>
          <w:sz w:val="20"/>
          <w:szCs w:val="20"/>
        </w:rPr>
        <w:t xml:space="preserve">the </w:t>
      </w:r>
      <w:r w:rsidR="008E7CB4" w:rsidRPr="00B645F5">
        <w:rPr>
          <w:rFonts w:asciiTheme="majorHAnsi" w:hAnsiTheme="majorHAnsi"/>
          <w:sz w:val="20"/>
          <w:szCs w:val="20"/>
        </w:rPr>
        <w:t xml:space="preserve">alleged victim”) </w:t>
      </w:r>
      <w:r w:rsidRPr="00B645F5">
        <w:rPr>
          <w:rFonts w:asciiTheme="majorHAnsi" w:hAnsiTheme="majorHAnsi"/>
          <w:sz w:val="20"/>
          <w:szCs w:val="20"/>
        </w:rPr>
        <w:t>alleg</w:t>
      </w:r>
      <w:r w:rsidR="00E86EAF" w:rsidRPr="00B645F5">
        <w:rPr>
          <w:rFonts w:asciiTheme="majorHAnsi" w:hAnsiTheme="majorHAnsi"/>
          <w:sz w:val="20"/>
          <w:szCs w:val="20"/>
        </w:rPr>
        <w:t xml:space="preserve">ing </w:t>
      </w:r>
      <w:r w:rsidRPr="00B645F5">
        <w:rPr>
          <w:rFonts w:asciiTheme="majorHAnsi" w:hAnsiTheme="majorHAnsi"/>
          <w:sz w:val="20"/>
          <w:szCs w:val="20"/>
        </w:rPr>
        <w:t xml:space="preserve">the international responsibility of </w:t>
      </w:r>
      <w:r w:rsidR="0046072C" w:rsidRPr="00B645F5">
        <w:rPr>
          <w:rFonts w:asciiTheme="majorHAnsi" w:hAnsiTheme="majorHAnsi"/>
          <w:sz w:val="20"/>
          <w:szCs w:val="20"/>
        </w:rPr>
        <w:t>the United States of America</w:t>
      </w:r>
      <w:r w:rsidRPr="00B645F5">
        <w:rPr>
          <w:rFonts w:asciiTheme="majorHAnsi" w:hAnsiTheme="majorHAnsi"/>
          <w:sz w:val="20"/>
          <w:szCs w:val="20"/>
        </w:rPr>
        <w:t xml:space="preserve"> (the “State” or “</w:t>
      </w:r>
      <w:r w:rsidR="0046072C" w:rsidRPr="00B645F5">
        <w:rPr>
          <w:rFonts w:asciiTheme="majorHAnsi" w:hAnsiTheme="majorHAnsi"/>
          <w:sz w:val="20"/>
          <w:szCs w:val="20"/>
        </w:rPr>
        <w:t>the United States</w:t>
      </w:r>
      <w:r w:rsidRPr="00B645F5">
        <w:rPr>
          <w:rFonts w:asciiTheme="majorHAnsi" w:hAnsiTheme="majorHAnsi"/>
          <w:sz w:val="20"/>
          <w:szCs w:val="20"/>
        </w:rPr>
        <w:t xml:space="preserve">”) for </w:t>
      </w:r>
      <w:r w:rsidR="00F769C7" w:rsidRPr="00B645F5">
        <w:rPr>
          <w:rFonts w:asciiTheme="majorHAnsi" w:hAnsiTheme="majorHAnsi"/>
          <w:sz w:val="20"/>
          <w:szCs w:val="20"/>
        </w:rPr>
        <w:t xml:space="preserve">the </w:t>
      </w:r>
      <w:r w:rsidRPr="00B645F5">
        <w:rPr>
          <w:rFonts w:asciiTheme="majorHAnsi" w:hAnsiTheme="majorHAnsi"/>
          <w:sz w:val="20"/>
          <w:szCs w:val="20"/>
        </w:rPr>
        <w:t xml:space="preserve">violation of </w:t>
      </w:r>
      <w:r w:rsidR="0065488E" w:rsidRPr="00B645F5">
        <w:rPr>
          <w:rFonts w:asciiTheme="majorHAnsi" w:hAnsiTheme="majorHAnsi"/>
          <w:sz w:val="20"/>
          <w:szCs w:val="20"/>
        </w:rPr>
        <w:t>M</w:t>
      </w:r>
      <w:r w:rsidR="006222C9" w:rsidRPr="00B645F5">
        <w:rPr>
          <w:rFonts w:asciiTheme="majorHAnsi" w:hAnsiTheme="majorHAnsi"/>
          <w:sz w:val="20"/>
          <w:szCs w:val="20"/>
        </w:rPr>
        <w:t xml:space="preserve">r. </w:t>
      </w:r>
      <w:r w:rsidR="00937413" w:rsidRPr="00B645F5">
        <w:rPr>
          <w:rFonts w:asciiTheme="majorHAnsi" w:hAnsiTheme="majorHAnsi"/>
          <w:sz w:val="20"/>
          <w:szCs w:val="20"/>
        </w:rPr>
        <w:t>Ibarra</w:t>
      </w:r>
      <w:r w:rsidR="00440515" w:rsidRPr="00B645F5">
        <w:rPr>
          <w:rFonts w:asciiTheme="majorHAnsi" w:hAnsiTheme="majorHAnsi"/>
          <w:sz w:val="20"/>
          <w:szCs w:val="20"/>
        </w:rPr>
        <w:t xml:space="preserve">’s </w:t>
      </w:r>
      <w:r w:rsidRPr="00B645F5">
        <w:rPr>
          <w:rFonts w:asciiTheme="majorHAnsi" w:hAnsiTheme="majorHAnsi"/>
          <w:sz w:val="20"/>
          <w:szCs w:val="20"/>
        </w:rPr>
        <w:t>right</w:t>
      </w:r>
      <w:r w:rsidR="00706D7E" w:rsidRPr="00B645F5">
        <w:rPr>
          <w:rFonts w:asciiTheme="majorHAnsi" w:hAnsiTheme="majorHAnsi"/>
          <w:sz w:val="20"/>
          <w:szCs w:val="20"/>
        </w:rPr>
        <w:t>s</w:t>
      </w:r>
      <w:r w:rsidR="00A936A1" w:rsidRPr="00B645F5">
        <w:rPr>
          <w:rFonts w:asciiTheme="majorHAnsi" w:hAnsiTheme="majorHAnsi"/>
          <w:sz w:val="20"/>
          <w:szCs w:val="20"/>
        </w:rPr>
        <w:t xml:space="preserve">, </w:t>
      </w:r>
      <w:r w:rsidR="008203EB" w:rsidRPr="00B645F5">
        <w:rPr>
          <w:rFonts w:asciiTheme="majorHAnsi" w:hAnsiTheme="majorHAnsi"/>
          <w:sz w:val="20"/>
          <w:szCs w:val="20"/>
        </w:rPr>
        <w:t xml:space="preserve">a Mexican national </w:t>
      </w:r>
      <w:r w:rsidR="00A936A1" w:rsidRPr="00B645F5">
        <w:rPr>
          <w:rFonts w:asciiTheme="majorHAnsi" w:hAnsiTheme="majorHAnsi"/>
          <w:sz w:val="20"/>
          <w:szCs w:val="20"/>
        </w:rPr>
        <w:t>who is on death row in the state of Texas</w:t>
      </w:r>
      <w:r w:rsidR="0031739C" w:rsidRPr="00B645F5">
        <w:rPr>
          <w:rFonts w:asciiTheme="majorHAnsi" w:hAnsiTheme="majorHAnsi"/>
          <w:sz w:val="20"/>
          <w:szCs w:val="20"/>
        </w:rPr>
        <w:t xml:space="preserve"> and is scheduled to be executed on March 4, 202</w:t>
      </w:r>
      <w:r w:rsidR="0062284B" w:rsidRPr="00B645F5">
        <w:rPr>
          <w:rFonts w:asciiTheme="majorHAnsi" w:hAnsiTheme="majorHAnsi"/>
          <w:sz w:val="20"/>
          <w:szCs w:val="20"/>
        </w:rPr>
        <w:t>1</w:t>
      </w:r>
      <w:r w:rsidR="003B0978" w:rsidRPr="00B645F5">
        <w:rPr>
          <w:rFonts w:asciiTheme="majorHAnsi" w:hAnsiTheme="majorHAnsi"/>
          <w:sz w:val="20"/>
          <w:szCs w:val="20"/>
        </w:rPr>
        <w:t>.</w:t>
      </w:r>
      <w:r w:rsidR="0062284B" w:rsidRPr="00B645F5">
        <w:rPr>
          <w:rStyle w:val="FootnoteReference"/>
          <w:rFonts w:asciiTheme="majorHAnsi" w:hAnsiTheme="majorHAnsi"/>
          <w:sz w:val="20"/>
          <w:szCs w:val="20"/>
        </w:rPr>
        <w:footnoteReference w:id="2"/>
      </w:r>
      <w:r w:rsidR="00751692" w:rsidRPr="00B645F5">
        <w:rPr>
          <w:rFonts w:asciiTheme="majorHAnsi" w:hAnsiTheme="majorHAnsi"/>
          <w:sz w:val="20"/>
          <w:szCs w:val="20"/>
        </w:rPr>
        <w:t xml:space="preserve">  </w:t>
      </w:r>
    </w:p>
    <w:p w14:paraId="54FE8A0B" w14:textId="77777777" w:rsidR="001C4006" w:rsidRPr="00B645F5"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4402B5A7" w14:textId="77777777" w:rsidR="001C4006" w:rsidRPr="00B645F5" w:rsidRDefault="00BE1B7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On </w:t>
      </w:r>
      <w:r w:rsidR="003877AB" w:rsidRPr="00B645F5">
        <w:rPr>
          <w:rFonts w:asciiTheme="majorHAnsi" w:hAnsiTheme="majorHAnsi"/>
          <w:sz w:val="20"/>
          <w:szCs w:val="20"/>
        </w:rPr>
        <w:t>October 16, 2019</w:t>
      </w:r>
      <w:r w:rsidR="00A05601" w:rsidRPr="00B645F5">
        <w:rPr>
          <w:rFonts w:asciiTheme="majorHAnsi" w:hAnsiTheme="majorHAnsi"/>
          <w:sz w:val="20"/>
          <w:szCs w:val="20"/>
        </w:rPr>
        <w:t>, the Com</w:t>
      </w:r>
      <w:r w:rsidR="0027671E" w:rsidRPr="00B645F5">
        <w:rPr>
          <w:rFonts w:asciiTheme="majorHAnsi" w:hAnsiTheme="majorHAnsi"/>
          <w:sz w:val="20"/>
          <w:szCs w:val="20"/>
        </w:rPr>
        <w:t>m</w:t>
      </w:r>
      <w:r w:rsidR="00A05601" w:rsidRPr="00B645F5">
        <w:rPr>
          <w:rFonts w:asciiTheme="majorHAnsi" w:hAnsiTheme="majorHAnsi"/>
          <w:sz w:val="20"/>
          <w:szCs w:val="20"/>
        </w:rPr>
        <w:t xml:space="preserve">ission notified the parties of the application of Article 36 (3) of its Rules of Procedure, since the petition falls within the criteria established in its Resolution </w:t>
      </w:r>
      <w:proofErr w:type="gramStart"/>
      <w:r w:rsidR="00A05601" w:rsidRPr="00B645F5">
        <w:rPr>
          <w:rFonts w:asciiTheme="majorHAnsi" w:hAnsiTheme="majorHAnsi"/>
          <w:sz w:val="20"/>
          <w:szCs w:val="20"/>
        </w:rPr>
        <w:t>1/16, and</w:t>
      </w:r>
      <w:proofErr w:type="gramEnd"/>
      <w:r w:rsidR="00A05601" w:rsidRPr="00B645F5">
        <w:rPr>
          <w:rFonts w:asciiTheme="majorHAnsi" w:hAnsiTheme="majorHAnsi"/>
          <w:sz w:val="20"/>
          <w:szCs w:val="20"/>
        </w:rPr>
        <w:t xml:space="preserve">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B645F5">
        <w:rPr>
          <w:rFonts w:asciiTheme="majorHAnsi" w:hAnsiTheme="majorHAnsi"/>
          <w:sz w:val="20"/>
          <w:szCs w:val="20"/>
        </w:rPr>
        <w:t>.</w:t>
      </w:r>
    </w:p>
    <w:p w14:paraId="36FFAE2C" w14:textId="77777777" w:rsidR="001C4006" w:rsidRPr="00B645F5"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09C9940C" w14:textId="77777777" w:rsidR="001C4006" w:rsidRPr="00B645F5" w:rsidRDefault="001C4006" w:rsidP="00EC55EA">
      <w:pPr>
        <w:pStyle w:val="Heading1"/>
        <w:tabs>
          <w:tab w:val="left" w:pos="360"/>
        </w:tabs>
        <w:spacing w:before="0"/>
        <w:ind w:hanging="720"/>
        <w:rPr>
          <w:color w:val="auto"/>
          <w:sz w:val="20"/>
          <w:szCs w:val="20"/>
        </w:rPr>
      </w:pPr>
      <w:bookmarkStart w:id="1" w:name="_Toc90115111"/>
      <w:r w:rsidRPr="00B645F5">
        <w:rPr>
          <w:color w:val="auto"/>
          <w:sz w:val="20"/>
          <w:szCs w:val="20"/>
        </w:rPr>
        <w:t>POSITIONS OF THE PARTIES</w:t>
      </w:r>
      <w:bookmarkEnd w:id="1"/>
    </w:p>
    <w:p w14:paraId="15413D78" w14:textId="77777777" w:rsidR="001C4006" w:rsidRPr="00B645F5" w:rsidRDefault="001C4006" w:rsidP="00EC55EA">
      <w:pPr>
        <w:suppressAutoHyphens/>
        <w:ind w:left="1440" w:hanging="720"/>
        <w:rPr>
          <w:rFonts w:asciiTheme="majorHAnsi" w:hAnsiTheme="majorHAnsi"/>
          <w:sz w:val="20"/>
          <w:szCs w:val="20"/>
        </w:rPr>
      </w:pPr>
    </w:p>
    <w:p w14:paraId="02DFE569" w14:textId="77777777" w:rsidR="005C164F" w:rsidRPr="00B645F5" w:rsidRDefault="005C164F" w:rsidP="00EC55EA">
      <w:pPr>
        <w:pStyle w:val="Heading2"/>
        <w:numPr>
          <w:ilvl w:val="0"/>
          <w:numId w:val="57"/>
        </w:numPr>
        <w:tabs>
          <w:tab w:val="left" w:pos="360"/>
        </w:tabs>
        <w:spacing w:before="0"/>
        <w:ind w:hanging="720"/>
        <w:rPr>
          <w:color w:val="auto"/>
          <w:sz w:val="20"/>
          <w:szCs w:val="20"/>
        </w:rPr>
      </w:pPr>
      <w:bookmarkStart w:id="2" w:name="_Toc90115112"/>
      <w:r w:rsidRPr="00B645F5">
        <w:rPr>
          <w:color w:val="auto"/>
          <w:sz w:val="20"/>
          <w:szCs w:val="20"/>
        </w:rPr>
        <w:t>P</w:t>
      </w:r>
      <w:r w:rsidR="00262ECA" w:rsidRPr="00B645F5">
        <w:rPr>
          <w:color w:val="auto"/>
          <w:sz w:val="20"/>
          <w:szCs w:val="20"/>
        </w:rPr>
        <w:t>etitioner</w:t>
      </w:r>
      <w:r w:rsidR="00837A50" w:rsidRPr="00B645F5">
        <w:rPr>
          <w:color w:val="auto"/>
          <w:sz w:val="20"/>
          <w:szCs w:val="20"/>
        </w:rPr>
        <w:t>s</w:t>
      </w:r>
      <w:bookmarkEnd w:id="2"/>
    </w:p>
    <w:p w14:paraId="6270A530" w14:textId="77777777" w:rsidR="00837A50" w:rsidRPr="00B645F5" w:rsidRDefault="00837A50" w:rsidP="00EC55EA"/>
    <w:p w14:paraId="167E1D8D" w14:textId="77777777" w:rsidR="00B17F44" w:rsidRPr="00B645F5" w:rsidRDefault="007E2AC2" w:rsidP="006D1D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 petitioners claim</w:t>
      </w:r>
      <w:r w:rsidR="00545F2C" w:rsidRPr="00B645F5">
        <w:rPr>
          <w:rFonts w:asciiTheme="majorHAnsi" w:hAnsiTheme="majorHAnsi"/>
          <w:sz w:val="20"/>
          <w:szCs w:val="20"/>
        </w:rPr>
        <w:t xml:space="preserve"> that the State has</w:t>
      </w:r>
      <w:r w:rsidRPr="00B645F5">
        <w:rPr>
          <w:rFonts w:asciiTheme="majorHAnsi" w:hAnsiTheme="majorHAnsi"/>
          <w:sz w:val="20"/>
          <w:szCs w:val="20"/>
        </w:rPr>
        <w:t xml:space="preserve"> </w:t>
      </w:r>
      <w:r w:rsidR="001D4712" w:rsidRPr="00B645F5">
        <w:rPr>
          <w:rFonts w:asciiTheme="majorHAnsi" w:hAnsiTheme="majorHAnsi"/>
          <w:sz w:val="20"/>
          <w:szCs w:val="20"/>
        </w:rPr>
        <w:t xml:space="preserve">violated the rights of Mr. </w:t>
      </w:r>
      <w:r w:rsidR="00A06801" w:rsidRPr="00B645F5">
        <w:rPr>
          <w:rFonts w:asciiTheme="majorHAnsi" w:hAnsiTheme="majorHAnsi"/>
          <w:sz w:val="20"/>
          <w:szCs w:val="20"/>
        </w:rPr>
        <w:t>Ibarra</w:t>
      </w:r>
      <w:r w:rsidR="001D4712" w:rsidRPr="00B645F5">
        <w:rPr>
          <w:rFonts w:asciiTheme="majorHAnsi" w:hAnsiTheme="majorHAnsi"/>
          <w:sz w:val="20"/>
          <w:szCs w:val="20"/>
        </w:rPr>
        <w:t xml:space="preserve"> entrenched within </w:t>
      </w:r>
      <w:r w:rsidR="00426C73" w:rsidRPr="00B645F5">
        <w:rPr>
          <w:rFonts w:asciiTheme="majorHAnsi" w:hAnsiTheme="majorHAnsi"/>
          <w:sz w:val="20"/>
          <w:szCs w:val="20"/>
        </w:rPr>
        <w:t>Articles I, II, XVIII, XXV and XXVI</w:t>
      </w:r>
      <w:r w:rsidR="00381175" w:rsidRPr="00B645F5">
        <w:rPr>
          <w:rFonts w:asciiTheme="majorHAnsi" w:hAnsiTheme="majorHAnsi"/>
          <w:sz w:val="20"/>
          <w:szCs w:val="20"/>
        </w:rPr>
        <w:t xml:space="preserve"> of the American Declaration. </w:t>
      </w:r>
    </w:p>
    <w:p w14:paraId="7F405F0B" w14:textId="77777777" w:rsidR="00C84DBA" w:rsidRPr="00B645F5" w:rsidRDefault="00C84DBA" w:rsidP="00F36552">
      <w:pPr>
        <w:rPr>
          <w:rFonts w:asciiTheme="majorHAnsi" w:hAnsiTheme="majorHAnsi"/>
          <w:sz w:val="20"/>
          <w:szCs w:val="20"/>
        </w:rPr>
      </w:pPr>
    </w:p>
    <w:p w14:paraId="638B2B5F" w14:textId="77777777" w:rsidR="008510DB" w:rsidRPr="00B645F5" w:rsidRDefault="00C84DBA" w:rsidP="00325A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1"/>
        </w:rPr>
      </w:pPr>
      <w:r w:rsidRPr="00B645F5">
        <w:rPr>
          <w:rFonts w:asciiTheme="majorHAnsi" w:hAnsiTheme="majorHAnsi"/>
          <w:sz w:val="20"/>
          <w:szCs w:val="20"/>
        </w:rPr>
        <w:t xml:space="preserve">The petitioners claim in particular that </w:t>
      </w:r>
      <w:r w:rsidR="008A3AA4" w:rsidRPr="00B645F5">
        <w:rPr>
          <w:rFonts w:asciiTheme="majorHAnsi" w:hAnsiTheme="majorHAnsi"/>
          <w:sz w:val="20"/>
          <w:szCs w:val="20"/>
        </w:rPr>
        <w:t xml:space="preserve">Mr. </w:t>
      </w:r>
      <w:r w:rsidR="00A06801" w:rsidRPr="00B645F5">
        <w:rPr>
          <w:rFonts w:asciiTheme="majorHAnsi" w:hAnsiTheme="majorHAnsi"/>
          <w:sz w:val="20"/>
          <w:szCs w:val="20"/>
        </w:rPr>
        <w:t>Ibarra</w:t>
      </w:r>
      <w:r w:rsidR="008A3AA4" w:rsidRPr="00B645F5">
        <w:rPr>
          <w:rFonts w:asciiTheme="majorHAnsi" w:hAnsiTheme="majorHAnsi"/>
          <w:sz w:val="20"/>
          <w:szCs w:val="20"/>
        </w:rPr>
        <w:t xml:space="preserve"> was deprived of a fair, unbiased and scientifically valid review of his </w:t>
      </w:r>
      <w:r w:rsidR="00446F34" w:rsidRPr="00B645F5">
        <w:rPr>
          <w:rFonts w:asciiTheme="majorHAnsi" w:hAnsiTheme="majorHAnsi"/>
          <w:sz w:val="20"/>
          <w:szCs w:val="20"/>
        </w:rPr>
        <w:t>intellectual disability claim, as well as</w:t>
      </w:r>
      <w:r w:rsidR="00964415" w:rsidRPr="00B645F5">
        <w:rPr>
          <w:rFonts w:asciiTheme="majorHAnsi" w:hAnsiTheme="majorHAnsi"/>
          <w:sz w:val="20"/>
          <w:szCs w:val="20"/>
        </w:rPr>
        <w:t xml:space="preserve"> </w:t>
      </w:r>
      <w:r w:rsidR="0059641E" w:rsidRPr="00B645F5">
        <w:rPr>
          <w:rFonts w:asciiTheme="majorHAnsi" w:hAnsiTheme="majorHAnsi"/>
          <w:sz w:val="20"/>
          <w:szCs w:val="20"/>
        </w:rPr>
        <w:t>his claim</w:t>
      </w:r>
      <w:r w:rsidR="00446F34" w:rsidRPr="00B645F5">
        <w:rPr>
          <w:rFonts w:asciiTheme="majorHAnsi" w:hAnsiTheme="majorHAnsi"/>
          <w:sz w:val="20"/>
          <w:szCs w:val="20"/>
        </w:rPr>
        <w:t xml:space="preserve"> to having </w:t>
      </w:r>
      <w:r w:rsidR="00F95CDB" w:rsidRPr="00B645F5">
        <w:rPr>
          <w:rFonts w:asciiTheme="majorHAnsi" w:hAnsiTheme="majorHAnsi"/>
          <w:sz w:val="20"/>
          <w:szCs w:val="20"/>
        </w:rPr>
        <w:t xml:space="preserve">chronic and </w:t>
      </w:r>
      <w:r w:rsidR="00C74F74" w:rsidRPr="00B645F5">
        <w:rPr>
          <w:rFonts w:asciiTheme="majorHAnsi" w:hAnsiTheme="majorHAnsi"/>
          <w:sz w:val="20"/>
          <w:szCs w:val="20"/>
        </w:rPr>
        <w:t xml:space="preserve">severe psychosocial disability by the domestic courts. </w:t>
      </w:r>
      <w:r w:rsidR="00C01FC0" w:rsidRPr="00B645F5">
        <w:rPr>
          <w:rFonts w:asciiTheme="majorHAnsi" w:hAnsiTheme="majorHAnsi"/>
          <w:sz w:val="20"/>
          <w:szCs w:val="20"/>
        </w:rPr>
        <w:t>I</w:t>
      </w:r>
      <w:r w:rsidR="00965497" w:rsidRPr="00B645F5">
        <w:rPr>
          <w:rFonts w:asciiTheme="majorHAnsi" w:hAnsiTheme="majorHAnsi"/>
          <w:sz w:val="20"/>
          <w:szCs w:val="20"/>
        </w:rPr>
        <w:t xml:space="preserve">t is submitted that </w:t>
      </w:r>
      <w:r w:rsidR="00B83087" w:rsidRPr="00B645F5">
        <w:rPr>
          <w:rFonts w:asciiTheme="majorHAnsi" w:hAnsiTheme="majorHAnsi"/>
          <w:sz w:val="20"/>
          <w:szCs w:val="20"/>
        </w:rPr>
        <w:t>the</w:t>
      </w:r>
      <w:r w:rsidR="00DF385A" w:rsidRPr="00B645F5">
        <w:rPr>
          <w:rStyle w:val="s1"/>
          <w:rFonts w:asciiTheme="majorHAnsi" w:hAnsiTheme="majorHAnsi"/>
          <w:sz w:val="20"/>
          <w:szCs w:val="20"/>
        </w:rPr>
        <w:t xml:space="preserve"> state court denied Mr. </w:t>
      </w:r>
      <w:r w:rsidR="00A06801"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 adequate time and funding to prepare for his intellectual disability hearing.</w:t>
      </w:r>
      <w:r w:rsidR="00064F5A" w:rsidRPr="00B645F5">
        <w:rPr>
          <w:rStyle w:val="s1"/>
          <w:rFonts w:asciiTheme="majorHAnsi" w:hAnsiTheme="majorHAnsi"/>
          <w:sz w:val="20"/>
          <w:szCs w:val="20"/>
        </w:rPr>
        <w:t xml:space="preserve"> The petitioners explain that </w:t>
      </w:r>
      <w:r w:rsidR="00F0211D" w:rsidRPr="00B645F5">
        <w:rPr>
          <w:rStyle w:val="s1"/>
          <w:rFonts w:asciiTheme="majorHAnsi" w:hAnsiTheme="majorHAnsi"/>
          <w:sz w:val="20"/>
          <w:szCs w:val="20"/>
        </w:rPr>
        <w:t>with respect</w:t>
      </w:r>
      <w:r w:rsidR="00064F5A" w:rsidRPr="00B645F5">
        <w:rPr>
          <w:rStyle w:val="s1"/>
          <w:rFonts w:asciiTheme="majorHAnsi" w:hAnsiTheme="majorHAnsi"/>
          <w:sz w:val="20"/>
          <w:szCs w:val="20"/>
        </w:rPr>
        <w:t xml:space="preserve"> to</w:t>
      </w:r>
      <w:r w:rsidR="00521214" w:rsidRPr="00B645F5">
        <w:rPr>
          <w:rStyle w:val="s1"/>
          <w:rFonts w:asciiTheme="majorHAnsi" w:hAnsiTheme="majorHAnsi"/>
          <w:sz w:val="20"/>
          <w:szCs w:val="20"/>
        </w:rPr>
        <w:t xml:space="preserve"> Mr. </w:t>
      </w:r>
      <w:r w:rsidR="00A06801" w:rsidRPr="00B645F5">
        <w:rPr>
          <w:rStyle w:val="s1"/>
          <w:rFonts w:asciiTheme="majorHAnsi" w:hAnsiTheme="majorHAnsi"/>
          <w:sz w:val="20"/>
          <w:szCs w:val="20"/>
        </w:rPr>
        <w:t>Ibarra</w:t>
      </w:r>
      <w:r w:rsidR="00CE257F" w:rsidRPr="00B645F5">
        <w:rPr>
          <w:rStyle w:val="s1"/>
          <w:rFonts w:asciiTheme="majorHAnsi" w:hAnsiTheme="majorHAnsi"/>
          <w:sz w:val="20"/>
          <w:szCs w:val="20"/>
        </w:rPr>
        <w:t xml:space="preserve">’s habeas </w:t>
      </w:r>
      <w:r w:rsidR="00235F42" w:rsidRPr="00B645F5">
        <w:rPr>
          <w:rStyle w:val="s1"/>
          <w:rFonts w:asciiTheme="majorHAnsi" w:hAnsiTheme="majorHAnsi"/>
          <w:sz w:val="20"/>
          <w:szCs w:val="20"/>
        </w:rPr>
        <w:t>corpus application on June 19, 2003</w:t>
      </w:r>
      <w:r w:rsidR="00511227" w:rsidRPr="00B645F5">
        <w:rPr>
          <w:rStyle w:val="s1"/>
          <w:rFonts w:asciiTheme="majorHAnsi" w:hAnsiTheme="majorHAnsi"/>
          <w:sz w:val="20"/>
          <w:szCs w:val="20"/>
        </w:rPr>
        <w:t>, neither the Texas Court of Criminal Appeals, nor the trial court, to which the review of the claim was remanded to</w:t>
      </w:r>
      <w:r w:rsidR="001C3BE0" w:rsidRPr="00B645F5">
        <w:rPr>
          <w:rStyle w:val="s1"/>
          <w:rFonts w:asciiTheme="majorHAnsi" w:hAnsiTheme="majorHAnsi"/>
          <w:sz w:val="20"/>
          <w:szCs w:val="20"/>
        </w:rPr>
        <w:t xml:space="preserve">, appointed counsel to represent Mr. </w:t>
      </w:r>
      <w:r w:rsidR="00A06801" w:rsidRPr="00B645F5">
        <w:rPr>
          <w:rStyle w:val="s1"/>
          <w:rFonts w:asciiTheme="majorHAnsi" w:hAnsiTheme="majorHAnsi"/>
          <w:sz w:val="20"/>
          <w:szCs w:val="20"/>
        </w:rPr>
        <w:t>Ibarra</w:t>
      </w:r>
      <w:r w:rsidR="00F1432A" w:rsidRPr="00B645F5">
        <w:rPr>
          <w:rStyle w:val="s1"/>
          <w:rFonts w:asciiTheme="majorHAnsi" w:hAnsiTheme="majorHAnsi"/>
          <w:sz w:val="20"/>
          <w:szCs w:val="20"/>
        </w:rPr>
        <w:t>.</w:t>
      </w:r>
      <w:r w:rsidR="00F0211D" w:rsidRPr="00B645F5">
        <w:rPr>
          <w:rStyle w:val="s1"/>
          <w:rFonts w:asciiTheme="majorHAnsi" w:hAnsiTheme="majorHAnsi"/>
          <w:sz w:val="20"/>
          <w:szCs w:val="20"/>
        </w:rPr>
        <w:t xml:space="preserve"> This subsequent state habeas application was filed by his federal habeas counsel in a pro bono capacity</w:t>
      </w:r>
      <w:r w:rsidR="00B37EF5" w:rsidRPr="00B645F5">
        <w:rPr>
          <w:rStyle w:val="s1"/>
          <w:rFonts w:asciiTheme="majorHAnsi" w:hAnsiTheme="majorHAnsi"/>
          <w:sz w:val="20"/>
          <w:szCs w:val="20"/>
        </w:rPr>
        <w:t>, h</w:t>
      </w:r>
      <w:r w:rsidR="00F0211D" w:rsidRPr="00B645F5">
        <w:rPr>
          <w:rStyle w:val="s1"/>
          <w:rFonts w:asciiTheme="majorHAnsi" w:hAnsiTheme="majorHAnsi"/>
          <w:sz w:val="20"/>
          <w:szCs w:val="20"/>
        </w:rPr>
        <w:t xml:space="preserve">owever, </w:t>
      </w:r>
      <w:r w:rsidR="00B37EF5" w:rsidRPr="00B645F5">
        <w:rPr>
          <w:rStyle w:val="s1"/>
          <w:rFonts w:asciiTheme="majorHAnsi" w:hAnsiTheme="majorHAnsi"/>
          <w:sz w:val="20"/>
          <w:szCs w:val="20"/>
        </w:rPr>
        <w:t>the</w:t>
      </w:r>
      <w:r w:rsidR="00F0211D" w:rsidRPr="00B645F5">
        <w:rPr>
          <w:rStyle w:val="s1"/>
          <w:rFonts w:asciiTheme="majorHAnsi" w:hAnsiTheme="majorHAnsi"/>
          <w:sz w:val="20"/>
          <w:szCs w:val="20"/>
        </w:rPr>
        <w:t xml:space="preserve"> counsel was ineligible for appointment in—and any compensation for—the state habeas proceedings </w:t>
      </w:r>
      <w:r w:rsidR="00F1432A" w:rsidRPr="00B645F5">
        <w:rPr>
          <w:rStyle w:val="s1"/>
          <w:rFonts w:asciiTheme="majorHAnsi" w:hAnsiTheme="majorHAnsi"/>
          <w:sz w:val="20"/>
          <w:szCs w:val="20"/>
        </w:rPr>
        <w:t xml:space="preserve"> It is submitted that Mr. </w:t>
      </w:r>
      <w:r w:rsidR="00A06801" w:rsidRPr="00B645F5">
        <w:rPr>
          <w:rStyle w:val="s1"/>
          <w:rFonts w:asciiTheme="majorHAnsi" w:hAnsiTheme="majorHAnsi"/>
          <w:sz w:val="20"/>
          <w:szCs w:val="20"/>
        </w:rPr>
        <w:t>Ibarra</w:t>
      </w:r>
      <w:r w:rsidR="0057078E" w:rsidRPr="00B645F5">
        <w:rPr>
          <w:rStyle w:val="s1"/>
          <w:rFonts w:asciiTheme="majorHAnsi" w:hAnsiTheme="majorHAnsi"/>
          <w:sz w:val="20"/>
          <w:szCs w:val="20"/>
        </w:rPr>
        <w:t>,</w:t>
      </w:r>
      <w:r w:rsidR="00F1432A" w:rsidRPr="00B645F5">
        <w:rPr>
          <w:rStyle w:val="s1"/>
          <w:rFonts w:asciiTheme="majorHAnsi" w:hAnsiTheme="majorHAnsi"/>
          <w:sz w:val="20"/>
          <w:szCs w:val="20"/>
        </w:rPr>
        <w:t xml:space="preserve"> who was indigent</w:t>
      </w:r>
      <w:r w:rsidR="00CA4E47" w:rsidRPr="00B645F5">
        <w:rPr>
          <w:rStyle w:val="s1"/>
          <w:rFonts w:asciiTheme="majorHAnsi" w:hAnsiTheme="majorHAnsi"/>
          <w:sz w:val="20"/>
          <w:szCs w:val="20"/>
        </w:rPr>
        <w:t xml:space="preserve">, remained unrepresented </w:t>
      </w:r>
      <w:r w:rsidR="00DF385A" w:rsidRPr="00B645F5">
        <w:rPr>
          <w:rStyle w:val="s1"/>
          <w:rFonts w:asciiTheme="majorHAnsi" w:hAnsiTheme="majorHAnsi"/>
          <w:sz w:val="20"/>
          <w:szCs w:val="20"/>
        </w:rPr>
        <w:t xml:space="preserve">in state court until volunteer counsel entered an appearance on 18 July 2006, two months before the scheduled </w:t>
      </w:r>
      <w:r w:rsidR="000B4A69" w:rsidRPr="00B645F5">
        <w:rPr>
          <w:rStyle w:val="s1"/>
          <w:rFonts w:asciiTheme="majorHAnsi" w:hAnsiTheme="majorHAnsi"/>
          <w:sz w:val="20"/>
          <w:szCs w:val="20"/>
        </w:rPr>
        <w:t>‘</w:t>
      </w:r>
      <w:r w:rsidR="00DF385A" w:rsidRPr="00B645F5">
        <w:rPr>
          <w:rStyle w:val="s1"/>
          <w:rFonts w:asciiTheme="majorHAnsi" w:hAnsiTheme="majorHAnsi"/>
          <w:sz w:val="20"/>
          <w:szCs w:val="20"/>
        </w:rPr>
        <w:t>Atkins</w:t>
      </w:r>
      <w:r w:rsidR="003F761C" w:rsidRPr="00B645F5">
        <w:rPr>
          <w:rStyle w:val="s1"/>
          <w:rFonts w:asciiTheme="majorHAnsi" w:hAnsiTheme="majorHAnsi"/>
          <w:sz w:val="20"/>
          <w:szCs w:val="20"/>
        </w:rPr>
        <w:t>’</w:t>
      </w:r>
      <w:r w:rsidR="00DF385A" w:rsidRPr="00B645F5">
        <w:rPr>
          <w:rStyle w:val="s1"/>
          <w:rFonts w:asciiTheme="majorHAnsi" w:hAnsiTheme="majorHAnsi"/>
          <w:sz w:val="20"/>
          <w:szCs w:val="20"/>
        </w:rPr>
        <w:t xml:space="preserve"> hearing on 18 September 2006.</w:t>
      </w:r>
      <w:r w:rsidR="00BA78A0" w:rsidRPr="00B645F5">
        <w:rPr>
          <w:rFonts w:asciiTheme="majorHAnsi" w:hAnsiTheme="majorHAnsi"/>
          <w:sz w:val="20"/>
          <w:szCs w:val="20"/>
          <w:vertAlign w:val="superscript"/>
        </w:rPr>
        <w:t xml:space="preserve"> </w:t>
      </w:r>
      <w:r w:rsidR="00BA78A0" w:rsidRPr="00B645F5">
        <w:rPr>
          <w:rFonts w:asciiTheme="majorHAnsi" w:hAnsiTheme="majorHAnsi"/>
          <w:sz w:val="20"/>
          <w:szCs w:val="20"/>
          <w:vertAlign w:val="superscript"/>
        </w:rPr>
        <w:footnoteReference w:id="3"/>
      </w:r>
      <w:r w:rsidR="00E263DE" w:rsidRPr="00B645F5">
        <w:rPr>
          <w:rStyle w:val="s1"/>
          <w:rFonts w:asciiTheme="majorHAnsi" w:hAnsiTheme="majorHAnsi"/>
          <w:sz w:val="20"/>
          <w:szCs w:val="20"/>
        </w:rPr>
        <w:t xml:space="preserve"> </w:t>
      </w:r>
    </w:p>
    <w:p w14:paraId="6D0BB772" w14:textId="77777777" w:rsidR="00BA78A0" w:rsidRPr="00B645F5" w:rsidRDefault="00BA78A0" w:rsidP="00BA78A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Style w:val="s1"/>
        </w:rPr>
      </w:pPr>
    </w:p>
    <w:p w14:paraId="75898BBE" w14:textId="77777777" w:rsidR="00DF385A" w:rsidRPr="00B645F5" w:rsidRDefault="00FD15CE"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1"/>
        </w:rPr>
      </w:pPr>
      <w:r w:rsidRPr="00B645F5">
        <w:rPr>
          <w:rStyle w:val="s1"/>
          <w:rFonts w:asciiTheme="majorHAnsi" w:hAnsiTheme="majorHAnsi"/>
          <w:sz w:val="20"/>
          <w:szCs w:val="20"/>
        </w:rPr>
        <w:t xml:space="preserve">The petitioners provide that </w:t>
      </w:r>
      <w:r w:rsidR="00DF385A" w:rsidRPr="00B645F5">
        <w:rPr>
          <w:rStyle w:val="s1"/>
          <w:rFonts w:asciiTheme="majorHAnsi" w:hAnsiTheme="majorHAnsi"/>
          <w:sz w:val="20"/>
          <w:szCs w:val="20"/>
        </w:rPr>
        <w:t xml:space="preserve">volunteer counsel filed multiple requests to continue the hearing and for adequate funding to investigate and uncover evidence in both the United States and Mexico of Mr. </w:t>
      </w:r>
      <w:r w:rsidR="00A06801"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’s intellectual disability. The trial court refused to continue the hearing despite the affidavit of a defense investigator attesting that she had yet to locate and interview fifteen additional witnesses residing in Mexico who could provide critical information regarding Mr. </w:t>
      </w:r>
      <w:r w:rsidR="00A06801"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’s Atkins claim. </w:t>
      </w:r>
      <w:r w:rsidR="00B67AB7" w:rsidRPr="00B645F5">
        <w:rPr>
          <w:rStyle w:val="s1"/>
          <w:rFonts w:asciiTheme="majorHAnsi" w:hAnsiTheme="majorHAnsi"/>
          <w:sz w:val="20"/>
          <w:szCs w:val="20"/>
        </w:rPr>
        <w:t>It is submitted that t</w:t>
      </w:r>
      <w:r w:rsidR="00DF385A" w:rsidRPr="00B645F5">
        <w:rPr>
          <w:rStyle w:val="s1"/>
          <w:rFonts w:asciiTheme="majorHAnsi" w:hAnsiTheme="majorHAnsi"/>
          <w:sz w:val="20"/>
          <w:szCs w:val="20"/>
        </w:rPr>
        <w:t>he trial court authorized only $7</w:t>
      </w:r>
      <w:r w:rsidR="00BD6EF6" w:rsidRPr="00B645F5">
        <w:rPr>
          <w:rStyle w:val="s1"/>
          <w:rFonts w:asciiTheme="majorHAnsi" w:hAnsiTheme="majorHAnsi"/>
          <w:sz w:val="20"/>
          <w:szCs w:val="20"/>
        </w:rPr>
        <w:t>,</w:t>
      </w:r>
      <w:r w:rsidR="00DF385A" w:rsidRPr="00B645F5">
        <w:rPr>
          <w:rStyle w:val="s1"/>
          <w:rFonts w:asciiTheme="majorHAnsi" w:hAnsiTheme="majorHAnsi"/>
          <w:sz w:val="20"/>
          <w:szCs w:val="20"/>
        </w:rPr>
        <w:t xml:space="preserve">500 for investigation expenses and denied all further funding requests. </w:t>
      </w:r>
      <w:r w:rsidR="00BD6EF6" w:rsidRPr="00B645F5">
        <w:rPr>
          <w:rStyle w:val="s1"/>
          <w:rFonts w:asciiTheme="majorHAnsi" w:hAnsiTheme="majorHAnsi"/>
          <w:sz w:val="20"/>
          <w:szCs w:val="20"/>
        </w:rPr>
        <w:t>Further, o</w:t>
      </w:r>
      <w:r w:rsidR="00DF385A" w:rsidRPr="00B645F5">
        <w:rPr>
          <w:rStyle w:val="s1"/>
          <w:rFonts w:asciiTheme="majorHAnsi" w:hAnsiTheme="majorHAnsi"/>
          <w:sz w:val="20"/>
          <w:szCs w:val="20"/>
        </w:rPr>
        <w:t xml:space="preserve">n September </w:t>
      </w:r>
      <w:r w:rsidR="0031739C" w:rsidRPr="00B645F5">
        <w:rPr>
          <w:rStyle w:val="s1"/>
          <w:rFonts w:asciiTheme="majorHAnsi" w:hAnsiTheme="majorHAnsi"/>
          <w:sz w:val="20"/>
          <w:szCs w:val="20"/>
        </w:rPr>
        <w:t xml:space="preserve">15, </w:t>
      </w:r>
      <w:r w:rsidR="00DF385A" w:rsidRPr="00B645F5">
        <w:rPr>
          <w:rStyle w:val="s1"/>
          <w:rFonts w:asciiTheme="majorHAnsi" w:hAnsiTheme="majorHAnsi"/>
          <w:sz w:val="20"/>
          <w:szCs w:val="20"/>
        </w:rPr>
        <w:t xml:space="preserve">2006, just three days before the Atkins hearing, the court denied funding to secure the presence and testimony of the expert psychologist who had evaluated Mr. </w:t>
      </w:r>
      <w:r w:rsidR="00A06801"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 and unequivocally determined he was a person with intellectual disability. </w:t>
      </w:r>
      <w:r w:rsidR="00A650A0" w:rsidRPr="00B645F5">
        <w:rPr>
          <w:rStyle w:val="s1"/>
          <w:rFonts w:asciiTheme="majorHAnsi" w:hAnsiTheme="majorHAnsi"/>
          <w:sz w:val="20"/>
          <w:szCs w:val="20"/>
        </w:rPr>
        <w:t>Additionally</w:t>
      </w:r>
      <w:r w:rsidR="00DF385A" w:rsidRPr="00B645F5">
        <w:rPr>
          <w:rStyle w:val="s1"/>
          <w:rFonts w:asciiTheme="majorHAnsi" w:hAnsiTheme="majorHAnsi"/>
          <w:sz w:val="20"/>
          <w:szCs w:val="20"/>
        </w:rPr>
        <w:t xml:space="preserve">, on the day of the hearing, the trial court admitted into evidence the affidavit of the defense investigator discussing the life history information uncovered up to that </w:t>
      </w:r>
      <w:proofErr w:type="gramStart"/>
      <w:r w:rsidR="00DF385A" w:rsidRPr="00B645F5">
        <w:rPr>
          <w:rStyle w:val="s1"/>
          <w:rFonts w:asciiTheme="majorHAnsi" w:hAnsiTheme="majorHAnsi"/>
          <w:sz w:val="20"/>
          <w:szCs w:val="20"/>
        </w:rPr>
        <w:t>point, but</w:t>
      </w:r>
      <w:proofErr w:type="gramEnd"/>
      <w:r w:rsidR="00DF385A" w:rsidRPr="00B645F5">
        <w:rPr>
          <w:rStyle w:val="s1"/>
          <w:rFonts w:asciiTheme="majorHAnsi" w:hAnsiTheme="majorHAnsi"/>
          <w:sz w:val="20"/>
          <w:szCs w:val="20"/>
        </w:rPr>
        <w:t xml:space="preserve"> refused on procedural grounds to consider the psychologist’s affidavit </w:t>
      </w:r>
      <w:r w:rsidR="00C37478" w:rsidRPr="00B645F5">
        <w:rPr>
          <w:rStyle w:val="s1"/>
          <w:rFonts w:asciiTheme="majorHAnsi" w:hAnsiTheme="majorHAnsi"/>
          <w:sz w:val="20"/>
          <w:szCs w:val="20"/>
        </w:rPr>
        <w:t xml:space="preserve">which </w:t>
      </w:r>
      <w:r w:rsidR="00822C80" w:rsidRPr="00B645F5">
        <w:rPr>
          <w:rStyle w:val="s1"/>
          <w:rFonts w:asciiTheme="majorHAnsi" w:hAnsiTheme="majorHAnsi"/>
          <w:sz w:val="20"/>
          <w:szCs w:val="20"/>
        </w:rPr>
        <w:t>con</w:t>
      </w:r>
      <w:r w:rsidR="00DF385A" w:rsidRPr="00B645F5">
        <w:rPr>
          <w:rStyle w:val="s1"/>
          <w:rFonts w:asciiTheme="majorHAnsi" w:hAnsiTheme="majorHAnsi"/>
          <w:sz w:val="20"/>
          <w:szCs w:val="20"/>
        </w:rPr>
        <w:t>clud</w:t>
      </w:r>
      <w:r w:rsidR="00C37478" w:rsidRPr="00B645F5">
        <w:rPr>
          <w:rStyle w:val="s1"/>
          <w:rFonts w:asciiTheme="majorHAnsi" w:hAnsiTheme="majorHAnsi"/>
          <w:sz w:val="20"/>
          <w:szCs w:val="20"/>
        </w:rPr>
        <w:t>ed on</w:t>
      </w:r>
      <w:r w:rsidR="00DF385A" w:rsidRPr="00B645F5">
        <w:rPr>
          <w:rStyle w:val="s1"/>
          <w:rFonts w:asciiTheme="majorHAnsi" w:hAnsiTheme="majorHAnsi"/>
          <w:sz w:val="20"/>
          <w:szCs w:val="20"/>
        </w:rPr>
        <w:t xml:space="preserve"> Mr. </w:t>
      </w:r>
      <w:r w:rsidR="00A06801" w:rsidRPr="00B645F5">
        <w:rPr>
          <w:rStyle w:val="s1"/>
          <w:rFonts w:asciiTheme="majorHAnsi" w:hAnsiTheme="majorHAnsi"/>
          <w:sz w:val="20"/>
          <w:szCs w:val="20"/>
        </w:rPr>
        <w:t>Ibarra</w:t>
      </w:r>
      <w:r w:rsidR="00822C80" w:rsidRPr="00B645F5">
        <w:rPr>
          <w:rStyle w:val="s1"/>
          <w:rFonts w:asciiTheme="majorHAnsi" w:hAnsiTheme="majorHAnsi"/>
          <w:sz w:val="20"/>
          <w:szCs w:val="20"/>
        </w:rPr>
        <w:t>’s</w:t>
      </w:r>
      <w:r w:rsidR="00DF385A" w:rsidRPr="00B645F5">
        <w:rPr>
          <w:rStyle w:val="s1"/>
          <w:rFonts w:asciiTheme="majorHAnsi" w:hAnsiTheme="majorHAnsi"/>
          <w:sz w:val="20"/>
          <w:szCs w:val="20"/>
        </w:rPr>
        <w:t xml:space="preserve"> intellectual disability</w:t>
      </w:r>
      <w:r w:rsidR="009142F7" w:rsidRPr="00B645F5">
        <w:rPr>
          <w:rStyle w:val="s1"/>
          <w:rFonts w:asciiTheme="majorHAnsi" w:hAnsiTheme="majorHAnsi"/>
          <w:sz w:val="20"/>
          <w:szCs w:val="20"/>
        </w:rPr>
        <w:t>,</w:t>
      </w:r>
      <w:r w:rsidR="00DF385A" w:rsidRPr="00B645F5">
        <w:rPr>
          <w:rStyle w:val="s1"/>
          <w:rFonts w:asciiTheme="majorHAnsi" w:hAnsiTheme="majorHAnsi"/>
          <w:sz w:val="20"/>
          <w:szCs w:val="20"/>
        </w:rPr>
        <w:t xml:space="preserve"> in lieu of in-person testimony.</w:t>
      </w:r>
    </w:p>
    <w:p w14:paraId="38C2F7A1" w14:textId="77777777" w:rsidR="009142F7" w:rsidRPr="00B645F5" w:rsidRDefault="009142F7" w:rsidP="009142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Style w:val="s1"/>
        </w:rPr>
      </w:pPr>
    </w:p>
    <w:p w14:paraId="2AA29BDA" w14:textId="77777777" w:rsidR="008E46A6" w:rsidRPr="00B645F5" w:rsidRDefault="009142F7" w:rsidP="008E46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Style w:val="s1"/>
          <w:rFonts w:asciiTheme="majorHAnsi" w:hAnsiTheme="majorHAnsi"/>
          <w:sz w:val="20"/>
          <w:szCs w:val="20"/>
        </w:rPr>
        <w:t>T</w:t>
      </w:r>
      <w:r w:rsidR="00455240" w:rsidRPr="00B645F5">
        <w:rPr>
          <w:rStyle w:val="s1"/>
          <w:rFonts w:asciiTheme="majorHAnsi" w:hAnsiTheme="majorHAnsi"/>
          <w:sz w:val="20"/>
          <w:szCs w:val="20"/>
        </w:rPr>
        <w:t xml:space="preserve">he petitioners claim secondly that </w:t>
      </w:r>
      <w:r w:rsidR="00DF385A" w:rsidRPr="00B645F5">
        <w:rPr>
          <w:rStyle w:val="s1"/>
          <w:rFonts w:asciiTheme="majorHAnsi" w:hAnsiTheme="majorHAnsi"/>
          <w:sz w:val="20"/>
          <w:szCs w:val="20"/>
        </w:rPr>
        <w:t xml:space="preserve">the trial court made an unreasonable and unscientific assessment of the record. </w:t>
      </w:r>
      <w:r w:rsidR="00455240" w:rsidRPr="00B645F5">
        <w:rPr>
          <w:rStyle w:val="s1"/>
          <w:rFonts w:asciiTheme="majorHAnsi" w:hAnsiTheme="majorHAnsi"/>
          <w:sz w:val="20"/>
          <w:szCs w:val="20"/>
        </w:rPr>
        <w:t>It is sub</w:t>
      </w:r>
      <w:r w:rsidR="00433CD0" w:rsidRPr="00B645F5">
        <w:rPr>
          <w:rStyle w:val="s1"/>
          <w:rFonts w:asciiTheme="majorHAnsi" w:hAnsiTheme="majorHAnsi"/>
          <w:sz w:val="20"/>
          <w:szCs w:val="20"/>
        </w:rPr>
        <w:t>mitted that the</w:t>
      </w:r>
      <w:r w:rsidR="00DF385A" w:rsidRPr="00B645F5">
        <w:rPr>
          <w:rStyle w:val="s1"/>
          <w:rFonts w:asciiTheme="majorHAnsi" w:hAnsiTheme="majorHAnsi"/>
          <w:sz w:val="20"/>
          <w:szCs w:val="20"/>
        </w:rPr>
        <w:t xml:space="preserve"> court adopted verbatim the prosecutor’s proposed findings of fact, relying almost exclusively on the prosecutor’s recollection of the trial proceedings and inexplicably ignoring the information contained in the defense investigator’s affidavit. Th</w:t>
      </w:r>
      <w:r w:rsidR="00433CD0" w:rsidRPr="00B645F5">
        <w:rPr>
          <w:rStyle w:val="s1"/>
          <w:rFonts w:asciiTheme="majorHAnsi" w:hAnsiTheme="majorHAnsi"/>
          <w:sz w:val="20"/>
          <w:szCs w:val="20"/>
        </w:rPr>
        <w:t>e petitioners provide that the</w:t>
      </w:r>
      <w:r w:rsidR="00DF385A" w:rsidRPr="00B645F5">
        <w:rPr>
          <w:rStyle w:val="s1"/>
          <w:rFonts w:asciiTheme="majorHAnsi" w:hAnsiTheme="majorHAnsi"/>
          <w:sz w:val="20"/>
          <w:szCs w:val="20"/>
        </w:rPr>
        <w:t xml:space="preserve"> trial court based </w:t>
      </w:r>
      <w:r w:rsidR="00DF385A" w:rsidRPr="00B645F5">
        <w:rPr>
          <w:rStyle w:val="s1"/>
          <w:rFonts w:asciiTheme="majorHAnsi" w:hAnsiTheme="majorHAnsi"/>
          <w:sz w:val="20"/>
          <w:szCs w:val="20"/>
        </w:rPr>
        <w:lastRenderedPageBreak/>
        <w:t xml:space="preserve">its decision largely on the facts and circumstances of the underlying offense, </w:t>
      </w:r>
      <w:r w:rsidR="00553A05" w:rsidRPr="00B645F5">
        <w:rPr>
          <w:rStyle w:val="s1"/>
          <w:rFonts w:asciiTheme="majorHAnsi" w:hAnsiTheme="majorHAnsi"/>
          <w:sz w:val="20"/>
          <w:szCs w:val="20"/>
        </w:rPr>
        <w:t>and not o</w:t>
      </w:r>
      <w:r w:rsidR="00BA0F6C" w:rsidRPr="00B645F5">
        <w:rPr>
          <w:rStyle w:val="s1"/>
          <w:rFonts w:asciiTheme="majorHAnsi" w:hAnsiTheme="majorHAnsi"/>
          <w:sz w:val="20"/>
          <w:szCs w:val="20"/>
        </w:rPr>
        <w:t>n information relevant</w:t>
      </w:r>
      <w:r w:rsidR="00DF385A" w:rsidRPr="00B645F5">
        <w:rPr>
          <w:rStyle w:val="s1"/>
          <w:rFonts w:asciiTheme="majorHAnsi" w:hAnsiTheme="majorHAnsi"/>
          <w:sz w:val="20"/>
          <w:szCs w:val="20"/>
        </w:rPr>
        <w:t xml:space="preserve"> to a clinical determination of intellectual disability. </w:t>
      </w:r>
      <w:r w:rsidR="00BA0F6C" w:rsidRPr="00B645F5">
        <w:rPr>
          <w:rStyle w:val="s1"/>
          <w:rFonts w:asciiTheme="majorHAnsi" w:hAnsiTheme="majorHAnsi"/>
          <w:sz w:val="20"/>
          <w:szCs w:val="20"/>
        </w:rPr>
        <w:t>It is asserted that the</w:t>
      </w:r>
      <w:r w:rsidR="00DF385A" w:rsidRPr="00B645F5">
        <w:rPr>
          <w:rStyle w:val="s1"/>
          <w:rFonts w:asciiTheme="majorHAnsi" w:hAnsiTheme="majorHAnsi"/>
          <w:sz w:val="20"/>
          <w:szCs w:val="20"/>
        </w:rPr>
        <w:t xml:space="preserve"> court also relied on the affidavit of a psychiatrist who evaluated Mr. </w:t>
      </w:r>
      <w:r w:rsidR="00A06801"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 during his trial and before </w:t>
      </w:r>
      <w:r w:rsidR="00BA0F6C" w:rsidRPr="00B645F5">
        <w:rPr>
          <w:rStyle w:val="s1"/>
          <w:rFonts w:asciiTheme="majorHAnsi" w:hAnsiTheme="majorHAnsi"/>
          <w:sz w:val="20"/>
          <w:szCs w:val="20"/>
        </w:rPr>
        <w:t xml:space="preserve">the </w:t>
      </w:r>
      <w:r w:rsidR="00DF385A" w:rsidRPr="00B645F5">
        <w:rPr>
          <w:rStyle w:val="s1"/>
          <w:rFonts w:asciiTheme="majorHAnsi" w:hAnsiTheme="majorHAnsi"/>
          <w:sz w:val="20"/>
          <w:szCs w:val="20"/>
        </w:rPr>
        <w:t xml:space="preserve">Atkins </w:t>
      </w:r>
      <w:r w:rsidR="00BA0F6C" w:rsidRPr="00B645F5">
        <w:rPr>
          <w:rStyle w:val="s1"/>
          <w:rFonts w:asciiTheme="majorHAnsi" w:hAnsiTheme="majorHAnsi"/>
          <w:sz w:val="20"/>
          <w:szCs w:val="20"/>
        </w:rPr>
        <w:t xml:space="preserve">case </w:t>
      </w:r>
      <w:r w:rsidR="00DF385A" w:rsidRPr="00B645F5">
        <w:rPr>
          <w:rStyle w:val="s1"/>
          <w:rFonts w:asciiTheme="majorHAnsi" w:hAnsiTheme="majorHAnsi"/>
          <w:sz w:val="20"/>
          <w:szCs w:val="20"/>
        </w:rPr>
        <w:t xml:space="preserve">was decided, and who never administered any </w:t>
      </w:r>
      <w:proofErr w:type="gramStart"/>
      <w:r w:rsidR="00DF385A" w:rsidRPr="00B645F5">
        <w:rPr>
          <w:rStyle w:val="s1"/>
          <w:rFonts w:asciiTheme="majorHAnsi" w:hAnsiTheme="majorHAnsi"/>
          <w:sz w:val="20"/>
          <w:szCs w:val="20"/>
        </w:rPr>
        <w:t>scientifically-validated</w:t>
      </w:r>
      <w:proofErr w:type="gramEnd"/>
      <w:r w:rsidR="00DF385A" w:rsidRPr="00B645F5">
        <w:rPr>
          <w:rStyle w:val="s1"/>
          <w:rFonts w:asciiTheme="majorHAnsi" w:hAnsiTheme="majorHAnsi"/>
          <w:sz w:val="20"/>
          <w:szCs w:val="20"/>
        </w:rPr>
        <w:t xml:space="preserve"> tests for intellectual disability</w:t>
      </w:r>
      <w:r w:rsidR="009B6000" w:rsidRPr="00B645F5">
        <w:rPr>
          <w:rStyle w:val="s1"/>
          <w:rFonts w:asciiTheme="majorHAnsi" w:hAnsiTheme="majorHAnsi"/>
          <w:sz w:val="20"/>
          <w:szCs w:val="20"/>
        </w:rPr>
        <w:t xml:space="preserve">. Moreover, it is provided that </w:t>
      </w:r>
      <w:r w:rsidR="00DF385A" w:rsidRPr="00B645F5">
        <w:rPr>
          <w:rStyle w:val="s1"/>
          <w:rFonts w:asciiTheme="majorHAnsi" w:hAnsiTheme="majorHAnsi"/>
          <w:sz w:val="20"/>
          <w:szCs w:val="20"/>
        </w:rPr>
        <w:t xml:space="preserve">this doctor offhandedly commented on his view that Mr. </w:t>
      </w:r>
      <w:r w:rsidR="00AC5329" w:rsidRPr="00B645F5">
        <w:rPr>
          <w:rStyle w:val="s1"/>
          <w:rFonts w:asciiTheme="majorHAnsi" w:hAnsiTheme="majorHAnsi"/>
          <w:sz w:val="20"/>
          <w:szCs w:val="20"/>
        </w:rPr>
        <w:t>Ibarra</w:t>
      </w:r>
      <w:r w:rsidR="00DF385A" w:rsidRPr="00B645F5">
        <w:rPr>
          <w:rStyle w:val="s1"/>
          <w:rFonts w:asciiTheme="majorHAnsi" w:hAnsiTheme="majorHAnsi"/>
          <w:sz w:val="20"/>
          <w:szCs w:val="20"/>
        </w:rPr>
        <w:t xml:space="preserve"> does not have </w:t>
      </w:r>
      <w:r w:rsidR="00E06B73" w:rsidRPr="00B645F5">
        <w:rPr>
          <w:rStyle w:val="s1"/>
          <w:rFonts w:asciiTheme="majorHAnsi" w:hAnsiTheme="majorHAnsi"/>
          <w:sz w:val="20"/>
          <w:szCs w:val="20"/>
        </w:rPr>
        <w:t>‘</w:t>
      </w:r>
      <w:r w:rsidR="00DF385A" w:rsidRPr="00B645F5">
        <w:rPr>
          <w:rStyle w:val="s1"/>
          <w:rFonts w:asciiTheme="majorHAnsi" w:hAnsiTheme="majorHAnsi"/>
          <w:sz w:val="20"/>
          <w:szCs w:val="20"/>
        </w:rPr>
        <w:t>mental retardation</w:t>
      </w:r>
      <w:r w:rsidR="00E06B73" w:rsidRPr="00B645F5">
        <w:rPr>
          <w:rStyle w:val="s1"/>
          <w:rFonts w:asciiTheme="majorHAnsi" w:hAnsiTheme="majorHAnsi"/>
          <w:sz w:val="20"/>
          <w:szCs w:val="20"/>
        </w:rPr>
        <w:t>’</w:t>
      </w:r>
      <w:r w:rsidR="00DF385A" w:rsidRPr="00B645F5">
        <w:rPr>
          <w:rStyle w:val="s1"/>
          <w:rFonts w:asciiTheme="majorHAnsi" w:hAnsiTheme="majorHAnsi"/>
          <w:sz w:val="20"/>
          <w:szCs w:val="20"/>
        </w:rPr>
        <w:t xml:space="preserve"> even though he did not formally evaluate him for any such disability.</w:t>
      </w:r>
      <w:r w:rsidR="00E06B73" w:rsidRPr="00B645F5">
        <w:rPr>
          <w:rStyle w:val="s1"/>
          <w:rFonts w:asciiTheme="majorHAnsi" w:hAnsiTheme="majorHAnsi"/>
          <w:sz w:val="20"/>
          <w:szCs w:val="20"/>
        </w:rPr>
        <w:t xml:space="preserve"> Further, the petitioners provide that the </w:t>
      </w:r>
      <w:r w:rsidR="00DF385A" w:rsidRPr="00B645F5">
        <w:rPr>
          <w:rStyle w:val="s1"/>
          <w:rFonts w:asciiTheme="majorHAnsi" w:hAnsiTheme="majorHAnsi"/>
          <w:sz w:val="20"/>
          <w:szCs w:val="20"/>
        </w:rPr>
        <w:t>federal court arbitrarily refused to consider the additional evidence</w:t>
      </w:r>
      <w:r w:rsidR="00560E41" w:rsidRPr="00B645F5">
        <w:rPr>
          <w:rStyle w:val="s1"/>
          <w:rFonts w:asciiTheme="majorHAnsi" w:hAnsiTheme="majorHAnsi"/>
          <w:sz w:val="20"/>
          <w:szCs w:val="20"/>
        </w:rPr>
        <w:t xml:space="preserve">, which included </w:t>
      </w:r>
      <w:r w:rsidR="00DF385A" w:rsidRPr="00B645F5">
        <w:rPr>
          <w:rStyle w:val="s1"/>
          <w:rFonts w:asciiTheme="majorHAnsi" w:hAnsiTheme="majorHAnsi"/>
          <w:sz w:val="20"/>
          <w:szCs w:val="20"/>
        </w:rPr>
        <w:t xml:space="preserve">affidavits from several family members and </w:t>
      </w:r>
      <w:r w:rsidR="00560E41" w:rsidRPr="00B645F5">
        <w:rPr>
          <w:rStyle w:val="s1"/>
          <w:rFonts w:asciiTheme="majorHAnsi" w:hAnsiTheme="majorHAnsi"/>
          <w:sz w:val="20"/>
          <w:szCs w:val="20"/>
        </w:rPr>
        <w:t xml:space="preserve">Mr. </w:t>
      </w:r>
      <w:r w:rsidR="00AC5329" w:rsidRPr="00B645F5">
        <w:rPr>
          <w:rStyle w:val="s1"/>
          <w:rFonts w:asciiTheme="majorHAnsi" w:hAnsiTheme="majorHAnsi"/>
          <w:sz w:val="20"/>
          <w:szCs w:val="20"/>
        </w:rPr>
        <w:t>Ibarra</w:t>
      </w:r>
      <w:r w:rsidR="00560E41" w:rsidRPr="00B645F5">
        <w:rPr>
          <w:rStyle w:val="s1"/>
          <w:rFonts w:asciiTheme="majorHAnsi" w:hAnsiTheme="majorHAnsi"/>
          <w:sz w:val="20"/>
          <w:szCs w:val="20"/>
        </w:rPr>
        <w:t>’s</w:t>
      </w:r>
      <w:r w:rsidR="00DF385A" w:rsidRPr="00B645F5">
        <w:rPr>
          <w:rStyle w:val="s1"/>
          <w:rFonts w:asciiTheme="majorHAnsi" w:hAnsiTheme="majorHAnsi"/>
          <w:sz w:val="20"/>
          <w:szCs w:val="20"/>
        </w:rPr>
        <w:t xml:space="preserve"> former school teacher, as well as the affidavit of the expert psychologist Carol M. </w:t>
      </w:r>
      <w:proofErr w:type="spellStart"/>
      <w:r w:rsidR="00DF385A" w:rsidRPr="00B645F5">
        <w:rPr>
          <w:rStyle w:val="s1"/>
          <w:rFonts w:asciiTheme="majorHAnsi" w:hAnsiTheme="majorHAnsi"/>
          <w:sz w:val="20"/>
          <w:szCs w:val="20"/>
        </w:rPr>
        <w:t>Romey</w:t>
      </w:r>
      <w:proofErr w:type="spellEnd"/>
      <w:r w:rsidR="00DF385A" w:rsidRPr="00B645F5">
        <w:rPr>
          <w:rStyle w:val="s1"/>
          <w:rFonts w:asciiTheme="majorHAnsi" w:hAnsiTheme="majorHAnsi"/>
          <w:sz w:val="20"/>
          <w:szCs w:val="20"/>
        </w:rPr>
        <w:t>, Ph.D.</w:t>
      </w:r>
      <w:r w:rsidR="00D6022C" w:rsidRPr="00B645F5">
        <w:rPr>
          <w:rStyle w:val="s1"/>
          <w:rFonts w:asciiTheme="majorHAnsi" w:hAnsiTheme="majorHAnsi"/>
          <w:sz w:val="20"/>
          <w:szCs w:val="20"/>
        </w:rPr>
        <w:t>,</w:t>
      </w:r>
      <w:r w:rsidR="00DF385A" w:rsidRPr="00B645F5">
        <w:rPr>
          <w:rStyle w:val="s1"/>
          <w:rFonts w:asciiTheme="majorHAnsi" w:hAnsiTheme="majorHAnsi"/>
          <w:sz w:val="20"/>
          <w:szCs w:val="20"/>
        </w:rPr>
        <w:t xml:space="preserve"> of Mr. </w:t>
      </w:r>
      <w:r w:rsidR="00AC5329" w:rsidRPr="00B645F5">
        <w:rPr>
          <w:rStyle w:val="s1"/>
          <w:rFonts w:asciiTheme="majorHAnsi" w:hAnsiTheme="majorHAnsi"/>
          <w:sz w:val="20"/>
          <w:szCs w:val="20"/>
        </w:rPr>
        <w:t>Ibarra</w:t>
      </w:r>
      <w:r w:rsidR="00DF385A" w:rsidRPr="00B645F5">
        <w:rPr>
          <w:rStyle w:val="s1"/>
          <w:rFonts w:asciiTheme="majorHAnsi" w:hAnsiTheme="majorHAnsi"/>
          <w:sz w:val="20"/>
          <w:szCs w:val="20"/>
        </w:rPr>
        <w:t>’s intellectual disability that was presented during his federal habeas proceedings</w:t>
      </w:r>
      <w:r w:rsidR="00DB1ECD" w:rsidRPr="00B645F5">
        <w:rPr>
          <w:rStyle w:val="s1"/>
          <w:rFonts w:asciiTheme="majorHAnsi" w:hAnsiTheme="majorHAnsi"/>
          <w:sz w:val="20"/>
          <w:szCs w:val="20"/>
        </w:rPr>
        <w:t xml:space="preserve">. This, the petitioners explain, was </w:t>
      </w:r>
      <w:r w:rsidR="00DF385A" w:rsidRPr="00B645F5">
        <w:rPr>
          <w:rStyle w:val="s1"/>
          <w:rFonts w:asciiTheme="majorHAnsi" w:hAnsiTheme="majorHAnsi"/>
          <w:sz w:val="20"/>
          <w:szCs w:val="20"/>
        </w:rPr>
        <w:t>because the</w:t>
      </w:r>
      <w:r w:rsidR="00DB1ECD" w:rsidRPr="00B645F5">
        <w:rPr>
          <w:rStyle w:val="s1"/>
          <w:rFonts w:asciiTheme="majorHAnsi" w:hAnsiTheme="majorHAnsi"/>
          <w:sz w:val="20"/>
          <w:szCs w:val="20"/>
        </w:rPr>
        <w:t xml:space="preserve"> evidence</w:t>
      </w:r>
      <w:r w:rsidR="00DF385A" w:rsidRPr="00B645F5">
        <w:rPr>
          <w:rStyle w:val="s1"/>
          <w:rFonts w:asciiTheme="majorHAnsi" w:hAnsiTheme="majorHAnsi"/>
          <w:sz w:val="20"/>
          <w:szCs w:val="20"/>
        </w:rPr>
        <w:t xml:space="preserve"> w</w:t>
      </w:r>
      <w:r w:rsidR="00D5423E" w:rsidRPr="00B645F5">
        <w:rPr>
          <w:rStyle w:val="s1"/>
          <w:rFonts w:asciiTheme="majorHAnsi" w:hAnsiTheme="majorHAnsi"/>
          <w:sz w:val="20"/>
          <w:szCs w:val="20"/>
        </w:rPr>
        <w:t>as</w:t>
      </w:r>
      <w:r w:rsidR="00DF385A" w:rsidRPr="00B645F5">
        <w:rPr>
          <w:rStyle w:val="s1"/>
          <w:rFonts w:asciiTheme="majorHAnsi" w:hAnsiTheme="majorHAnsi"/>
          <w:sz w:val="20"/>
          <w:szCs w:val="20"/>
        </w:rPr>
        <w:t xml:space="preserve"> not accepted into the evidentiary record in the state court, even though</w:t>
      </w:r>
      <w:r w:rsidR="00D5423E" w:rsidRPr="00B645F5">
        <w:rPr>
          <w:rStyle w:val="s1"/>
          <w:rFonts w:asciiTheme="majorHAnsi" w:hAnsiTheme="majorHAnsi"/>
          <w:sz w:val="20"/>
          <w:szCs w:val="20"/>
        </w:rPr>
        <w:t xml:space="preserve">, as claimed by the petitioners, that </w:t>
      </w:r>
      <w:r w:rsidR="00DF385A" w:rsidRPr="00B645F5">
        <w:rPr>
          <w:rStyle w:val="s1"/>
          <w:rFonts w:asciiTheme="majorHAnsi" w:hAnsiTheme="majorHAnsi"/>
          <w:sz w:val="20"/>
          <w:szCs w:val="20"/>
        </w:rPr>
        <w:t xml:space="preserve">it was the state court that thwarted Mr. </w:t>
      </w:r>
      <w:r w:rsidR="00AC5329" w:rsidRPr="00B645F5">
        <w:rPr>
          <w:rStyle w:val="s1"/>
          <w:rFonts w:asciiTheme="majorHAnsi" w:hAnsiTheme="majorHAnsi"/>
          <w:sz w:val="20"/>
          <w:szCs w:val="20"/>
        </w:rPr>
        <w:t>Ibarra</w:t>
      </w:r>
      <w:r w:rsidR="00DF385A" w:rsidRPr="00B645F5">
        <w:rPr>
          <w:rStyle w:val="s1"/>
          <w:rFonts w:asciiTheme="majorHAnsi" w:hAnsiTheme="majorHAnsi"/>
          <w:sz w:val="20"/>
          <w:szCs w:val="20"/>
        </w:rPr>
        <w:t>’s efforts to develop his claim by denying him the time and funding necessary to prepare for and present evidence at his Atkins hearing</w:t>
      </w:r>
      <w:r w:rsidR="008E46A6" w:rsidRPr="00B645F5">
        <w:rPr>
          <w:rStyle w:val="s1"/>
          <w:rFonts w:asciiTheme="majorHAnsi" w:hAnsiTheme="majorHAnsi"/>
          <w:sz w:val="20"/>
          <w:szCs w:val="20"/>
        </w:rPr>
        <w:t>.</w:t>
      </w:r>
    </w:p>
    <w:p w14:paraId="3B41D529" w14:textId="77777777" w:rsidR="00B60BA0" w:rsidRPr="00B645F5" w:rsidRDefault="00B60BA0" w:rsidP="00EB1D1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79B4D00" w14:textId="77777777" w:rsidR="00EA5F0F" w:rsidRPr="00B645F5" w:rsidRDefault="00AF22AF" w:rsidP="003B5C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1"/>
        </w:rPr>
      </w:pPr>
      <w:r w:rsidRPr="00B645F5">
        <w:rPr>
          <w:rFonts w:asciiTheme="majorHAnsi" w:hAnsiTheme="majorHAnsi"/>
          <w:sz w:val="20"/>
          <w:szCs w:val="20"/>
        </w:rPr>
        <w:t>This</w:t>
      </w:r>
      <w:r w:rsidR="007B6B12" w:rsidRPr="00B645F5">
        <w:rPr>
          <w:rFonts w:asciiTheme="majorHAnsi" w:hAnsiTheme="majorHAnsi"/>
          <w:sz w:val="20"/>
          <w:szCs w:val="20"/>
        </w:rPr>
        <w:t>,</w:t>
      </w:r>
      <w:r w:rsidRPr="00B645F5">
        <w:rPr>
          <w:rFonts w:asciiTheme="majorHAnsi" w:hAnsiTheme="majorHAnsi"/>
          <w:sz w:val="20"/>
          <w:szCs w:val="20"/>
        </w:rPr>
        <w:t xml:space="preserve"> the petitioners claim, is in violation of Mr. </w:t>
      </w:r>
      <w:r w:rsidR="00AC5329" w:rsidRPr="00B645F5">
        <w:rPr>
          <w:rFonts w:asciiTheme="majorHAnsi" w:hAnsiTheme="majorHAnsi"/>
          <w:sz w:val="20"/>
          <w:szCs w:val="20"/>
        </w:rPr>
        <w:t>Ibarra</w:t>
      </w:r>
      <w:r w:rsidRPr="00B645F5">
        <w:rPr>
          <w:rFonts w:asciiTheme="majorHAnsi" w:hAnsiTheme="majorHAnsi"/>
          <w:sz w:val="20"/>
          <w:szCs w:val="20"/>
        </w:rPr>
        <w:t xml:space="preserve">’s fair trial </w:t>
      </w:r>
      <w:r w:rsidR="00405011" w:rsidRPr="00B645F5">
        <w:rPr>
          <w:rFonts w:asciiTheme="majorHAnsi" w:hAnsiTheme="majorHAnsi"/>
          <w:sz w:val="20"/>
          <w:szCs w:val="20"/>
        </w:rPr>
        <w:t>and due process rights</w:t>
      </w:r>
      <w:r w:rsidR="00AD17B4" w:rsidRPr="00B645F5">
        <w:rPr>
          <w:rFonts w:asciiTheme="majorHAnsi" w:hAnsiTheme="majorHAnsi"/>
          <w:sz w:val="20"/>
          <w:szCs w:val="20"/>
        </w:rPr>
        <w:t xml:space="preserve"> as someone subject to the penalty of death</w:t>
      </w:r>
      <w:r w:rsidR="00A819CD" w:rsidRPr="00B645F5">
        <w:rPr>
          <w:rFonts w:asciiTheme="majorHAnsi" w:hAnsiTheme="majorHAnsi"/>
          <w:sz w:val="20"/>
          <w:szCs w:val="20"/>
        </w:rPr>
        <w:t xml:space="preserve"> </w:t>
      </w:r>
      <w:r w:rsidR="00C1692B" w:rsidRPr="00B645F5">
        <w:rPr>
          <w:rFonts w:asciiTheme="majorHAnsi" w:hAnsiTheme="majorHAnsi"/>
          <w:sz w:val="20"/>
          <w:szCs w:val="20"/>
        </w:rPr>
        <w:t xml:space="preserve">and that the State </w:t>
      </w:r>
      <w:r w:rsidR="00116051" w:rsidRPr="00B645F5">
        <w:rPr>
          <w:rFonts w:asciiTheme="majorHAnsi" w:hAnsiTheme="majorHAnsi"/>
          <w:sz w:val="20"/>
          <w:szCs w:val="20"/>
        </w:rPr>
        <w:t xml:space="preserve">is </w:t>
      </w:r>
      <w:r w:rsidR="00116051" w:rsidRPr="00B645F5">
        <w:rPr>
          <w:rStyle w:val="s1"/>
          <w:rFonts w:asciiTheme="majorHAnsi" w:hAnsiTheme="majorHAnsi"/>
          <w:sz w:val="20"/>
          <w:szCs w:val="20"/>
        </w:rPr>
        <w:t xml:space="preserve">obligated to address a claim of mental or intellectual disability on the merits, at any time of the proceedings where there is an indication of such claim by an accused or convicted person. </w:t>
      </w:r>
      <w:r w:rsidR="00F27847" w:rsidRPr="00B645F5">
        <w:rPr>
          <w:rStyle w:val="s1"/>
          <w:rFonts w:asciiTheme="majorHAnsi" w:hAnsiTheme="majorHAnsi"/>
          <w:sz w:val="20"/>
          <w:szCs w:val="20"/>
        </w:rPr>
        <w:t xml:space="preserve">It is submitted that the State </w:t>
      </w:r>
      <w:r w:rsidR="00C1692B" w:rsidRPr="00B645F5">
        <w:rPr>
          <w:rFonts w:asciiTheme="majorHAnsi" w:hAnsiTheme="majorHAnsi"/>
          <w:sz w:val="20"/>
          <w:szCs w:val="20"/>
        </w:rPr>
        <w:t>has two main obligations</w:t>
      </w:r>
      <w:r w:rsidR="0049645D" w:rsidRPr="00B645F5">
        <w:rPr>
          <w:rFonts w:asciiTheme="majorHAnsi" w:hAnsiTheme="majorHAnsi"/>
          <w:sz w:val="20"/>
          <w:szCs w:val="20"/>
        </w:rPr>
        <w:t xml:space="preserve">, </w:t>
      </w:r>
      <w:r w:rsidR="00810550" w:rsidRPr="00B645F5">
        <w:rPr>
          <w:rFonts w:asciiTheme="majorHAnsi" w:hAnsiTheme="majorHAnsi"/>
          <w:sz w:val="20"/>
          <w:szCs w:val="20"/>
        </w:rPr>
        <w:t>based</w:t>
      </w:r>
      <w:r w:rsidR="00A76AA2" w:rsidRPr="00B645F5">
        <w:rPr>
          <w:rFonts w:asciiTheme="majorHAnsi" w:hAnsiTheme="majorHAnsi"/>
          <w:sz w:val="20"/>
          <w:szCs w:val="20"/>
        </w:rPr>
        <w:t xml:space="preserve"> on the</w:t>
      </w:r>
      <w:r w:rsidR="00DD3C9D" w:rsidRPr="00B645F5">
        <w:rPr>
          <w:rFonts w:asciiTheme="majorHAnsi" w:hAnsiTheme="majorHAnsi"/>
          <w:sz w:val="20"/>
          <w:szCs w:val="20"/>
        </w:rPr>
        <w:t xml:space="preserve"> jurisprudence of the Commissio</w:t>
      </w:r>
      <w:r w:rsidR="005C4886" w:rsidRPr="00B645F5">
        <w:rPr>
          <w:rFonts w:asciiTheme="majorHAnsi" w:hAnsiTheme="majorHAnsi"/>
          <w:sz w:val="20"/>
          <w:szCs w:val="20"/>
        </w:rPr>
        <w:t>n</w:t>
      </w:r>
      <w:r w:rsidR="0051254F" w:rsidRPr="00B645F5">
        <w:rPr>
          <w:rFonts w:asciiTheme="majorHAnsi" w:hAnsiTheme="majorHAnsi"/>
          <w:sz w:val="20"/>
          <w:szCs w:val="20"/>
        </w:rPr>
        <w:t>; the first being to</w:t>
      </w:r>
      <w:r w:rsidR="005C21AA" w:rsidRPr="00B645F5">
        <w:rPr>
          <w:rFonts w:asciiTheme="majorHAnsi" w:hAnsiTheme="majorHAnsi"/>
          <w:sz w:val="20"/>
          <w:szCs w:val="20"/>
        </w:rPr>
        <w:t xml:space="preserve"> </w:t>
      </w:r>
      <w:r w:rsidR="005C21AA" w:rsidRPr="00B645F5">
        <w:rPr>
          <w:rStyle w:val="s1"/>
          <w:rFonts w:asciiTheme="majorHAnsi" w:hAnsiTheme="majorHAnsi"/>
          <w:sz w:val="20"/>
          <w:szCs w:val="20"/>
        </w:rPr>
        <w:t>survey all records and information in its possession concerning the mental health of a person accused of a capital offense</w:t>
      </w:r>
      <w:r w:rsidR="005C4886" w:rsidRPr="00B645F5">
        <w:rPr>
          <w:rStyle w:val="s1"/>
          <w:rFonts w:asciiTheme="majorHAnsi" w:hAnsiTheme="majorHAnsi"/>
          <w:sz w:val="20"/>
          <w:szCs w:val="20"/>
        </w:rPr>
        <w:t xml:space="preserve">; and </w:t>
      </w:r>
      <w:r w:rsidR="0091474A" w:rsidRPr="00B645F5">
        <w:rPr>
          <w:rStyle w:val="s1"/>
          <w:rFonts w:asciiTheme="majorHAnsi" w:hAnsiTheme="majorHAnsi"/>
          <w:sz w:val="20"/>
          <w:szCs w:val="20"/>
        </w:rPr>
        <w:t>the second</w:t>
      </w:r>
      <w:r w:rsidR="005C4886" w:rsidRPr="00B645F5">
        <w:rPr>
          <w:rStyle w:val="s1"/>
          <w:rFonts w:asciiTheme="majorHAnsi" w:hAnsiTheme="majorHAnsi"/>
          <w:sz w:val="20"/>
          <w:szCs w:val="20"/>
        </w:rPr>
        <w:t xml:space="preserve">, </w:t>
      </w:r>
      <w:r w:rsidR="0091474A" w:rsidRPr="00B645F5">
        <w:rPr>
          <w:rStyle w:val="s1"/>
          <w:rFonts w:asciiTheme="majorHAnsi" w:hAnsiTheme="majorHAnsi"/>
          <w:sz w:val="20"/>
          <w:szCs w:val="20"/>
        </w:rPr>
        <w:t xml:space="preserve">to </w:t>
      </w:r>
      <w:r w:rsidR="005C21AA" w:rsidRPr="00B645F5">
        <w:rPr>
          <w:rStyle w:val="s1"/>
          <w:rFonts w:asciiTheme="majorHAnsi" w:hAnsiTheme="majorHAnsi"/>
          <w:sz w:val="20"/>
          <w:szCs w:val="20"/>
        </w:rPr>
        <w:t>provide any indigent person with the means necessary to have an independent mental health evaluation done in a timely manner.</w:t>
      </w:r>
    </w:p>
    <w:p w14:paraId="4BE5E14D" w14:textId="77777777" w:rsidR="00EA5F0F" w:rsidRPr="00B645F5" w:rsidRDefault="00EA5F0F" w:rsidP="00EA5F0F">
      <w:pPr>
        <w:pStyle w:val="ListParagraph"/>
        <w:rPr>
          <w:rStyle w:val="s1"/>
          <w:rFonts w:eastAsia="Arial Unicode MS"/>
          <w:color w:val="auto"/>
          <w:lang w:eastAsia="en-US"/>
        </w:rPr>
      </w:pPr>
    </w:p>
    <w:p w14:paraId="4D011AD1" w14:textId="77777777" w:rsidR="00F36552" w:rsidRPr="00B645F5" w:rsidRDefault="00E50321" w:rsidP="00DE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1"/>
          <w:rFonts w:eastAsia="Cambria"/>
          <w:color w:val="000000"/>
          <w:u w:color="000000"/>
          <w:lang w:eastAsia="es-ES"/>
        </w:rPr>
      </w:pPr>
      <w:r w:rsidRPr="00B645F5">
        <w:rPr>
          <w:rStyle w:val="s1"/>
          <w:rFonts w:asciiTheme="majorHAnsi" w:hAnsiTheme="majorHAnsi"/>
          <w:sz w:val="20"/>
          <w:szCs w:val="20"/>
        </w:rPr>
        <w:t xml:space="preserve">It is asserted that the State did not seriously attempt to dispute the overwhelming evidence of Mr. </w:t>
      </w:r>
      <w:r w:rsidR="00AC5329" w:rsidRPr="00B645F5">
        <w:rPr>
          <w:rStyle w:val="s1"/>
          <w:rFonts w:asciiTheme="majorHAnsi" w:hAnsiTheme="majorHAnsi"/>
          <w:sz w:val="20"/>
          <w:szCs w:val="20"/>
        </w:rPr>
        <w:t>Ibarra</w:t>
      </w:r>
      <w:r w:rsidRPr="00B645F5">
        <w:rPr>
          <w:rStyle w:val="s1"/>
          <w:rFonts w:asciiTheme="majorHAnsi" w:hAnsiTheme="majorHAnsi"/>
          <w:sz w:val="20"/>
          <w:szCs w:val="20"/>
        </w:rPr>
        <w:t xml:space="preserve">’s intellectual </w:t>
      </w:r>
      <w:r w:rsidR="000A7F4B" w:rsidRPr="00B645F5">
        <w:rPr>
          <w:rStyle w:val="s1"/>
          <w:rFonts w:asciiTheme="majorHAnsi" w:hAnsiTheme="majorHAnsi"/>
          <w:sz w:val="20"/>
          <w:szCs w:val="20"/>
        </w:rPr>
        <w:t>disability</w:t>
      </w:r>
      <w:r w:rsidRPr="00B645F5">
        <w:rPr>
          <w:rStyle w:val="s1"/>
          <w:rFonts w:asciiTheme="majorHAnsi" w:hAnsiTheme="majorHAnsi"/>
          <w:sz w:val="20"/>
          <w:szCs w:val="20"/>
        </w:rPr>
        <w:t xml:space="preserve">, </w:t>
      </w:r>
      <w:r w:rsidR="00834F82" w:rsidRPr="00B645F5">
        <w:rPr>
          <w:rStyle w:val="s1"/>
          <w:rFonts w:asciiTheme="majorHAnsi" w:hAnsiTheme="majorHAnsi"/>
          <w:sz w:val="20"/>
          <w:szCs w:val="20"/>
        </w:rPr>
        <w:t xml:space="preserve">and </w:t>
      </w:r>
      <w:r w:rsidRPr="00B645F5">
        <w:rPr>
          <w:rStyle w:val="s1"/>
          <w:rFonts w:asciiTheme="majorHAnsi" w:hAnsiTheme="majorHAnsi"/>
          <w:sz w:val="20"/>
          <w:szCs w:val="20"/>
        </w:rPr>
        <w:t>rel</w:t>
      </w:r>
      <w:r w:rsidR="00834F82" w:rsidRPr="00B645F5">
        <w:rPr>
          <w:rStyle w:val="s1"/>
          <w:rFonts w:asciiTheme="majorHAnsi" w:hAnsiTheme="majorHAnsi"/>
          <w:sz w:val="20"/>
          <w:szCs w:val="20"/>
        </w:rPr>
        <w:t>ied</w:t>
      </w:r>
      <w:r w:rsidRPr="00B645F5">
        <w:rPr>
          <w:rStyle w:val="s1"/>
          <w:rFonts w:asciiTheme="majorHAnsi" w:hAnsiTheme="majorHAnsi"/>
          <w:sz w:val="20"/>
          <w:szCs w:val="20"/>
        </w:rPr>
        <w:t xml:space="preserve"> on the affidavit of Dr. Stephen Mark, who evaluated Mr. </w:t>
      </w:r>
      <w:r w:rsidR="00AC5329" w:rsidRPr="00B645F5">
        <w:rPr>
          <w:rStyle w:val="s1"/>
          <w:rFonts w:asciiTheme="majorHAnsi" w:hAnsiTheme="majorHAnsi"/>
          <w:sz w:val="20"/>
          <w:szCs w:val="20"/>
        </w:rPr>
        <w:t>Ibarra</w:t>
      </w:r>
      <w:r w:rsidRPr="00B645F5">
        <w:rPr>
          <w:rStyle w:val="s1"/>
          <w:rFonts w:asciiTheme="majorHAnsi" w:hAnsiTheme="majorHAnsi"/>
          <w:sz w:val="20"/>
          <w:szCs w:val="20"/>
        </w:rPr>
        <w:t xml:space="preserve"> before </w:t>
      </w:r>
      <w:r w:rsidR="004058EF" w:rsidRPr="00B645F5">
        <w:rPr>
          <w:rStyle w:val="s1"/>
          <w:rFonts w:asciiTheme="majorHAnsi" w:hAnsiTheme="majorHAnsi"/>
          <w:sz w:val="20"/>
          <w:szCs w:val="20"/>
        </w:rPr>
        <w:t xml:space="preserve">the </w:t>
      </w:r>
      <w:r w:rsidRPr="00B645F5">
        <w:rPr>
          <w:rStyle w:val="s1"/>
          <w:rFonts w:asciiTheme="majorHAnsi" w:hAnsiTheme="majorHAnsi"/>
          <w:sz w:val="20"/>
          <w:szCs w:val="20"/>
        </w:rPr>
        <w:t>Atkins</w:t>
      </w:r>
      <w:r w:rsidR="004058EF" w:rsidRPr="00B645F5">
        <w:rPr>
          <w:rStyle w:val="s1"/>
          <w:rFonts w:asciiTheme="majorHAnsi" w:hAnsiTheme="majorHAnsi"/>
          <w:sz w:val="20"/>
          <w:szCs w:val="20"/>
        </w:rPr>
        <w:t xml:space="preserve"> decision</w:t>
      </w:r>
      <w:r w:rsidRPr="00B645F5">
        <w:rPr>
          <w:rStyle w:val="s1"/>
          <w:rFonts w:asciiTheme="majorHAnsi" w:hAnsiTheme="majorHAnsi"/>
          <w:sz w:val="20"/>
          <w:szCs w:val="20"/>
        </w:rPr>
        <w:t xml:space="preserve"> and who did not administer any tests for intellectual disability, yet who casually opined, five years later, that Mr. </w:t>
      </w:r>
      <w:r w:rsidR="00AC5329" w:rsidRPr="00B645F5">
        <w:rPr>
          <w:rStyle w:val="s1"/>
          <w:rFonts w:asciiTheme="majorHAnsi" w:hAnsiTheme="majorHAnsi"/>
          <w:sz w:val="20"/>
          <w:szCs w:val="20"/>
        </w:rPr>
        <w:t>Ibarra</w:t>
      </w:r>
      <w:r w:rsidRPr="00B645F5">
        <w:rPr>
          <w:rStyle w:val="s1"/>
          <w:rFonts w:asciiTheme="majorHAnsi" w:hAnsiTheme="majorHAnsi"/>
          <w:sz w:val="20"/>
          <w:szCs w:val="20"/>
        </w:rPr>
        <w:t xml:space="preserve"> was not intellectually disabled. </w:t>
      </w:r>
      <w:r w:rsidR="000A7F4B" w:rsidRPr="00B645F5">
        <w:rPr>
          <w:rStyle w:val="s1"/>
          <w:rFonts w:asciiTheme="majorHAnsi" w:hAnsiTheme="majorHAnsi"/>
          <w:sz w:val="20"/>
          <w:szCs w:val="20"/>
        </w:rPr>
        <w:t>The petitioners allege that, b</w:t>
      </w:r>
      <w:r w:rsidR="00A73167" w:rsidRPr="00B645F5">
        <w:rPr>
          <w:rStyle w:val="s1"/>
          <w:rFonts w:asciiTheme="majorHAnsi" w:hAnsiTheme="majorHAnsi"/>
          <w:sz w:val="20"/>
          <w:szCs w:val="20"/>
        </w:rPr>
        <w:t xml:space="preserve">y failing to give full and appropriate consideration to the evidence that Mr. </w:t>
      </w:r>
      <w:r w:rsidR="00AC5329" w:rsidRPr="00B645F5">
        <w:rPr>
          <w:rStyle w:val="s1"/>
          <w:rFonts w:asciiTheme="majorHAnsi" w:hAnsiTheme="majorHAnsi"/>
          <w:sz w:val="20"/>
          <w:szCs w:val="20"/>
        </w:rPr>
        <w:t>Ibarra</w:t>
      </w:r>
      <w:r w:rsidR="00A73167" w:rsidRPr="00B645F5">
        <w:rPr>
          <w:rStyle w:val="s1"/>
          <w:rFonts w:asciiTheme="majorHAnsi" w:hAnsiTheme="majorHAnsi"/>
          <w:sz w:val="20"/>
          <w:szCs w:val="20"/>
        </w:rPr>
        <w:t xml:space="preserve"> suffers from </w:t>
      </w:r>
      <w:proofErr w:type="spellStart"/>
      <w:r w:rsidR="00220B42" w:rsidRPr="00B645F5">
        <w:rPr>
          <w:rStyle w:val="s1"/>
          <w:rFonts w:asciiTheme="majorHAnsi" w:hAnsiTheme="majorHAnsi"/>
          <w:sz w:val="20"/>
          <w:szCs w:val="20"/>
        </w:rPr>
        <w:t>Post Traumatic</w:t>
      </w:r>
      <w:proofErr w:type="spellEnd"/>
      <w:r w:rsidR="00220B42" w:rsidRPr="00B645F5">
        <w:rPr>
          <w:rStyle w:val="s1"/>
          <w:rFonts w:asciiTheme="majorHAnsi" w:hAnsiTheme="majorHAnsi"/>
          <w:sz w:val="20"/>
          <w:szCs w:val="20"/>
        </w:rPr>
        <w:t xml:space="preserve"> Stress Disorder (PTSD)</w:t>
      </w:r>
      <w:r w:rsidR="00A73167" w:rsidRPr="00B645F5">
        <w:rPr>
          <w:rStyle w:val="s1"/>
          <w:rFonts w:asciiTheme="majorHAnsi" w:hAnsiTheme="majorHAnsi"/>
          <w:sz w:val="20"/>
          <w:szCs w:val="20"/>
        </w:rPr>
        <w:t xml:space="preserve">, the United States has violated not only its substantive obligation to refrain from executing persons with psychosocial disabilities, but also its obligation to provide adequate procedures to those who may qualify for protection and to address </w:t>
      </w:r>
      <w:r w:rsidR="000A7F4B" w:rsidRPr="00B645F5">
        <w:rPr>
          <w:rStyle w:val="s1"/>
          <w:rFonts w:asciiTheme="majorHAnsi" w:hAnsiTheme="majorHAnsi"/>
          <w:sz w:val="20"/>
          <w:szCs w:val="20"/>
        </w:rPr>
        <w:t xml:space="preserve">the </w:t>
      </w:r>
      <w:r w:rsidR="00A73167" w:rsidRPr="00B645F5">
        <w:rPr>
          <w:rStyle w:val="s1"/>
          <w:rFonts w:asciiTheme="majorHAnsi" w:hAnsiTheme="majorHAnsi"/>
          <w:sz w:val="20"/>
          <w:szCs w:val="20"/>
        </w:rPr>
        <w:t xml:space="preserve">claim on the merits at any time of the proceedings. </w:t>
      </w:r>
    </w:p>
    <w:p w14:paraId="3E6EA795" w14:textId="77777777" w:rsidR="00DE400E" w:rsidRPr="00B645F5" w:rsidRDefault="00DE400E" w:rsidP="00F3655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361FC8EF" w14:textId="77777777" w:rsidR="00C74F74" w:rsidRPr="00B645F5" w:rsidRDefault="0059641E" w:rsidP="00FA4C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The petitioners emphasize that Mr. </w:t>
      </w:r>
      <w:r w:rsidR="00AC5329" w:rsidRPr="00B645F5">
        <w:rPr>
          <w:rFonts w:asciiTheme="majorHAnsi" w:hAnsiTheme="majorHAnsi"/>
          <w:sz w:val="20"/>
          <w:szCs w:val="20"/>
        </w:rPr>
        <w:t>Ibarra</w:t>
      </w:r>
      <w:r w:rsidRPr="00B645F5">
        <w:rPr>
          <w:rFonts w:asciiTheme="majorHAnsi" w:hAnsiTheme="majorHAnsi"/>
          <w:sz w:val="20"/>
          <w:szCs w:val="20"/>
        </w:rPr>
        <w:t xml:space="preserve"> </w:t>
      </w:r>
      <w:r w:rsidR="006348A9" w:rsidRPr="00B645F5">
        <w:rPr>
          <w:rFonts w:asciiTheme="majorHAnsi" w:hAnsiTheme="majorHAnsi"/>
          <w:sz w:val="20"/>
          <w:szCs w:val="20"/>
        </w:rPr>
        <w:t xml:space="preserve">remains under a sentence of death despite </w:t>
      </w:r>
      <w:r w:rsidR="006348A9" w:rsidRPr="00B645F5">
        <w:rPr>
          <w:rStyle w:val="s1"/>
          <w:rFonts w:asciiTheme="majorHAnsi" w:hAnsiTheme="majorHAnsi"/>
          <w:sz w:val="20"/>
          <w:szCs w:val="20"/>
        </w:rPr>
        <w:t>unequivocal evidence that he satisfies the clinical criteria for an intellectual disability diagnosis.</w:t>
      </w:r>
      <w:r w:rsidR="006348A9" w:rsidRPr="00B645F5">
        <w:rPr>
          <w:rFonts w:asciiTheme="majorHAnsi" w:hAnsiTheme="majorHAnsi"/>
          <w:sz w:val="20"/>
          <w:szCs w:val="20"/>
        </w:rPr>
        <w:t xml:space="preserve"> </w:t>
      </w:r>
      <w:r w:rsidR="001A6E95" w:rsidRPr="00B645F5">
        <w:rPr>
          <w:rFonts w:asciiTheme="majorHAnsi" w:hAnsiTheme="majorHAnsi"/>
          <w:sz w:val="20"/>
          <w:szCs w:val="20"/>
        </w:rPr>
        <w:t xml:space="preserve">The petitioners claim that </w:t>
      </w:r>
      <w:r w:rsidR="00C27711" w:rsidRPr="00B645F5">
        <w:rPr>
          <w:rStyle w:val="s1"/>
          <w:rFonts w:asciiTheme="majorHAnsi" w:hAnsiTheme="majorHAnsi"/>
          <w:sz w:val="20"/>
          <w:szCs w:val="20"/>
        </w:rPr>
        <w:t xml:space="preserve">Mr. </w:t>
      </w:r>
      <w:r w:rsidR="00AC5329" w:rsidRPr="00B645F5">
        <w:rPr>
          <w:rStyle w:val="s1"/>
          <w:rFonts w:asciiTheme="majorHAnsi" w:hAnsiTheme="majorHAnsi"/>
          <w:sz w:val="20"/>
          <w:szCs w:val="20"/>
        </w:rPr>
        <w:t>Ibarra</w:t>
      </w:r>
      <w:r w:rsidR="00C27711" w:rsidRPr="00B645F5">
        <w:rPr>
          <w:rStyle w:val="s1"/>
          <w:rFonts w:asciiTheme="majorHAnsi" w:hAnsiTheme="majorHAnsi"/>
          <w:sz w:val="20"/>
          <w:szCs w:val="20"/>
        </w:rPr>
        <w:t xml:space="preserve">’s </w:t>
      </w:r>
      <w:r w:rsidR="000A7F4B" w:rsidRPr="00B645F5">
        <w:rPr>
          <w:rStyle w:val="s1"/>
          <w:rFonts w:asciiTheme="majorHAnsi" w:hAnsiTheme="majorHAnsi"/>
          <w:sz w:val="20"/>
          <w:szCs w:val="20"/>
        </w:rPr>
        <w:t>e</w:t>
      </w:r>
      <w:r w:rsidR="00C27711" w:rsidRPr="00B645F5">
        <w:rPr>
          <w:rStyle w:val="s1"/>
          <w:rFonts w:asciiTheme="majorHAnsi" w:hAnsiTheme="majorHAnsi"/>
          <w:sz w:val="20"/>
          <w:szCs w:val="20"/>
        </w:rPr>
        <w:t xml:space="preserve">xecution </w:t>
      </w:r>
      <w:r w:rsidR="00FA4C0D" w:rsidRPr="00B645F5">
        <w:rPr>
          <w:rStyle w:val="s1"/>
          <w:rFonts w:asciiTheme="majorHAnsi" w:hAnsiTheme="majorHAnsi"/>
          <w:sz w:val="20"/>
          <w:szCs w:val="20"/>
        </w:rPr>
        <w:t>w</w:t>
      </w:r>
      <w:r w:rsidR="00C27711" w:rsidRPr="00B645F5">
        <w:rPr>
          <w:rStyle w:val="s1"/>
          <w:rFonts w:asciiTheme="majorHAnsi" w:hAnsiTheme="majorHAnsi"/>
          <w:sz w:val="20"/>
          <w:szCs w:val="20"/>
        </w:rPr>
        <w:t xml:space="preserve">ould </w:t>
      </w:r>
      <w:r w:rsidR="00FA4C0D" w:rsidRPr="00B645F5">
        <w:rPr>
          <w:rStyle w:val="s1"/>
          <w:rFonts w:asciiTheme="majorHAnsi" w:hAnsiTheme="majorHAnsi"/>
          <w:sz w:val="20"/>
          <w:szCs w:val="20"/>
        </w:rPr>
        <w:t>v</w:t>
      </w:r>
      <w:r w:rsidR="00C27711" w:rsidRPr="00B645F5">
        <w:rPr>
          <w:rStyle w:val="s1"/>
          <w:rFonts w:asciiTheme="majorHAnsi" w:hAnsiTheme="majorHAnsi"/>
          <w:sz w:val="20"/>
          <w:szCs w:val="20"/>
        </w:rPr>
        <w:t xml:space="preserve">iolate the </w:t>
      </w:r>
      <w:r w:rsidR="000A7F4B" w:rsidRPr="00B645F5">
        <w:rPr>
          <w:rStyle w:val="s1"/>
          <w:rFonts w:asciiTheme="majorHAnsi" w:hAnsiTheme="majorHAnsi"/>
          <w:sz w:val="20"/>
          <w:szCs w:val="20"/>
        </w:rPr>
        <w:t>p</w:t>
      </w:r>
      <w:r w:rsidR="00C27711" w:rsidRPr="00B645F5">
        <w:rPr>
          <w:rStyle w:val="s1"/>
          <w:rFonts w:asciiTheme="majorHAnsi" w:hAnsiTheme="majorHAnsi"/>
          <w:sz w:val="20"/>
          <w:szCs w:val="20"/>
        </w:rPr>
        <w:t xml:space="preserve">rohibition </w:t>
      </w:r>
      <w:r w:rsidR="000A7F4B" w:rsidRPr="00B645F5">
        <w:rPr>
          <w:rStyle w:val="s1"/>
          <w:rFonts w:asciiTheme="majorHAnsi" w:hAnsiTheme="majorHAnsi"/>
          <w:sz w:val="20"/>
          <w:szCs w:val="20"/>
        </w:rPr>
        <w:t>against executing persons with p</w:t>
      </w:r>
      <w:r w:rsidR="00C27711" w:rsidRPr="00B645F5">
        <w:rPr>
          <w:rStyle w:val="s1"/>
          <w:rFonts w:asciiTheme="majorHAnsi" w:hAnsiTheme="majorHAnsi"/>
          <w:sz w:val="20"/>
          <w:szCs w:val="20"/>
        </w:rPr>
        <w:t xml:space="preserve">sychosocial </w:t>
      </w:r>
      <w:r w:rsidR="000A7F4B" w:rsidRPr="00B645F5">
        <w:rPr>
          <w:rStyle w:val="s1"/>
          <w:rFonts w:asciiTheme="majorHAnsi" w:hAnsiTheme="majorHAnsi"/>
          <w:sz w:val="20"/>
          <w:szCs w:val="20"/>
        </w:rPr>
        <w:t>d</w:t>
      </w:r>
      <w:r w:rsidR="00C27711" w:rsidRPr="00B645F5">
        <w:rPr>
          <w:rStyle w:val="s1"/>
          <w:rFonts w:asciiTheme="majorHAnsi" w:hAnsiTheme="majorHAnsi"/>
          <w:sz w:val="20"/>
          <w:szCs w:val="20"/>
        </w:rPr>
        <w:t>isabilities</w:t>
      </w:r>
      <w:r w:rsidR="00FA4C0D" w:rsidRPr="00B645F5">
        <w:rPr>
          <w:rStyle w:val="s1"/>
          <w:rFonts w:asciiTheme="majorHAnsi" w:hAnsiTheme="majorHAnsi"/>
          <w:sz w:val="20"/>
          <w:szCs w:val="20"/>
        </w:rPr>
        <w:t xml:space="preserve">, </w:t>
      </w:r>
      <w:r w:rsidR="000A7F4B" w:rsidRPr="00B645F5">
        <w:rPr>
          <w:rStyle w:val="s1"/>
          <w:rFonts w:asciiTheme="majorHAnsi" w:hAnsiTheme="majorHAnsi"/>
          <w:sz w:val="20"/>
          <w:szCs w:val="20"/>
        </w:rPr>
        <w:t xml:space="preserve">contemplated under the American Declaration </w:t>
      </w:r>
      <w:r w:rsidR="00FA4C0D" w:rsidRPr="00B645F5">
        <w:rPr>
          <w:rStyle w:val="s1"/>
          <w:rFonts w:asciiTheme="majorHAnsi" w:hAnsiTheme="majorHAnsi"/>
          <w:sz w:val="20"/>
          <w:szCs w:val="20"/>
        </w:rPr>
        <w:t>and under</w:t>
      </w:r>
      <w:r w:rsidR="00C27711" w:rsidRPr="00B645F5">
        <w:rPr>
          <w:rStyle w:val="s1"/>
          <w:rFonts w:asciiTheme="majorHAnsi" w:hAnsiTheme="majorHAnsi"/>
          <w:sz w:val="20"/>
          <w:szCs w:val="20"/>
        </w:rPr>
        <w:t xml:space="preserve"> principles of customary international law.</w:t>
      </w:r>
      <w:r w:rsidR="00F36552" w:rsidRPr="00B645F5">
        <w:rPr>
          <w:rStyle w:val="s1"/>
          <w:rFonts w:asciiTheme="majorHAnsi" w:hAnsiTheme="majorHAnsi"/>
          <w:sz w:val="20"/>
          <w:szCs w:val="20"/>
        </w:rPr>
        <w:t xml:space="preserve"> </w:t>
      </w:r>
      <w:r w:rsidR="00DE400E" w:rsidRPr="00B645F5">
        <w:rPr>
          <w:rFonts w:asciiTheme="majorHAnsi" w:hAnsiTheme="majorHAnsi"/>
          <w:sz w:val="20"/>
          <w:szCs w:val="20"/>
        </w:rPr>
        <w:t>It is submitted that ultimately, e</w:t>
      </w:r>
      <w:r w:rsidR="00C74F74" w:rsidRPr="00B645F5">
        <w:rPr>
          <w:rFonts w:asciiTheme="majorHAnsi" w:hAnsiTheme="majorHAnsi"/>
          <w:sz w:val="20"/>
          <w:szCs w:val="20"/>
        </w:rPr>
        <w:t>xecuting him would thus constitute a denial of his right to life, to an impartial hearing and to protection from cruel, infamous and unusual punishment, in violation of Articles I</w:t>
      </w:r>
      <w:r w:rsidR="00EA5F0F" w:rsidRPr="00B645F5">
        <w:rPr>
          <w:rFonts w:asciiTheme="majorHAnsi" w:hAnsiTheme="majorHAnsi"/>
          <w:sz w:val="20"/>
          <w:szCs w:val="20"/>
        </w:rPr>
        <w:t xml:space="preserve">, XVIII </w:t>
      </w:r>
      <w:r w:rsidR="00C74F74" w:rsidRPr="00B645F5">
        <w:rPr>
          <w:rFonts w:asciiTheme="majorHAnsi" w:hAnsiTheme="majorHAnsi"/>
          <w:sz w:val="20"/>
          <w:szCs w:val="20"/>
        </w:rPr>
        <w:t>and XXVI of the American Declaration.</w:t>
      </w:r>
    </w:p>
    <w:p w14:paraId="7C6C4F70" w14:textId="77777777" w:rsidR="001854A6" w:rsidRPr="00B645F5" w:rsidRDefault="001854A6" w:rsidP="001854A6">
      <w:pPr>
        <w:pStyle w:val="ListParagraph"/>
        <w:rPr>
          <w:rFonts w:asciiTheme="majorHAnsi" w:hAnsiTheme="majorHAnsi"/>
          <w:sz w:val="20"/>
          <w:szCs w:val="20"/>
        </w:rPr>
      </w:pPr>
    </w:p>
    <w:p w14:paraId="62307AFD" w14:textId="77777777" w:rsidR="00C71E81" w:rsidRPr="00B645F5" w:rsidRDefault="00A4570E" w:rsidP="003924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 petitioners claim that</w:t>
      </w:r>
      <w:r w:rsidR="00C74F74" w:rsidRPr="00B645F5">
        <w:rPr>
          <w:rFonts w:asciiTheme="majorHAnsi" w:hAnsiTheme="majorHAnsi"/>
          <w:sz w:val="20"/>
          <w:szCs w:val="20"/>
        </w:rPr>
        <w:t xml:space="preserve"> the trial and post-conviction attorneys appointed by the state of Texas to represent Mr. </w:t>
      </w:r>
      <w:r w:rsidR="00AC5329" w:rsidRPr="00B645F5">
        <w:rPr>
          <w:rFonts w:asciiTheme="majorHAnsi" w:hAnsiTheme="majorHAnsi"/>
          <w:sz w:val="20"/>
          <w:szCs w:val="20"/>
        </w:rPr>
        <w:t>Ibarra</w:t>
      </w:r>
      <w:r w:rsidR="00C74F74" w:rsidRPr="00B645F5">
        <w:rPr>
          <w:rFonts w:asciiTheme="majorHAnsi" w:hAnsiTheme="majorHAnsi"/>
          <w:sz w:val="20"/>
          <w:szCs w:val="20"/>
        </w:rPr>
        <w:t xml:space="preserve"> were inexcusably negligent in failing to conduct an adequate investigation</w:t>
      </w:r>
      <w:r w:rsidR="00313AEE" w:rsidRPr="00B645F5">
        <w:rPr>
          <w:rFonts w:asciiTheme="majorHAnsi" w:hAnsiTheme="majorHAnsi"/>
          <w:sz w:val="20"/>
          <w:szCs w:val="20"/>
        </w:rPr>
        <w:t xml:space="preserve"> of Mr. </w:t>
      </w:r>
      <w:r w:rsidR="00AC5329" w:rsidRPr="00B645F5">
        <w:rPr>
          <w:rFonts w:asciiTheme="majorHAnsi" w:hAnsiTheme="majorHAnsi"/>
          <w:sz w:val="20"/>
          <w:szCs w:val="20"/>
        </w:rPr>
        <w:t>Ibarra</w:t>
      </w:r>
      <w:r w:rsidR="00313AEE" w:rsidRPr="00B645F5">
        <w:rPr>
          <w:rFonts w:asciiTheme="majorHAnsi" w:hAnsiTheme="majorHAnsi"/>
          <w:sz w:val="20"/>
          <w:szCs w:val="20"/>
        </w:rPr>
        <w:t>’s life</w:t>
      </w:r>
      <w:r w:rsidR="00C74F74" w:rsidRPr="00B645F5">
        <w:rPr>
          <w:rFonts w:asciiTheme="majorHAnsi" w:hAnsiTheme="majorHAnsi"/>
          <w:sz w:val="20"/>
          <w:szCs w:val="20"/>
        </w:rPr>
        <w:t xml:space="preserve"> and to present mitigatin</w:t>
      </w:r>
      <w:r w:rsidR="000D6E2A" w:rsidRPr="00B645F5">
        <w:rPr>
          <w:rFonts w:asciiTheme="majorHAnsi" w:hAnsiTheme="majorHAnsi"/>
          <w:sz w:val="20"/>
          <w:szCs w:val="20"/>
        </w:rPr>
        <w:t>g</w:t>
      </w:r>
      <w:r w:rsidR="00C74F74" w:rsidRPr="00B645F5">
        <w:rPr>
          <w:rFonts w:asciiTheme="majorHAnsi" w:hAnsiTheme="majorHAnsi"/>
          <w:sz w:val="20"/>
          <w:szCs w:val="20"/>
        </w:rPr>
        <w:t xml:space="preserve"> evidence,</w:t>
      </w:r>
      <w:r w:rsidR="000D6E2A" w:rsidRPr="00B645F5">
        <w:rPr>
          <w:rFonts w:asciiTheme="majorHAnsi" w:hAnsiTheme="majorHAnsi"/>
          <w:sz w:val="20"/>
          <w:szCs w:val="20"/>
        </w:rPr>
        <w:t xml:space="preserve"> such as that on mental health,</w:t>
      </w:r>
      <w:r w:rsidR="00C74F74" w:rsidRPr="00B645F5">
        <w:rPr>
          <w:rFonts w:asciiTheme="majorHAnsi" w:hAnsiTheme="majorHAnsi"/>
          <w:sz w:val="20"/>
          <w:szCs w:val="20"/>
        </w:rPr>
        <w:t xml:space="preserve"> giving rise to violations of Articles XVIII and XXVI of the American Declaration.</w:t>
      </w:r>
      <w:r w:rsidR="00855923" w:rsidRPr="00B645F5">
        <w:rPr>
          <w:rFonts w:asciiTheme="majorHAnsi" w:hAnsiTheme="majorHAnsi"/>
          <w:sz w:val="20"/>
          <w:szCs w:val="20"/>
        </w:rPr>
        <w:t xml:space="preserve"> </w:t>
      </w:r>
      <w:r w:rsidR="00536397" w:rsidRPr="00B645F5">
        <w:rPr>
          <w:rFonts w:asciiTheme="majorHAnsi" w:hAnsiTheme="majorHAnsi"/>
          <w:sz w:val="20"/>
          <w:szCs w:val="20"/>
        </w:rPr>
        <w:t xml:space="preserve">Trial counsel for Mr. </w:t>
      </w:r>
      <w:r w:rsidR="00AC5329" w:rsidRPr="00B645F5">
        <w:rPr>
          <w:rFonts w:asciiTheme="majorHAnsi" w:hAnsiTheme="majorHAnsi"/>
          <w:sz w:val="20"/>
          <w:szCs w:val="20"/>
        </w:rPr>
        <w:t>Ibarra</w:t>
      </w:r>
      <w:r w:rsidR="00536397" w:rsidRPr="00B645F5">
        <w:rPr>
          <w:rFonts w:asciiTheme="majorHAnsi" w:hAnsiTheme="majorHAnsi"/>
          <w:sz w:val="20"/>
          <w:szCs w:val="20"/>
        </w:rPr>
        <w:t xml:space="preserve"> never hired a mitigation investigator</w:t>
      </w:r>
      <w:r w:rsidR="00CE49B5" w:rsidRPr="00B645F5">
        <w:rPr>
          <w:rFonts w:asciiTheme="majorHAnsi" w:hAnsiTheme="majorHAnsi"/>
          <w:sz w:val="20"/>
          <w:szCs w:val="20"/>
        </w:rPr>
        <w:t>,</w:t>
      </w:r>
      <w:r w:rsidR="00536397" w:rsidRPr="00B645F5">
        <w:rPr>
          <w:rFonts w:asciiTheme="majorHAnsi" w:hAnsiTheme="majorHAnsi"/>
          <w:sz w:val="20"/>
          <w:szCs w:val="20"/>
        </w:rPr>
        <w:t xml:space="preserve"> never sought the assistance of the Mexican consulate in preparing a mitigation investigation into his childhood, or his medical, educational, work, or family histories in Mexico.</w:t>
      </w:r>
      <w:r w:rsidR="00C71E81" w:rsidRPr="00B645F5">
        <w:rPr>
          <w:rFonts w:asciiTheme="majorHAnsi" w:hAnsiTheme="majorHAnsi"/>
          <w:sz w:val="20"/>
          <w:szCs w:val="20"/>
        </w:rPr>
        <w:t xml:space="preserve"> </w:t>
      </w:r>
    </w:p>
    <w:p w14:paraId="78EB2D20" w14:textId="77777777" w:rsidR="00C71E81" w:rsidRPr="00B645F5" w:rsidRDefault="00C71E81" w:rsidP="00C71E81">
      <w:pPr>
        <w:pStyle w:val="ListParagraph"/>
        <w:rPr>
          <w:rFonts w:asciiTheme="majorHAnsi" w:hAnsiTheme="majorHAnsi"/>
          <w:sz w:val="20"/>
          <w:szCs w:val="20"/>
        </w:rPr>
      </w:pPr>
    </w:p>
    <w:p w14:paraId="712F1012" w14:textId="77777777" w:rsidR="003924B2" w:rsidRPr="00B645F5" w:rsidRDefault="00855923" w:rsidP="003924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Specifically</w:t>
      </w:r>
      <w:r w:rsidR="00FD1DFC" w:rsidRPr="00B645F5">
        <w:rPr>
          <w:rFonts w:asciiTheme="majorHAnsi" w:hAnsiTheme="majorHAnsi"/>
          <w:sz w:val="20"/>
          <w:szCs w:val="20"/>
        </w:rPr>
        <w:t>, i</w:t>
      </w:r>
      <w:r w:rsidRPr="00B645F5">
        <w:rPr>
          <w:rFonts w:asciiTheme="majorHAnsi" w:hAnsiTheme="majorHAnsi"/>
          <w:sz w:val="20"/>
          <w:szCs w:val="20"/>
        </w:rPr>
        <w:t>t is alleged that</w:t>
      </w:r>
      <w:r w:rsidR="00CE49B5" w:rsidRPr="00B645F5">
        <w:rPr>
          <w:rFonts w:asciiTheme="majorHAnsi" w:hAnsiTheme="majorHAnsi"/>
          <w:sz w:val="20"/>
          <w:szCs w:val="20"/>
        </w:rPr>
        <w:t>,</w:t>
      </w:r>
      <w:r w:rsidRPr="00B645F5">
        <w:rPr>
          <w:rFonts w:asciiTheme="majorHAnsi" w:hAnsiTheme="majorHAnsi"/>
          <w:sz w:val="20"/>
          <w:szCs w:val="20"/>
        </w:rPr>
        <w:t xml:space="preserve"> at</w:t>
      </w:r>
      <w:r w:rsidR="00F10ECC" w:rsidRPr="00B645F5">
        <w:rPr>
          <w:rFonts w:asciiTheme="majorHAnsi" w:hAnsiTheme="majorHAnsi"/>
          <w:sz w:val="20"/>
          <w:szCs w:val="20"/>
        </w:rPr>
        <w:t xml:space="preserve"> the penalty phase of the trial, the defense</w:t>
      </w:r>
      <w:r w:rsidR="00717A1B" w:rsidRPr="00B645F5">
        <w:rPr>
          <w:rFonts w:asciiTheme="majorHAnsi" w:hAnsiTheme="majorHAnsi"/>
          <w:sz w:val="20"/>
          <w:szCs w:val="20"/>
        </w:rPr>
        <w:t xml:space="preserve"> counsel</w:t>
      </w:r>
      <w:r w:rsidR="00F10ECC" w:rsidRPr="00B645F5">
        <w:rPr>
          <w:rFonts w:asciiTheme="majorHAnsi" w:hAnsiTheme="majorHAnsi"/>
          <w:sz w:val="20"/>
          <w:szCs w:val="20"/>
        </w:rPr>
        <w:t xml:space="preserve"> presented virtually none of the readily available mitigating evidence that supported a life sentence. </w:t>
      </w:r>
      <w:r w:rsidR="003924B2" w:rsidRPr="00B645F5">
        <w:rPr>
          <w:rFonts w:asciiTheme="majorHAnsi" w:hAnsiTheme="majorHAnsi"/>
          <w:sz w:val="20"/>
          <w:szCs w:val="20"/>
        </w:rPr>
        <w:t xml:space="preserve">Trial counsel did not seek specific funds for </w:t>
      </w:r>
      <w:r w:rsidR="001D73F0" w:rsidRPr="00B645F5">
        <w:rPr>
          <w:rFonts w:asciiTheme="majorHAnsi" w:hAnsiTheme="majorHAnsi"/>
          <w:sz w:val="20"/>
          <w:szCs w:val="20"/>
        </w:rPr>
        <w:t xml:space="preserve">a </w:t>
      </w:r>
      <w:r w:rsidR="003924B2" w:rsidRPr="00B645F5">
        <w:rPr>
          <w:rFonts w:asciiTheme="majorHAnsi" w:hAnsiTheme="majorHAnsi"/>
          <w:sz w:val="20"/>
          <w:szCs w:val="20"/>
        </w:rPr>
        <w:t xml:space="preserve">penalty phase investigation until August 27, 1997, eleven days before trial, </w:t>
      </w:r>
      <w:r w:rsidR="006C7381" w:rsidRPr="00B645F5">
        <w:rPr>
          <w:rFonts w:asciiTheme="majorHAnsi" w:hAnsiTheme="majorHAnsi"/>
          <w:sz w:val="20"/>
          <w:szCs w:val="20"/>
        </w:rPr>
        <w:t xml:space="preserve">which was </w:t>
      </w:r>
      <w:r w:rsidR="003924B2" w:rsidRPr="00B645F5">
        <w:rPr>
          <w:rFonts w:asciiTheme="majorHAnsi" w:hAnsiTheme="majorHAnsi"/>
          <w:sz w:val="20"/>
          <w:szCs w:val="20"/>
        </w:rPr>
        <w:t xml:space="preserve">when counsel requested and obtained funding for a mental health evaluation. </w:t>
      </w:r>
      <w:r w:rsidR="0068115C" w:rsidRPr="00B645F5">
        <w:rPr>
          <w:rFonts w:asciiTheme="majorHAnsi" w:hAnsiTheme="majorHAnsi"/>
          <w:sz w:val="20"/>
          <w:szCs w:val="20"/>
        </w:rPr>
        <w:t>The appointed c</w:t>
      </w:r>
      <w:r w:rsidR="003924B2" w:rsidRPr="00B645F5">
        <w:rPr>
          <w:rFonts w:asciiTheme="majorHAnsi" w:hAnsiTheme="majorHAnsi"/>
          <w:sz w:val="20"/>
          <w:szCs w:val="20"/>
        </w:rPr>
        <w:t xml:space="preserve">ounsel retained </w:t>
      </w:r>
      <w:r w:rsidR="0068115C" w:rsidRPr="00B645F5">
        <w:rPr>
          <w:rFonts w:asciiTheme="majorHAnsi" w:hAnsiTheme="majorHAnsi"/>
          <w:sz w:val="20"/>
          <w:szCs w:val="20"/>
        </w:rPr>
        <w:t xml:space="preserve">a mental health </w:t>
      </w:r>
      <w:r w:rsidR="00760F2A" w:rsidRPr="00B645F5">
        <w:rPr>
          <w:rFonts w:asciiTheme="majorHAnsi" w:hAnsiTheme="majorHAnsi"/>
          <w:sz w:val="20"/>
          <w:szCs w:val="20"/>
        </w:rPr>
        <w:t>expert, Dr</w:t>
      </w:r>
      <w:r w:rsidR="003924B2" w:rsidRPr="00B645F5">
        <w:rPr>
          <w:rFonts w:asciiTheme="majorHAnsi" w:hAnsiTheme="majorHAnsi"/>
          <w:sz w:val="20"/>
          <w:szCs w:val="20"/>
        </w:rPr>
        <w:t xml:space="preserve">. Mark, who met with Mr. </w:t>
      </w:r>
      <w:r w:rsidR="00AC5329" w:rsidRPr="00B645F5">
        <w:rPr>
          <w:rFonts w:asciiTheme="majorHAnsi" w:hAnsiTheme="majorHAnsi"/>
          <w:sz w:val="20"/>
          <w:szCs w:val="20"/>
        </w:rPr>
        <w:t>Ibarra</w:t>
      </w:r>
      <w:r w:rsidR="003924B2" w:rsidRPr="00B645F5">
        <w:rPr>
          <w:rFonts w:asciiTheme="majorHAnsi" w:hAnsiTheme="majorHAnsi"/>
          <w:sz w:val="20"/>
          <w:szCs w:val="20"/>
        </w:rPr>
        <w:t xml:space="preserve"> for just over an hour. </w:t>
      </w:r>
      <w:r w:rsidR="002F319B" w:rsidRPr="00B645F5">
        <w:rPr>
          <w:rFonts w:asciiTheme="majorHAnsi" w:hAnsiTheme="majorHAnsi"/>
          <w:sz w:val="20"/>
          <w:szCs w:val="20"/>
        </w:rPr>
        <w:t>It is submitted that counsel pursued no further investigations</w:t>
      </w:r>
      <w:r w:rsidR="008541F0" w:rsidRPr="00B645F5">
        <w:rPr>
          <w:rFonts w:asciiTheme="majorHAnsi" w:hAnsiTheme="majorHAnsi"/>
          <w:sz w:val="20"/>
          <w:szCs w:val="20"/>
        </w:rPr>
        <w:t xml:space="preserve"> even after</w:t>
      </w:r>
      <w:r w:rsidR="002F319B" w:rsidRPr="00B645F5">
        <w:rPr>
          <w:rFonts w:asciiTheme="majorHAnsi" w:hAnsiTheme="majorHAnsi"/>
          <w:sz w:val="20"/>
          <w:szCs w:val="20"/>
        </w:rPr>
        <w:t xml:space="preserve"> </w:t>
      </w:r>
      <w:r w:rsidR="003924B2" w:rsidRPr="00B645F5">
        <w:rPr>
          <w:rFonts w:asciiTheme="majorHAnsi" w:hAnsiTheme="majorHAnsi"/>
          <w:sz w:val="20"/>
          <w:szCs w:val="20"/>
        </w:rPr>
        <w:t>Dr. Mark</w:t>
      </w:r>
      <w:r w:rsidR="00760F2A" w:rsidRPr="00B645F5">
        <w:rPr>
          <w:rFonts w:asciiTheme="majorHAnsi" w:hAnsiTheme="majorHAnsi"/>
          <w:sz w:val="20"/>
          <w:szCs w:val="20"/>
        </w:rPr>
        <w:t xml:space="preserve"> </w:t>
      </w:r>
      <w:r w:rsidR="003924B2" w:rsidRPr="00B645F5">
        <w:rPr>
          <w:rFonts w:asciiTheme="majorHAnsi" w:hAnsiTheme="majorHAnsi"/>
          <w:sz w:val="20"/>
          <w:szCs w:val="20"/>
        </w:rPr>
        <w:t>report</w:t>
      </w:r>
      <w:r w:rsidR="00760F2A" w:rsidRPr="00B645F5">
        <w:rPr>
          <w:rFonts w:asciiTheme="majorHAnsi" w:hAnsiTheme="majorHAnsi"/>
          <w:sz w:val="20"/>
          <w:szCs w:val="20"/>
        </w:rPr>
        <w:t>ed</w:t>
      </w:r>
      <w:r w:rsidR="003924B2" w:rsidRPr="00B645F5">
        <w:rPr>
          <w:rFonts w:asciiTheme="majorHAnsi" w:hAnsiTheme="majorHAnsi"/>
          <w:sz w:val="20"/>
          <w:szCs w:val="20"/>
        </w:rPr>
        <w:t xml:space="preserve"> that Mr. </w:t>
      </w:r>
      <w:r w:rsidR="00AC5329" w:rsidRPr="00B645F5">
        <w:rPr>
          <w:rFonts w:asciiTheme="majorHAnsi" w:hAnsiTheme="majorHAnsi"/>
          <w:sz w:val="20"/>
          <w:szCs w:val="20"/>
        </w:rPr>
        <w:t>Ibarra</w:t>
      </w:r>
      <w:r w:rsidR="003924B2" w:rsidRPr="00B645F5">
        <w:rPr>
          <w:rFonts w:asciiTheme="majorHAnsi" w:hAnsiTheme="majorHAnsi"/>
          <w:sz w:val="20"/>
          <w:szCs w:val="20"/>
        </w:rPr>
        <w:t xml:space="preserve"> had a difficult time learning as a child, that he had an impoverished youth in the country in Mexico, and that he had prior alcohol problems</w:t>
      </w:r>
      <w:r w:rsidR="008541F0" w:rsidRPr="00B645F5">
        <w:rPr>
          <w:rFonts w:asciiTheme="majorHAnsi" w:hAnsiTheme="majorHAnsi"/>
          <w:sz w:val="20"/>
          <w:szCs w:val="20"/>
        </w:rPr>
        <w:t>.</w:t>
      </w:r>
    </w:p>
    <w:p w14:paraId="35886EA9" w14:textId="77777777" w:rsidR="003924B2" w:rsidRPr="00B645F5" w:rsidRDefault="003924B2" w:rsidP="003924B2">
      <w:pPr>
        <w:pStyle w:val="ListParagraph"/>
        <w:rPr>
          <w:rFonts w:asciiTheme="majorHAnsi" w:hAnsiTheme="majorHAnsi"/>
          <w:sz w:val="20"/>
          <w:szCs w:val="20"/>
        </w:rPr>
      </w:pPr>
    </w:p>
    <w:p w14:paraId="4E0A276E" w14:textId="77777777" w:rsidR="004376A4" w:rsidRPr="00B645F5" w:rsidRDefault="0017663D" w:rsidP="00C418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lastRenderedPageBreak/>
        <w:t>It is presented that t</w:t>
      </w:r>
      <w:r w:rsidR="00F207F1" w:rsidRPr="00B645F5">
        <w:rPr>
          <w:rFonts w:asciiTheme="majorHAnsi" w:hAnsiTheme="majorHAnsi"/>
          <w:sz w:val="20"/>
          <w:szCs w:val="20"/>
        </w:rPr>
        <w:t>he lawyer who represented him i</w:t>
      </w:r>
      <w:r w:rsidR="00AA4A20" w:rsidRPr="00B645F5">
        <w:rPr>
          <w:rFonts w:asciiTheme="majorHAnsi" w:hAnsiTheme="majorHAnsi"/>
          <w:sz w:val="20"/>
          <w:szCs w:val="20"/>
        </w:rPr>
        <w:t xml:space="preserve">n his </w:t>
      </w:r>
      <w:r w:rsidR="00F207F1" w:rsidRPr="00B645F5">
        <w:rPr>
          <w:rFonts w:asciiTheme="majorHAnsi" w:hAnsiTheme="majorHAnsi"/>
          <w:sz w:val="20"/>
          <w:szCs w:val="20"/>
        </w:rPr>
        <w:t>state</w:t>
      </w:r>
      <w:r w:rsidR="00AA4A20" w:rsidRPr="00B645F5">
        <w:rPr>
          <w:rFonts w:asciiTheme="majorHAnsi" w:hAnsiTheme="majorHAnsi"/>
          <w:sz w:val="20"/>
          <w:szCs w:val="20"/>
        </w:rPr>
        <w:t xml:space="preserve"> </w:t>
      </w:r>
      <w:r w:rsidR="002D7E86" w:rsidRPr="00B645F5">
        <w:rPr>
          <w:rFonts w:asciiTheme="majorHAnsi" w:hAnsiTheme="majorHAnsi"/>
          <w:sz w:val="20"/>
          <w:szCs w:val="20"/>
        </w:rPr>
        <w:t xml:space="preserve">habeas corpus </w:t>
      </w:r>
      <w:r w:rsidR="00AA4A20" w:rsidRPr="00B645F5">
        <w:rPr>
          <w:rFonts w:asciiTheme="majorHAnsi" w:hAnsiTheme="majorHAnsi"/>
          <w:sz w:val="20"/>
          <w:szCs w:val="20"/>
        </w:rPr>
        <w:t>petition,</w:t>
      </w:r>
      <w:r w:rsidR="00F207F1" w:rsidRPr="00B645F5">
        <w:rPr>
          <w:rFonts w:asciiTheme="majorHAnsi" w:hAnsiTheme="majorHAnsi"/>
          <w:sz w:val="20"/>
          <w:szCs w:val="20"/>
        </w:rPr>
        <w:t xml:space="preserve"> filed a five-page petition</w:t>
      </w:r>
      <w:r w:rsidR="00AA4A20" w:rsidRPr="00B645F5">
        <w:rPr>
          <w:rFonts w:asciiTheme="majorHAnsi" w:hAnsiTheme="majorHAnsi"/>
          <w:sz w:val="20"/>
          <w:szCs w:val="20"/>
        </w:rPr>
        <w:t xml:space="preserve"> </w:t>
      </w:r>
      <w:r w:rsidR="00F207F1" w:rsidRPr="00B645F5">
        <w:rPr>
          <w:rFonts w:asciiTheme="majorHAnsi" w:hAnsiTheme="majorHAnsi"/>
          <w:sz w:val="20"/>
          <w:szCs w:val="20"/>
        </w:rPr>
        <w:t>that raised only one legal argumen</w:t>
      </w:r>
      <w:r w:rsidR="002D7E86" w:rsidRPr="00B645F5">
        <w:rPr>
          <w:rFonts w:asciiTheme="majorHAnsi" w:hAnsiTheme="majorHAnsi"/>
          <w:sz w:val="20"/>
          <w:szCs w:val="20"/>
        </w:rPr>
        <w:t>t, which was</w:t>
      </w:r>
      <w:r w:rsidR="00F207F1" w:rsidRPr="00B645F5">
        <w:rPr>
          <w:rFonts w:asciiTheme="majorHAnsi" w:hAnsiTheme="majorHAnsi"/>
          <w:sz w:val="20"/>
          <w:szCs w:val="20"/>
        </w:rPr>
        <w:t xml:space="preserve"> an issue that had already been raised and rejected on direct appeal, and was not even cognizable in state habeas corpus proceedings. </w:t>
      </w:r>
      <w:r w:rsidR="002015C1" w:rsidRPr="00B645F5">
        <w:rPr>
          <w:rFonts w:asciiTheme="majorHAnsi" w:hAnsiTheme="majorHAnsi"/>
          <w:sz w:val="20"/>
          <w:szCs w:val="20"/>
        </w:rPr>
        <w:t>It is claimed that the</w:t>
      </w:r>
      <w:r w:rsidR="00F207F1" w:rsidRPr="00B645F5">
        <w:rPr>
          <w:rFonts w:asciiTheme="majorHAnsi" w:hAnsiTheme="majorHAnsi"/>
          <w:sz w:val="20"/>
          <w:szCs w:val="20"/>
        </w:rPr>
        <w:t xml:space="preserve"> lawyer</w:t>
      </w:r>
      <w:r w:rsidR="002015C1" w:rsidRPr="00B645F5">
        <w:rPr>
          <w:rFonts w:asciiTheme="majorHAnsi" w:hAnsiTheme="majorHAnsi"/>
          <w:sz w:val="20"/>
          <w:szCs w:val="20"/>
        </w:rPr>
        <w:t xml:space="preserve"> appointed</w:t>
      </w:r>
      <w:r w:rsidR="00F207F1" w:rsidRPr="00B645F5">
        <w:rPr>
          <w:rFonts w:asciiTheme="majorHAnsi" w:hAnsiTheme="majorHAnsi"/>
          <w:sz w:val="20"/>
          <w:szCs w:val="20"/>
        </w:rPr>
        <w:t xml:space="preserve"> never visited him, and never responded to Mr. </w:t>
      </w:r>
      <w:r w:rsidR="00AC5329" w:rsidRPr="00B645F5">
        <w:rPr>
          <w:rFonts w:asciiTheme="majorHAnsi" w:hAnsiTheme="majorHAnsi"/>
          <w:sz w:val="20"/>
          <w:szCs w:val="20"/>
        </w:rPr>
        <w:t>Ibarra</w:t>
      </w:r>
      <w:r w:rsidR="00F207F1" w:rsidRPr="00B645F5">
        <w:rPr>
          <w:rFonts w:asciiTheme="majorHAnsi" w:hAnsiTheme="majorHAnsi"/>
          <w:sz w:val="20"/>
          <w:szCs w:val="20"/>
        </w:rPr>
        <w:t xml:space="preserve">’s letters. </w:t>
      </w:r>
      <w:r w:rsidR="00C41878" w:rsidRPr="00B645F5">
        <w:rPr>
          <w:rFonts w:asciiTheme="majorHAnsi" w:hAnsiTheme="majorHAnsi"/>
          <w:sz w:val="20"/>
          <w:szCs w:val="20"/>
        </w:rPr>
        <w:t xml:space="preserve">Further, that while Mr. </w:t>
      </w:r>
      <w:r w:rsidR="00AC5329" w:rsidRPr="00B645F5">
        <w:rPr>
          <w:rFonts w:asciiTheme="majorHAnsi" w:hAnsiTheme="majorHAnsi"/>
          <w:sz w:val="20"/>
          <w:szCs w:val="20"/>
        </w:rPr>
        <w:t>Ibarra</w:t>
      </w:r>
      <w:r w:rsidR="00C41878" w:rsidRPr="00B645F5">
        <w:rPr>
          <w:rFonts w:asciiTheme="majorHAnsi" w:hAnsiTheme="majorHAnsi"/>
          <w:sz w:val="20"/>
          <w:szCs w:val="20"/>
        </w:rPr>
        <w:t xml:space="preserve">’s sister and wife testified on his behalf, defense counsel failed to elicit any testimony regarding his life in Mexico, where he lived until he was 18 years old. </w:t>
      </w:r>
      <w:r w:rsidR="00C14612" w:rsidRPr="00B645F5">
        <w:rPr>
          <w:rFonts w:asciiTheme="majorHAnsi" w:hAnsiTheme="majorHAnsi"/>
          <w:sz w:val="20"/>
          <w:szCs w:val="20"/>
        </w:rPr>
        <w:t xml:space="preserve">Affidavits from Mr. </w:t>
      </w:r>
      <w:r w:rsidR="00AC5329" w:rsidRPr="00B645F5">
        <w:rPr>
          <w:rFonts w:asciiTheme="majorHAnsi" w:hAnsiTheme="majorHAnsi"/>
          <w:sz w:val="20"/>
          <w:szCs w:val="20"/>
        </w:rPr>
        <w:t>Ibarra</w:t>
      </w:r>
      <w:r w:rsidR="00C14612" w:rsidRPr="00B645F5">
        <w:rPr>
          <w:rFonts w:asciiTheme="majorHAnsi" w:hAnsiTheme="majorHAnsi"/>
          <w:sz w:val="20"/>
          <w:szCs w:val="20"/>
        </w:rPr>
        <w:t>’s family members indicate that they were never contacted by any member of the defense team, either to give testimony or to provide the defense with evidence</w:t>
      </w:r>
      <w:r w:rsidR="00AD4149" w:rsidRPr="00B645F5">
        <w:rPr>
          <w:rFonts w:asciiTheme="majorHAnsi" w:hAnsiTheme="majorHAnsi"/>
          <w:sz w:val="20"/>
          <w:szCs w:val="20"/>
        </w:rPr>
        <w:t xml:space="preserve">. </w:t>
      </w:r>
      <w:r w:rsidR="0030034E" w:rsidRPr="00B645F5">
        <w:rPr>
          <w:rFonts w:asciiTheme="majorHAnsi" w:hAnsiTheme="majorHAnsi"/>
          <w:sz w:val="20"/>
          <w:szCs w:val="20"/>
        </w:rPr>
        <w:t xml:space="preserve">The </w:t>
      </w:r>
      <w:r w:rsidR="00AD4149" w:rsidRPr="00B645F5">
        <w:rPr>
          <w:rFonts w:asciiTheme="majorHAnsi" w:hAnsiTheme="majorHAnsi"/>
          <w:sz w:val="20"/>
          <w:szCs w:val="20"/>
        </w:rPr>
        <w:t>defense</w:t>
      </w:r>
      <w:r w:rsidR="0030034E" w:rsidRPr="00B645F5">
        <w:rPr>
          <w:rFonts w:asciiTheme="majorHAnsi" w:hAnsiTheme="majorHAnsi"/>
          <w:sz w:val="20"/>
          <w:szCs w:val="20"/>
        </w:rPr>
        <w:t xml:space="preserve"> counsel</w:t>
      </w:r>
      <w:r w:rsidR="00AD4149" w:rsidRPr="00B645F5">
        <w:rPr>
          <w:rFonts w:asciiTheme="majorHAnsi" w:hAnsiTheme="majorHAnsi"/>
          <w:sz w:val="20"/>
          <w:szCs w:val="20"/>
        </w:rPr>
        <w:t xml:space="preserve"> called only two siblings and Mr. </w:t>
      </w:r>
      <w:r w:rsidR="00AC5329" w:rsidRPr="00B645F5">
        <w:rPr>
          <w:rFonts w:asciiTheme="majorHAnsi" w:hAnsiTheme="majorHAnsi"/>
          <w:sz w:val="20"/>
          <w:szCs w:val="20"/>
        </w:rPr>
        <w:t>Ibarra</w:t>
      </w:r>
      <w:r w:rsidR="00AD4149" w:rsidRPr="00B645F5">
        <w:rPr>
          <w:rFonts w:asciiTheme="majorHAnsi" w:hAnsiTheme="majorHAnsi"/>
          <w:sz w:val="20"/>
          <w:szCs w:val="20"/>
        </w:rPr>
        <w:t>’s wife to testify at trial</w:t>
      </w:r>
      <w:r w:rsidR="00C27CFA" w:rsidRPr="00B645F5">
        <w:rPr>
          <w:rFonts w:asciiTheme="majorHAnsi" w:hAnsiTheme="majorHAnsi"/>
          <w:sz w:val="20"/>
          <w:szCs w:val="20"/>
        </w:rPr>
        <w:t xml:space="preserve">. One of those siblings was only asked to testify at </w:t>
      </w:r>
      <w:r w:rsidR="00A22CFF" w:rsidRPr="00B645F5">
        <w:rPr>
          <w:rFonts w:asciiTheme="majorHAnsi" w:hAnsiTheme="majorHAnsi"/>
          <w:sz w:val="20"/>
          <w:szCs w:val="20"/>
        </w:rPr>
        <w:t>the penalty</w:t>
      </w:r>
      <w:r w:rsidR="00C27CFA" w:rsidRPr="00B645F5">
        <w:rPr>
          <w:rFonts w:asciiTheme="majorHAnsi" w:hAnsiTheme="majorHAnsi"/>
          <w:sz w:val="20"/>
          <w:szCs w:val="20"/>
        </w:rPr>
        <w:t xml:space="preserve"> </w:t>
      </w:r>
      <w:r w:rsidR="00A22CFF" w:rsidRPr="00B645F5">
        <w:rPr>
          <w:rFonts w:asciiTheme="majorHAnsi" w:hAnsiTheme="majorHAnsi"/>
          <w:sz w:val="20"/>
          <w:szCs w:val="20"/>
        </w:rPr>
        <w:t>phase</w:t>
      </w:r>
      <w:r w:rsidR="00C27CFA" w:rsidRPr="00B645F5">
        <w:rPr>
          <w:rFonts w:asciiTheme="majorHAnsi" w:hAnsiTheme="majorHAnsi"/>
          <w:sz w:val="20"/>
          <w:szCs w:val="20"/>
        </w:rPr>
        <w:t>, and never spoke w</w:t>
      </w:r>
      <w:r w:rsidR="00EF3FC7" w:rsidRPr="00B645F5">
        <w:rPr>
          <w:rFonts w:asciiTheme="majorHAnsi" w:hAnsiTheme="majorHAnsi"/>
          <w:sz w:val="20"/>
          <w:szCs w:val="20"/>
        </w:rPr>
        <w:t>ith counsel before testifying. According to the petitioners, n</w:t>
      </w:r>
      <w:r w:rsidR="00C27CFA" w:rsidRPr="00B645F5">
        <w:rPr>
          <w:rFonts w:asciiTheme="majorHAnsi" w:hAnsiTheme="majorHAnsi"/>
          <w:sz w:val="20"/>
          <w:szCs w:val="20"/>
        </w:rPr>
        <w:t xml:space="preserve">either of these witnesses was familiar with Mr. </w:t>
      </w:r>
      <w:r w:rsidR="0071185D" w:rsidRPr="00B645F5">
        <w:rPr>
          <w:rFonts w:asciiTheme="majorHAnsi" w:hAnsiTheme="majorHAnsi"/>
          <w:sz w:val="20"/>
          <w:szCs w:val="20"/>
        </w:rPr>
        <w:t>Ibarra</w:t>
      </w:r>
      <w:r w:rsidR="00C27CFA" w:rsidRPr="00B645F5">
        <w:rPr>
          <w:rFonts w:asciiTheme="majorHAnsi" w:hAnsiTheme="majorHAnsi"/>
          <w:sz w:val="20"/>
          <w:szCs w:val="20"/>
        </w:rPr>
        <w:t xml:space="preserve"> before he turned eighteen. </w:t>
      </w:r>
      <w:r w:rsidR="004A5B6C" w:rsidRPr="00B645F5">
        <w:rPr>
          <w:rFonts w:asciiTheme="majorHAnsi" w:hAnsiTheme="majorHAnsi"/>
          <w:sz w:val="20"/>
          <w:szCs w:val="20"/>
        </w:rPr>
        <w:t>The</w:t>
      </w:r>
      <w:r w:rsidR="00CE49B5" w:rsidRPr="00B645F5">
        <w:rPr>
          <w:rFonts w:asciiTheme="majorHAnsi" w:hAnsiTheme="majorHAnsi"/>
          <w:sz w:val="20"/>
          <w:szCs w:val="20"/>
        </w:rPr>
        <w:t>y allege that the</w:t>
      </w:r>
      <w:r w:rsidR="004A5B6C" w:rsidRPr="00B645F5">
        <w:rPr>
          <w:rFonts w:asciiTheme="majorHAnsi" w:hAnsiTheme="majorHAnsi"/>
          <w:sz w:val="20"/>
          <w:szCs w:val="20"/>
        </w:rPr>
        <w:t xml:space="preserve"> prejudice here was particularly acute because the void of information presented about his history, character and mental status</w:t>
      </w:r>
      <w:r w:rsidR="00B920AF" w:rsidRPr="00B645F5">
        <w:rPr>
          <w:rFonts w:asciiTheme="majorHAnsi" w:hAnsiTheme="majorHAnsi"/>
          <w:sz w:val="20"/>
          <w:szCs w:val="20"/>
        </w:rPr>
        <w:t>.</w:t>
      </w:r>
    </w:p>
    <w:p w14:paraId="76977F39" w14:textId="77777777" w:rsidR="00F613B7" w:rsidRPr="00B645F5" w:rsidRDefault="00F613B7" w:rsidP="00205BF5">
      <w:pPr>
        <w:rPr>
          <w:rFonts w:asciiTheme="majorHAnsi" w:hAnsiTheme="majorHAnsi"/>
          <w:sz w:val="20"/>
          <w:szCs w:val="20"/>
        </w:rPr>
      </w:pPr>
    </w:p>
    <w:p w14:paraId="2CF8ACDD" w14:textId="77777777" w:rsidR="0031000D" w:rsidRPr="00B645F5" w:rsidRDefault="0077495B" w:rsidP="00D439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w:t>
      </w:r>
      <w:r w:rsidR="00842C40" w:rsidRPr="00B645F5">
        <w:rPr>
          <w:rFonts w:asciiTheme="majorHAnsi" w:hAnsiTheme="majorHAnsi"/>
          <w:sz w:val="20"/>
          <w:szCs w:val="20"/>
        </w:rPr>
        <w:t xml:space="preserve"> petitioners</w:t>
      </w:r>
      <w:r w:rsidRPr="00B645F5">
        <w:rPr>
          <w:rFonts w:asciiTheme="majorHAnsi" w:hAnsiTheme="majorHAnsi"/>
          <w:sz w:val="20"/>
          <w:szCs w:val="20"/>
        </w:rPr>
        <w:t xml:space="preserve"> also</w:t>
      </w:r>
      <w:r w:rsidR="00842C40" w:rsidRPr="00B645F5">
        <w:rPr>
          <w:rFonts w:asciiTheme="majorHAnsi" w:hAnsiTheme="majorHAnsi"/>
          <w:sz w:val="20"/>
          <w:szCs w:val="20"/>
        </w:rPr>
        <w:t xml:space="preserve"> submit that </w:t>
      </w:r>
      <w:r w:rsidR="0055098A" w:rsidRPr="00B645F5">
        <w:rPr>
          <w:rFonts w:asciiTheme="majorHAnsi" w:hAnsiTheme="majorHAnsi"/>
          <w:sz w:val="20"/>
          <w:szCs w:val="20"/>
        </w:rPr>
        <w:t xml:space="preserve">Mr. </w:t>
      </w:r>
      <w:r w:rsidR="00AF1A3B" w:rsidRPr="00B645F5">
        <w:rPr>
          <w:rFonts w:asciiTheme="majorHAnsi" w:hAnsiTheme="majorHAnsi"/>
          <w:sz w:val="20"/>
          <w:szCs w:val="20"/>
        </w:rPr>
        <w:t>Ibarra</w:t>
      </w:r>
      <w:r w:rsidR="00114D71" w:rsidRPr="00B645F5">
        <w:rPr>
          <w:rFonts w:asciiTheme="majorHAnsi" w:hAnsiTheme="majorHAnsi"/>
          <w:sz w:val="20"/>
          <w:szCs w:val="20"/>
        </w:rPr>
        <w:t xml:space="preserve">, </w:t>
      </w:r>
      <w:r w:rsidR="0055098A" w:rsidRPr="00B645F5">
        <w:rPr>
          <w:rFonts w:asciiTheme="majorHAnsi" w:hAnsiTheme="majorHAnsi"/>
          <w:sz w:val="20"/>
          <w:szCs w:val="20"/>
        </w:rPr>
        <w:t>who spoke virtually no English and had a third-grade education</w:t>
      </w:r>
      <w:r w:rsidR="00114D71" w:rsidRPr="00B645F5">
        <w:rPr>
          <w:rFonts w:asciiTheme="majorHAnsi" w:hAnsiTheme="majorHAnsi"/>
          <w:sz w:val="20"/>
          <w:szCs w:val="20"/>
        </w:rPr>
        <w:t>,</w:t>
      </w:r>
      <w:r w:rsidR="0055098A" w:rsidRPr="00B645F5">
        <w:rPr>
          <w:rFonts w:asciiTheme="majorHAnsi" w:hAnsiTheme="majorHAnsi"/>
          <w:sz w:val="20"/>
          <w:szCs w:val="20"/>
        </w:rPr>
        <w:t xml:space="preserve"> was detained for over one year awaiting his capital murder trial</w:t>
      </w:r>
      <w:r w:rsidR="007B18C3" w:rsidRPr="00B645F5">
        <w:rPr>
          <w:rFonts w:asciiTheme="majorHAnsi" w:hAnsiTheme="majorHAnsi"/>
          <w:sz w:val="20"/>
          <w:szCs w:val="20"/>
        </w:rPr>
        <w:t xml:space="preserve"> w</w:t>
      </w:r>
      <w:r w:rsidR="00114D71" w:rsidRPr="00B645F5">
        <w:rPr>
          <w:rFonts w:asciiTheme="majorHAnsi" w:hAnsiTheme="majorHAnsi"/>
          <w:sz w:val="20"/>
          <w:szCs w:val="20"/>
        </w:rPr>
        <w:t>ithout being</w:t>
      </w:r>
      <w:r w:rsidR="0055098A" w:rsidRPr="00B645F5">
        <w:rPr>
          <w:rFonts w:asciiTheme="majorHAnsi" w:hAnsiTheme="majorHAnsi"/>
          <w:sz w:val="20"/>
          <w:szCs w:val="20"/>
        </w:rPr>
        <w:t xml:space="preserve"> informed of his rights to consular notification and access.</w:t>
      </w:r>
      <w:r w:rsidR="008A4E2E" w:rsidRPr="00B645F5">
        <w:rPr>
          <w:rFonts w:asciiTheme="majorHAnsi" w:hAnsiTheme="majorHAnsi"/>
          <w:sz w:val="20"/>
          <w:szCs w:val="20"/>
        </w:rPr>
        <w:t xml:space="preserve"> </w:t>
      </w:r>
      <w:r w:rsidR="00E657DE" w:rsidRPr="00B645F5">
        <w:rPr>
          <w:rFonts w:asciiTheme="majorHAnsi" w:hAnsiTheme="majorHAnsi"/>
          <w:sz w:val="20"/>
          <w:szCs w:val="20"/>
        </w:rPr>
        <w:t xml:space="preserve">On September </w:t>
      </w:r>
      <w:r w:rsidR="00CE49B5" w:rsidRPr="00B645F5">
        <w:rPr>
          <w:rFonts w:asciiTheme="majorHAnsi" w:hAnsiTheme="majorHAnsi"/>
          <w:sz w:val="20"/>
          <w:szCs w:val="20"/>
        </w:rPr>
        <w:t xml:space="preserve">22, </w:t>
      </w:r>
      <w:r w:rsidR="00E657DE" w:rsidRPr="00B645F5">
        <w:rPr>
          <w:rFonts w:asciiTheme="majorHAnsi" w:hAnsiTheme="majorHAnsi"/>
          <w:sz w:val="20"/>
          <w:szCs w:val="20"/>
        </w:rPr>
        <w:t>1997</w:t>
      </w:r>
      <w:r w:rsidR="00F8160D" w:rsidRPr="00B645F5">
        <w:rPr>
          <w:rFonts w:asciiTheme="majorHAnsi" w:hAnsiTheme="majorHAnsi"/>
          <w:sz w:val="20"/>
          <w:szCs w:val="20"/>
        </w:rPr>
        <w:t xml:space="preserve">, </w:t>
      </w:r>
      <w:r w:rsidR="002313B8" w:rsidRPr="00B645F5">
        <w:rPr>
          <w:rFonts w:asciiTheme="majorHAnsi" w:hAnsiTheme="majorHAnsi"/>
          <w:sz w:val="20"/>
          <w:szCs w:val="20"/>
        </w:rPr>
        <w:t xml:space="preserve">when Mr. </w:t>
      </w:r>
      <w:r w:rsidR="00AF1A3B" w:rsidRPr="00B645F5">
        <w:rPr>
          <w:rFonts w:asciiTheme="majorHAnsi" w:hAnsiTheme="majorHAnsi"/>
          <w:sz w:val="20"/>
          <w:szCs w:val="20"/>
        </w:rPr>
        <w:t>Ibarra</w:t>
      </w:r>
      <w:r w:rsidR="002313B8" w:rsidRPr="00B645F5">
        <w:rPr>
          <w:rFonts w:asciiTheme="majorHAnsi" w:hAnsiTheme="majorHAnsi"/>
          <w:sz w:val="20"/>
          <w:szCs w:val="20"/>
        </w:rPr>
        <w:t xml:space="preserve"> was sentenced to death, </w:t>
      </w:r>
      <w:r w:rsidR="00F8160D" w:rsidRPr="00B645F5">
        <w:rPr>
          <w:rFonts w:asciiTheme="majorHAnsi" w:hAnsiTheme="majorHAnsi"/>
          <w:sz w:val="20"/>
          <w:szCs w:val="20"/>
        </w:rPr>
        <w:t>a Mexican reporter contacted the consulate of Mexico in Austin, Texas</w:t>
      </w:r>
      <w:r w:rsidR="00CE49B5" w:rsidRPr="00B645F5">
        <w:rPr>
          <w:rFonts w:asciiTheme="majorHAnsi" w:hAnsiTheme="majorHAnsi"/>
          <w:sz w:val="20"/>
          <w:szCs w:val="20"/>
        </w:rPr>
        <w:t>,</w:t>
      </w:r>
      <w:r w:rsidR="002313B8" w:rsidRPr="00B645F5">
        <w:rPr>
          <w:rFonts w:asciiTheme="majorHAnsi" w:hAnsiTheme="majorHAnsi"/>
          <w:sz w:val="20"/>
          <w:szCs w:val="20"/>
        </w:rPr>
        <w:t xml:space="preserve"> and c</w:t>
      </w:r>
      <w:r w:rsidR="00F8160D" w:rsidRPr="00B645F5">
        <w:rPr>
          <w:rFonts w:asciiTheme="majorHAnsi" w:hAnsiTheme="majorHAnsi"/>
          <w:sz w:val="20"/>
          <w:szCs w:val="20"/>
        </w:rPr>
        <w:t xml:space="preserve">onsular officials immediately contacted defense counsel, as well as Mr. </w:t>
      </w:r>
      <w:r w:rsidR="00AF1A3B" w:rsidRPr="00B645F5">
        <w:rPr>
          <w:rFonts w:asciiTheme="majorHAnsi" w:hAnsiTheme="majorHAnsi"/>
          <w:sz w:val="20"/>
          <w:szCs w:val="20"/>
        </w:rPr>
        <w:t>Ibarra</w:t>
      </w:r>
      <w:r w:rsidR="00F8160D" w:rsidRPr="00B645F5">
        <w:rPr>
          <w:rFonts w:asciiTheme="majorHAnsi" w:hAnsiTheme="majorHAnsi"/>
          <w:sz w:val="20"/>
          <w:szCs w:val="20"/>
        </w:rPr>
        <w:t xml:space="preserve">’s family members, to confirm his nationality. </w:t>
      </w:r>
      <w:r w:rsidRPr="00B645F5">
        <w:rPr>
          <w:rFonts w:asciiTheme="majorHAnsi" w:hAnsiTheme="majorHAnsi"/>
          <w:sz w:val="20"/>
          <w:szCs w:val="20"/>
        </w:rPr>
        <w:t xml:space="preserve">The petitioners </w:t>
      </w:r>
      <w:r w:rsidR="00945ED4" w:rsidRPr="00B645F5">
        <w:rPr>
          <w:rFonts w:asciiTheme="majorHAnsi" w:hAnsiTheme="majorHAnsi"/>
          <w:sz w:val="20"/>
          <w:szCs w:val="20"/>
        </w:rPr>
        <w:t>claim</w:t>
      </w:r>
      <w:r w:rsidRPr="00B645F5">
        <w:rPr>
          <w:rFonts w:asciiTheme="majorHAnsi" w:hAnsiTheme="majorHAnsi"/>
          <w:sz w:val="20"/>
          <w:szCs w:val="20"/>
        </w:rPr>
        <w:t xml:space="preserve"> that by failing to notify Mr. </w:t>
      </w:r>
      <w:r w:rsidR="00AF1A3B" w:rsidRPr="00B645F5">
        <w:rPr>
          <w:rFonts w:asciiTheme="majorHAnsi" w:hAnsiTheme="majorHAnsi"/>
          <w:sz w:val="20"/>
          <w:szCs w:val="20"/>
        </w:rPr>
        <w:t>Ibarra</w:t>
      </w:r>
      <w:r w:rsidRPr="00B645F5">
        <w:rPr>
          <w:rFonts w:asciiTheme="majorHAnsi" w:hAnsiTheme="majorHAnsi"/>
          <w:sz w:val="20"/>
          <w:szCs w:val="20"/>
        </w:rPr>
        <w:t xml:space="preserve"> of his rights to consular access and notification at the time of his arrest, the State violated its binding obligations under </w:t>
      </w:r>
      <w:r w:rsidR="00CE49B5" w:rsidRPr="00B645F5">
        <w:rPr>
          <w:rFonts w:asciiTheme="majorHAnsi" w:hAnsiTheme="majorHAnsi"/>
          <w:sz w:val="20"/>
          <w:szCs w:val="20"/>
        </w:rPr>
        <w:t>A</w:t>
      </w:r>
      <w:r w:rsidRPr="00B645F5">
        <w:rPr>
          <w:rFonts w:asciiTheme="majorHAnsi" w:hAnsiTheme="majorHAnsi"/>
          <w:sz w:val="20"/>
          <w:szCs w:val="20"/>
        </w:rPr>
        <w:t xml:space="preserve">rticle 36(1)(b) of the Vienna Convention on Consular Relations (VCCR). </w:t>
      </w:r>
      <w:r w:rsidR="00CE49B5" w:rsidRPr="00B645F5">
        <w:rPr>
          <w:rFonts w:asciiTheme="majorHAnsi" w:hAnsiTheme="majorHAnsi"/>
          <w:sz w:val="20"/>
          <w:szCs w:val="20"/>
        </w:rPr>
        <w:t>They allege that, a</w:t>
      </w:r>
      <w:r w:rsidRPr="00B645F5">
        <w:rPr>
          <w:rFonts w:asciiTheme="majorHAnsi" w:hAnsiTheme="majorHAnsi"/>
          <w:sz w:val="20"/>
          <w:szCs w:val="20"/>
        </w:rPr>
        <w:t xml:space="preserve">s a consequence of that violation, Mr. </w:t>
      </w:r>
      <w:r w:rsidR="00AF1A3B" w:rsidRPr="00B645F5">
        <w:rPr>
          <w:rFonts w:asciiTheme="majorHAnsi" w:hAnsiTheme="majorHAnsi"/>
          <w:sz w:val="20"/>
          <w:szCs w:val="20"/>
        </w:rPr>
        <w:t>Ibarra</w:t>
      </w:r>
      <w:r w:rsidRPr="00B645F5">
        <w:rPr>
          <w:rFonts w:asciiTheme="majorHAnsi" w:hAnsiTheme="majorHAnsi"/>
          <w:sz w:val="20"/>
          <w:szCs w:val="20"/>
        </w:rPr>
        <w:t xml:space="preserve"> was deprived of a fundamental component of due process. Furthermore, </w:t>
      </w:r>
      <w:r w:rsidR="00CE49B5" w:rsidRPr="00B645F5">
        <w:rPr>
          <w:rFonts w:asciiTheme="majorHAnsi" w:hAnsiTheme="majorHAnsi"/>
          <w:sz w:val="20"/>
          <w:szCs w:val="20"/>
        </w:rPr>
        <w:t xml:space="preserve">they submit </w:t>
      </w:r>
      <w:r w:rsidRPr="00B645F5">
        <w:rPr>
          <w:rFonts w:asciiTheme="majorHAnsi" w:hAnsiTheme="majorHAnsi"/>
          <w:sz w:val="20"/>
          <w:szCs w:val="20"/>
        </w:rPr>
        <w:t xml:space="preserve">the state and federal courts have consistently failed to provide any remedy for the admitted violation of Mr. </w:t>
      </w:r>
      <w:r w:rsidR="00AF1A3B" w:rsidRPr="00B645F5">
        <w:rPr>
          <w:rFonts w:asciiTheme="majorHAnsi" w:hAnsiTheme="majorHAnsi"/>
          <w:sz w:val="20"/>
          <w:szCs w:val="20"/>
        </w:rPr>
        <w:t>Ibarra</w:t>
      </w:r>
      <w:r w:rsidRPr="00B645F5">
        <w:rPr>
          <w:rFonts w:asciiTheme="majorHAnsi" w:hAnsiTheme="majorHAnsi"/>
          <w:sz w:val="20"/>
          <w:szCs w:val="20"/>
        </w:rPr>
        <w:t xml:space="preserve">’s consular rights, in breach of Article 36(2) of the VCCR. </w:t>
      </w:r>
    </w:p>
    <w:p w14:paraId="5B0C5733" w14:textId="77777777" w:rsidR="0031000D" w:rsidRPr="00B645F5" w:rsidRDefault="0031000D" w:rsidP="0031000D">
      <w:pPr>
        <w:pStyle w:val="ListParagraph"/>
        <w:rPr>
          <w:rStyle w:val="s1"/>
          <w:rFonts w:eastAsia="Arial Unicode MS"/>
          <w:color w:val="auto"/>
          <w:lang w:eastAsia="en-US"/>
        </w:rPr>
      </w:pPr>
    </w:p>
    <w:p w14:paraId="037A3338" w14:textId="5F92F905" w:rsidR="006A2E59" w:rsidRPr="00B645F5" w:rsidRDefault="0031000D" w:rsidP="00D439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1"/>
          <w:rFonts w:eastAsia="Cambria"/>
          <w:color w:val="000000"/>
          <w:u w:color="000000"/>
          <w:lang w:eastAsia="es-ES"/>
        </w:rPr>
      </w:pPr>
      <w:r w:rsidRPr="00B645F5">
        <w:rPr>
          <w:rStyle w:val="s1"/>
          <w:rFonts w:asciiTheme="majorHAnsi" w:hAnsiTheme="majorHAnsi"/>
          <w:sz w:val="20"/>
          <w:szCs w:val="20"/>
        </w:rPr>
        <w:t>The petitioners also claim that o</w:t>
      </w:r>
      <w:r w:rsidR="006A2E59" w:rsidRPr="00B645F5">
        <w:rPr>
          <w:rStyle w:val="s1"/>
          <w:rFonts w:asciiTheme="majorHAnsi" w:hAnsiTheme="majorHAnsi"/>
          <w:sz w:val="20"/>
          <w:szCs w:val="20"/>
        </w:rPr>
        <w:t xml:space="preserve">n November </w:t>
      </w:r>
      <w:r w:rsidR="00CE49B5" w:rsidRPr="00B645F5">
        <w:rPr>
          <w:rStyle w:val="s1"/>
          <w:rFonts w:asciiTheme="majorHAnsi" w:hAnsiTheme="majorHAnsi"/>
          <w:sz w:val="20"/>
          <w:szCs w:val="20"/>
        </w:rPr>
        <w:t xml:space="preserve">10, </w:t>
      </w:r>
      <w:r w:rsidR="006A2E59" w:rsidRPr="00B645F5">
        <w:rPr>
          <w:rStyle w:val="s1"/>
          <w:rFonts w:asciiTheme="majorHAnsi" w:hAnsiTheme="majorHAnsi"/>
          <w:sz w:val="20"/>
          <w:szCs w:val="20"/>
        </w:rPr>
        <w:t xml:space="preserve">2004, the Texas Court of Criminal Appeals remanded the case to the trial court to address the merits of Mr. </w:t>
      </w:r>
      <w:r w:rsidR="00AF1A3B" w:rsidRPr="00B645F5">
        <w:rPr>
          <w:rStyle w:val="s1"/>
          <w:rFonts w:asciiTheme="majorHAnsi" w:hAnsiTheme="majorHAnsi"/>
          <w:sz w:val="20"/>
          <w:szCs w:val="20"/>
        </w:rPr>
        <w:t>Ibarra</w:t>
      </w:r>
      <w:r w:rsidR="006A2E59" w:rsidRPr="00B645F5">
        <w:rPr>
          <w:rStyle w:val="s1"/>
          <w:rFonts w:asciiTheme="majorHAnsi" w:hAnsiTheme="majorHAnsi"/>
          <w:sz w:val="20"/>
          <w:szCs w:val="20"/>
        </w:rPr>
        <w:t xml:space="preserve">’s Atkins claim, but neither court appointed counsel to represent Mr. </w:t>
      </w:r>
      <w:r w:rsidR="00AF1A3B" w:rsidRPr="00B645F5">
        <w:rPr>
          <w:rStyle w:val="s1"/>
          <w:rFonts w:asciiTheme="majorHAnsi" w:hAnsiTheme="majorHAnsi"/>
          <w:sz w:val="20"/>
          <w:szCs w:val="20"/>
        </w:rPr>
        <w:t>Ibarra</w:t>
      </w:r>
      <w:r w:rsidR="00CE49B5" w:rsidRPr="00B645F5">
        <w:rPr>
          <w:rStyle w:val="s1"/>
          <w:rFonts w:asciiTheme="majorHAnsi" w:hAnsiTheme="majorHAnsi"/>
          <w:sz w:val="20"/>
          <w:szCs w:val="20"/>
        </w:rPr>
        <w:t xml:space="preserve"> during this process. They state that n</w:t>
      </w:r>
      <w:r w:rsidR="006A2E59" w:rsidRPr="00B645F5">
        <w:rPr>
          <w:rStyle w:val="s1"/>
          <w:rFonts w:asciiTheme="majorHAnsi" w:hAnsiTheme="majorHAnsi"/>
          <w:sz w:val="20"/>
          <w:szCs w:val="20"/>
        </w:rPr>
        <w:t xml:space="preserve">o further action was taken until June </w:t>
      </w:r>
      <w:r w:rsidR="00CE49B5" w:rsidRPr="00B645F5">
        <w:rPr>
          <w:rStyle w:val="s1"/>
          <w:rFonts w:asciiTheme="majorHAnsi" w:hAnsiTheme="majorHAnsi"/>
          <w:sz w:val="20"/>
          <w:szCs w:val="20"/>
        </w:rPr>
        <w:t xml:space="preserve">28, </w:t>
      </w:r>
      <w:r w:rsidR="006A2E59" w:rsidRPr="00B645F5">
        <w:rPr>
          <w:rStyle w:val="s1"/>
          <w:rFonts w:asciiTheme="majorHAnsi" w:hAnsiTheme="majorHAnsi"/>
          <w:sz w:val="20"/>
          <w:szCs w:val="20"/>
        </w:rPr>
        <w:t xml:space="preserve">2006, when the Court of Criminal Appeals abruptly ordered the trial court to resolve the case within ninety days. Mr. </w:t>
      </w:r>
      <w:r w:rsidR="00AF1A3B" w:rsidRPr="00B645F5">
        <w:rPr>
          <w:rStyle w:val="s1"/>
          <w:rFonts w:asciiTheme="majorHAnsi" w:hAnsiTheme="majorHAnsi"/>
          <w:sz w:val="20"/>
          <w:szCs w:val="20"/>
        </w:rPr>
        <w:t>Ibarra</w:t>
      </w:r>
      <w:r w:rsidR="006A2E59" w:rsidRPr="00B645F5">
        <w:rPr>
          <w:rStyle w:val="s1"/>
          <w:rFonts w:asciiTheme="majorHAnsi" w:hAnsiTheme="majorHAnsi"/>
          <w:sz w:val="20"/>
          <w:szCs w:val="20"/>
        </w:rPr>
        <w:t xml:space="preserve">, who is indigent, remained unrepresented in state court until volunteer counsel entered an appearance on July </w:t>
      </w:r>
      <w:r w:rsidR="00CE49B5" w:rsidRPr="00B645F5">
        <w:rPr>
          <w:rStyle w:val="s1"/>
          <w:rFonts w:asciiTheme="majorHAnsi" w:hAnsiTheme="majorHAnsi"/>
          <w:sz w:val="20"/>
          <w:szCs w:val="20"/>
        </w:rPr>
        <w:t xml:space="preserve">18, </w:t>
      </w:r>
      <w:r w:rsidR="006A2E59" w:rsidRPr="00B645F5">
        <w:rPr>
          <w:rStyle w:val="s1"/>
          <w:rFonts w:asciiTheme="majorHAnsi" w:hAnsiTheme="majorHAnsi"/>
          <w:sz w:val="20"/>
          <w:szCs w:val="20"/>
        </w:rPr>
        <w:t xml:space="preserve">2006, a mere two months before the scheduled Atkins hearing on September </w:t>
      </w:r>
      <w:r w:rsidR="00F4510A" w:rsidRPr="00B645F5">
        <w:rPr>
          <w:rStyle w:val="s1"/>
          <w:rFonts w:asciiTheme="majorHAnsi" w:hAnsiTheme="majorHAnsi"/>
          <w:sz w:val="20"/>
          <w:szCs w:val="20"/>
        </w:rPr>
        <w:t xml:space="preserve">18, </w:t>
      </w:r>
      <w:r w:rsidR="006A2E59" w:rsidRPr="00B645F5">
        <w:rPr>
          <w:rStyle w:val="s1"/>
          <w:rFonts w:asciiTheme="majorHAnsi" w:hAnsiTheme="majorHAnsi"/>
          <w:sz w:val="20"/>
          <w:szCs w:val="20"/>
        </w:rPr>
        <w:t>2006.</w:t>
      </w:r>
    </w:p>
    <w:p w14:paraId="020BB035" w14:textId="77777777" w:rsidR="0077495B" w:rsidRPr="00B645F5" w:rsidRDefault="0077495B" w:rsidP="00DD4449">
      <w:pPr>
        <w:rPr>
          <w:rFonts w:asciiTheme="majorHAnsi" w:hAnsiTheme="majorHAnsi"/>
          <w:sz w:val="20"/>
          <w:szCs w:val="20"/>
        </w:rPr>
      </w:pPr>
    </w:p>
    <w:p w14:paraId="157391F6" w14:textId="77777777" w:rsidR="008E7D14" w:rsidRPr="00B645F5" w:rsidRDefault="00955DAE"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 petition asserts that</w:t>
      </w:r>
      <w:r w:rsidR="000A0824" w:rsidRPr="00B645F5">
        <w:rPr>
          <w:rFonts w:asciiTheme="majorHAnsi" w:hAnsiTheme="majorHAnsi"/>
          <w:sz w:val="20"/>
          <w:szCs w:val="20"/>
        </w:rPr>
        <w:t xml:space="preserve"> the post-conviction review of Mr. </w:t>
      </w:r>
      <w:r w:rsidR="00AF1A3B" w:rsidRPr="00B645F5">
        <w:rPr>
          <w:rFonts w:asciiTheme="majorHAnsi" w:hAnsiTheme="majorHAnsi"/>
          <w:sz w:val="20"/>
          <w:szCs w:val="20"/>
        </w:rPr>
        <w:t>Ibarra</w:t>
      </w:r>
      <w:r w:rsidR="000A0824" w:rsidRPr="00B645F5">
        <w:rPr>
          <w:rFonts w:asciiTheme="majorHAnsi" w:hAnsiTheme="majorHAnsi"/>
          <w:sz w:val="20"/>
          <w:szCs w:val="20"/>
        </w:rPr>
        <w:t xml:space="preserve">’s case </w:t>
      </w:r>
      <w:r w:rsidR="00875638" w:rsidRPr="00B645F5">
        <w:rPr>
          <w:rFonts w:asciiTheme="majorHAnsi" w:hAnsiTheme="majorHAnsi"/>
          <w:sz w:val="20"/>
          <w:szCs w:val="20"/>
        </w:rPr>
        <w:t>was</w:t>
      </w:r>
      <w:r w:rsidR="000A0824" w:rsidRPr="00B645F5">
        <w:rPr>
          <w:rFonts w:asciiTheme="majorHAnsi" w:hAnsiTheme="majorHAnsi"/>
          <w:sz w:val="20"/>
          <w:szCs w:val="20"/>
        </w:rPr>
        <w:t xml:space="preserve"> impermissibly tainted by racial, ethnic and national origin bias, in the form of public remarks made by one of the senior federal judges assigned to review his case. </w:t>
      </w:r>
      <w:r w:rsidR="00417524" w:rsidRPr="00B645F5">
        <w:rPr>
          <w:rFonts w:asciiTheme="majorHAnsi" w:hAnsiTheme="majorHAnsi"/>
          <w:sz w:val="20"/>
          <w:szCs w:val="20"/>
        </w:rPr>
        <w:t>It outlines that on</w:t>
      </w:r>
      <w:r w:rsidR="001001BB" w:rsidRPr="00B645F5">
        <w:rPr>
          <w:rFonts w:asciiTheme="majorHAnsi" w:hAnsiTheme="majorHAnsi"/>
          <w:sz w:val="20"/>
          <w:szCs w:val="20"/>
        </w:rPr>
        <w:t xml:space="preserve"> February </w:t>
      </w:r>
      <w:r w:rsidR="00CE49B5" w:rsidRPr="00B645F5">
        <w:rPr>
          <w:rFonts w:asciiTheme="majorHAnsi" w:hAnsiTheme="majorHAnsi"/>
          <w:sz w:val="20"/>
          <w:szCs w:val="20"/>
        </w:rPr>
        <w:t xml:space="preserve">20, </w:t>
      </w:r>
      <w:r w:rsidR="001001BB" w:rsidRPr="00B645F5">
        <w:rPr>
          <w:rFonts w:asciiTheme="majorHAnsi" w:hAnsiTheme="majorHAnsi"/>
          <w:sz w:val="20"/>
          <w:szCs w:val="20"/>
        </w:rPr>
        <w:t xml:space="preserve">2013, while Mr. </w:t>
      </w:r>
      <w:r w:rsidR="00AF1A3B" w:rsidRPr="00B645F5">
        <w:rPr>
          <w:rFonts w:asciiTheme="majorHAnsi" w:hAnsiTheme="majorHAnsi"/>
          <w:sz w:val="20"/>
          <w:szCs w:val="20"/>
        </w:rPr>
        <w:t>Ibarra</w:t>
      </w:r>
      <w:r w:rsidR="001001BB" w:rsidRPr="00B645F5">
        <w:rPr>
          <w:rFonts w:asciiTheme="majorHAnsi" w:hAnsiTheme="majorHAnsi"/>
          <w:sz w:val="20"/>
          <w:szCs w:val="20"/>
        </w:rPr>
        <w:t xml:space="preserve">’s petition for rehearing </w:t>
      </w:r>
      <w:proofErr w:type="spellStart"/>
      <w:r w:rsidR="001001BB" w:rsidRPr="00B645F5">
        <w:rPr>
          <w:rFonts w:asciiTheme="majorHAnsi" w:hAnsiTheme="majorHAnsi"/>
          <w:i/>
          <w:sz w:val="20"/>
          <w:szCs w:val="20"/>
        </w:rPr>
        <w:t>en</w:t>
      </w:r>
      <w:proofErr w:type="spellEnd"/>
      <w:r w:rsidR="001001BB" w:rsidRPr="00B645F5">
        <w:rPr>
          <w:rFonts w:asciiTheme="majorHAnsi" w:hAnsiTheme="majorHAnsi"/>
          <w:i/>
          <w:sz w:val="20"/>
          <w:szCs w:val="20"/>
        </w:rPr>
        <w:t xml:space="preserve"> banc</w:t>
      </w:r>
      <w:r w:rsidR="001001BB" w:rsidRPr="00B645F5">
        <w:rPr>
          <w:rFonts w:asciiTheme="majorHAnsi" w:hAnsiTheme="majorHAnsi"/>
          <w:sz w:val="20"/>
          <w:szCs w:val="20"/>
        </w:rPr>
        <w:t xml:space="preserve"> was pending before the U.S. Fifth Circuit Court of Appeals, Fifth Circuit Court judge Edith Jones gave a lecture on the death penalty at the University of Pennsylvania School of Law. </w:t>
      </w:r>
      <w:r w:rsidR="00417524" w:rsidRPr="00B645F5">
        <w:rPr>
          <w:rFonts w:asciiTheme="majorHAnsi" w:hAnsiTheme="majorHAnsi"/>
          <w:sz w:val="20"/>
          <w:szCs w:val="20"/>
        </w:rPr>
        <w:t xml:space="preserve">It is alleged that </w:t>
      </w:r>
      <w:r w:rsidR="006606CA" w:rsidRPr="00B645F5">
        <w:rPr>
          <w:rFonts w:asciiTheme="majorHAnsi" w:hAnsiTheme="majorHAnsi"/>
          <w:sz w:val="20"/>
          <w:szCs w:val="20"/>
        </w:rPr>
        <w:t xml:space="preserve">Judge Jones discussed several individual cases during her lecture, including Mr. </w:t>
      </w:r>
      <w:r w:rsidR="00AF1A3B" w:rsidRPr="00B645F5">
        <w:rPr>
          <w:rFonts w:asciiTheme="majorHAnsi" w:hAnsiTheme="majorHAnsi"/>
          <w:sz w:val="20"/>
          <w:szCs w:val="20"/>
        </w:rPr>
        <w:t>Ibarra</w:t>
      </w:r>
      <w:r w:rsidR="006606CA" w:rsidRPr="00B645F5">
        <w:rPr>
          <w:rFonts w:asciiTheme="majorHAnsi" w:hAnsiTheme="majorHAnsi"/>
          <w:sz w:val="20"/>
          <w:szCs w:val="20"/>
        </w:rPr>
        <w:t xml:space="preserve">’s case, over which she was presiding at the time. </w:t>
      </w:r>
      <w:r w:rsidR="001759BD" w:rsidRPr="00B645F5">
        <w:rPr>
          <w:rFonts w:asciiTheme="majorHAnsi" w:hAnsiTheme="majorHAnsi"/>
          <w:sz w:val="20"/>
          <w:szCs w:val="20"/>
        </w:rPr>
        <w:t>In particular, that d</w:t>
      </w:r>
      <w:r w:rsidR="006606CA" w:rsidRPr="00B645F5">
        <w:rPr>
          <w:rFonts w:asciiTheme="majorHAnsi" w:hAnsiTheme="majorHAnsi"/>
          <w:sz w:val="20"/>
          <w:szCs w:val="20"/>
        </w:rPr>
        <w:t xml:space="preserve">uring the lecture, Judge Jones reportedly made several statements creating the appearance of bias and partiality against Mr. </w:t>
      </w:r>
      <w:r w:rsidR="00AF1A3B" w:rsidRPr="00B645F5">
        <w:rPr>
          <w:rFonts w:asciiTheme="majorHAnsi" w:hAnsiTheme="majorHAnsi"/>
          <w:sz w:val="20"/>
          <w:szCs w:val="20"/>
        </w:rPr>
        <w:t>Ibarra</w:t>
      </w:r>
      <w:r w:rsidR="006606CA" w:rsidRPr="00B645F5">
        <w:rPr>
          <w:rFonts w:asciiTheme="majorHAnsi" w:hAnsiTheme="majorHAnsi"/>
          <w:sz w:val="20"/>
          <w:szCs w:val="20"/>
        </w:rPr>
        <w:t xml:space="preserve">, including statements suggesting racial, ethnic and national origin bias, while denigrating the intellectual disability and consular rights claims raised by Mr. </w:t>
      </w:r>
      <w:r w:rsidR="00AF1A3B" w:rsidRPr="00B645F5">
        <w:rPr>
          <w:rFonts w:asciiTheme="majorHAnsi" w:hAnsiTheme="majorHAnsi"/>
          <w:sz w:val="20"/>
          <w:szCs w:val="20"/>
        </w:rPr>
        <w:t>Ibarra</w:t>
      </w:r>
      <w:r w:rsidR="00D90321" w:rsidRPr="00B645F5">
        <w:rPr>
          <w:rFonts w:asciiTheme="majorHAnsi" w:hAnsiTheme="majorHAnsi"/>
          <w:sz w:val="20"/>
          <w:szCs w:val="20"/>
        </w:rPr>
        <w:t>.</w:t>
      </w:r>
    </w:p>
    <w:p w14:paraId="0DB34065" w14:textId="77777777" w:rsidR="007D6555" w:rsidRPr="00B645F5" w:rsidRDefault="007D6555" w:rsidP="007D6555">
      <w:pPr>
        <w:pStyle w:val="ListParagraph"/>
        <w:rPr>
          <w:rFonts w:asciiTheme="majorHAnsi" w:hAnsiTheme="majorHAnsi"/>
          <w:sz w:val="20"/>
          <w:szCs w:val="20"/>
        </w:rPr>
      </w:pPr>
    </w:p>
    <w:p w14:paraId="30BA2BBF" w14:textId="77777777" w:rsidR="005D36B6" w:rsidRPr="00B645F5" w:rsidRDefault="007D6555" w:rsidP="000A08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 petitioners provided references to alleged statements made by Jud</w:t>
      </w:r>
      <w:r w:rsidR="0008160C" w:rsidRPr="00B645F5">
        <w:rPr>
          <w:rFonts w:asciiTheme="majorHAnsi" w:hAnsiTheme="majorHAnsi"/>
          <w:sz w:val="20"/>
          <w:szCs w:val="20"/>
        </w:rPr>
        <w:t>g</w:t>
      </w:r>
      <w:r w:rsidRPr="00B645F5">
        <w:rPr>
          <w:rFonts w:asciiTheme="majorHAnsi" w:hAnsiTheme="majorHAnsi"/>
          <w:sz w:val="20"/>
          <w:szCs w:val="20"/>
        </w:rPr>
        <w:t>e Jones</w:t>
      </w:r>
      <w:r w:rsidR="002B1021" w:rsidRPr="00B645F5">
        <w:rPr>
          <w:rFonts w:asciiTheme="majorHAnsi" w:hAnsiTheme="majorHAnsi"/>
          <w:sz w:val="20"/>
          <w:szCs w:val="20"/>
        </w:rPr>
        <w:t xml:space="preserve"> in support of this claim</w:t>
      </w:r>
      <w:r w:rsidRPr="00B645F5">
        <w:rPr>
          <w:rFonts w:asciiTheme="majorHAnsi" w:hAnsiTheme="majorHAnsi"/>
          <w:sz w:val="20"/>
          <w:szCs w:val="20"/>
        </w:rPr>
        <w:t>, as follows</w:t>
      </w:r>
      <w:r w:rsidR="00416E01" w:rsidRPr="00B645F5">
        <w:rPr>
          <w:rFonts w:asciiTheme="majorHAnsi" w:hAnsiTheme="majorHAnsi"/>
          <w:sz w:val="20"/>
          <w:szCs w:val="20"/>
        </w:rPr>
        <w:t>:</w:t>
      </w:r>
    </w:p>
    <w:p w14:paraId="712D1C0B" w14:textId="77777777" w:rsidR="005D36B6" w:rsidRPr="00B645F5" w:rsidRDefault="005D36B6" w:rsidP="005D36B6">
      <w:pPr>
        <w:pStyle w:val="ListParagraph"/>
        <w:rPr>
          <w:rFonts w:asciiTheme="majorHAnsi" w:hAnsiTheme="majorHAnsi"/>
          <w:sz w:val="20"/>
          <w:szCs w:val="20"/>
        </w:rPr>
      </w:pPr>
    </w:p>
    <w:p w14:paraId="6A99D425" w14:textId="77777777" w:rsidR="005D36B6" w:rsidRPr="00B645F5" w:rsidRDefault="005D36B6" w:rsidP="001726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180" w:right="360"/>
        <w:jc w:val="both"/>
        <w:rPr>
          <w:rFonts w:asciiTheme="majorHAnsi" w:hAnsiTheme="majorHAnsi"/>
          <w:sz w:val="16"/>
          <w:szCs w:val="16"/>
        </w:rPr>
      </w:pPr>
      <w:r w:rsidRPr="00B645F5">
        <w:rPr>
          <w:rFonts w:asciiTheme="majorHAnsi" w:hAnsiTheme="majorHAnsi"/>
          <w:sz w:val="16"/>
          <w:szCs w:val="16"/>
        </w:rPr>
        <w:t>“[R]</w:t>
      </w:r>
      <w:proofErr w:type="spellStart"/>
      <w:r w:rsidRPr="00B645F5">
        <w:rPr>
          <w:rFonts w:asciiTheme="majorHAnsi" w:hAnsiTheme="majorHAnsi"/>
          <w:sz w:val="16"/>
          <w:szCs w:val="16"/>
        </w:rPr>
        <w:t>acial</w:t>
      </w:r>
      <w:proofErr w:type="spellEnd"/>
      <w:r w:rsidRPr="00B645F5">
        <w:rPr>
          <w:rFonts w:asciiTheme="majorHAnsi" w:hAnsiTheme="majorHAnsi"/>
          <w:sz w:val="16"/>
          <w:szCs w:val="16"/>
        </w:rPr>
        <w:t xml:space="preserve"> groups like African Americans and Hispanics are predisposed to crime,” are “‘prone’ to commit acts of violence,” and get involved in more violent and “heinous” crimes than people of other races, ethnicities, and nationalities;</w:t>
      </w:r>
    </w:p>
    <w:p w14:paraId="2A6C7CEA" w14:textId="77777777" w:rsidR="005D36B6" w:rsidRPr="00B645F5" w:rsidRDefault="005D36B6" w:rsidP="001726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180" w:right="360"/>
        <w:jc w:val="both"/>
        <w:rPr>
          <w:rFonts w:asciiTheme="majorHAnsi" w:hAnsiTheme="majorHAnsi"/>
          <w:sz w:val="16"/>
          <w:szCs w:val="16"/>
        </w:rPr>
      </w:pPr>
      <w:r w:rsidRPr="00B645F5">
        <w:rPr>
          <w:rFonts w:asciiTheme="majorHAnsi" w:hAnsiTheme="majorHAnsi"/>
          <w:sz w:val="16"/>
          <w:szCs w:val="16"/>
        </w:rPr>
        <w:t>Mexico does not provide the legal protections within its criminal justice system that a Mexican national facing a death sentence in the United States would receive;</w:t>
      </w:r>
    </w:p>
    <w:p w14:paraId="1F00DEF2" w14:textId="77777777" w:rsidR="005D36B6" w:rsidRPr="00B645F5" w:rsidRDefault="005D36B6" w:rsidP="00925C6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180" w:right="360"/>
        <w:jc w:val="both"/>
        <w:rPr>
          <w:rFonts w:asciiTheme="majorHAnsi" w:hAnsiTheme="majorHAnsi"/>
          <w:sz w:val="16"/>
          <w:szCs w:val="16"/>
        </w:rPr>
      </w:pPr>
      <w:r w:rsidRPr="00B645F5">
        <w:rPr>
          <w:rFonts w:asciiTheme="majorHAnsi" w:hAnsiTheme="majorHAnsi"/>
          <w:sz w:val="16"/>
          <w:szCs w:val="16"/>
        </w:rPr>
        <w:t xml:space="preserve">Mexican nationals on death row, such as Mr. </w:t>
      </w:r>
      <w:r w:rsidR="004F76C4" w:rsidRPr="00B645F5">
        <w:rPr>
          <w:rFonts w:asciiTheme="majorHAnsi" w:hAnsiTheme="majorHAnsi"/>
          <w:sz w:val="16"/>
          <w:szCs w:val="16"/>
        </w:rPr>
        <w:t>Ibarra</w:t>
      </w:r>
      <w:r w:rsidRPr="00B645F5">
        <w:rPr>
          <w:rFonts w:asciiTheme="majorHAnsi" w:hAnsiTheme="majorHAnsi"/>
          <w:sz w:val="16"/>
          <w:szCs w:val="16"/>
        </w:rPr>
        <w:t>, would prefer to be on death row in the United States than in prison in Mexico;</w:t>
      </w:r>
      <w:r w:rsidR="005826CF" w:rsidRPr="00B645F5">
        <w:rPr>
          <w:rFonts w:asciiTheme="majorHAnsi" w:hAnsiTheme="majorHAnsi"/>
          <w:sz w:val="16"/>
          <w:szCs w:val="16"/>
        </w:rPr>
        <w:t>”</w:t>
      </w:r>
    </w:p>
    <w:p w14:paraId="7F75BDC1" w14:textId="77777777" w:rsidR="005D36B6" w:rsidRPr="00B645F5" w:rsidRDefault="005D36B6" w:rsidP="005D36B6">
      <w:pPr>
        <w:pStyle w:val="ListParagraph"/>
        <w:rPr>
          <w:rFonts w:asciiTheme="majorHAnsi" w:hAnsiTheme="majorHAnsi"/>
          <w:sz w:val="20"/>
          <w:szCs w:val="20"/>
        </w:rPr>
      </w:pPr>
    </w:p>
    <w:p w14:paraId="62FD9F21" w14:textId="32CAF896" w:rsidR="005C3319" w:rsidRPr="00B645F5" w:rsidRDefault="0033244D" w:rsidP="005C33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The </w:t>
      </w:r>
      <w:r w:rsidR="00F867F1" w:rsidRPr="00B645F5">
        <w:rPr>
          <w:rFonts w:asciiTheme="majorHAnsi" w:hAnsiTheme="majorHAnsi"/>
          <w:sz w:val="20"/>
          <w:szCs w:val="20"/>
        </w:rPr>
        <w:t>J</w:t>
      </w:r>
      <w:r w:rsidRPr="00B645F5">
        <w:rPr>
          <w:rFonts w:asciiTheme="majorHAnsi" w:hAnsiTheme="majorHAnsi"/>
          <w:sz w:val="20"/>
          <w:szCs w:val="20"/>
        </w:rPr>
        <w:t xml:space="preserve">udicial </w:t>
      </w:r>
      <w:r w:rsidR="00F867F1" w:rsidRPr="00B645F5">
        <w:rPr>
          <w:rFonts w:asciiTheme="majorHAnsi" w:hAnsiTheme="majorHAnsi"/>
          <w:sz w:val="20"/>
          <w:szCs w:val="20"/>
        </w:rPr>
        <w:t>C</w:t>
      </w:r>
      <w:r w:rsidRPr="00B645F5">
        <w:rPr>
          <w:rFonts w:asciiTheme="majorHAnsi" w:hAnsiTheme="majorHAnsi"/>
          <w:sz w:val="20"/>
          <w:szCs w:val="20"/>
        </w:rPr>
        <w:t xml:space="preserve">ouncil of the </w:t>
      </w:r>
      <w:r w:rsidR="001E745D" w:rsidRPr="00B645F5">
        <w:rPr>
          <w:rFonts w:asciiTheme="majorHAnsi" w:hAnsiTheme="majorHAnsi"/>
          <w:sz w:val="20"/>
          <w:szCs w:val="20"/>
        </w:rPr>
        <w:t>United States</w:t>
      </w:r>
      <w:r w:rsidRPr="00B645F5">
        <w:rPr>
          <w:rFonts w:asciiTheme="majorHAnsi" w:hAnsiTheme="majorHAnsi"/>
          <w:sz w:val="20"/>
          <w:szCs w:val="20"/>
        </w:rPr>
        <w:t xml:space="preserve"> received a complaint in respect of those comments made at the lecture </w:t>
      </w:r>
      <w:r w:rsidR="002F4A47" w:rsidRPr="00B645F5">
        <w:rPr>
          <w:rFonts w:asciiTheme="majorHAnsi" w:hAnsiTheme="majorHAnsi"/>
          <w:sz w:val="20"/>
          <w:szCs w:val="20"/>
        </w:rPr>
        <w:t xml:space="preserve">by several </w:t>
      </w:r>
      <w:r w:rsidR="0007354F" w:rsidRPr="00B645F5">
        <w:rPr>
          <w:rFonts w:asciiTheme="majorHAnsi" w:hAnsiTheme="majorHAnsi"/>
          <w:sz w:val="20"/>
          <w:szCs w:val="20"/>
        </w:rPr>
        <w:t xml:space="preserve">legal aid and </w:t>
      </w:r>
      <w:r w:rsidR="002F4A47" w:rsidRPr="00B645F5">
        <w:rPr>
          <w:rFonts w:asciiTheme="majorHAnsi" w:hAnsiTheme="majorHAnsi"/>
          <w:sz w:val="20"/>
          <w:szCs w:val="20"/>
        </w:rPr>
        <w:t xml:space="preserve">civil </w:t>
      </w:r>
      <w:r w:rsidR="0007354F" w:rsidRPr="00B645F5">
        <w:rPr>
          <w:rFonts w:asciiTheme="majorHAnsi" w:hAnsiTheme="majorHAnsi"/>
          <w:sz w:val="20"/>
          <w:szCs w:val="20"/>
        </w:rPr>
        <w:t>liberty</w:t>
      </w:r>
      <w:r w:rsidR="002F4A47" w:rsidRPr="00B645F5">
        <w:rPr>
          <w:rFonts w:asciiTheme="majorHAnsi" w:hAnsiTheme="majorHAnsi"/>
          <w:sz w:val="20"/>
          <w:szCs w:val="20"/>
        </w:rPr>
        <w:t xml:space="preserve"> groups, </w:t>
      </w:r>
      <w:r w:rsidRPr="00B645F5">
        <w:rPr>
          <w:rFonts w:asciiTheme="majorHAnsi" w:hAnsiTheme="majorHAnsi"/>
          <w:sz w:val="20"/>
          <w:szCs w:val="20"/>
        </w:rPr>
        <w:t xml:space="preserve">and </w:t>
      </w:r>
      <w:r w:rsidR="00F867F1" w:rsidRPr="00B645F5">
        <w:rPr>
          <w:rFonts w:asciiTheme="majorHAnsi" w:hAnsiTheme="majorHAnsi"/>
          <w:sz w:val="20"/>
          <w:szCs w:val="20"/>
        </w:rPr>
        <w:t xml:space="preserve">the Special Committee </w:t>
      </w:r>
      <w:r w:rsidRPr="00B645F5">
        <w:rPr>
          <w:rFonts w:asciiTheme="majorHAnsi" w:hAnsiTheme="majorHAnsi"/>
          <w:sz w:val="20"/>
          <w:szCs w:val="20"/>
        </w:rPr>
        <w:t>began an investigation</w:t>
      </w:r>
      <w:r w:rsidR="009D7076" w:rsidRPr="00B645F5">
        <w:rPr>
          <w:rFonts w:asciiTheme="majorHAnsi" w:hAnsiTheme="majorHAnsi"/>
          <w:sz w:val="20"/>
          <w:szCs w:val="20"/>
        </w:rPr>
        <w:t xml:space="preserve">. </w:t>
      </w:r>
      <w:r w:rsidR="00CE49B5" w:rsidRPr="00B645F5">
        <w:rPr>
          <w:rFonts w:asciiTheme="majorHAnsi" w:hAnsiTheme="majorHAnsi"/>
          <w:sz w:val="20"/>
          <w:szCs w:val="20"/>
        </w:rPr>
        <w:t>However,</w:t>
      </w:r>
      <w:r w:rsidRPr="00B645F5">
        <w:rPr>
          <w:rFonts w:asciiTheme="majorHAnsi" w:hAnsiTheme="majorHAnsi"/>
          <w:sz w:val="20"/>
          <w:szCs w:val="20"/>
        </w:rPr>
        <w:t xml:space="preserve"> </w:t>
      </w:r>
      <w:r w:rsidR="001E745D" w:rsidRPr="00B645F5">
        <w:rPr>
          <w:rFonts w:asciiTheme="majorHAnsi" w:hAnsiTheme="majorHAnsi"/>
          <w:sz w:val="20"/>
          <w:szCs w:val="20"/>
        </w:rPr>
        <w:t>o</w:t>
      </w:r>
      <w:r w:rsidRPr="00B645F5">
        <w:rPr>
          <w:rFonts w:asciiTheme="majorHAnsi" w:hAnsiTheme="majorHAnsi"/>
          <w:sz w:val="20"/>
          <w:szCs w:val="20"/>
        </w:rPr>
        <w:t xml:space="preserve">n July </w:t>
      </w:r>
      <w:proofErr w:type="gramStart"/>
      <w:r w:rsidR="00CE49B5" w:rsidRPr="00B645F5">
        <w:rPr>
          <w:rFonts w:asciiTheme="majorHAnsi" w:hAnsiTheme="majorHAnsi"/>
          <w:sz w:val="20"/>
          <w:szCs w:val="20"/>
        </w:rPr>
        <w:t xml:space="preserve">7,  </w:t>
      </w:r>
      <w:r w:rsidRPr="00B645F5">
        <w:rPr>
          <w:rFonts w:asciiTheme="majorHAnsi" w:hAnsiTheme="majorHAnsi"/>
          <w:sz w:val="20"/>
          <w:szCs w:val="20"/>
        </w:rPr>
        <w:t>2014</w:t>
      </w:r>
      <w:proofErr w:type="gramEnd"/>
      <w:r w:rsidRPr="00B645F5">
        <w:rPr>
          <w:rFonts w:asciiTheme="majorHAnsi" w:hAnsiTheme="majorHAnsi"/>
          <w:sz w:val="20"/>
          <w:szCs w:val="20"/>
        </w:rPr>
        <w:t>, the Special Committee issued a report detailing its findings and recommend</w:t>
      </w:r>
      <w:r w:rsidR="00F867F1" w:rsidRPr="00B645F5">
        <w:rPr>
          <w:rFonts w:asciiTheme="majorHAnsi" w:hAnsiTheme="majorHAnsi"/>
          <w:sz w:val="20"/>
          <w:szCs w:val="20"/>
        </w:rPr>
        <w:t xml:space="preserve">ed </w:t>
      </w:r>
      <w:r w:rsidRPr="00B645F5">
        <w:rPr>
          <w:rFonts w:asciiTheme="majorHAnsi" w:hAnsiTheme="majorHAnsi"/>
          <w:sz w:val="20"/>
          <w:szCs w:val="20"/>
        </w:rPr>
        <w:t>that th</w:t>
      </w:r>
      <w:r w:rsidR="00CE49B5" w:rsidRPr="00B645F5">
        <w:rPr>
          <w:rFonts w:asciiTheme="majorHAnsi" w:hAnsiTheme="majorHAnsi"/>
          <w:sz w:val="20"/>
          <w:szCs w:val="20"/>
        </w:rPr>
        <w:t>e Judicial Council dismiss the c</w:t>
      </w:r>
      <w:r w:rsidRPr="00B645F5">
        <w:rPr>
          <w:rFonts w:asciiTheme="majorHAnsi" w:hAnsiTheme="majorHAnsi"/>
          <w:sz w:val="20"/>
          <w:szCs w:val="20"/>
        </w:rPr>
        <w:t xml:space="preserve">omplaint. </w:t>
      </w:r>
      <w:r w:rsidR="007945A3" w:rsidRPr="00B645F5">
        <w:rPr>
          <w:rFonts w:asciiTheme="majorHAnsi" w:hAnsiTheme="majorHAnsi"/>
          <w:sz w:val="20"/>
          <w:szCs w:val="20"/>
        </w:rPr>
        <w:t>The petitioners claim that a</w:t>
      </w:r>
      <w:r w:rsidR="005C3319" w:rsidRPr="00B645F5">
        <w:rPr>
          <w:rFonts w:asciiTheme="majorHAnsi" w:hAnsiTheme="majorHAnsi"/>
          <w:sz w:val="20"/>
          <w:szCs w:val="20"/>
        </w:rPr>
        <w:t xml:space="preserve"> biased and self-protecting review of the judicial misconduct claim </w:t>
      </w:r>
      <w:r w:rsidR="00C1705A" w:rsidRPr="00B645F5">
        <w:rPr>
          <w:rFonts w:asciiTheme="majorHAnsi" w:hAnsiTheme="majorHAnsi"/>
          <w:sz w:val="20"/>
          <w:szCs w:val="20"/>
        </w:rPr>
        <w:t xml:space="preserve">was done </w:t>
      </w:r>
      <w:r w:rsidR="005C3319" w:rsidRPr="00B645F5">
        <w:rPr>
          <w:rFonts w:asciiTheme="majorHAnsi" w:hAnsiTheme="majorHAnsi"/>
          <w:sz w:val="20"/>
          <w:szCs w:val="20"/>
        </w:rPr>
        <w:t xml:space="preserve">by a panel of senior judges. </w:t>
      </w:r>
      <w:r w:rsidR="00C1705A" w:rsidRPr="00B645F5">
        <w:rPr>
          <w:rFonts w:asciiTheme="majorHAnsi" w:hAnsiTheme="majorHAnsi"/>
          <w:sz w:val="20"/>
          <w:szCs w:val="20"/>
        </w:rPr>
        <w:t>Notably, that c</w:t>
      </w:r>
      <w:r w:rsidR="005C3319" w:rsidRPr="00B645F5">
        <w:rPr>
          <w:rFonts w:asciiTheme="majorHAnsi" w:hAnsiTheme="majorHAnsi"/>
          <w:sz w:val="20"/>
          <w:szCs w:val="20"/>
        </w:rPr>
        <w:t xml:space="preserve">omplainants were denied access to the materials that the Special Committee relied on as more credible than the many sworn affidavits supporting </w:t>
      </w:r>
      <w:r w:rsidR="005C3319" w:rsidRPr="00B645F5">
        <w:rPr>
          <w:rFonts w:asciiTheme="majorHAnsi" w:hAnsiTheme="majorHAnsi"/>
          <w:sz w:val="20"/>
          <w:szCs w:val="20"/>
        </w:rPr>
        <w:lastRenderedPageBreak/>
        <w:t xml:space="preserve">their complaint. </w:t>
      </w:r>
      <w:r w:rsidR="00981DB8" w:rsidRPr="00B645F5">
        <w:rPr>
          <w:rFonts w:asciiTheme="majorHAnsi" w:hAnsiTheme="majorHAnsi"/>
          <w:sz w:val="20"/>
          <w:szCs w:val="20"/>
        </w:rPr>
        <w:t>It is submitted that the</w:t>
      </w:r>
      <w:r w:rsidR="00CE49B5" w:rsidRPr="00B645F5">
        <w:rPr>
          <w:rFonts w:asciiTheme="majorHAnsi" w:hAnsiTheme="majorHAnsi"/>
          <w:sz w:val="20"/>
          <w:szCs w:val="20"/>
        </w:rPr>
        <w:t xml:space="preserve"> alleged</w:t>
      </w:r>
      <w:r w:rsidR="005C3319" w:rsidRPr="00B645F5">
        <w:rPr>
          <w:rFonts w:asciiTheme="majorHAnsi" w:hAnsiTheme="majorHAnsi"/>
          <w:sz w:val="20"/>
          <w:szCs w:val="20"/>
        </w:rPr>
        <w:t xml:space="preserve"> flawed process was plainly insufficient to afford “adequate and effective remedies” for the alleged violations of Mr. </w:t>
      </w:r>
      <w:r w:rsidR="004F76C4" w:rsidRPr="00B645F5">
        <w:rPr>
          <w:rFonts w:asciiTheme="majorHAnsi" w:hAnsiTheme="majorHAnsi"/>
          <w:sz w:val="20"/>
          <w:szCs w:val="20"/>
        </w:rPr>
        <w:t>Ibarra</w:t>
      </w:r>
      <w:r w:rsidR="005C3319" w:rsidRPr="00B645F5">
        <w:rPr>
          <w:rFonts w:asciiTheme="majorHAnsi" w:hAnsiTheme="majorHAnsi"/>
          <w:sz w:val="20"/>
          <w:szCs w:val="20"/>
        </w:rPr>
        <w:t xml:space="preserve">’s rights. </w:t>
      </w:r>
      <w:r w:rsidR="00DD3B15" w:rsidRPr="00B645F5">
        <w:rPr>
          <w:rFonts w:asciiTheme="majorHAnsi" w:hAnsiTheme="majorHAnsi"/>
          <w:sz w:val="20"/>
          <w:szCs w:val="20"/>
        </w:rPr>
        <w:t>Moreover</w:t>
      </w:r>
      <w:r w:rsidR="00CE49B5" w:rsidRPr="00B645F5">
        <w:rPr>
          <w:rFonts w:asciiTheme="majorHAnsi" w:hAnsiTheme="majorHAnsi"/>
          <w:sz w:val="20"/>
          <w:szCs w:val="20"/>
        </w:rPr>
        <w:t>,</w:t>
      </w:r>
      <w:r w:rsidR="00DD3B15" w:rsidRPr="00B645F5">
        <w:rPr>
          <w:rFonts w:asciiTheme="majorHAnsi" w:hAnsiTheme="majorHAnsi"/>
          <w:sz w:val="20"/>
          <w:szCs w:val="20"/>
        </w:rPr>
        <w:t xml:space="preserve"> that the</w:t>
      </w:r>
      <w:r w:rsidR="005C3319" w:rsidRPr="00B645F5">
        <w:rPr>
          <w:rFonts w:asciiTheme="majorHAnsi" w:hAnsiTheme="majorHAnsi"/>
          <w:sz w:val="20"/>
          <w:szCs w:val="20"/>
        </w:rPr>
        <w:t xml:space="preserve"> procedure for reviewing the judicial misconduct complaint violated Mr. </w:t>
      </w:r>
      <w:r w:rsidR="004F76C4" w:rsidRPr="00B645F5">
        <w:rPr>
          <w:rFonts w:asciiTheme="majorHAnsi" w:hAnsiTheme="majorHAnsi"/>
          <w:sz w:val="20"/>
          <w:szCs w:val="20"/>
        </w:rPr>
        <w:t>Ibarra</w:t>
      </w:r>
      <w:r w:rsidR="005C3319" w:rsidRPr="00B645F5">
        <w:rPr>
          <w:rFonts w:asciiTheme="majorHAnsi" w:hAnsiTheme="majorHAnsi"/>
          <w:sz w:val="20"/>
          <w:szCs w:val="20"/>
        </w:rPr>
        <w:t xml:space="preserve">’s right to a fair review and effective remedies. </w:t>
      </w:r>
    </w:p>
    <w:p w14:paraId="36CEA54F" w14:textId="77777777" w:rsidR="00C15662" w:rsidRPr="00B645F5" w:rsidRDefault="00C15662" w:rsidP="00C1566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193516B" w14:textId="77777777" w:rsidR="00E73510" w:rsidRPr="00B645F5" w:rsidRDefault="0033244D" w:rsidP="00E735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On August </w:t>
      </w:r>
      <w:r w:rsidR="00325A45" w:rsidRPr="00B645F5">
        <w:rPr>
          <w:rFonts w:asciiTheme="majorHAnsi" w:hAnsiTheme="majorHAnsi"/>
          <w:sz w:val="20"/>
          <w:szCs w:val="20"/>
        </w:rPr>
        <w:t xml:space="preserve">12, </w:t>
      </w:r>
      <w:r w:rsidRPr="00B645F5">
        <w:rPr>
          <w:rFonts w:asciiTheme="majorHAnsi" w:hAnsiTheme="majorHAnsi"/>
          <w:sz w:val="20"/>
          <w:szCs w:val="20"/>
        </w:rPr>
        <w:t>2014, the Judicial Council adopted the Special Committee’s report and recommendation.</w:t>
      </w:r>
      <w:r w:rsidR="007D27C2" w:rsidRPr="00B645F5">
        <w:rPr>
          <w:rFonts w:asciiTheme="majorHAnsi" w:hAnsiTheme="majorHAnsi"/>
          <w:sz w:val="20"/>
          <w:szCs w:val="20"/>
        </w:rPr>
        <w:t xml:space="preserve"> </w:t>
      </w:r>
      <w:r w:rsidR="003B1624" w:rsidRPr="00B645F5">
        <w:rPr>
          <w:rFonts w:asciiTheme="majorHAnsi" w:hAnsiTheme="majorHAnsi"/>
          <w:sz w:val="20"/>
          <w:szCs w:val="20"/>
        </w:rPr>
        <w:t xml:space="preserve">On October </w:t>
      </w:r>
      <w:r w:rsidR="00325A45" w:rsidRPr="00B645F5">
        <w:rPr>
          <w:rFonts w:asciiTheme="majorHAnsi" w:hAnsiTheme="majorHAnsi"/>
          <w:sz w:val="20"/>
          <w:szCs w:val="20"/>
        </w:rPr>
        <w:t xml:space="preserve">14, </w:t>
      </w:r>
      <w:r w:rsidR="003B1624" w:rsidRPr="00B645F5">
        <w:rPr>
          <w:rFonts w:asciiTheme="majorHAnsi" w:hAnsiTheme="majorHAnsi"/>
          <w:sz w:val="20"/>
          <w:szCs w:val="20"/>
        </w:rPr>
        <w:t>20</w:t>
      </w:r>
      <w:r w:rsidR="00653524" w:rsidRPr="00B645F5">
        <w:rPr>
          <w:rFonts w:asciiTheme="majorHAnsi" w:hAnsiTheme="majorHAnsi"/>
          <w:sz w:val="20"/>
          <w:szCs w:val="20"/>
        </w:rPr>
        <w:t>14, the c</w:t>
      </w:r>
      <w:r w:rsidR="003B1624" w:rsidRPr="00B645F5">
        <w:rPr>
          <w:rFonts w:asciiTheme="majorHAnsi" w:hAnsiTheme="majorHAnsi"/>
          <w:sz w:val="20"/>
          <w:szCs w:val="20"/>
        </w:rPr>
        <w:t>omplainants filed an appeal with the Committee on Judicial Conduct and Disability, seeking reversal of the Judicial Cou</w:t>
      </w:r>
      <w:r w:rsidR="00653524" w:rsidRPr="00B645F5">
        <w:rPr>
          <w:rFonts w:asciiTheme="majorHAnsi" w:hAnsiTheme="majorHAnsi"/>
          <w:sz w:val="20"/>
          <w:szCs w:val="20"/>
        </w:rPr>
        <w:t>ncil’s decision dismissing the c</w:t>
      </w:r>
      <w:r w:rsidR="003B1624" w:rsidRPr="00B645F5">
        <w:rPr>
          <w:rFonts w:asciiTheme="majorHAnsi" w:hAnsiTheme="majorHAnsi"/>
          <w:sz w:val="20"/>
          <w:szCs w:val="20"/>
        </w:rPr>
        <w:t>omplaint.</w:t>
      </w:r>
      <w:r w:rsidR="00EF02AF" w:rsidRPr="00B645F5">
        <w:rPr>
          <w:rFonts w:asciiTheme="majorHAnsi" w:hAnsiTheme="majorHAnsi"/>
          <w:sz w:val="20"/>
          <w:szCs w:val="20"/>
        </w:rPr>
        <w:t xml:space="preserve"> On February</w:t>
      </w:r>
      <w:r w:rsidR="00653524" w:rsidRPr="00B645F5">
        <w:rPr>
          <w:rFonts w:asciiTheme="majorHAnsi" w:hAnsiTheme="majorHAnsi"/>
          <w:sz w:val="20"/>
          <w:szCs w:val="20"/>
        </w:rPr>
        <w:t xml:space="preserve"> 19,</w:t>
      </w:r>
      <w:r w:rsidR="00EF02AF" w:rsidRPr="00B645F5">
        <w:rPr>
          <w:rFonts w:asciiTheme="majorHAnsi" w:hAnsiTheme="majorHAnsi"/>
          <w:sz w:val="20"/>
          <w:szCs w:val="20"/>
        </w:rPr>
        <w:t xml:space="preserve"> 2015, the Committee on Judicial Conduct and Disability dismissed the appeal and affirmed the Judicial Council’s decision</w:t>
      </w:r>
      <w:r w:rsidR="009B1D39" w:rsidRPr="00B645F5">
        <w:rPr>
          <w:rFonts w:asciiTheme="majorHAnsi" w:hAnsiTheme="majorHAnsi"/>
          <w:sz w:val="20"/>
          <w:szCs w:val="20"/>
        </w:rPr>
        <w:t>.</w:t>
      </w:r>
      <w:r w:rsidR="00927D8E" w:rsidRPr="00B645F5">
        <w:rPr>
          <w:rFonts w:asciiTheme="majorHAnsi" w:hAnsiTheme="majorHAnsi"/>
          <w:sz w:val="20"/>
          <w:szCs w:val="20"/>
        </w:rPr>
        <w:t xml:space="preserve"> </w:t>
      </w:r>
    </w:p>
    <w:p w14:paraId="449B77C3" w14:textId="77777777" w:rsidR="00E73510" w:rsidRPr="00B645F5" w:rsidRDefault="00E73510" w:rsidP="00E73510">
      <w:pPr>
        <w:pStyle w:val="ListParagraph"/>
        <w:rPr>
          <w:rFonts w:asciiTheme="majorHAnsi" w:hAnsiTheme="majorHAnsi"/>
          <w:sz w:val="20"/>
          <w:szCs w:val="20"/>
        </w:rPr>
      </w:pPr>
    </w:p>
    <w:p w14:paraId="208849BF" w14:textId="4183E00C" w:rsidR="00063366" w:rsidRPr="00B645F5" w:rsidRDefault="00E73510"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The petitioners allege that the complainants were denied access to the materials that the Special Committee relied on as more credible than the many sworn affidavits supporting their complaint. They were not allowed to testify at or even attend the hearing into their complaint, nor could they question the judge, nor were they provided with the investigative report and supplemental reports prepared by Special Counsel for the Committee. They assert that when the complainants appealed the dismissal on the grounds that the proceedings were egregiously </w:t>
      </w:r>
      <w:proofErr w:type="spellStart"/>
      <w:r w:rsidRPr="00B645F5">
        <w:rPr>
          <w:rFonts w:asciiTheme="majorHAnsi" w:hAnsiTheme="majorHAnsi"/>
          <w:sz w:val="20"/>
          <w:szCs w:val="20"/>
        </w:rPr>
        <w:t>onesided</w:t>
      </w:r>
      <w:proofErr w:type="spellEnd"/>
      <w:r w:rsidRPr="00B645F5">
        <w:rPr>
          <w:rFonts w:asciiTheme="majorHAnsi" w:hAnsiTheme="majorHAnsi"/>
          <w:sz w:val="20"/>
          <w:szCs w:val="20"/>
        </w:rPr>
        <w:t xml:space="preserve"> and fundamentally unfair, their appeal was rejected on the ground that the procedures followed by the Special Committee were consistent with the governing rules established by the Committee on Judicial Conduct and Disability, without inquiry into the propriety or sufficiency of those rules.</w:t>
      </w:r>
      <w:r w:rsidR="00063366" w:rsidRPr="00B645F5">
        <w:rPr>
          <w:rFonts w:asciiTheme="majorHAnsi" w:hAnsiTheme="majorHAnsi"/>
          <w:sz w:val="20"/>
          <w:szCs w:val="20"/>
        </w:rPr>
        <w:t xml:space="preserve"> Petitioners assert that the secretive and selective adjudication of the misconduct allegations never addressed the weight of the complainants’ sworn evidence or explained why it should be discounted. The only remedial mechanism available under domestic law, according to the petitioners, was thus both ineffectual and left the strong impression of partiality</w:t>
      </w:r>
      <w:r w:rsidR="002934A7" w:rsidRPr="00B645F5">
        <w:rPr>
          <w:rFonts w:asciiTheme="majorHAnsi" w:hAnsiTheme="majorHAnsi"/>
          <w:sz w:val="20"/>
          <w:szCs w:val="20"/>
        </w:rPr>
        <w:t xml:space="preserve"> and t</w:t>
      </w:r>
      <w:r w:rsidR="00063366" w:rsidRPr="00B645F5">
        <w:rPr>
          <w:rFonts w:asciiTheme="majorHAnsi" w:hAnsiTheme="majorHAnsi"/>
          <w:sz w:val="20"/>
          <w:szCs w:val="20"/>
        </w:rPr>
        <w:t>his deeply flawed process was plainly insufficient to afford “adequate and effective remedies.”</w:t>
      </w:r>
    </w:p>
    <w:p w14:paraId="721FC743" w14:textId="77777777" w:rsidR="00E73510" w:rsidRPr="00B645F5" w:rsidRDefault="00E73510" w:rsidP="00E73510">
      <w:pPr>
        <w:pStyle w:val="ListParagraph"/>
        <w:rPr>
          <w:rFonts w:asciiTheme="majorHAnsi" w:hAnsiTheme="majorHAnsi"/>
          <w:sz w:val="20"/>
          <w:szCs w:val="20"/>
        </w:rPr>
      </w:pPr>
    </w:p>
    <w:p w14:paraId="30A885E4" w14:textId="0C3676F4" w:rsidR="00DE47ED" w:rsidRPr="00B645F5" w:rsidRDefault="00653524" w:rsidP="000A08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According to the petitioners, </w:t>
      </w:r>
      <w:r w:rsidR="006E0B85" w:rsidRPr="00B645F5">
        <w:rPr>
          <w:rFonts w:asciiTheme="majorHAnsi" w:hAnsiTheme="majorHAnsi"/>
          <w:sz w:val="20"/>
          <w:szCs w:val="20"/>
        </w:rPr>
        <w:t xml:space="preserve">Judge Jones’s denial of Mr. </w:t>
      </w:r>
      <w:r w:rsidR="004F76C4" w:rsidRPr="00B645F5">
        <w:rPr>
          <w:rFonts w:asciiTheme="majorHAnsi" w:hAnsiTheme="majorHAnsi"/>
          <w:sz w:val="20"/>
          <w:szCs w:val="20"/>
        </w:rPr>
        <w:t>Ibarra</w:t>
      </w:r>
      <w:r w:rsidR="006E0B85" w:rsidRPr="00B645F5">
        <w:rPr>
          <w:rFonts w:asciiTheme="majorHAnsi" w:hAnsiTheme="majorHAnsi"/>
          <w:sz w:val="20"/>
          <w:szCs w:val="20"/>
        </w:rPr>
        <w:t>’s motion to disqualify her from hearing his appeal based on her reported public remarks about the merits of his case violated yet another core aspect of judicial impartiality.</w:t>
      </w:r>
      <w:r w:rsidR="005E393C" w:rsidRPr="00B645F5">
        <w:rPr>
          <w:rFonts w:asciiTheme="majorHAnsi" w:hAnsiTheme="majorHAnsi"/>
          <w:sz w:val="20"/>
          <w:szCs w:val="20"/>
        </w:rPr>
        <w:t xml:space="preserve"> </w:t>
      </w:r>
      <w:r w:rsidR="009B1D39" w:rsidRPr="00B645F5">
        <w:rPr>
          <w:rFonts w:asciiTheme="majorHAnsi" w:hAnsiTheme="majorHAnsi"/>
          <w:sz w:val="20"/>
          <w:szCs w:val="20"/>
        </w:rPr>
        <w:t>These circumstances</w:t>
      </w:r>
      <w:r w:rsidR="00E644C1" w:rsidRPr="00B645F5">
        <w:rPr>
          <w:rFonts w:asciiTheme="majorHAnsi" w:hAnsiTheme="majorHAnsi"/>
          <w:sz w:val="20"/>
          <w:szCs w:val="20"/>
        </w:rPr>
        <w:t>, it is submitted,</w:t>
      </w:r>
      <w:r w:rsidR="009B1D39" w:rsidRPr="00B645F5">
        <w:rPr>
          <w:rFonts w:asciiTheme="majorHAnsi" w:hAnsiTheme="majorHAnsi"/>
          <w:sz w:val="20"/>
          <w:szCs w:val="20"/>
        </w:rPr>
        <w:t xml:space="preserve"> constitute a violation of Mr. </w:t>
      </w:r>
      <w:r w:rsidR="004F76C4" w:rsidRPr="00B645F5">
        <w:rPr>
          <w:rFonts w:asciiTheme="majorHAnsi" w:hAnsiTheme="majorHAnsi"/>
          <w:sz w:val="20"/>
          <w:szCs w:val="20"/>
        </w:rPr>
        <w:t>Ibarra</w:t>
      </w:r>
      <w:r w:rsidR="009B1D39" w:rsidRPr="00B645F5">
        <w:rPr>
          <w:rFonts w:asciiTheme="majorHAnsi" w:hAnsiTheme="majorHAnsi"/>
          <w:sz w:val="20"/>
          <w:szCs w:val="20"/>
        </w:rPr>
        <w:t>’s right</w:t>
      </w:r>
      <w:r w:rsidR="008D2232" w:rsidRPr="00B645F5">
        <w:rPr>
          <w:rFonts w:asciiTheme="majorHAnsi" w:hAnsiTheme="majorHAnsi"/>
          <w:sz w:val="20"/>
          <w:szCs w:val="20"/>
        </w:rPr>
        <w:t>s</w:t>
      </w:r>
      <w:r w:rsidR="009B1D39" w:rsidRPr="00B645F5">
        <w:rPr>
          <w:rFonts w:asciiTheme="majorHAnsi" w:hAnsiTheme="majorHAnsi"/>
          <w:sz w:val="20"/>
          <w:szCs w:val="20"/>
        </w:rPr>
        <w:t xml:space="preserve"> to equality before the law without distinction as to race or nationality</w:t>
      </w:r>
      <w:r w:rsidRPr="00B645F5">
        <w:rPr>
          <w:rFonts w:asciiTheme="majorHAnsi" w:hAnsiTheme="majorHAnsi"/>
          <w:sz w:val="20"/>
          <w:szCs w:val="20"/>
        </w:rPr>
        <w:t>, to freedom from discrimination and to a fair r</w:t>
      </w:r>
      <w:r w:rsidR="00010B22" w:rsidRPr="00B645F5">
        <w:rPr>
          <w:rFonts w:asciiTheme="majorHAnsi" w:hAnsiTheme="majorHAnsi"/>
          <w:sz w:val="20"/>
          <w:szCs w:val="20"/>
        </w:rPr>
        <w:t>emedy.</w:t>
      </w:r>
    </w:p>
    <w:p w14:paraId="4C254C87" w14:textId="77777777" w:rsidR="00DE47ED" w:rsidRPr="00B645F5" w:rsidRDefault="00DE47ED" w:rsidP="00DE47ED">
      <w:pPr>
        <w:pStyle w:val="ListParagraph"/>
        <w:rPr>
          <w:rFonts w:asciiTheme="majorHAnsi" w:hAnsiTheme="majorHAnsi"/>
          <w:sz w:val="20"/>
          <w:szCs w:val="20"/>
        </w:rPr>
      </w:pPr>
    </w:p>
    <w:p w14:paraId="4DF5A292" w14:textId="77777777" w:rsidR="00A54335" w:rsidRPr="00B645F5" w:rsidRDefault="00DE47ED" w:rsidP="00A971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The petitioners </w:t>
      </w:r>
      <w:r w:rsidR="005B6110" w:rsidRPr="00B645F5">
        <w:rPr>
          <w:rFonts w:asciiTheme="majorHAnsi" w:hAnsiTheme="majorHAnsi"/>
          <w:sz w:val="20"/>
          <w:szCs w:val="20"/>
        </w:rPr>
        <w:t>assert that</w:t>
      </w:r>
      <w:r w:rsidR="000A0824" w:rsidRPr="00B645F5">
        <w:rPr>
          <w:rFonts w:asciiTheme="majorHAnsi" w:hAnsiTheme="majorHAnsi"/>
          <w:sz w:val="20"/>
          <w:szCs w:val="20"/>
        </w:rPr>
        <w:t xml:space="preserve"> Mr. </w:t>
      </w:r>
      <w:r w:rsidR="004F76C4" w:rsidRPr="00B645F5">
        <w:rPr>
          <w:rFonts w:asciiTheme="majorHAnsi" w:hAnsiTheme="majorHAnsi"/>
          <w:sz w:val="20"/>
          <w:szCs w:val="20"/>
        </w:rPr>
        <w:t>Ibarra</w:t>
      </w:r>
      <w:r w:rsidR="000A0824" w:rsidRPr="00B645F5">
        <w:rPr>
          <w:rFonts w:asciiTheme="majorHAnsi" w:hAnsiTheme="majorHAnsi"/>
          <w:sz w:val="20"/>
          <w:szCs w:val="20"/>
        </w:rPr>
        <w:t xml:space="preserve"> has suffered 20 years of death row incarceration under grossly inhumane and unnecessarily harsh conditions of confinement</w:t>
      </w:r>
      <w:r w:rsidR="005B6110" w:rsidRPr="00B645F5">
        <w:rPr>
          <w:rFonts w:asciiTheme="majorHAnsi" w:hAnsiTheme="majorHAnsi"/>
          <w:sz w:val="20"/>
          <w:szCs w:val="20"/>
        </w:rPr>
        <w:t>, and that p</w:t>
      </w:r>
      <w:r w:rsidR="000A0824" w:rsidRPr="00B645F5">
        <w:rPr>
          <w:rFonts w:asciiTheme="majorHAnsi" w:hAnsiTheme="majorHAnsi"/>
          <w:sz w:val="20"/>
          <w:szCs w:val="20"/>
        </w:rPr>
        <w:t xml:space="preserve">rolonged confinement on death row under </w:t>
      </w:r>
      <w:r w:rsidR="002E5994" w:rsidRPr="00B645F5">
        <w:rPr>
          <w:rFonts w:asciiTheme="majorHAnsi" w:hAnsiTheme="majorHAnsi"/>
          <w:sz w:val="20"/>
          <w:szCs w:val="20"/>
        </w:rPr>
        <w:t>such</w:t>
      </w:r>
      <w:r w:rsidR="000A0824" w:rsidRPr="00B645F5">
        <w:rPr>
          <w:rFonts w:asciiTheme="majorHAnsi" w:hAnsiTheme="majorHAnsi"/>
          <w:sz w:val="20"/>
          <w:szCs w:val="20"/>
        </w:rPr>
        <w:t xml:space="preserve"> conditions violates the right to humane treatment in custody guaranteed under Article XXV and the prohibition of cruel punishment under Article XXVI</w:t>
      </w:r>
      <w:r w:rsidR="002E5994" w:rsidRPr="00B645F5">
        <w:rPr>
          <w:rFonts w:asciiTheme="majorHAnsi" w:hAnsiTheme="majorHAnsi"/>
          <w:sz w:val="20"/>
          <w:szCs w:val="20"/>
        </w:rPr>
        <w:t xml:space="preserve"> of the American Declaration</w:t>
      </w:r>
      <w:r w:rsidR="000A0824" w:rsidRPr="00B645F5">
        <w:rPr>
          <w:rFonts w:asciiTheme="majorHAnsi" w:hAnsiTheme="majorHAnsi"/>
          <w:sz w:val="20"/>
          <w:szCs w:val="20"/>
        </w:rPr>
        <w:t>.</w:t>
      </w:r>
      <w:r w:rsidR="00F93507" w:rsidRPr="00B645F5">
        <w:rPr>
          <w:rFonts w:asciiTheme="majorHAnsi" w:hAnsiTheme="majorHAnsi"/>
          <w:sz w:val="20"/>
          <w:szCs w:val="20"/>
        </w:rPr>
        <w:t xml:space="preserve"> </w:t>
      </w:r>
      <w:r w:rsidR="001E72FE" w:rsidRPr="00B645F5">
        <w:rPr>
          <w:rFonts w:asciiTheme="majorHAnsi" w:hAnsiTheme="majorHAnsi"/>
          <w:sz w:val="20"/>
          <w:szCs w:val="20"/>
        </w:rPr>
        <w:t>It is provided that the</w:t>
      </w:r>
      <w:r w:rsidR="00E87FF0" w:rsidRPr="00B645F5">
        <w:rPr>
          <w:rFonts w:asciiTheme="majorHAnsi" w:hAnsiTheme="majorHAnsi"/>
          <w:sz w:val="20"/>
          <w:szCs w:val="20"/>
        </w:rPr>
        <w:t xml:space="preserve"> cells on death row are approximately eight by twelve feet, with a sink, a toilet, and a thirty-inch-wide bunk, and with only one small window prisoners can only see out by standing on their bunks.</w:t>
      </w:r>
      <w:r w:rsidR="001E72FE" w:rsidRPr="00B645F5">
        <w:rPr>
          <w:rFonts w:asciiTheme="majorHAnsi" w:hAnsiTheme="majorHAnsi"/>
          <w:sz w:val="20"/>
          <w:szCs w:val="20"/>
        </w:rPr>
        <w:t xml:space="preserve"> </w:t>
      </w:r>
    </w:p>
    <w:p w14:paraId="636A9879" w14:textId="77777777" w:rsidR="00A54335" w:rsidRPr="00B645F5" w:rsidRDefault="00A54335" w:rsidP="00A54335">
      <w:pPr>
        <w:pStyle w:val="ListParagraph"/>
        <w:rPr>
          <w:rFonts w:asciiTheme="majorHAnsi" w:hAnsiTheme="majorHAnsi"/>
          <w:sz w:val="20"/>
          <w:szCs w:val="20"/>
        </w:rPr>
      </w:pPr>
    </w:p>
    <w:p w14:paraId="0B684735" w14:textId="77777777" w:rsidR="008B3AF4" w:rsidRPr="00B645F5" w:rsidRDefault="001E72FE" w:rsidP="00B17F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Moreover,</w:t>
      </w:r>
      <w:r w:rsidR="00E87FF0" w:rsidRPr="00B645F5">
        <w:rPr>
          <w:rFonts w:asciiTheme="majorHAnsi" w:hAnsiTheme="majorHAnsi"/>
          <w:sz w:val="20"/>
          <w:szCs w:val="20"/>
        </w:rPr>
        <w:t xml:space="preserve"> </w:t>
      </w:r>
      <w:r w:rsidRPr="00B645F5">
        <w:rPr>
          <w:rFonts w:asciiTheme="majorHAnsi" w:hAnsiTheme="majorHAnsi"/>
          <w:sz w:val="20"/>
          <w:szCs w:val="20"/>
        </w:rPr>
        <w:t>d</w:t>
      </w:r>
      <w:r w:rsidR="00E87FF0" w:rsidRPr="00B645F5">
        <w:rPr>
          <w:rFonts w:asciiTheme="majorHAnsi" w:hAnsiTheme="majorHAnsi"/>
          <w:sz w:val="20"/>
          <w:szCs w:val="20"/>
        </w:rPr>
        <w:t>eath row prisoners are permitted to exercise only in limited increments and only in small “cages.” Inmates do not have access to television or to any educational programming</w:t>
      </w:r>
      <w:r w:rsidR="00407164" w:rsidRPr="00B645F5">
        <w:rPr>
          <w:rFonts w:asciiTheme="majorHAnsi" w:hAnsiTheme="majorHAnsi"/>
          <w:sz w:val="20"/>
          <w:szCs w:val="20"/>
        </w:rPr>
        <w:t>, t</w:t>
      </w:r>
      <w:r w:rsidR="00E87FF0" w:rsidRPr="00B645F5">
        <w:rPr>
          <w:rFonts w:asciiTheme="majorHAnsi" w:hAnsiTheme="majorHAnsi"/>
          <w:sz w:val="20"/>
          <w:szCs w:val="20"/>
        </w:rPr>
        <w:t>hey are segregated from other prisoners in every aspect of their lives, including eating, showering, and worship. They can communicate with one another only by yelling between cells and are allowed no physical contact with family members, friends, or attorneys. Even the union representing Texas death row guards has called for better treatment of the inmates, noting that they “go crazy, become clinically mentally ill, in solitary conditions there.”</w:t>
      </w:r>
      <w:r w:rsidR="00A97181" w:rsidRPr="00B645F5">
        <w:rPr>
          <w:rFonts w:asciiTheme="majorHAnsi" w:hAnsiTheme="majorHAnsi"/>
          <w:sz w:val="20"/>
          <w:szCs w:val="20"/>
        </w:rPr>
        <w:t xml:space="preserve"> Mr. </w:t>
      </w:r>
      <w:r w:rsidR="004F76C4" w:rsidRPr="00B645F5">
        <w:rPr>
          <w:rFonts w:asciiTheme="majorHAnsi" w:hAnsiTheme="majorHAnsi"/>
          <w:sz w:val="20"/>
          <w:szCs w:val="20"/>
        </w:rPr>
        <w:t>Ibarra</w:t>
      </w:r>
      <w:r w:rsidR="00A97181" w:rsidRPr="00B645F5">
        <w:rPr>
          <w:rFonts w:asciiTheme="majorHAnsi" w:hAnsiTheme="majorHAnsi"/>
          <w:sz w:val="20"/>
          <w:szCs w:val="20"/>
        </w:rPr>
        <w:t xml:space="preserve"> was sentenced to death in Texas on September 22, 1997. The petitioners claim that it is incumbent on states that undertake to impose capital punishment to set up an effective and expeditious system of review to ensure the reliability of its sentences. </w:t>
      </w:r>
    </w:p>
    <w:p w14:paraId="3A806949" w14:textId="77777777" w:rsidR="008B3AF4" w:rsidRPr="00B645F5" w:rsidRDefault="008B3AF4" w:rsidP="008B3AF4">
      <w:pPr>
        <w:pStyle w:val="ListParagraph"/>
        <w:rPr>
          <w:rFonts w:asciiTheme="majorHAnsi" w:hAnsiTheme="majorHAnsi"/>
          <w:sz w:val="20"/>
          <w:szCs w:val="20"/>
        </w:rPr>
      </w:pPr>
    </w:p>
    <w:p w14:paraId="6B53F5BA" w14:textId="77777777" w:rsidR="00BF694A" w:rsidRPr="00B645F5" w:rsidRDefault="008B3AF4" w:rsidP="00B17F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The petitioners claim lastly, that</w:t>
      </w:r>
      <w:r w:rsidR="000A0824" w:rsidRPr="00B645F5">
        <w:rPr>
          <w:rFonts w:asciiTheme="majorHAnsi" w:hAnsiTheme="majorHAnsi"/>
          <w:sz w:val="20"/>
          <w:szCs w:val="20"/>
        </w:rPr>
        <w:t xml:space="preserve"> Mr. </w:t>
      </w:r>
      <w:r w:rsidR="004F76C4" w:rsidRPr="00B645F5">
        <w:rPr>
          <w:rFonts w:asciiTheme="majorHAnsi" w:hAnsiTheme="majorHAnsi"/>
          <w:sz w:val="20"/>
          <w:szCs w:val="20"/>
        </w:rPr>
        <w:t>Ibarra</w:t>
      </w:r>
      <w:r w:rsidR="000A0824" w:rsidRPr="00B645F5">
        <w:rPr>
          <w:rFonts w:asciiTheme="majorHAnsi" w:hAnsiTheme="majorHAnsi"/>
          <w:sz w:val="20"/>
          <w:szCs w:val="20"/>
        </w:rPr>
        <w:t xml:space="preserve"> faces execution by lethal injection at a time when the Texas execution protocol is shrouded in secrecy</w:t>
      </w:r>
      <w:r w:rsidR="00FF31AA" w:rsidRPr="00B645F5">
        <w:rPr>
          <w:rFonts w:asciiTheme="majorHAnsi" w:hAnsiTheme="majorHAnsi"/>
          <w:sz w:val="20"/>
          <w:szCs w:val="20"/>
        </w:rPr>
        <w:t xml:space="preserve">, in violation of Mr. </w:t>
      </w:r>
      <w:r w:rsidR="004F76C4" w:rsidRPr="00B645F5">
        <w:rPr>
          <w:rFonts w:asciiTheme="majorHAnsi" w:hAnsiTheme="majorHAnsi"/>
          <w:sz w:val="20"/>
          <w:szCs w:val="20"/>
        </w:rPr>
        <w:t>Ibarra</w:t>
      </w:r>
      <w:r w:rsidR="00653524" w:rsidRPr="00B645F5">
        <w:rPr>
          <w:rFonts w:asciiTheme="majorHAnsi" w:hAnsiTheme="majorHAnsi"/>
          <w:sz w:val="20"/>
          <w:szCs w:val="20"/>
        </w:rPr>
        <w:t xml:space="preserve">’s </w:t>
      </w:r>
      <w:r w:rsidR="00FF31AA" w:rsidRPr="00B645F5">
        <w:rPr>
          <w:rFonts w:asciiTheme="majorHAnsi" w:hAnsiTheme="majorHAnsi"/>
          <w:sz w:val="20"/>
          <w:szCs w:val="20"/>
        </w:rPr>
        <w:t>right to challenge the manner of execution</w:t>
      </w:r>
      <w:r w:rsidR="00653524" w:rsidRPr="00B645F5">
        <w:rPr>
          <w:rFonts w:asciiTheme="majorHAnsi" w:hAnsiTheme="majorHAnsi"/>
          <w:sz w:val="20"/>
          <w:szCs w:val="20"/>
        </w:rPr>
        <w:t xml:space="preserve">. They also allege that </w:t>
      </w:r>
      <w:r w:rsidR="000A0824" w:rsidRPr="00B645F5">
        <w:rPr>
          <w:rFonts w:asciiTheme="majorHAnsi" w:hAnsiTheme="majorHAnsi"/>
          <w:sz w:val="20"/>
          <w:szCs w:val="20"/>
        </w:rPr>
        <w:t>the use of drugs of uncertain efficacy creates an unacceptable risk of causing excruciating pain, in violation of Articles XXV and XXVI of the American Declaration.</w:t>
      </w:r>
      <w:r w:rsidR="009C2BB3" w:rsidRPr="00B645F5">
        <w:rPr>
          <w:rFonts w:asciiTheme="majorHAnsi" w:hAnsiTheme="majorHAnsi"/>
          <w:sz w:val="20"/>
          <w:szCs w:val="20"/>
        </w:rPr>
        <w:t xml:space="preserve"> </w:t>
      </w:r>
    </w:p>
    <w:p w14:paraId="0F06C31B" w14:textId="77777777" w:rsidR="00BF694A" w:rsidRPr="00B645F5" w:rsidRDefault="00BF694A" w:rsidP="00BF694A">
      <w:pPr>
        <w:pStyle w:val="ListParagraph"/>
        <w:rPr>
          <w:rFonts w:asciiTheme="majorHAnsi" w:hAnsiTheme="majorHAnsi"/>
          <w:sz w:val="20"/>
          <w:szCs w:val="20"/>
        </w:rPr>
      </w:pPr>
    </w:p>
    <w:p w14:paraId="117790E5" w14:textId="77777777" w:rsidR="00D10FF4" w:rsidRPr="00B645F5" w:rsidRDefault="00AC7A7D" w:rsidP="00BD12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B645F5">
        <w:rPr>
          <w:rFonts w:asciiTheme="majorHAnsi" w:hAnsiTheme="majorHAnsi"/>
          <w:sz w:val="20"/>
          <w:szCs w:val="20"/>
        </w:rPr>
        <w:t xml:space="preserve">The petitioners assert that </w:t>
      </w:r>
      <w:r w:rsidR="009A394A" w:rsidRPr="00B645F5">
        <w:rPr>
          <w:rFonts w:asciiTheme="majorHAnsi" w:hAnsiTheme="majorHAnsi"/>
          <w:sz w:val="20"/>
          <w:szCs w:val="20"/>
        </w:rPr>
        <w:t xml:space="preserve">given the current difficulty in procuring pentobarbital, </w:t>
      </w:r>
      <w:r w:rsidR="00260B79" w:rsidRPr="00B645F5">
        <w:rPr>
          <w:rFonts w:asciiTheme="majorHAnsi" w:hAnsiTheme="majorHAnsi"/>
          <w:sz w:val="20"/>
          <w:szCs w:val="20"/>
        </w:rPr>
        <w:t>a drug previously used in the lethal injection protocol</w:t>
      </w:r>
      <w:r w:rsidR="003E5292" w:rsidRPr="00B645F5">
        <w:rPr>
          <w:rFonts w:asciiTheme="majorHAnsi" w:hAnsiTheme="majorHAnsi"/>
          <w:sz w:val="20"/>
          <w:szCs w:val="20"/>
        </w:rPr>
        <w:t xml:space="preserve">, </w:t>
      </w:r>
      <w:r w:rsidR="000F14B5" w:rsidRPr="00B645F5">
        <w:rPr>
          <w:rFonts w:asciiTheme="majorHAnsi" w:hAnsiTheme="majorHAnsi"/>
          <w:sz w:val="20"/>
          <w:szCs w:val="20"/>
        </w:rPr>
        <w:t>a</w:t>
      </w:r>
      <w:r w:rsidR="009168AF" w:rsidRPr="00B645F5">
        <w:rPr>
          <w:rFonts w:asciiTheme="majorHAnsi" w:hAnsiTheme="majorHAnsi"/>
          <w:sz w:val="20"/>
          <w:szCs w:val="20"/>
        </w:rPr>
        <w:t xml:space="preserve"> new protocol would </w:t>
      </w:r>
      <w:r w:rsidR="002E23B2" w:rsidRPr="00B645F5">
        <w:rPr>
          <w:rFonts w:asciiTheme="majorHAnsi" w:hAnsiTheme="majorHAnsi"/>
          <w:sz w:val="20"/>
          <w:szCs w:val="20"/>
        </w:rPr>
        <w:t xml:space="preserve">amount to pure experimentation. </w:t>
      </w:r>
      <w:r w:rsidR="000F14B5" w:rsidRPr="00B645F5">
        <w:rPr>
          <w:rFonts w:asciiTheme="majorHAnsi" w:hAnsiTheme="majorHAnsi"/>
          <w:sz w:val="20"/>
          <w:szCs w:val="20"/>
        </w:rPr>
        <w:t>It is submitted that the s</w:t>
      </w:r>
      <w:r w:rsidR="005925B2" w:rsidRPr="00B645F5">
        <w:rPr>
          <w:rFonts w:asciiTheme="majorHAnsi" w:hAnsiTheme="majorHAnsi"/>
          <w:sz w:val="20"/>
          <w:szCs w:val="20"/>
        </w:rPr>
        <w:t xml:space="preserve">tate </w:t>
      </w:r>
      <w:r w:rsidR="000F14B5" w:rsidRPr="00B645F5">
        <w:rPr>
          <w:rFonts w:asciiTheme="majorHAnsi" w:hAnsiTheme="majorHAnsi"/>
          <w:sz w:val="20"/>
          <w:szCs w:val="20"/>
        </w:rPr>
        <w:t>would be c</w:t>
      </w:r>
      <w:r w:rsidR="005925B2" w:rsidRPr="00B645F5">
        <w:rPr>
          <w:rFonts w:asciiTheme="majorHAnsi" w:hAnsiTheme="majorHAnsi"/>
          <w:sz w:val="20"/>
          <w:szCs w:val="20"/>
        </w:rPr>
        <w:t xml:space="preserve">hoosing </w:t>
      </w:r>
      <w:r w:rsidR="000F14B5" w:rsidRPr="00B645F5">
        <w:rPr>
          <w:rFonts w:asciiTheme="majorHAnsi" w:hAnsiTheme="majorHAnsi"/>
          <w:sz w:val="20"/>
          <w:szCs w:val="20"/>
        </w:rPr>
        <w:t>d</w:t>
      </w:r>
      <w:r w:rsidR="005925B2" w:rsidRPr="00B645F5">
        <w:rPr>
          <w:rFonts w:asciiTheme="majorHAnsi" w:hAnsiTheme="majorHAnsi"/>
          <w:sz w:val="20"/>
          <w:szCs w:val="20"/>
        </w:rPr>
        <w:t xml:space="preserve">rugs </w:t>
      </w:r>
      <w:r w:rsidR="000F14B5" w:rsidRPr="00B645F5">
        <w:rPr>
          <w:rFonts w:asciiTheme="majorHAnsi" w:hAnsiTheme="majorHAnsi"/>
          <w:sz w:val="20"/>
          <w:szCs w:val="20"/>
        </w:rPr>
        <w:t>b</w:t>
      </w:r>
      <w:r w:rsidR="005925B2" w:rsidRPr="00B645F5">
        <w:rPr>
          <w:rFonts w:asciiTheme="majorHAnsi" w:hAnsiTheme="majorHAnsi"/>
          <w:sz w:val="20"/>
          <w:szCs w:val="20"/>
        </w:rPr>
        <w:t xml:space="preserve">ased on </w:t>
      </w:r>
      <w:r w:rsidR="000F14B5" w:rsidRPr="00B645F5">
        <w:rPr>
          <w:rFonts w:asciiTheme="majorHAnsi" w:hAnsiTheme="majorHAnsi"/>
          <w:sz w:val="20"/>
          <w:szCs w:val="20"/>
        </w:rPr>
        <w:t>a</w:t>
      </w:r>
      <w:r w:rsidR="005925B2" w:rsidRPr="00B645F5">
        <w:rPr>
          <w:rFonts w:asciiTheme="majorHAnsi" w:hAnsiTheme="majorHAnsi"/>
          <w:sz w:val="20"/>
          <w:szCs w:val="20"/>
        </w:rPr>
        <w:t>vailability,</w:t>
      </w:r>
      <w:r w:rsidR="000F14B5" w:rsidRPr="00B645F5">
        <w:rPr>
          <w:rFonts w:asciiTheme="majorHAnsi" w:hAnsiTheme="majorHAnsi"/>
          <w:sz w:val="20"/>
          <w:szCs w:val="20"/>
        </w:rPr>
        <w:t xml:space="preserve"> and</w:t>
      </w:r>
      <w:r w:rsidR="005925B2" w:rsidRPr="00B645F5">
        <w:rPr>
          <w:rFonts w:asciiTheme="majorHAnsi" w:hAnsiTheme="majorHAnsi"/>
          <w:sz w:val="20"/>
          <w:szCs w:val="20"/>
        </w:rPr>
        <w:t xml:space="preserve"> </w:t>
      </w:r>
      <w:r w:rsidR="000F14B5" w:rsidRPr="00B645F5">
        <w:rPr>
          <w:rFonts w:asciiTheme="majorHAnsi" w:hAnsiTheme="majorHAnsi"/>
          <w:sz w:val="20"/>
          <w:szCs w:val="20"/>
        </w:rPr>
        <w:t>n</w:t>
      </w:r>
      <w:r w:rsidR="005925B2" w:rsidRPr="00B645F5">
        <w:rPr>
          <w:rFonts w:asciiTheme="majorHAnsi" w:hAnsiTheme="majorHAnsi"/>
          <w:sz w:val="20"/>
          <w:szCs w:val="20"/>
        </w:rPr>
        <w:t xml:space="preserve">ot on </w:t>
      </w:r>
      <w:r w:rsidR="000F14B5" w:rsidRPr="00B645F5">
        <w:rPr>
          <w:rFonts w:asciiTheme="majorHAnsi" w:hAnsiTheme="majorHAnsi"/>
          <w:sz w:val="20"/>
          <w:szCs w:val="20"/>
        </w:rPr>
        <w:t>c</w:t>
      </w:r>
      <w:r w:rsidR="005925B2" w:rsidRPr="00B645F5">
        <w:rPr>
          <w:rFonts w:asciiTheme="majorHAnsi" w:hAnsiTheme="majorHAnsi"/>
          <w:sz w:val="20"/>
          <w:szCs w:val="20"/>
        </w:rPr>
        <w:t xml:space="preserve">apacity to </w:t>
      </w:r>
      <w:r w:rsidR="000F14B5" w:rsidRPr="00B645F5">
        <w:rPr>
          <w:rFonts w:asciiTheme="majorHAnsi" w:hAnsiTheme="majorHAnsi"/>
          <w:sz w:val="20"/>
          <w:szCs w:val="20"/>
        </w:rPr>
        <w:t>m</w:t>
      </w:r>
      <w:r w:rsidR="005925B2" w:rsidRPr="00B645F5">
        <w:rPr>
          <w:rFonts w:asciiTheme="majorHAnsi" w:hAnsiTheme="majorHAnsi"/>
          <w:sz w:val="20"/>
          <w:szCs w:val="20"/>
        </w:rPr>
        <w:t xml:space="preserve">inimize </w:t>
      </w:r>
      <w:r w:rsidR="000F14B5" w:rsidRPr="00B645F5">
        <w:rPr>
          <w:rFonts w:asciiTheme="majorHAnsi" w:hAnsiTheme="majorHAnsi"/>
          <w:sz w:val="20"/>
          <w:szCs w:val="20"/>
        </w:rPr>
        <w:t>the r</w:t>
      </w:r>
      <w:r w:rsidR="005925B2" w:rsidRPr="00B645F5">
        <w:rPr>
          <w:rFonts w:asciiTheme="majorHAnsi" w:hAnsiTheme="majorHAnsi"/>
          <w:sz w:val="20"/>
          <w:szCs w:val="20"/>
        </w:rPr>
        <w:t xml:space="preserve">isk of </w:t>
      </w:r>
      <w:r w:rsidR="000F14B5" w:rsidRPr="00B645F5">
        <w:rPr>
          <w:rFonts w:asciiTheme="majorHAnsi" w:hAnsiTheme="majorHAnsi"/>
          <w:sz w:val="20"/>
          <w:szCs w:val="20"/>
        </w:rPr>
        <w:t>s</w:t>
      </w:r>
      <w:r w:rsidR="005925B2" w:rsidRPr="00B645F5">
        <w:rPr>
          <w:rFonts w:asciiTheme="majorHAnsi" w:hAnsiTheme="majorHAnsi"/>
          <w:sz w:val="20"/>
          <w:szCs w:val="20"/>
        </w:rPr>
        <w:t>uffering.</w:t>
      </w:r>
      <w:r w:rsidR="008470C3" w:rsidRPr="00B645F5">
        <w:rPr>
          <w:rFonts w:asciiTheme="majorHAnsi" w:hAnsiTheme="majorHAnsi"/>
          <w:sz w:val="20"/>
          <w:szCs w:val="20"/>
        </w:rPr>
        <w:t xml:space="preserve"> </w:t>
      </w:r>
      <w:r w:rsidR="00241CE7" w:rsidRPr="00B645F5">
        <w:rPr>
          <w:rFonts w:asciiTheme="majorHAnsi" w:hAnsiTheme="majorHAnsi"/>
          <w:sz w:val="20"/>
          <w:szCs w:val="20"/>
        </w:rPr>
        <w:t xml:space="preserve">Additionally, it is alleged that </w:t>
      </w:r>
      <w:r w:rsidR="001A7C1A" w:rsidRPr="00B645F5">
        <w:rPr>
          <w:rFonts w:asciiTheme="majorHAnsi" w:hAnsiTheme="majorHAnsi"/>
          <w:sz w:val="20"/>
          <w:szCs w:val="20"/>
        </w:rPr>
        <w:t xml:space="preserve">Texas, like many other states, refuses to provide inmates facing imminent execution with detailed information about the drugs </w:t>
      </w:r>
      <w:r w:rsidR="00241CE7" w:rsidRPr="00B645F5">
        <w:rPr>
          <w:rFonts w:asciiTheme="majorHAnsi" w:hAnsiTheme="majorHAnsi"/>
          <w:sz w:val="20"/>
          <w:szCs w:val="20"/>
        </w:rPr>
        <w:t xml:space="preserve">it </w:t>
      </w:r>
      <w:r w:rsidR="001A7C1A" w:rsidRPr="00B645F5">
        <w:rPr>
          <w:rFonts w:asciiTheme="majorHAnsi" w:hAnsiTheme="majorHAnsi"/>
          <w:sz w:val="20"/>
          <w:szCs w:val="20"/>
        </w:rPr>
        <w:t xml:space="preserve">plans to use, including their source, how they were </w:t>
      </w:r>
      <w:r w:rsidR="001A7C1A" w:rsidRPr="00B645F5">
        <w:rPr>
          <w:rFonts w:asciiTheme="majorHAnsi" w:hAnsiTheme="majorHAnsi"/>
          <w:sz w:val="20"/>
          <w:szCs w:val="20"/>
        </w:rPr>
        <w:lastRenderedPageBreak/>
        <w:t xml:space="preserve">stored, when they were manufactured, and how and by whom they were tested. The federal courts have allowed this refusal to stand. </w:t>
      </w:r>
      <w:r w:rsidR="000A4E20" w:rsidRPr="00B645F5">
        <w:rPr>
          <w:rFonts w:asciiTheme="majorHAnsi" w:hAnsiTheme="majorHAnsi"/>
          <w:sz w:val="20"/>
          <w:szCs w:val="20"/>
        </w:rPr>
        <w:t>It is submitted that the</w:t>
      </w:r>
      <w:r w:rsidR="001A7C1A" w:rsidRPr="00B645F5">
        <w:rPr>
          <w:rFonts w:asciiTheme="majorHAnsi" w:hAnsiTheme="majorHAnsi"/>
          <w:sz w:val="20"/>
          <w:szCs w:val="20"/>
        </w:rPr>
        <w:t xml:space="preserve"> </w:t>
      </w:r>
      <w:r w:rsidR="004A219F" w:rsidRPr="00B645F5">
        <w:rPr>
          <w:rFonts w:asciiTheme="majorHAnsi" w:hAnsiTheme="majorHAnsi"/>
          <w:sz w:val="20"/>
          <w:szCs w:val="20"/>
        </w:rPr>
        <w:t xml:space="preserve">information about the </w:t>
      </w:r>
      <w:r w:rsidR="001A7C1A" w:rsidRPr="00B645F5">
        <w:rPr>
          <w:rFonts w:asciiTheme="majorHAnsi" w:hAnsiTheme="majorHAnsi"/>
          <w:sz w:val="20"/>
          <w:szCs w:val="20"/>
        </w:rPr>
        <w:t xml:space="preserve">protocol </w:t>
      </w:r>
      <w:r w:rsidR="004A219F" w:rsidRPr="00B645F5">
        <w:rPr>
          <w:rFonts w:asciiTheme="majorHAnsi" w:hAnsiTheme="majorHAnsi"/>
          <w:sz w:val="20"/>
          <w:szCs w:val="20"/>
        </w:rPr>
        <w:t xml:space="preserve">that </w:t>
      </w:r>
      <w:r w:rsidR="001A7C1A" w:rsidRPr="00B645F5">
        <w:rPr>
          <w:rFonts w:asciiTheme="majorHAnsi" w:hAnsiTheme="majorHAnsi"/>
          <w:sz w:val="20"/>
          <w:szCs w:val="20"/>
        </w:rPr>
        <w:t>Texas has provided is vague about the composition and training of the execution team, requiring only that there be a “medically trained</w:t>
      </w:r>
      <w:r w:rsidR="00717181" w:rsidRPr="00B645F5">
        <w:rPr>
          <w:rFonts w:asciiTheme="majorHAnsi" w:hAnsiTheme="majorHAnsi"/>
          <w:sz w:val="20"/>
          <w:szCs w:val="20"/>
        </w:rPr>
        <w:t xml:space="preserve"> </w:t>
      </w:r>
      <w:r w:rsidR="001A7C1A" w:rsidRPr="00B645F5">
        <w:rPr>
          <w:rFonts w:asciiTheme="majorHAnsi" w:hAnsiTheme="majorHAnsi"/>
          <w:sz w:val="20"/>
          <w:szCs w:val="20"/>
        </w:rPr>
        <w:t>individual” on the team, without specifying their background, level of training, or licensing.</w:t>
      </w:r>
    </w:p>
    <w:p w14:paraId="32FE4981" w14:textId="77777777" w:rsidR="00F613B7" w:rsidRPr="00B645F5" w:rsidRDefault="00F613B7" w:rsidP="00BD12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056A910" w14:textId="77777777" w:rsidR="00F516D3" w:rsidRPr="00B645F5" w:rsidRDefault="00F516D3" w:rsidP="00EC55EA">
      <w:pPr>
        <w:pStyle w:val="Heading2"/>
        <w:numPr>
          <w:ilvl w:val="0"/>
          <w:numId w:val="57"/>
        </w:numPr>
        <w:tabs>
          <w:tab w:val="left" w:pos="360"/>
        </w:tabs>
        <w:spacing w:before="0"/>
        <w:ind w:hanging="720"/>
        <w:rPr>
          <w:color w:val="auto"/>
          <w:sz w:val="20"/>
          <w:szCs w:val="20"/>
        </w:rPr>
      </w:pPr>
      <w:bookmarkStart w:id="3" w:name="_Toc90115113"/>
      <w:r w:rsidRPr="00B645F5">
        <w:rPr>
          <w:color w:val="auto"/>
          <w:sz w:val="20"/>
          <w:szCs w:val="20"/>
        </w:rPr>
        <w:t>State</w:t>
      </w:r>
      <w:bookmarkEnd w:id="3"/>
    </w:p>
    <w:p w14:paraId="77A0A46C" w14:textId="77777777" w:rsidR="00DC3D7B" w:rsidRPr="00B645F5" w:rsidRDefault="00DC3D7B" w:rsidP="00DC3D7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68D0CCBA" w14:textId="77777777" w:rsidR="00BD2D8B" w:rsidRPr="00B645F5" w:rsidRDefault="006D4AA0" w:rsidP="003C39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The State </w:t>
      </w:r>
      <w:r w:rsidR="00F43C36" w:rsidRPr="00B645F5">
        <w:rPr>
          <w:rFonts w:asciiTheme="majorHAnsi" w:hAnsiTheme="majorHAnsi"/>
          <w:sz w:val="20"/>
          <w:szCs w:val="20"/>
        </w:rPr>
        <w:t>claims that the petition wa</w:t>
      </w:r>
      <w:r w:rsidRPr="00B645F5">
        <w:rPr>
          <w:rFonts w:asciiTheme="majorHAnsi" w:hAnsiTheme="majorHAnsi"/>
          <w:sz w:val="20"/>
          <w:szCs w:val="20"/>
        </w:rPr>
        <w:t>s inadm</w:t>
      </w:r>
      <w:r w:rsidR="00F43C36" w:rsidRPr="00B645F5">
        <w:rPr>
          <w:rFonts w:asciiTheme="majorHAnsi" w:hAnsiTheme="majorHAnsi"/>
          <w:sz w:val="20"/>
          <w:szCs w:val="20"/>
        </w:rPr>
        <w:t>issible</w:t>
      </w:r>
      <w:r w:rsidR="009B3A9B" w:rsidRPr="00B645F5">
        <w:rPr>
          <w:rFonts w:asciiTheme="majorHAnsi" w:hAnsiTheme="majorHAnsi"/>
          <w:sz w:val="20"/>
          <w:szCs w:val="20"/>
        </w:rPr>
        <w:t xml:space="preserve"> when sub</w:t>
      </w:r>
      <w:r w:rsidR="00C11574" w:rsidRPr="00B645F5">
        <w:rPr>
          <w:rFonts w:asciiTheme="majorHAnsi" w:hAnsiTheme="majorHAnsi"/>
          <w:sz w:val="20"/>
          <w:szCs w:val="20"/>
        </w:rPr>
        <w:t xml:space="preserve">mitted as domestic remedies had not been exhausted, </w:t>
      </w:r>
      <w:r w:rsidR="00CD0D7A" w:rsidRPr="00B645F5">
        <w:rPr>
          <w:rFonts w:asciiTheme="majorHAnsi" w:hAnsiTheme="majorHAnsi"/>
          <w:sz w:val="20"/>
          <w:szCs w:val="20"/>
        </w:rPr>
        <w:t>and</w:t>
      </w:r>
      <w:r w:rsidR="00475FB0" w:rsidRPr="00B645F5">
        <w:rPr>
          <w:rFonts w:asciiTheme="majorHAnsi" w:hAnsiTheme="majorHAnsi"/>
          <w:sz w:val="20"/>
          <w:szCs w:val="20"/>
        </w:rPr>
        <w:t xml:space="preserve"> that the petition </w:t>
      </w:r>
      <w:r w:rsidR="00C11574" w:rsidRPr="00B645F5">
        <w:rPr>
          <w:rFonts w:asciiTheme="majorHAnsi" w:hAnsiTheme="majorHAnsi"/>
          <w:sz w:val="20"/>
          <w:szCs w:val="20"/>
        </w:rPr>
        <w:t>thereby fail</w:t>
      </w:r>
      <w:r w:rsidR="00475FB0" w:rsidRPr="00B645F5">
        <w:rPr>
          <w:rFonts w:asciiTheme="majorHAnsi" w:hAnsiTheme="majorHAnsi"/>
          <w:sz w:val="20"/>
          <w:szCs w:val="20"/>
        </w:rPr>
        <w:t>ed</w:t>
      </w:r>
      <w:r w:rsidR="00C11574" w:rsidRPr="00B645F5">
        <w:rPr>
          <w:rFonts w:asciiTheme="majorHAnsi" w:hAnsiTheme="majorHAnsi"/>
          <w:sz w:val="20"/>
          <w:szCs w:val="20"/>
        </w:rPr>
        <w:t xml:space="preserve"> to meet the requirements for consideration</w:t>
      </w:r>
      <w:r w:rsidR="005A4328" w:rsidRPr="00B645F5">
        <w:rPr>
          <w:rFonts w:asciiTheme="majorHAnsi" w:hAnsiTheme="majorHAnsi"/>
          <w:sz w:val="20"/>
          <w:szCs w:val="20"/>
        </w:rPr>
        <w:t xml:space="preserve"> by the Commission under its rules of procedure</w:t>
      </w:r>
      <w:r w:rsidR="00E33729" w:rsidRPr="00B645F5">
        <w:rPr>
          <w:rFonts w:asciiTheme="majorHAnsi" w:hAnsiTheme="majorHAnsi"/>
          <w:sz w:val="20"/>
          <w:szCs w:val="20"/>
        </w:rPr>
        <w:t xml:space="preserve"> within</w:t>
      </w:r>
      <w:r w:rsidR="009F1BA7" w:rsidRPr="00B645F5">
        <w:rPr>
          <w:rFonts w:asciiTheme="majorHAnsi" w:hAnsiTheme="majorHAnsi"/>
          <w:sz w:val="20"/>
          <w:szCs w:val="20"/>
        </w:rPr>
        <w:t xml:space="preserve"> Article 31 and 34.</w:t>
      </w:r>
      <w:r w:rsidR="00E60E0B" w:rsidRPr="00B645F5">
        <w:rPr>
          <w:rFonts w:asciiTheme="majorHAnsi" w:hAnsiTheme="majorHAnsi"/>
          <w:sz w:val="20"/>
          <w:szCs w:val="20"/>
        </w:rPr>
        <w:t xml:space="preserve"> </w:t>
      </w:r>
    </w:p>
    <w:p w14:paraId="2D4AE166" w14:textId="77777777" w:rsidR="00BD2D8B" w:rsidRPr="00B645F5" w:rsidRDefault="00BD2D8B" w:rsidP="00BD2D8B">
      <w:pPr>
        <w:pStyle w:val="ListParagraph"/>
        <w:rPr>
          <w:rFonts w:asciiTheme="majorHAnsi" w:hAnsiTheme="majorHAnsi"/>
          <w:sz w:val="20"/>
          <w:szCs w:val="20"/>
        </w:rPr>
      </w:pPr>
    </w:p>
    <w:p w14:paraId="2CB5DA20" w14:textId="77777777" w:rsidR="00F4491C" w:rsidRPr="00B645F5" w:rsidRDefault="003C3996" w:rsidP="003C39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It is alleged that the petition is inadmissible under </w:t>
      </w:r>
      <w:r w:rsidR="00B44CE9" w:rsidRPr="00B645F5">
        <w:rPr>
          <w:rFonts w:asciiTheme="majorHAnsi" w:hAnsiTheme="majorHAnsi"/>
          <w:sz w:val="20"/>
          <w:szCs w:val="20"/>
        </w:rPr>
        <w:t>Article 31</w:t>
      </w:r>
      <w:r w:rsidR="00C22770" w:rsidRPr="00B645F5">
        <w:rPr>
          <w:rFonts w:asciiTheme="majorHAnsi" w:hAnsiTheme="majorHAnsi"/>
          <w:sz w:val="20"/>
          <w:szCs w:val="20"/>
        </w:rPr>
        <w:t>, as the p</w:t>
      </w:r>
      <w:r w:rsidR="004750EA" w:rsidRPr="00B645F5">
        <w:rPr>
          <w:rFonts w:asciiTheme="majorHAnsi" w:hAnsiTheme="majorHAnsi"/>
          <w:sz w:val="20"/>
          <w:szCs w:val="20"/>
        </w:rPr>
        <w:t>etitioners</w:t>
      </w:r>
      <w:r w:rsidR="00DB1F40" w:rsidRPr="00B645F5">
        <w:rPr>
          <w:rFonts w:asciiTheme="majorHAnsi" w:hAnsiTheme="majorHAnsi"/>
          <w:sz w:val="20"/>
          <w:szCs w:val="20"/>
        </w:rPr>
        <w:t xml:space="preserve"> </w:t>
      </w:r>
      <w:r w:rsidR="002B0AB9" w:rsidRPr="00B645F5">
        <w:rPr>
          <w:rFonts w:asciiTheme="majorHAnsi" w:hAnsiTheme="majorHAnsi"/>
          <w:sz w:val="20"/>
          <w:szCs w:val="20"/>
        </w:rPr>
        <w:t xml:space="preserve">continued to pursue domestic remedies after their petition was </w:t>
      </w:r>
      <w:proofErr w:type="gramStart"/>
      <w:r w:rsidR="002B0AB9" w:rsidRPr="00B645F5">
        <w:rPr>
          <w:rFonts w:asciiTheme="majorHAnsi" w:hAnsiTheme="majorHAnsi"/>
          <w:sz w:val="20"/>
          <w:szCs w:val="20"/>
        </w:rPr>
        <w:t>submitted</w:t>
      </w:r>
      <w:r w:rsidR="00DB1F40" w:rsidRPr="00B645F5">
        <w:rPr>
          <w:rFonts w:asciiTheme="majorHAnsi" w:hAnsiTheme="majorHAnsi"/>
          <w:sz w:val="20"/>
          <w:szCs w:val="20"/>
        </w:rPr>
        <w:t>, and</w:t>
      </w:r>
      <w:proofErr w:type="gramEnd"/>
      <w:r w:rsidR="00DB1F40" w:rsidRPr="00B645F5">
        <w:rPr>
          <w:rFonts w:asciiTheme="majorHAnsi" w:hAnsiTheme="majorHAnsi"/>
          <w:sz w:val="20"/>
          <w:szCs w:val="20"/>
        </w:rPr>
        <w:t xml:space="preserve"> </w:t>
      </w:r>
      <w:r w:rsidR="00A306E9" w:rsidRPr="00B645F5">
        <w:rPr>
          <w:rFonts w:asciiTheme="majorHAnsi" w:hAnsiTheme="majorHAnsi"/>
          <w:sz w:val="20"/>
          <w:szCs w:val="20"/>
        </w:rPr>
        <w:t xml:space="preserve">had </w:t>
      </w:r>
      <w:r w:rsidR="00DB1F40" w:rsidRPr="00B645F5">
        <w:rPr>
          <w:rFonts w:asciiTheme="majorHAnsi" w:hAnsiTheme="majorHAnsi"/>
          <w:sz w:val="20"/>
          <w:szCs w:val="20"/>
        </w:rPr>
        <w:t xml:space="preserve">failed </w:t>
      </w:r>
      <w:r w:rsidR="00A306E9" w:rsidRPr="00B645F5">
        <w:rPr>
          <w:rFonts w:asciiTheme="majorHAnsi" w:hAnsiTheme="majorHAnsi"/>
          <w:sz w:val="20"/>
          <w:szCs w:val="20"/>
        </w:rPr>
        <w:t xml:space="preserve">to </w:t>
      </w:r>
      <w:r w:rsidR="00DB1F40" w:rsidRPr="00B645F5">
        <w:rPr>
          <w:rFonts w:asciiTheme="majorHAnsi" w:hAnsiTheme="majorHAnsi"/>
          <w:sz w:val="20"/>
          <w:szCs w:val="20"/>
        </w:rPr>
        <w:t>exhaust domestic remedies</w:t>
      </w:r>
      <w:r w:rsidR="00A306E9" w:rsidRPr="00B645F5">
        <w:rPr>
          <w:rFonts w:asciiTheme="majorHAnsi" w:hAnsiTheme="majorHAnsi"/>
          <w:sz w:val="20"/>
          <w:szCs w:val="20"/>
        </w:rPr>
        <w:t>. Moreover,</w:t>
      </w:r>
      <w:r w:rsidR="000B43F3" w:rsidRPr="00B645F5">
        <w:rPr>
          <w:rFonts w:asciiTheme="majorHAnsi" w:hAnsiTheme="majorHAnsi"/>
          <w:sz w:val="20"/>
          <w:szCs w:val="20"/>
        </w:rPr>
        <w:t xml:space="preserve"> the State claims that the Commission held the petition in abeyance pending the exhaustion of domestic remedies</w:t>
      </w:r>
      <w:r w:rsidR="006E2750" w:rsidRPr="00B645F5">
        <w:rPr>
          <w:rFonts w:asciiTheme="majorHAnsi" w:hAnsiTheme="majorHAnsi"/>
          <w:sz w:val="20"/>
          <w:szCs w:val="20"/>
        </w:rPr>
        <w:t xml:space="preserve">. With respect to </w:t>
      </w:r>
      <w:r w:rsidR="00C811E5" w:rsidRPr="00B645F5">
        <w:rPr>
          <w:rFonts w:asciiTheme="majorHAnsi" w:hAnsiTheme="majorHAnsi"/>
          <w:sz w:val="20"/>
          <w:szCs w:val="20"/>
        </w:rPr>
        <w:t xml:space="preserve">the </w:t>
      </w:r>
      <w:r w:rsidR="006E2750" w:rsidRPr="00B645F5">
        <w:rPr>
          <w:rFonts w:asciiTheme="majorHAnsi" w:hAnsiTheme="majorHAnsi"/>
          <w:sz w:val="20"/>
          <w:szCs w:val="20"/>
        </w:rPr>
        <w:t>Commission’s stated basis for</w:t>
      </w:r>
      <w:r w:rsidR="00DD2261" w:rsidRPr="00B645F5">
        <w:rPr>
          <w:rFonts w:asciiTheme="majorHAnsi" w:hAnsiTheme="majorHAnsi"/>
          <w:sz w:val="20"/>
          <w:szCs w:val="20"/>
        </w:rPr>
        <w:t xml:space="preserve"> a</w:t>
      </w:r>
      <w:r w:rsidR="006E2750" w:rsidRPr="00B645F5">
        <w:rPr>
          <w:rFonts w:asciiTheme="majorHAnsi" w:hAnsiTheme="majorHAnsi"/>
          <w:sz w:val="20"/>
          <w:szCs w:val="20"/>
        </w:rPr>
        <w:t xml:space="preserve"> deferral of a decision on admissibility</w:t>
      </w:r>
      <w:r w:rsidR="00F064F2" w:rsidRPr="00B645F5">
        <w:rPr>
          <w:rFonts w:asciiTheme="majorHAnsi" w:hAnsiTheme="majorHAnsi"/>
          <w:sz w:val="20"/>
          <w:szCs w:val="20"/>
        </w:rPr>
        <w:t xml:space="preserve">, </w:t>
      </w:r>
      <w:r w:rsidR="00F411A2" w:rsidRPr="00B645F5">
        <w:rPr>
          <w:rFonts w:asciiTheme="majorHAnsi" w:hAnsiTheme="majorHAnsi"/>
          <w:sz w:val="20"/>
          <w:szCs w:val="20"/>
        </w:rPr>
        <w:t>which concerned</w:t>
      </w:r>
      <w:r w:rsidR="006E2750" w:rsidRPr="00B645F5">
        <w:rPr>
          <w:rFonts w:asciiTheme="majorHAnsi" w:hAnsiTheme="majorHAnsi"/>
          <w:sz w:val="20"/>
          <w:szCs w:val="20"/>
        </w:rPr>
        <w:t xml:space="preserve"> the subject ma</w:t>
      </w:r>
      <w:r w:rsidR="00B216AE" w:rsidRPr="00B645F5">
        <w:rPr>
          <w:rFonts w:asciiTheme="majorHAnsi" w:hAnsiTheme="majorHAnsi"/>
          <w:sz w:val="20"/>
          <w:szCs w:val="20"/>
        </w:rPr>
        <w:t>tter of a petition</w:t>
      </w:r>
      <w:r w:rsidR="0090301B" w:rsidRPr="00B645F5">
        <w:rPr>
          <w:rFonts w:asciiTheme="majorHAnsi" w:hAnsiTheme="majorHAnsi"/>
          <w:sz w:val="20"/>
          <w:szCs w:val="20"/>
        </w:rPr>
        <w:t xml:space="preserve"> </w:t>
      </w:r>
      <w:r w:rsidR="00F411A2" w:rsidRPr="00B645F5">
        <w:rPr>
          <w:rFonts w:asciiTheme="majorHAnsi" w:hAnsiTheme="majorHAnsi"/>
          <w:sz w:val="20"/>
          <w:szCs w:val="20"/>
        </w:rPr>
        <w:t>on</w:t>
      </w:r>
      <w:r w:rsidR="00DD2261" w:rsidRPr="00B645F5">
        <w:rPr>
          <w:rFonts w:asciiTheme="majorHAnsi" w:hAnsiTheme="majorHAnsi"/>
          <w:sz w:val="20"/>
          <w:szCs w:val="20"/>
        </w:rPr>
        <w:t xml:space="preserve"> the </w:t>
      </w:r>
      <w:r w:rsidR="002E7231" w:rsidRPr="00B645F5">
        <w:rPr>
          <w:rFonts w:asciiTheme="majorHAnsi" w:hAnsiTheme="majorHAnsi"/>
          <w:sz w:val="20"/>
          <w:szCs w:val="20"/>
        </w:rPr>
        <w:t>death penalty</w:t>
      </w:r>
      <w:r w:rsidR="00B216AE" w:rsidRPr="00B645F5">
        <w:rPr>
          <w:rFonts w:asciiTheme="majorHAnsi" w:hAnsiTheme="majorHAnsi"/>
          <w:sz w:val="20"/>
          <w:szCs w:val="20"/>
        </w:rPr>
        <w:t xml:space="preserve">, the State claims </w:t>
      </w:r>
      <w:r w:rsidR="00DD2261" w:rsidRPr="00B645F5">
        <w:rPr>
          <w:rFonts w:asciiTheme="majorHAnsi" w:hAnsiTheme="majorHAnsi"/>
          <w:sz w:val="20"/>
          <w:szCs w:val="20"/>
        </w:rPr>
        <w:t xml:space="preserve">this </w:t>
      </w:r>
      <w:r w:rsidR="00B216AE" w:rsidRPr="00B645F5">
        <w:rPr>
          <w:rFonts w:asciiTheme="majorHAnsi" w:hAnsiTheme="majorHAnsi"/>
          <w:sz w:val="20"/>
          <w:szCs w:val="20"/>
        </w:rPr>
        <w:t xml:space="preserve">rationale </w:t>
      </w:r>
      <w:r w:rsidR="00F4491C" w:rsidRPr="00B645F5">
        <w:rPr>
          <w:rFonts w:asciiTheme="majorHAnsi" w:hAnsiTheme="majorHAnsi"/>
          <w:sz w:val="20"/>
          <w:szCs w:val="20"/>
        </w:rPr>
        <w:t xml:space="preserve">to be </w:t>
      </w:r>
      <w:r w:rsidR="00B216AE" w:rsidRPr="00B645F5">
        <w:rPr>
          <w:rFonts w:asciiTheme="majorHAnsi" w:hAnsiTheme="majorHAnsi"/>
          <w:sz w:val="20"/>
          <w:szCs w:val="20"/>
        </w:rPr>
        <w:t xml:space="preserve">inconsistent with Article 36(3). </w:t>
      </w:r>
    </w:p>
    <w:p w14:paraId="577DCFD2" w14:textId="77777777" w:rsidR="00F4491C" w:rsidRPr="00B645F5" w:rsidRDefault="00F4491C" w:rsidP="00F4491C">
      <w:pPr>
        <w:pStyle w:val="ListParagraph"/>
        <w:rPr>
          <w:rFonts w:asciiTheme="majorHAnsi" w:hAnsiTheme="majorHAnsi"/>
          <w:sz w:val="20"/>
          <w:szCs w:val="20"/>
        </w:rPr>
      </w:pPr>
    </w:p>
    <w:p w14:paraId="109A8F19" w14:textId="77777777" w:rsidR="00575867" w:rsidRPr="00B645F5" w:rsidRDefault="002E7231"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The State asserts that the petition fails to establish acts that could support a claim of violation</w:t>
      </w:r>
      <w:r w:rsidR="00256C3D" w:rsidRPr="00B645F5">
        <w:rPr>
          <w:rFonts w:asciiTheme="majorHAnsi" w:hAnsiTheme="majorHAnsi"/>
          <w:sz w:val="20"/>
          <w:szCs w:val="20"/>
        </w:rPr>
        <w:t xml:space="preserve"> of the American Declaration</w:t>
      </w:r>
      <w:r w:rsidR="00F4491C" w:rsidRPr="00B645F5">
        <w:rPr>
          <w:rFonts w:asciiTheme="majorHAnsi" w:hAnsiTheme="majorHAnsi"/>
          <w:sz w:val="20"/>
          <w:szCs w:val="20"/>
        </w:rPr>
        <w:t xml:space="preserve">, </w:t>
      </w:r>
      <w:r w:rsidR="00256C3D" w:rsidRPr="00B645F5">
        <w:rPr>
          <w:rFonts w:asciiTheme="majorHAnsi" w:hAnsiTheme="majorHAnsi"/>
          <w:sz w:val="20"/>
          <w:szCs w:val="20"/>
        </w:rPr>
        <w:t>under Article 34</w:t>
      </w:r>
      <w:r w:rsidR="00F4491C" w:rsidRPr="00B645F5">
        <w:rPr>
          <w:rFonts w:asciiTheme="majorHAnsi" w:hAnsiTheme="majorHAnsi"/>
          <w:sz w:val="20"/>
          <w:szCs w:val="20"/>
        </w:rPr>
        <w:t xml:space="preserve">, </w:t>
      </w:r>
      <w:r w:rsidR="00B04647" w:rsidRPr="00B645F5">
        <w:rPr>
          <w:rFonts w:asciiTheme="majorHAnsi" w:hAnsiTheme="majorHAnsi"/>
          <w:sz w:val="20"/>
          <w:szCs w:val="20"/>
        </w:rPr>
        <w:t xml:space="preserve">also </w:t>
      </w:r>
      <w:r w:rsidR="00256C3D" w:rsidRPr="00B645F5">
        <w:rPr>
          <w:rFonts w:asciiTheme="majorHAnsi" w:hAnsiTheme="majorHAnsi"/>
          <w:sz w:val="20"/>
          <w:szCs w:val="20"/>
        </w:rPr>
        <w:t xml:space="preserve">making it inadmissible and manifestly groundless. </w:t>
      </w:r>
      <w:r w:rsidR="001622D1" w:rsidRPr="00B645F5">
        <w:rPr>
          <w:rFonts w:asciiTheme="majorHAnsi" w:hAnsiTheme="majorHAnsi"/>
          <w:sz w:val="20"/>
          <w:szCs w:val="20"/>
        </w:rPr>
        <w:t>With respect to the petitioner’s claim that state appointed counsel was inadequ</w:t>
      </w:r>
      <w:r w:rsidR="00007F34" w:rsidRPr="00B645F5">
        <w:rPr>
          <w:rFonts w:asciiTheme="majorHAnsi" w:hAnsiTheme="majorHAnsi"/>
          <w:sz w:val="20"/>
          <w:szCs w:val="20"/>
        </w:rPr>
        <w:t>ate, the State refers to the</w:t>
      </w:r>
      <w:r w:rsidR="00172A5E" w:rsidRPr="00B645F5">
        <w:rPr>
          <w:rFonts w:asciiTheme="majorHAnsi" w:hAnsiTheme="majorHAnsi"/>
          <w:sz w:val="20"/>
          <w:szCs w:val="20"/>
        </w:rPr>
        <w:t xml:space="preserve"> judgment of the</w:t>
      </w:r>
      <w:r w:rsidR="00007F34" w:rsidRPr="00B645F5">
        <w:rPr>
          <w:rFonts w:asciiTheme="majorHAnsi" w:hAnsiTheme="majorHAnsi"/>
          <w:sz w:val="20"/>
          <w:szCs w:val="20"/>
        </w:rPr>
        <w:t xml:space="preserve"> </w:t>
      </w:r>
      <w:r w:rsidR="00B964F2" w:rsidRPr="00B645F5">
        <w:rPr>
          <w:rFonts w:asciiTheme="majorHAnsi" w:hAnsiTheme="majorHAnsi"/>
          <w:sz w:val="20"/>
          <w:szCs w:val="20"/>
        </w:rPr>
        <w:t>F</w:t>
      </w:r>
      <w:r w:rsidR="00007F34" w:rsidRPr="00B645F5">
        <w:rPr>
          <w:rFonts w:asciiTheme="majorHAnsi" w:hAnsiTheme="majorHAnsi"/>
          <w:sz w:val="20"/>
          <w:szCs w:val="20"/>
        </w:rPr>
        <w:t xml:space="preserve">ederal </w:t>
      </w:r>
      <w:r w:rsidR="00B964F2" w:rsidRPr="00B645F5">
        <w:rPr>
          <w:rFonts w:asciiTheme="majorHAnsi" w:hAnsiTheme="majorHAnsi"/>
          <w:sz w:val="20"/>
          <w:szCs w:val="20"/>
        </w:rPr>
        <w:t>D</w:t>
      </w:r>
      <w:r w:rsidR="00007F34" w:rsidRPr="00B645F5">
        <w:rPr>
          <w:rFonts w:asciiTheme="majorHAnsi" w:hAnsiTheme="majorHAnsi"/>
          <w:sz w:val="20"/>
          <w:szCs w:val="20"/>
        </w:rPr>
        <w:t xml:space="preserve">istrict </w:t>
      </w:r>
      <w:r w:rsidR="00B964F2" w:rsidRPr="00B645F5">
        <w:rPr>
          <w:rFonts w:asciiTheme="majorHAnsi" w:hAnsiTheme="majorHAnsi"/>
          <w:sz w:val="20"/>
          <w:szCs w:val="20"/>
        </w:rPr>
        <w:t>C</w:t>
      </w:r>
      <w:r w:rsidR="00007F34" w:rsidRPr="00B645F5">
        <w:rPr>
          <w:rFonts w:asciiTheme="majorHAnsi" w:hAnsiTheme="majorHAnsi"/>
          <w:sz w:val="20"/>
          <w:szCs w:val="20"/>
        </w:rPr>
        <w:t>ourt which reviewed the evidence and concluded</w:t>
      </w:r>
      <w:r w:rsidR="004D2566" w:rsidRPr="00B645F5">
        <w:rPr>
          <w:rFonts w:asciiTheme="majorHAnsi" w:hAnsiTheme="majorHAnsi"/>
          <w:sz w:val="20"/>
          <w:szCs w:val="20"/>
        </w:rPr>
        <w:t xml:space="preserve"> that there was</w:t>
      </w:r>
      <w:r w:rsidR="00007F34" w:rsidRPr="00B645F5">
        <w:rPr>
          <w:rFonts w:asciiTheme="majorHAnsi" w:hAnsiTheme="majorHAnsi"/>
          <w:sz w:val="20"/>
          <w:szCs w:val="20"/>
        </w:rPr>
        <w:t xml:space="preserve"> nothing to support Mr. </w:t>
      </w:r>
      <w:r w:rsidR="004F76C4" w:rsidRPr="00B645F5">
        <w:rPr>
          <w:rFonts w:asciiTheme="majorHAnsi" w:hAnsiTheme="majorHAnsi"/>
          <w:sz w:val="20"/>
          <w:szCs w:val="20"/>
        </w:rPr>
        <w:t>Ibarra</w:t>
      </w:r>
      <w:r w:rsidR="00007F34" w:rsidRPr="00B645F5">
        <w:rPr>
          <w:rFonts w:asciiTheme="majorHAnsi" w:hAnsiTheme="majorHAnsi"/>
          <w:sz w:val="20"/>
          <w:szCs w:val="20"/>
        </w:rPr>
        <w:t xml:space="preserve">’s claim </w:t>
      </w:r>
      <w:r w:rsidR="004D2566" w:rsidRPr="00B645F5">
        <w:rPr>
          <w:rFonts w:asciiTheme="majorHAnsi" w:hAnsiTheme="majorHAnsi"/>
          <w:sz w:val="20"/>
          <w:szCs w:val="20"/>
        </w:rPr>
        <w:t xml:space="preserve">that </w:t>
      </w:r>
      <w:r w:rsidR="00BB5A63" w:rsidRPr="00B645F5">
        <w:rPr>
          <w:rFonts w:asciiTheme="majorHAnsi" w:hAnsiTheme="majorHAnsi"/>
          <w:sz w:val="20"/>
          <w:szCs w:val="20"/>
        </w:rPr>
        <w:t xml:space="preserve">counsel failed to investigate and present evidence in mitigation during the punishment phase, or that </w:t>
      </w:r>
      <w:r w:rsidR="00AC5329" w:rsidRPr="00B645F5">
        <w:rPr>
          <w:rFonts w:asciiTheme="majorHAnsi" w:hAnsiTheme="majorHAnsi"/>
          <w:sz w:val="20"/>
          <w:szCs w:val="20"/>
        </w:rPr>
        <w:t>Ibarra</w:t>
      </w:r>
      <w:r w:rsidR="00BB5A63" w:rsidRPr="00B645F5">
        <w:rPr>
          <w:rFonts w:asciiTheme="majorHAnsi" w:hAnsiTheme="majorHAnsi"/>
          <w:sz w:val="20"/>
          <w:szCs w:val="20"/>
        </w:rPr>
        <w:t xml:space="preserve">’s first habeas counsel was ineffective for failing to raise the </w:t>
      </w:r>
      <w:r w:rsidR="00223404" w:rsidRPr="00B645F5">
        <w:rPr>
          <w:rFonts w:asciiTheme="majorHAnsi" w:hAnsiTheme="majorHAnsi"/>
          <w:sz w:val="20"/>
          <w:szCs w:val="20"/>
        </w:rPr>
        <w:t>ineffective assistance of counsel</w:t>
      </w:r>
      <w:r w:rsidR="00BB5A63" w:rsidRPr="00B645F5">
        <w:rPr>
          <w:rFonts w:asciiTheme="majorHAnsi" w:hAnsiTheme="majorHAnsi"/>
          <w:sz w:val="20"/>
          <w:szCs w:val="20"/>
        </w:rPr>
        <w:t xml:space="preserve"> issue as it related to mitigation</w:t>
      </w:r>
      <w:r w:rsidR="004D2566" w:rsidRPr="00B645F5">
        <w:rPr>
          <w:rFonts w:asciiTheme="majorHAnsi" w:hAnsiTheme="majorHAnsi"/>
          <w:sz w:val="20"/>
          <w:szCs w:val="20"/>
        </w:rPr>
        <w:t xml:space="preserve">. </w:t>
      </w:r>
    </w:p>
    <w:p w14:paraId="14706376" w14:textId="77777777" w:rsidR="00575867" w:rsidRPr="00B645F5" w:rsidRDefault="00575867" w:rsidP="00575867">
      <w:pPr>
        <w:pStyle w:val="ListParagraph"/>
        <w:rPr>
          <w:rFonts w:asciiTheme="majorHAnsi" w:hAnsiTheme="majorHAnsi"/>
          <w:sz w:val="20"/>
          <w:szCs w:val="20"/>
        </w:rPr>
      </w:pPr>
    </w:p>
    <w:p w14:paraId="36A4743E" w14:textId="77777777" w:rsidR="00EA56D4" w:rsidRPr="00B645F5" w:rsidRDefault="00880C19"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The State highlights</w:t>
      </w:r>
      <w:r w:rsidR="00B964F2" w:rsidRPr="00B645F5">
        <w:rPr>
          <w:rFonts w:asciiTheme="majorHAnsi" w:hAnsiTheme="majorHAnsi"/>
          <w:sz w:val="20"/>
          <w:szCs w:val="20"/>
        </w:rPr>
        <w:t xml:space="preserve"> that the D</w:t>
      </w:r>
      <w:r w:rsidR="00EA56D4" w:rsidRPr="00B645F5">
        <w:rPr>
          <w:rFonts w:asciiTheme="majorHAnsi" w:hAnsiTheme="majorHAnsi"/>
          <w:sz w:val="20"/>
          <w:szCs w:val="20"/>
        </w:rPr>
        <w:t xml:space="preserve">istrict </w:t>
      </w:r>
      <w:r w:rsidR="00B964F2" w:rsidRPr="00B645F5">
        <w:rPr>
          <w:rFonts w:asciiTheme="majorHAnsi" w:hAnsiTheme="majorHAnsi"/>
          <w:sz w:val="20"/>
          <w:szCs w:val="20"/>
        </w:rPr>
        <w:t>C</w:t>
      </w:r>
      <w:r w:rsidR="00EA56D4" w:rsidRPr="00B645F5">
        <w:rPr>
          <w:rFonts w:asciiTheme="majorHAnsi" w:hAnsiTheme="majorHAnsi"/>
          <w:sz w:val="20"/>
          <w:szCs w:val="20"/>
        </w:rPr>
        <w:t xml:space="preserve">ourt noted that </w:t>
      </w:r>
      <w:r w:rsidRPr="00B645F5">
        <w:rPr>
          <w:rFonts w:asciiTheme="majorHAnsi" w:hAnsiTheme="majorHAnsi"/>
          <w:sz w:val="20"/>
          <w:szCs w:val="20"/>
        </w:rPr>
        <w:t xml:space="preserve">Mr. </w:t>
      </w:r>
      <w:r w:rsidR="00AC5329" w:rsidRPr="00B645F5">
        <w:rPr>
          <w:rFonts w:asciiTheme="majorHAnsi" w:hAnsiTheme="majorHAnsi"/>
          <w:sz w:val="20"/>
          <w:szCs w:val="20"/>
        </w:rPr>
        <w:t>Ibarra</w:t>
      </w:r>
      <w:r w:rsidR="00EA56D4" w:rsidRPr="00B645F5">
        <w:rPr>
          <w:rFonts w:asciiTheme="majorHAnsi" w:hAnsiTheme="majorHAnsi"/>
          <w:sz w:val="20"/>
          <w:szCs w:val="20"/>
        </w:rPr>
        <w:t xml:space="preserve">’s trial attorneys filed multiple motions including for investigative assistance and psychological evaluation. </w:t>
      </w:r>
      <w:r w:rsidR="004B7F87" w:rsidRPr="00B645F5">
        <w:rPr>
          <w:rFonts w:asciiTheme="majorHAnsi" w:hAnsiTheme="majorHAnsi"/>
          <w:sz w:val="20"/>
          <w:szCs w:val="20"/>
        </w:rPr>
        <w:t xml:space="preserve">Additionally, </w:t>
      </w:r>
      <w:r w:rsidRPr="00B645F5">
        <w:rPr>
          <w:rFonts w:asciiTheme="majorHAnsi" w:hAnsiTheme="majorHAnsi"/>
          <w:sz w:val="20"/>
          <w:szCs w:val="20"/>
        </w:rPr>
        <w:t xml:space="preserve">Mr. </w:t>
      </w:r>
      <w:r w:rsidR="00AC5329" w:rsidRPr="00B645F5">
        <w:rPr>
          <w:rFonts w:asciiTheme="majorHAnsi" w:hAnsiTheme="majorHAnsi"/>
          <w:sz w:val="20"/>
          <w:szCs w:val="20"/>
        </w:rPr>
        <w:t>Ibarra</w:t>
      </w:r>
      <w:r w:rsidR="00EA56D4" w:rsidRPr="00B645F5">
        <w:rPr>
          <w:rFonts w:asciiTheme="majorHAnsi" w:hAnsiTheme="majorHAnsi"/>
          <w:sz w:val="20"/>
          <w:szCs w:val="20"/>
        </w:rPr>
        <w:t xml:space="preserve"> was evaluated twice by Dr. Mark, a psychiatrist, who found no evidence of intellectual disability; discussed </w:t>
      </w:r>
      <w:r w:rsidR="004B7F87" w:rsidRPr="00B645F5">
        <w:rPr>
          <w:rFonts w:asciiTheme="majorHAnsi" w:hAnsiTheme="majorHAnsi"/>
          <w:sz w:val="20"/>
          <w:szCs w:val="20"/>
        </w:rPr>
        <w:t xml:space="preserve">Mr. </w:t>
      </w:r>
      <w:r w:rsidR="00AC5329" w:rsidRPr="00B645F5">
        <w:rPr>
          <w:rFonts w:asciiTheme="majorHAnsi" w:hAnsiTheme="majorHAnsi"/>
          <w:sz w:val="20"/>
          <w:szCs w:val="20"/>
        </w:rPr>
        <w:t>Ibarra</w:t>
      </w:r>
      <w:r w:rsidR="00EA56D4" w:rsidRPr="00B645F5">
        <w:rPr>
          <w:rFonts w:asciiTheme="majorHAnsi" w:hAnsiTheme="majorHAnsi"/>
          <w:sz w:val="20"/>
          <w:szCs w:val="20"/>
        </w:rPr>
        <w:t>’s childhood, education, work history and alcohol abuse with him; and suspected him of “malingering.” Further, the court found that much of the mitigating evidence that</w:t>
      </w:r>
      <w:r w:rsidR="00B164DA" w:rsidRPr="00B645F5">
        <w:rPr>
          <w:rFonts w:asciiTheme="majorHAnsi" w:hAnsiTheme="majorHAnsi"/>
          <w:sz w:val="20"/>
          <w:szCs w:val="20"/>
        </w:rPr>
        <w:t xml:space="preserve"> Mr.</w:t>
      </w:r>
      <w:r w:rsidR="00EA56D4" w:rsidRPr="00B645F5">
        <w:rPr>
          <w:rFonts w:asciiTheme="majorHAnsi" w:hAnsiTheme="majorHAnsi"/>
          <w:sz w:val="20"/>
          <w:szCs w:val="20"/>
        </w:rPr>
        <w:t xml:space="preserve"> </w:t>
      </w:r>
      <w:r w:rsidR="00AC5329" w:rsidRPr="00B645F5">
        <w:rPr>
          <w:rFonts w:asciiTheme="majorHAnsi" w:hAnsiTheme="majorHAnsi"/>
          <w:sz w:val="20"/>
          <w:szCs w:val="20"/>
        </w:rPr>
        <w:t>Ibarra</w:t>
      </w:r>
      <w:r w:rsidR="00EA56D4" w:rsidRPr="00B645F5">
        <w:rPr>
          <w:rFonts w:asciiTheme="majorHAnsi" w:hAnsiTheme="majorHAnsi"/>
          <w:sz w:val="20"/>
          <w:szCs w:val="20"/>
        </w:rPr>
        <w:t xml:space="preserve"> proffered was in fact presented to the jury through the testimony of </w:t>
      </w:r>
      <w:r w:rsidR="00B164DA" w:rsidRPr="00B645F5">
        <w:rPr>
          <w:rFonts w:asciiTheme="majorHAnsi" w:hAnsiTheme="majorHAnsi"/>
          <w:sz w:val="20"/>
          <w:szCs w:val="20"/>
        </w:rPr>
        <w:t xml:space="preserve">Mr. </w:t>
      </w:r>
      <w:r w:rsidR="00AC5329" w:rsidRPr="00B645F5">
        <w:rPr>
          <w:rFonts w:asciiTheme="majorHAnsi" w:hAnsiTheme="majorHAnsi"/>
          <w:sz w:val="20"/>
          <w:szCs w:val="20"/>
        </w:rPr>
        <w:t>Ibarra</w:t>
      </w:r>
      <w:r w:rsidR="00EA56D4" w:rsidRPr="00B645F5">
        <w:rPr>
          <w:rFonts w:asciiTheme="majorHAnsi" w:hAnsiTheme="majorHAnsi"/>
          <w:sz w:val="20"/>
          <w:szCs w:val="20"/>
        </w:rPr>
        <w:t>’s wife and sister</w:t>
      </w:r>
      <w:r w:rsidR="00313352" w:rsidRPr="00B645F5">
        <w:rPr>
          <w:rFonts w:asciiTheme="majorHAnsi" w:hAnsiTheme="majorHAnsi"/>
          <w:sz w:val="20"/>
          <w:szCs w:val="20"/>
        </w:rPr>
        <w:t>.</w:t>
      </w:r>
    </w:p>
    <w:p w14:paraId="5E0C4836" w14:textId="77777777" w:rsidR="00313352" w:rsidRPr="00B645F5" w:rsidRDefault="00313352" w:rsidP="00313352">
      <w:pPr>
        <w:pStyle w:val="ListParagraph"/>
        <w:rPr>
          <w:rFonts w:asciiTheme="majorHAnsi" w:hAnsiTheme="majorHAnsi"/>
          <w:sz w:val="20"/>
          <w:szCs w:val="20"/>
        </w:rPr>
      </w:pPr>
    </w:p>
    <w:p w14:paraId="183B29B8" w14:textId="77777777" w:rsidR="001F0E1E" w:rsidRPr="00B645F5" w:rsidRDefault="00313352" w:rsidP="00FE30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With respect to the allegations of racial and </w:t>
      </w:r>
      <w:r w:rsidR="00DD039C" w:rsidRPr="00B645F5">
        <w:rPr>
          <w:rFonts w:asciiTheme="majorHAnsi" w:hAnsiTheme="majorHAnsi"/>
          <w:sz w:val="20"/>
          <w:szCs w:val="20"/>
        </w:rPr>
        <w:t>ethnic bi</w:t>
      </w:r>
      <w:r w:rsidR="00181801" w:rsidRPr="00B645F5">
        <w:rPr>
          <w:rFonts w:asciiTheme="majorHAnsi" w:hAnsiTheme="majorHAnsi"/>
          <w:sz w:val="20"/>
          <w:szCs w:val="20"/>
        </w:rPr>
        <w:t>as, the State submits that the p</w:t>
      </w:r>
      <w:r w:rsidR="00EA56D4" w:rsidRPr="00B645F5">
        <w:rPr>
          <w:rFonts w:asciiTheme="majorHAnsi" w:hAnsiTheme="majorHAnsi"/>
          <w:sz w:val="20"/>
          <w:szCs w:val="20"/>
        </w:rPr>
        <w:t xml:space="preserve">etitioner fails to explain how </w:t>
      </w:r>
      <w:r w:rsidR="00DD039C" w:rsidRPr="00B645F5">
        <w:rPr>
          <w:rFonts w:asciiTheme="majorHAnsi" w:hAnsiTheme="majorHAnsi"/>
          <w:sz w:val="20"/>
          <w:szCs w:val="20"/>
        </w:rPr>
        <w:t xml:space="preserve">the </w:t>
      </w:r>
      <w:r w:rsidR="00EA56D4" w:rsidRPr="00B645F5">
        <w:rPr>
          <w:rFonts w:asciiTheme="majorHAnsi" w:hAnsiTheme="majorHAnsi"/>
          <w:sz w:val="20"/>
          <w:szCs w:val="20"/>
        </w:rPr>
        <w:t xml:space="preserve">remarks allegedly made by </w:t>
      </w:r>
      <w:r w:rsidR="006A0D12" w:rsidRPr="00B645F5">
        <w:rPr>
          <w:rFonts w:asciiTheme="majorHAnsi" w:hAnsiTheme="majorHAnsi"/>
          <w:sz w:val="20"/>
          <w:szCs w:val="20"/>
        </w:rPr>
        <w:t>J</w:t>
      </w:r>
      <w:r w:rsidR="00EA56D4" w:rsidRPr="00B645F5">
        <w:rPr>
          <w:rFonts w:asciiTheme="majorHAnsi" w:hAnsiTheme="majorHAnsi"/>
          <w:sz w:val="20"/>
          <w:szCs w:val="20"/>
        </w:rPr>
        <w:t xml:space="preserve">udge </w:t>
      </w:r>
      <w:r w:rsidR="006A0D12" w:rsidRPr="00B645F5">
        <w:rPr>
          <w:rFonts w:asciiTheme="majorHAnsi" w:hAnsiTheme="majorHAnsi"/>
          <w:sz w:val="20"/>
          <w:szCs w:val="20"/>
        </w:rPr>
        <w:t xml:space="preserve">Jones </w:t>
      </w:r>
      <w:r w:rsidR="00EA56D4" w:rsidRPr="00B645F5">
        <w:rPr>
          <w:rFonts w:asciiTheme="majorHAnsi" w:hAnsiTheme="majorHAnsi"/>
          <w:sz w:val="20"/>
          <w:szCs w:val="20"/>
        </w:rPr>
        <w:t>subjected him to judicial misconduct or otherwise impacted his right to equality before the law.</w:t>
      </w:r>
      <w:r w:rsidR="00D83DC7" w:rsidRPr="00B645F5">
        <w:rPr>
          <w:rFonts w:asciiTheme="majorHAnsi" w:hAnsiTheme="majorHAnsi"/>
          <w:sz w:val="20"/>
          <w:szCs w:val="20"/>
        </w:rPr>
        <w:t xml:space="preserve"> The State highlights that</w:t>
      </w:r>
      <w:r w:rsidR="00EA56D4" w:rsidRPr="00B645F5">
        <w:rPr>
          <w:rFonts w:asciiTheme="majorHAnsi" w:hAnsiTheme="majorHAnsi"/>
          <w:sz w:val="20"/>
          <w:szCs w:val="20"/>
        </w:rPr>
        <w:t xml:space="preserve"> </w:t>
      </w:r>
      <w:r w:rsidR="00D83DC7" w:rsidRPr="00B645F5">
        <w:rPr>
          <w:rFonts w:asciiTheme="majorHAnsi" w:hAnsiTheme="majorHAnsi"/>
          <w:sz w:val="20"/>
          <w:szCs w:val="20"/>
        </w:rPr>
        <w:t>t</w:t>
      </w:r>
      <w:r w:rsidR="00FE309B" w:rsidRPr="00B645F5">
        <w:rPr>
          <w:rFonts w:asciiTheme="majorHAnsi" w:hAnsiTheme="majorHAnsi"/>
          <w:sz w:val="20"/>
          <w:szCs w:val="20"/>
        </w:rPr>
        <w:t xml:space="preserve">he Special Committee panel </w:t>
      </w:r>
      <w:r w:rsidR="00D83DC7" w:rsidRPr="00B645F5">
        <w:rPr>
          <w:rFonts w:asciiTheme="majorHAnsi" w:hAnsiTheme="majorHAnsi"/>
          <w:sz w:val="20"/>
          <w:szCs w:val="20"/>
        </w:rPr>
        <w:t xml:space="preserve">on the matter </w:t>
      </w:r>
      <w:r w:rsidR="00FE309B" w:rsidRPr="00B645F5">
        <w:rPr>
          <w:rFonts w:asciiTheme="majorHAnsi" w:hAnsiTheme="majorHAnsi"/>
          <w:sz w:val="20"/>
          <w:szCs w:val="20"/>
        </w:rPr>
        <w:t xml:space="preserve">concluded that the judge “did not commit misconduct in discussing the specific cases cited by the complainants”. </w:t>
      </w:r>
      <w:r w:rsidR="006A0D12" w:rsidRPr="00B645F5">
        <w:rPr>
          <w:rFonts w:asciiTheme="majorHAnsi" w:hAnsiTheme="majorHAnsi"/>
          <w:sz w:val="20"/>
          <w:szCs w:val="20"/>
        </w:rPr>
        <w:t>The State highlights</w:t>
      </w:r>
      <w:r w:rsidR="003F627A" w:rsidRPr="00B645F5">
        <w:rPr>
          <w:rFonts w:asciiTheme="majorHAnsi" w:hAnsiTheme="majorHAnsi"/>
          <w:sz w:val="20"/>
          <w:szCs w:val="20"/>
        </w:rPr>
        <w:t>, in support, the explanation</w:t>
      </w:r>
      <w:r w:rsidR="00EA56D4" w:rsidRPr="00B645F5">
        <w:rPr>
          <w:rFonts w:asciiTheme="majorHAnsi" w:hAnsiTheme="majorHAnsi"/>
          <w:sz w:val="20"/>
          <w:szCs w:val="20"/>
        </w:rPr>
        <w:t xml:space="preserve"> </w:t>
      </w:r>
      <w:r w:rsidR="003F627A" w:rsidRPr="00B645F5">
        <w:rPr>
          <w:rFonts w:asciiTheme="majorHAnsi" w:hAnsiTheme="majorHAnsi"/>
          <w:sz w:val="20"/>
          <w:szCs w:val="20"/>
        </w:rPr>
        <w:t>with</w:t>
      </w:r>
      <w:r w:rsidR="00EA56D4" w:rsidRPr="00B645F5">
        <w:rPr>
          <w:rFonts w:asciiTheme="majorHAnsi" w:hAnsiTheme="majorHAnsi"/>
          <w:sz w:val="20"/>
          <w:szCs w:val="20"/>
        </w:rPr>
        <w:t>in the Report of the Special Committee to the Judicial Council of the District of Columbia Circuit</w:t>
      </w:r>
      <w:r w:rsidR="003F627A" w:rsidRPr="00B645F5">
        <w:rPr>
          <w:rFonts w:asciiTheme="majorHAnsi" w:hAnsiTheme="majorHAnsi"/>
          <w:sz w:val="20"/>
          <w:szCs w:val="20"/>
        </w:rPr>
        <w:t xml:space="preserve"> which provided that</w:t>
      </w:r>
      <w:r w:rsidR="00EA56D4" w:rsidRPr="00B645F5">
        <w:rPr>
          <w:rFonts w:asciiTheme="majorHAnsi" w:hAnsiTheme="majorHAnsi"/>
          <w:sz w:val="20"/>
          <w:szCs w:val="20"/>
        </w:rPr>
        <w:t>:</w:t>
      </w:r>
    </w:p>
    <w:p w14:paraId="30BC331D" w14:textId="77777777" w:rsidR="001F0E1E" w:rsidRPr="00B645F5" w:rsidRDefault="001F0E1E" w:rsidP="001F0E1E">
      <w:pPr>
        <w:pStyle w:val="ListParagraph"/>
        <w:rPr>
          <w:rFonts w:asciiTheme="majorHAnsi" w:hAnsiTheme="majorHAnsi"/>
          <w:sz w:val="20"/>
          <w:szCs w:val="20"/>
        </w:rPr>
      </w:pPr>
    </w:p>
    <w:p w14:paraId="3F01AD03" w14:textId="77777777" w:rsidR="00EA56D4" w:rsidRPr="00B645F5" w:rsidRDefault="00EA56D4" w:rsidP="0018180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360" w:right="360"/>
        <w:jc w:val="both"/>
        <w:rPr>
          <w:rFonts w:asciiTheme="majorHAnsi" w:hAnsiTheme="majorHAnsi"/>
          <w:sz w:val="18"/>
          <w:szCs w:val="18"/>
        </w:rPr>
      </w:pPr>
      <w:r w:rsidRPr="00B645F5">
        <w:rPr>
          <w:rFonts w:asciiTheme="majorHAnsi" w:hAnsiTheme="majorHAnsi"/>
          <w:sz w:val="18"/>
          <w:szCs w:val="18"/>
        </w:rPr>
        <w:t xml:space="preserve">[T]he </w:t>
      </w:r>
      <w:proofErr w:type="gramStart"/>
      <w:r w:rsidRPr="00B645F5">
        <w:rPr>
          <w:rFonts w:asciiTheme="majorHAnsi" w:hAnsiTheme="majorHAnsi"/>
          <w:sz w:val="18"/>
          <w:szCs w:val="18"/>
        </w:rPr>
        <w:t>matter</w:t>
      </w:r>
      <w:proofErr w:type="gramEnd"/>
      <w:r w:rsidRPr="00B645F5">
        <w:rPr>
          <w:rFonts w:asciiTheme="majorHAnsi" w:hAnsiTheme="majorHAnsi"/>
          <w:sz w:val="18"/>
          <w:szCs w:val="18"/>
        </w:rPr>
        <w:t xml:space="preserve"> involving </w:t>
      </w:r>
      <w:r w:rsidR="00D773AA" w:rsidRPr="00B645F5">
        <w:rPr>
          <w:rFonts w:asciiTheme="majorHAnsi" w:hAnsiTheme="majorHAnsi"/>
          <w:sz w:val="18"/>
          <w:szCs w:val="18"/>
        </w:rPr>
        <w:t xml:space="preserve">Mr. </w:t>
      </w:r>
      <w:r w:rsidR="00AC5329" w:rsidRPr="00B645F5">
        <w:rPr>
          <w:rFonts w:asciiTheme="majorHAnsi" w:hAnsiTheme="majorHAnsi"/>
          <w:sz w:val="18"/>
          <w:szCs w:val="18"/>
        </w:rPr>
        <w:t>Ibarra</w:t>
      </w:r>
      <w:r w:rsidRPr="00B645F5">
        <w:rPr>
          <w:rFonts w:asciiTheme="majorHAnsi" w:hAnsiTheme="majorHAnsi"/>
          <w:sz w:val="18"/>
          <w:szCs w:val="18"/>
        </w:rPr>
        <w:t xml:space="preserve"> that was pending at the time of the lecture was </w:t>
      </w:r>
      <w:r w:rsidR="00D773AA" w:rsidRPr="00B645F5">
        <w:rPr>
          <w:rFonts w:asciiTheme="majorHAnsi" w:hAnsiTheme="majorHAnsi"/>
          <w:sz w:val="18"/>
          <w:szCs w:val="18"/>
        </w:rPr>
        <w:t xml:space="preserve">Mr. </w:t>
      </w:r>
      <w:r w:rsidR="00AC5329" w:rsidRPr="00B645F5">
        <w:rPr>
          <w:rFonts w:asciiTheme="majorHAnsi" w:hAnsiTheme="majorHAnsi"/>
          <w:sz w:val="18"/>
          <w:szCs w:val="18"/>
        </w:rPr>
        <w:t>Ibarra</w:t>
      </w:r>
      <w:r w:rsidRPr="00B645F5">
        <w:rPr>
          <w:rFonts w:asciiTheme="majorHAnsi" w:hAnsiTheme="majorHAnsi"/>
          <w:sz w:val="18"/>
          <w:szCs w:val="18"/>
        </w:rPr>
        <w:t xml:space="preserve">’s petition for reconsideration </w:t>
      </w:r>
      <w:proofErr w:type="spellStart"/>
      <w:r w:rsidRPr="00B645F5">
        <w:rPr>
          <w:rFonts w:asciiTheme="majorHAnsi" w:hAnsiTheme="majorHAnsi"/>
          <w:sz w:val="18"/>
          <w:szCs w:val="18"/>
        </w:rPr>
        <w:t>en</w:t>
      </w:r>
      <w:proofErr w:type="spellEnd"/>
      <w:r w:rsidRPr="00B645F5">
        <w:rPr>
          <w:rFonts w:asciiTheme="majorHAnsi" w:hAnsiTheme="majorHAnsi"/>
          <w:sz w:val="18"/>
          <w:szCs w:val="18"/>
        </w:rPr>
        <w:t xml:space="preserve"> banc of the panel’s rejection of his challenges to the district court’s denial of habeas relief. The sole issues raised by that petition was a challenge to the panel’s determination that </w:t>
      </w:r>
      <w:r w:rsidR="00D773AA" w:rsidRPr="00B645F5">
        <w:rPr>
          <w:rFonts w:asciiTheme="majorHAnsi" w:hAnsiTheme="majorHAnsi"/>
          <w:sz w:val="18"/>
          <w:szCs w:val="18"/>
        </w:rPr>
        <w:t xml:space="preserve">Mr. </w:t>
      </w:r>
      <w:r w:rsidR="00AC5329" w:rsidRPr="00B645F5">
        <w:rPr>
          <w:rFonts w:asciiTheme="majorHAnsi" w:hAnsiTheme="majorHAnsi"/>
          <w:sz w:val="18"/>
          <w:szCs w:val="18"/>
        </w:rPr>
        <w:t>Ibarra</w:t>
      </w:r>
      <w:r w:rsidRPr="00B645F5">
        <w:rPr>
          <w:rFonts w:asciiTheme="majorHAnsi" w:hAnsiTheme="majorHAnsi"/>
          <w:sz w:val="18"/>
          <w:szCs w:val="18"/>
        </w:rPr>
        <w:t xml:space="preserve">’s ineffective assistance claim had been procedurally defaulted, and that </w:t>
      </w:r>
      <w:r w:rsidR="00D535B2" w:rsidRPr="00B645F5">
        <w:rPr>
          <w:rFonts w:asciiTheme="majorHAnsi" w:hAnsiTheme="majorHAnsi"/>
          <w:sz w:val="18"/>
          <w:szCs w:val="18"/>
        </w:rPr>
        <w:t xml:space="preserve">previous jurisprudence </w:t>
      </w:r>
      <w:r w:rsidRPr="00B645F5">
        <w:rPr>
          <w:rFonts w:asciiTheme="majorHAnsi" w:hAnsiTheme="majorHAnsi"/>
          <w:sz w:val="18"/>
          <w:szCs w:val="18"/>
        </w:rPr>
        <w:t xml:space="preserve">did not permit </w:t>
      </w:r>
      <w:r w:rsidR="00D535B2" w:rsidRPr="00B645F5">
        <w:rPr>
          <w:rFonts w:asciiTheme="majorHAnsi" w:hAnsiTheme="majorHAnsi"/>
          <w:sz w:val="18"/>
          <w:szCs w:val="18"/>
        </w:rPr>
        <w:t xml:space="preserve">Mr. </w:t>
      </w:r>
      <w:r w:rsidR="00AC5329" w:rsidRPr="00B645F5">
        <w:rPr>
          <w:rFonts w:asciiTheme="majorHAnsi" w:hAnsiTheme="majorHAnsi"/>
          <w:sz w:val="18"/>
          <w:szCs w:val="18"/>
        </w:rPr>
        <w:t>Ibarra</w:t>
      </w:r>
      <w:r w:rsidRPr="00B645F5">
        <w:rPr>
          <w:rFonts w:asciiTheme="majorHAnsi" w:hAnsiTheme="majorHAnsi"/>
          <w:sz w:val="18"/>
          <w:szCs w:val="18"/>
        </w:rPr>
        <w:t xml:space="preserve"> to avoid the default. No one contends that Judge Jones’ comments about </w:t>
      </w:r>
      <w:r w:rsidR="00AC5329" w:rsidRPr="00B645F5">
        <w:rPr>
          <w:rFonts w:asciiTheme="majorHAnsi" w:hAnsiTheme="majorHAnsi"/>
          <w:sz w:val="18"/>
          <w:szCs w:val="18"/>
        </w:rPr>
        <w:t>Ibarra</w:t>
      </w:r>
      <w:r w:rsidRPr="00B645F5">
        <w:rPr>
          <w:rFonts w:asciiTheme="majorHAnsi" w:hAnsiTheme="majorHAnsi"/>
          <w:sz w:val="18"/>
          <w:szCs w:val="18"/>
        </w:rPr>
        <w:t xml:space="preserve"> addressed that issue, whether with respect to the merits or otherwise.</w:t>
      </w:r>
    </w:p>
    <w:p w14:paraId="3E571EE3" w14:textId="77777777" w:rsidR="00FE309B" w:rsidRPr="00B645F5" w:rsidRDefault="00FE309B" w:rsidP="00FE309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F48B94A" w14:textId="77777777" w:rsidR="000C5614" w:rsidRPr="00B645F5" w:rsidRDefault="00B13B5B"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The State claims that the p</w:t>
      </w:r>
      <w:r w:rsidR="00EA56D4" w:rsidRPr="00B645F5">
        <w:rPr>
          <w:rFonts w:asciiTheme="majorHAnsi" w:hAnsiTheme="majorHAnsi"/>
          <w:sz w:val="20"/>
          <w:szCs w:val="20"/>
        </w:rPr>
        <w:t xml:space="preserve">etitioner’s </w:t>
      </w:r>
      <w:r w:rsidRPr="00B645F5">
        <w:rPr>
          <w:rFonts w:asciiTheme="majorHAnsi" w:hAnsiTheme="majorHAnsi"/>
          <w:sz w:val="20"/>
          <w:szCs w:val="20"/>
        </w:rPr>
        <w:t>c</w:t>
      </w:r>
      <w:r w:rsidR="00EA56D4" w:rsidRPr="00B645F5">
        <w:rPr>
          <w:rFonts w:asciiTheme="majorHAnsi" w:hAnsiTheme="majorHAnsi"/>
          <w:sz w:val="20"/>
          <w:szCs w:val="20"/>
        </w:rPr>
        <w:t xml:space="preserve">onsular </w:t>
      </w:r>
      <w:r w:rsidRPr="00B645F5">
        <w:rPr>
          <w:rFonts w:asciiTheme="majorHAnsi" w:hAnsiTheme="majorHAnsi"/>
          <w:sz w:val="20"/>
          <w:szCs w:val="20"/>
        </w:rPr>
        <w:t>n</w:t>
      </w:r>
      <w:r w:rsidR="00EA56D4" w:rsidRPr="00B645F5">
        <w:rPr>
          <w:rFonts w:asciiTheme="majorHAnsi" w:hAnsiTheme="majorHAnsi"/>
          <w:sz w:val="20"/>
          <w:szCs w:val="20"/>
        </w:rPr>
        <w:t xml:space="preserve">otification </w:t>
      </w:r>
      <w:r w:rsidRPr="00B645F5">
        <w:rPr>
          <w:rFonts w:asciiTheme="majorHAnsi" w:hAnsiTheme="majorHAnsi"/>
          <w:sz w:val="20"/>
          <w:szCs w:val="20"/>
        </w:rPr>
        <w:t>c</w:t>
      </w:r>
      <w:r w:rsidR="00EA56D4" w:rsidRPr="00B645F5">
        <w:rPr>
          <w:rFonts w:asciiTheme="majorHAnsi" w:hAnsiTheme="majorHAnsi"/>
          <w:sz w:val="20"/>
          <w:szCs w:val="20"/>
        </w:rPr>
        <w:t xml:space="preserve">laim is not </w:t>
      </w:r>
      <w:r w:rsidRPr="00B645F5">
        <w:rPr>
          <w:rFonts w:asciiTheme="majorHAnsi" w:hAnsiTheme="majorHAnsi"/>
          <w:sz w:val="20"/>
          <w:szCs w:val="20"/>
        </w:rPr>
        <w:t>c</w:t>
      </w:r>
      <w:r w:rsidR="00EA56D4" w:rsidRPr="00B645F5">
        <w:rPr>
          <w:rFonts w:asciiTheme="majorHAnsi" w:hAnsiTheme="majorHAnsi"/>
          <w:sz w:val="20"/>
          <w:szCs w:val="20"/>
        </w:rPr>
        <w:t xml:space="preserve">ognizable under the American </w:t>
      </w:r>
      <w:proofErr w:type="gramStart"/>
      <w:r w:rsidR="00EA56D4" w:rsidRPr="00B645F5">
        <w:rPr>
          <w:rFonts w:asciiTheme="majorHAnsi" w:hAnsiTheme="majorHAnsi"/>
          <w:sz w:val="20"/>
          <w:szCs w:val="20"/>
        </w:rPr>
        <w:t>Declaration</w:t>
      </w:r>
      <w:r w:rsidR="00AC5C7C" w:rsidRPr="00B645F5">
        <w:rPr>
          <w:rFonts w:asciiTheme="majorHAnsi" w:hAnsiTheme="majorHAnsi"/>
          <w:sz w:val="20"/>
          <w:szCs w:val="20"/>
        </w:rPr>
        <w:t>, and</w:t>
      </w:r>
      <w:proofErr w:type="gramEnd"/>
      <w:r w:rsidR="00AC5C7C" w:rsidRPr="00B645F5">
        <w:rPr>
          <w:rFonts w:asciiTheme="majorHAnsi" w:hAnsiTheme="majorHAnsi"/>
          <w:sz w:val="20"/>
          <w:szCs w:val="20"/>
        </w:rPr>
        <w:t xml:space="preserve"> </w:t>
      </w:r>
      <w:r w:rsidR="00EA56D4" w:rsidRPr="00B645F5">
        <w:rPr>
          <w:rFonts w:asciiTheme="majorHAnsi" w:hAnsiTheme="majorHAnsi"/>
          <w:sz w:val="20"/>
          <w:szCs w:val="20"/>
        </w:rPr>
        <w:t>maintain</w:t>
      </w:r>
      <w:r w:rsidR="00AC5C7C" w:rsidRPr="00B645F5">
        <w:rPr>
          <w:rFonts w:asciiTheme="majorHAnsi" w:hAnsiTheme="majorHAnsi"/>
          <w:sz w:val="20"/>
          <w:szCs w:val="20"/>
        </w:rPr>
        <w:t>s</w:t>
      </w:r>
      <w:r w:rsidR="00EA56D4" w:rsidRPr="00B645F5">
        <w:rPr>
          <w:rFonts w:asciiTheme="majorHAnsi" w:hAnsiTheme="majorHAnsi"/>
          <w:sz w:val="20"/>
          <w:szCs w:val="20"/>
        </w:rPr>
        <w:t xml:space="preserve"> </w:t>
      </w:r>
      <w:r w:rsidR="00AC5C7C" w:rsidRPr="00B645F5">
        <w:rPr>
          <w:rFonts w:asciiTheme="majorHAnsi" w:hAnsiTheme="majorHAnsi"/>
          <w:sz w:val="20"/>
          <w:szCs w:val="20"/>
        </w:rPr>
        <w:t>its</w:t>
      </w:r>
      <w:r w:rsidR="00EA56D4" w:rsidRPr="00B645F5">
        <w:rPr>
          <w:rFonts w:asciiTheme="majorHAnsi" w:hAnsiTheme="majorHAnsi"/>
          <w:sz w:val="20"/>
          <w:szCs w:val="20"/>
        </w:rPr>
        <w:t xml:space="preserve"> firm position that the Commission does not, in fact, have competence to review claims arising under the Vienna Convention. </w:t>
      </w:r>
      <w:r w:rsidR="00AC5C7C" w:rsidRPr="00B645F5">
        <w:rPr>
          <w:rFonts w:asciiTheme="majorHAnsi" w:hAnsiTheme="majorHAnsi"/>
          <w:sz w:val="20"/>
          <w:szCs w:val="20"/>
        </w:rPr>
        <w:t>It provides that t</w:t>
      </w:r>
      <w:r w:rsidR="00EA56D4" w:rsidRPr="00B645F5">
        <w:rPr>
          <w:rFonts w:asciiTheme="majorHAnsi" w:hAnsiTheme="majorHAnsi"/>
          <w:sz w:val="20"/>
          <w:szCs w:val="20"/>
        </w:rPr>
        <w:t>his lack of jurisdiction is not avoided by characterizing a claim as one arising under the American Declaration</w:t>
      </w:r>
      <w:r w:rsidR="000C5614" w:rsidRPr="00B645F5">
        <w:rPr>
          <w:rFonts w:asciiTheme="majorHAnsi" w:hAnsiTheme="majorHAnsi"/>
          <w:sz w:val="20"/>
          <w:szCs w:val="20"/>
        </w:rPr>
        <w:t>, and that c</w:t>
      </w:r>
      <w:r w:rsidR="00EA56D4" w:rsidRPr="00B645F5">
        <w:rPr>
          <w:rFonts w:asciiTheme="majorHAnsi" w:hAnsiTheme="majorHAnsi"/>
          <w:sz w:val="20"/>
          <w:szCs w:val="20"/>
        </w:rPr>
        <w:t xml:space="preserve">laims concerning consular notification do not give rise to a violation of a human right enshrined in any international instrument to which the United States is a party or has endorsed. </w:t>
      </w:r>
    </w:p>
    <w:p w14:paraId="13F92906" w14:textId="77777777" w:rsidR="000C5614" w:rsidRPr="00B645F5" w:rsidRDefault="000C5614" w:rsidP="000C56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8A77630" w14:textId="77777777" w:rsidR="00A8491A" w:rsidRPr="00B645F5" w:rsidRDefault="000C5614"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lastRenderedPageBreak/>
        <w:t xml:space="preserve">It is submitted </w:t>
      </w:r>
      <w:r w:rsidR="009504B7" w:rsidRPr="00B645F5">
        <w:rPr>
          <w:rFonts w:asciiTheme="majorHAnsi" w:hAnsiTheme="majorHAnsi"/>
          <w:sz w:val="20"/>
          <w:szCs w:val="20"/>
        </w:rPr>
        <w:t>that the</w:t>
      </w:r>
      <w:r w:rsidR="00EA56D4" w:rsidRPr="00B645F5">
        <w:rPr>
          <w:rFonts w:asciiTheme="majorHAnsi" w:hAnsiTheme="majorHAnsi"/>
          <w:sz w:val="20"/>
          <w:szCs w:val="20"/>
        </w:rPr>
        <w:t xml:space="preserve"> consular notification protections are based on principles of reciprocity, nationality, and function, and any rights arising from those protections attach to consular officers for the purpose of facilitating a foreign state’s information about</w:t>
      </w:r>
      <w:r w:rsidR="00873FAA" w:rsidRPr="00B645F5">
        <w:rPr>
          <w:rFonts w:asciiTheme="majorHAnsi" w:hAnsiTheme="majorHAnsi"/>
          <w:sz w:val="20"/>
          <w:szCs w:val="20"/>
        </w:rPr>
        <w:t xml:space="preserve">, </w:t>
      </w:r>
      <w:r w:rsidR="00EA56D4" w:rsidRPr="00B645F5">
        <w:rPr>
          <w:rFonts w:asciiTheme="majorHAnsi" w:hAnsiTheme="majorHAnsi"/>
          <w:sz w:val="20"/>
          <w:szCs w:val="20"/>
        </w:rPr>
        <w:t>and access t</w:t>
      </w:r>
      <w:r w:rsidR="00873FAA" w:rsidRPr="00B645F5">
        <w:rPr>
          <w:rFonts w:asciiTheme="majorHAnsi" w:hAnsiTheme="majorHAnsi"/>
          <w:sz w:val="20"/>
          <w:szCs w:val="20"/>
        </w:rPr>
        <w:t xml:space="preserve">o, </w:t>
      </w:r>
      <w:r w:rsidR="00EA56D4" w:rsidRPr="00B645F5">
        <w:rPr>
          <w:rFonts w:asciiTheme="majorHAnsi" w:hAnsiTheme="majorHAnsi"/>
          <w:sz w:val="20"/>
          <w:szCs w:val="20"/>
        </w:rPr>
        <w:t xml:space="preserve">its nationals. </w:t>
      </w:r>
      <w:r w:rsidR="00873FAA" w:rsidRPr="00B645F5">
        <w:rPr>
          <w:rFonts w:asciiTheme="majorHAnsi" w:hAnsiTheme="majorHAnsi"/>
          <w:sz w:val="20"/>
          <w:szCs w:val="20"/>
        </w:rPr>
        <w:t xml:space="preserve">The State </w:t>
      </w:r>
      <w:r w:rsidR="00A26D72" w:rsidRPr="00B645F5">
        <w:rPr>
          <w:rFonts w:asciiTheme="majorHAnsi" w:hAnsiTheme="majorHAnsi"/>
          <w:sz w:val="20"/>
          <w:szCs w:val="20"/>
        </w:rPr>
        <w:t>emphasizes</w:t>
      </w:r>
      <w:r w:rsidR="00873FAA" w:rsidRPr="00B645F5">
        <w:rPr>
          <w:rFonts w:asciiTheme="majorHAnsi" w:hAnsiTheme="majorHAnsi"/>
          <w:sz w:val="20"/>
          <w:szCs w:val="20"/>
        </w:rPr>
        <w:t xml:space="preserve"> that </w:t>
      </w:r>
      <w:r w:rsidR="00EA56D4" w:rsidRPr="00B645F5">
        <w:rPr>
          <w:rFonts w:asciiTheme="majorHAnsi" w:hAnsiTheme="majorHAnsi"/>
          <w:sz w:val="20"/>
          <w:szCs w:val="20"/>
        </w:rPr>
        <w:t>consular notification</w:t>
      </w:r>
      <w:r w:rsidR="00A26D72" w:rsidRPr="00B645F5">
        <w:rPr>
          <w:rFonts w:asciiTheme="majorHAnsi" w:hAnsiTheme="majorHAnsi"/>
          <w:sz w:val="20"/>
          <w:szCs w:val="20"/>
        </w:rPr>
        <w:t xml:space="preserve"> is not</w:t>
      </w:r>
      <w:r w:rsidR="00EA56D4" w:rsidRPr="00B645F5">
        <w:rPr>
          <w:rFonts w:asciiTheme="majorHAnsi" w:hAnsiTheme="majorHAnsi"/>
          <w:sz w:val="20"/>
          <w:szCs w:val="20"/>
        </w:rPr>
        <w:t xml:space="preserve"> a necessary component of the right to a fair trial or the right to due process in criminal proceedings. </w:t>
      </w:r>
      <w:r w:rsidR="00A26D72" w:rsidRPr="00B645F5">
        <w:rPr>
          <w:rFonts w:asciiTheme="majorHAnsi" w:hAnsiTheme="majorHAnsi"/>
          <w:sz w:val="20"/>
          <w:szCs w:val="20"/>
        </w:rPr>
        <w:t xml:space="preserve">Moreover, that </w:t>
      </w:r>
      <w:r w:rsidR="00EA56D4" w:rsidRPr="00B645F5">
        <w:rPr>
          <w:rFonts w:asciiTheme="majorHAnsi" w:hAnsiTheme="majorHAnsi"/>
          <w:sz w:val="20"/>
          <w:szCs w:val="20"/>
        </w:rPr>
        <w:t xml:space="preserve">availability of consular notification and access is premised on the existence of consular relations between </w:t>
      </w:r>
      <w:proofErr w:type="gramStart"/>
      <w:r w:rsidR="00EA56D4" w:rsidRPr="00B645F5">
        <w:rPr>
          <w:rFonts w:asciiTheme="majorHAnsi" w:hAnsiTheme="majorHAnsi"/>
          <w:sz w:val="20"/>
          <w:szCs w:val="20"/>
        </w:rPr>
        <w:t>governments</w:t>
      </w:r>
      <w:r w:rsidR="00682F7C" w:rsidRPr="00B645F5">
        <w:rPr>
          <w:rFonts w:asciiTheme="majorHAnsi" w:hAnsiTheme="majorHAnsi"/>
          <w:sz w:val="20"/>
          <w:szCs w:val="20"/>
        </w:rPr>
        <w:t>, and</w:t>
      </w:r>
      <w:proofErr w:type="gramEnd"/>
      <w:r w:rsidR="00EA56D4" w:rsidRPr="00B645F5">
        <w:rPr>
          <w:rFonts w:asciiTheme="majorHAnsi" w:hAnsiTheme="majorHAnsi"/>
          <w:sz w:val="20"/>
          <w:szCs w:val="20"/>
        </w:rPr>
        <w:t xml:space="preserve"> is thus undeniably a right exercised by the detained individual’s State of nationality, through its consular officers, to facilitate that State’s access to its national. While the State of nationality may diplomatically protest any failure to observe the terms</w:t>
      </w:r>
      <w:r w:rsidR="00271710" w:rsidRPr="00B645F5">
        <w:rPr>
          <w:rFonts w:asciiTheme="majorHAnsi" w:hAnsiTheme="majorHAnsi"/>
          <w:sz w:val="20"/>
          <w:szCs w:val="20"/>
        </w:rPr>
        <w:t xml:space="preserve"> of the Vienna Convention on Consular Relations (VCCR)</w:t>
      </w:r>
      <w:r w:rsidR="00EA56D4" w:rsidRPr="00B645F5">
        <w:rPr>
          <w:rFonts w:asciiTheme="majorHAnsi" w:hAnsiTheme="majorHAnsi"/>
          <w:sz w:val="20"/>
          <w:szCs w:val="20"/>
        </w:rPr>
        <w:t xml:space="preserve"> and attempt to negotiate a solution, the individual does not have a judicially enforceable right to compel compliance. </w:t>
      </w:r>
      <w:r w:rsidR="00DE792B" w:rsidRPr="00B645F5">
        <w:rPr>
          <w:rFonts w:asciiTheme="majorHAnsi" w:hAnsiTheme="majorHAnsi"/>
          <w:sz w:val="20"/>
          <w:szCs w:val="20"/>
        </w:rPr>
        <w:t xml:space="preserve">Additionally, the State submits that the </w:t>
      </w:r>
      <w:r w:rsidR="00EA56D4" w:rsidRPr="00B645F5">
        <w:rPr>
          <w:rFonts w:asciiTheme="majorHAnsi" w:hAnsiTheme="majorHAnsi"/>
          <w:sz w:val="20"/>
          <w:szCs w:val="20"/>
        </w:rPr>
        <w:t xml:space="preserve">federal district court provided an alternative prejudice review for </w:t>
      </w:r>
      <w:r w:rsidR="00DE792B" w:rsidRPr="00B645F5">
        <w:rPr>
          <w:rFonts w:asciiTheme="majorHAnsi" w:hAnsiTheme="majorHAnsi"/>
          <w:sz w:val="20"/>
          <w:szCs w:val="20"/>
        </w:rPr>
        <w:t>the p</w:t>
      </w:r>
      <w:r w:rsidR="00EA56D4" w:rsidRPr="00B645F5">
        <w:rPr>
          <w:rFonts w:asciiTheme="majorHAnsi" w:hAnsiTheme="majorHAnsi"/>
          <w:sz w:val="20"/>
          <w:szCs w:val="20"/>
        </w:rPr>
        <w:t xml:space="preserve">etitioner on the basis of his consular notification complaint, finding that </w:t>
      </w:r>
      <w:r w:rsidR="00DE792B" w:rsidRPr="00B645F5">
        <w:rPr>
          <w:rFonts w:asciiTheme="majorHAnsi" w:hAnsiTheme="majorHAnsi"/>
          <w:sz w:val="20"/>
          <w:szCs w:val="20"/>
        </w:rPr>
        <w:t>the p</w:t>
      </w:r>
      <w:r w:rsidR="00EA56D4" w:rsidRPr="00B645F5">
        <w:rPr>
          <w:rFonts w:asciiTheme="majorHAnsi" w:hAnsiTheme="majorHAnsi"/>
          <w:sz w:val="20"/>
          <w:szCs w:val="20"/>
        </w:rPr>
        <w:t xml:space="preserve">etitioner was not prejudiced by the timing of notification to the Mexican consulate. </w:t>
      </w:r>
    </w:p>
    <w:p w14:paraId="2B6DF352" w14:textId="77777777" w:rsidR="00A8491A" w:rsidRPr="00B645F5" w:rsidRDefault="00A8491A" w:rsidP="00A8491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41C4923" w14:textId="77777777" w:rsidR="0096268F" w:rsidRPr="00B645F5" w:rsidRDefault="00A8491A"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The State highlights that </w:t>
      </w:r>
      <w:r w:rsidR="0096268F" w:rsidRPr="00B645F5">
        <w:rPr>
          <w:rFonts w:asciiTheme="majorHAnsi" w:hAnsiTheme="majorHAnsi"/>
          <w:sz w:val="20"/>
          <w:szCs w:val="20"/>
        </w:rPr>
        <w:t xml:space="preserve">neither the American Declaration nor U.S. law prohibit capital punishment for individuals who are seriously mentally ill but whose mental condition does not rise to the level of insanity or intellectual disability. </w:t>
      </w:r>
      <w:r w:rsidR="008D5F65" w:rsidRPr="00B645F5">
        <w:rPr>
          <w:rFonts w:asciiTheme="majorHAnsi" w:hAnsiTheme="majorHAnsi"/>
          <w:sz w:val="20"/>
          <w:szCs w:val="20"/>
        </w:rPr>
        <w:t xml:space="preserve">Moreover, that </w:t>
      </w:r>
      <w:r w:rsidR="0096268F" w:rsidRPr="00B645F5">
        <w:rPr>
          <w:rFonts w:asciiTheme="majorHAnsi" w:hAnsiTheme="majorHAnsi"/>
          <w:sz w:val="20"/>
          <w:szCs w:val="20"/>
        </w:rPr>
        <w:t>no internationally agreed upon definition of “seriously mentally ill” individuals</w:t>
      </w:r>
      <w:r w:rsidR="008D5F65" w:rsidRPr="00B645F5">
        <w:rPr>
          <w:rFonts w:asciiTheme="majorHAnsi" w:hAnsiTheme="majorHAnsi"/>
          <w:sz w:val="20"/>
          <w:szCs w:val="20"/>
        </w:rPr>
        <w:t xml:space="preserve"> has been established and shows a </w:t>
      </w:r>
      <w:r w:rsidR="0096268F" w:rsidRPr="00B645F5">
        <w:rPr>
          <w:rFonts w:asciiTheme="majorHAnsi" w:hAnsiTheme="majorHAnsi"/>
          <w:sz w:val="20"/>
          <w:szCs w:val="20"/>
        </w:rPr>
        <w:t xml:space="preserve">lack of international consensus. </w:t>
      </w:r>
      <w:r w:rsidR="00B625BE" w:rsidRPr="00B645F5">
        <w:rPr>
          <w:rFonts w:asciiTheme="majorHAnsi" w:hAnsiTheme="majorHAnsi"/>
          <w:sz w:val="20"/>
          <w:szCs w:val="20"/>
        </w:rPr>
        <w:t>The State also submits that the p</w:t>
      </w:r>
      <w:r w:rsidR="0096268F" w:rsidRPr="00B645F5">
        <w:rPr>
          <w:rFonts w:asciiTheme="majorHAnsi" w:hAnsiTheme="majorHAnsi"/>
          <w:sz w:val="20"/>
          <w:szCs w:val="20"/>
        </w:rPr>
        <w:t xml:space="preserve">etitioner </w:t>
      </w:r>
      <w:r w:rsidR="00B625BE" w:rsidRPr="00B645F5">
        <w:rPr>
          <w:rFonts w:asciiTheme="majorHAnsi" w:hAnsiTheme="majorHAnsi"/>
          <w:sz w:val="20"/>
          <w:szCs w:val="20"/>
        </w:rPr>
        <w:t>did not show,</w:t>
      </w:r>
      <w:r w:rsidR="0096268F" w:rsidRPr="00B645F5">
        <w:rPr>
          <w:rFonts w:asciiTheme="majorHAnsi" w:hAnsiTheme="majorHAnsi"/>
          <w:sz w:val="20"/>
          <w:szCs w:val="20"/>
        </w:rPr>
        <w:t xml:space="preserve"> at any point in time during his trial and appellate proceedings</w:t>
      </w:r>
      <w:r w:rsidR="00583A1E" w:rsidRPr="00B645F5">
        <w:rPr>
          <w:rFonts w:asciiTheme="majorHAnsi" w:hAnsiTheme="majorHAnsi"/>
          <w:sz w:val="20"/>
          <w:szCs w:val="20"/>
        </w:rPr>
        <w:t>, that</w:t>
      </w:r>
      <w:r w:rsidR="0096268F" w:rsidRPr="00B645F5">
        <w:rPr>
          <w:rFonts w:asciiTheme="majorHAnsi" w:hAnsiTheme="majorHAnsi"/>
          <w:sz w:val="20"/>
          <w:szCs w:val="20"/>
        </w:rPr>
        <w:t xml:space="preserve"> he ha</w:t>
      </w:r>
      <w:r w:rsidR="00583A1E" w:rsidRPr="00B645F5">
        <w:rPr>
          <w:rFonts w:asciiTheme="majorHAnsi" w:hAnsiTheme="majorHAnsi"/>
          <w:sz w:val="20"/>
          <w:szCs w:val="20"/>
        </w:rPr>
        <w:t>d</w:t>
      </w:r>
      <w:r w:rsidR="0096268F" w:rsidRPr="00B645F5">
        <w:rPr>
          <w:rFonts w:asciiTheme="majorHAnsi" w:hAnsiTheme="majorHAnsi"/>
          <w:sz w:val="20"/>
          <w:szCs w:val="20"/>
        </w:rPr>
        <w:t xml:space="preserve"> not understood that he will be executed for the crimes of which he was convicted. </w:t>
      </w:r>
    </w:p>
    <w:p w14:paraId="3C2E8DF8" w14:textId="77777777" w:rsidR="00583A1E" w:rsidRPr="00B645F5" w:rsidRDefault="00583A1E" w:rsidP="00583A1E">
      <w:pPr>
        <w:pStyle w:val="ListParagraph"/>
        <w:rPr>
          <w:rFonts w:asciiTheme="majorHAnsi" w:hAnsiTheme="majorHAnsi"/>
          <w:sz w:val="20"/>
          <w:szCs w:val="20"/>
        </w:rPr>
      </w:pPr>
    </w:p>
    <w:p w14:paraId="61093D28" w14:textId="77777777" w:rsidR="002023A6" w:rsidRPr="00B645F5" w:rsidRDefault="000E13A5" w:rsidP="001818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The State further submits that</w:t>
      </w:r>
      <w:r w:rsidR="0096268F" w:rsidRPr="00B645F5">
        <w:rPr>
          <w:rFonts w:asciiTheme="majorHAnsi" w:hAnsiTheme="majorHAnsi"/>
          <w:sz w:val="20"/>
          <w:szCs w:val="20"/>
        </w:rPr>
        <w:t xml:space="preserve"> Dr. Stephen Mark evaluated </w:t>
      </w:r>
      <w:r w:rsidR="00181801" w:rsidRPr="00B645F5">
        <w:rPr>
          <w:rFonts w:asciiTheme="majorHAnsi" w:hAnsiTheme="majorHAnsi"/>
          <w:sz w:val="20"/>
          <w:szCs w:val="20"/>
        </w:rPr>
        <w:t xml:space="preserve">Mr. </w:t>
      </w:r>
      <w:r w:rsidR="00AC5329" w:rsidRPr="00B645F5">
        <w:rPr>
          <w:rFonts w:asciiTheme="majorHAnsi" w:hAnsiTheme="majorHAnsi"/>
          <w:sz w:val="20"/>
          <w:szCs w:val="20"/>
        </w:rPr>
        <w:t>Ibarra</w:t>
      </w:r>
      <w:r w:rsidR="0096268F" w:rsidRPr="00B645F5">
        <w:rPr>
          <w:rFonts w:asciiTheme="majorHAnsi" w:hAnsiTheme="majorHAnsi"/>
          <w:sz w:val="20"/>
          <w:szCs w:val="20"/>
        </w:rPr>
        <w:t xml:space="preserve"> on two occasions, finding that he was competent to stand trial and that he was not </w:t>
      </w:r>
      <w:r w:rsidR="00181801" w:rsidRPr="00B645F5">
        <w:rPr>
          <w:rFonts w:asciiTheme="majorHAnsi" w:hAnsiTheme="majorHAnsi"/>
          <w:sz w:val="20"/>
          <w:szCs w:val="20"/>
        </w:rPr>
        <w:t>“mentally retarded.”</w:t>
      </w:r>
      <w:r w:rsidR="0096268F" w:rsidRPr="00B645F5">
        <w:rPr>
          <w:rFonts w:asciiTheme="majorHAnsi" w:hAnsiTheme="majorHAnsi"/>
          <w:sz w:val="20"/>
          <w:szCs w:val="20"/>
        </w:rPr>
        <w:t xml:space="preserve"> The </w:t>
      </w:r>
      <w:r w:rsidR="001C65B2" w:rsidRPr="00B645F5">
        <w:rPr>
          <w:rFonts w:asciiTheme="majorHAnsi" w:hAnsiTheme="majorHAnsi"/>
          <w:sz w:val="20"/>
          <w:szCs w:val="20"/>
        </w:rPr>
        <w:t xml:space="preserve">State claims that the </w:t>
      </w:r>
      <w:r w:rsidR="0096268F" w:rsidRPr="00B645F5">
        <w:rPr>
          <w:rFonts w:asciiTheme="majorHAnsi" w:hAnsiTheme="majorHAnsi"/>
          <w:sz w:val="20"/>
          <w:szCs w:val="20"/>
        </w:rPr>
        <w:t xml:space="preserve">expert opinion provided by </w:t>
      </w:r>
      <w:r w:rsidR="001C65B2" w:rsidRPr="00B645F5">
        <w:rPr>
          <w:rFonts w:asciiTheme="majorHAnsi" w:hAnsiTheme="majorHAnsi"/>
          <w:sz w:val="20"/>
          <w:szCs w:val="20"/>
        </w:rPr>
        <w:t>the p</w:t>
      </w:r>
      <w:r w:rsidR="0096268F" w:rsidRPr="00B645F5">
        <w:rPr>
          <w:rFonts w:asciiTheme="majorHAnsi" w:hAnsiTheme="majorHAnsi"/>
          <w:sz w:val="20"/>
          <w:szCs w:val="20"/>
        </w:rPr>
        <w:t xml:space="preserve">etitioner, which was completed in 2003 after </w:t>
      </w:r>
      <w:r w:rsidR="001C65B2" w:rsidRPr="00B645F5">
        <w:rPr>
          <w:rFonts w:asciiTheme="majorHAnsi" w:hAnsiTheme="majorHAnsi"/>
          <w:sz w:val="20"/>
          <w:szCs w:val="20"/>
        </w:rPr>
        <w:t xml:space="preserve">the </w:t>
      </w:r>
      <w:r w:rsidR="0096268F" w:rsidRPr="00B645F5">
        <w:rPr>
          <w:rFonts w:asciiTheme="majorHAnsi" w:hAnsiTheme="majorHAnsi"/>
          <w:sz w:val="20"/>
          <w:szCs w:val="20"/>
        </w:rPr>
        <w:t>Atkins</w:t>
      </w:r>
      <w:r w:rsidR="001C65B2" w:rsidRPr="00B645F5">
        <w:rPr>
          <w:rFonts w:asciiTheme="majorHAnsi" w:hAnsiTheme="majorHAnsi"/>
          <w:sz w:val="20"/>
          <w:szCs w:val="20"/>
        </w:rPr>
        <w:t xml:space="preserve"> decision</w:t>
      </w:r>
      <w:r w:rsidR="0096268F" w:rsidRPr="00B645F5">
        <w:rPr>
          <w:rFonts w:asciiTheme="majorHAnsi" w:hAnsiTheme="majorHAnsi"/>
          <w:sz w:val="20"/>
          <w:szCs w:val="20"/>
        </w:rPr>
        <w:t xml:space="preserve">, </w:t>
      </w:r>
      <w:r w:rsidR="002218AE" w:rsidRPr="00B645F5">
        <w:rPr>
          <w:rFonts w:asciiTheme="majorHAnsi" w:hAnsiTheme="majorHAnsi"/>
          <w:sz w:val="20"/>
          <w:szCs w:val="20"/>
        </w:rPr>
        <w:t>is wanting,</w:t>
      </w:r>
      <w:r w:rsidR="0096268F" w:rsidRPr="00B645F5">
        <w:rPr>
          <w:rFonts w:asciiTheme="majorHAnsi" w:hAnsiTheme="majorHAnsi"/>
          <w:sz w:val="20"/>
          <w:szCs w:val="20"/>
        </w:rPr>
        <w:t xml:space="preserve"> as it was completed at a time when </w:t>
      </w:r>
      <w:r w:rsidR="002218AE" w:rsidRPr="00B645F5">
        <w:rPr>
          <w:rFonts w:asciiTheme="majorHAnsi" w:hAnsiTheme="majorHAnsi"/>
          <w:sz w:val="20"/>
          <w:szCs w:val="20"/>
        </w:rPr>
        <w:t>the p</w:t>
      </w:r>
      <w:r w:rsidR="0096268F" w:rsidRPr="00B645F5">
        <w:rPr>
          <w:rFonts w:asciiTheme="majorHAnsi" w:hAnsiTheme="majorHAnsi"/>
          <w:sz w:val="20"/>
          <w:szCs w:val="20"/>
        </w:rPr>
        <w:t xml:space="preserve">etitioner had </w:t>
      </w:r>
      <w:r w:rsidR="000733C1" w:rsidRPr="00B645F5">
        <w:rPr>
          <w:rFonts w:asciiTheme="majorHAnsi" w:hAnsiTheme="majorHAnsi"/>
          <w:sz w:val="20"/>
          <w:szCs w:val="20"/>
        </w:rPr>
        <w:t>an</w:t>
      </w:r>
      <w:r w:rsidR="0096268F" w:rsidRPr="00B645F5">
        <w:rPr>
          <w:rFonts w:asciiTheme="majorHAnsi" w:hAnsiTheme="majorHAnsi"/>
          <w:sz w:val="20"/>
          <w:szCs w:val="20"/>
        </w:rPr>
        <w:t xml:space="preserve"> incentive to appear as intellectually compromised as possible. </w:t>
      </w:r>
      <w:r w:rsidR="000733C1" w:rsidRPr="00B645F5">
        <w:rPr>
          <w:rFonts w:asciiTheme="majorHAnsi" w:hAnsiTheme="majorHAnsi"/>
          <w:sz w:val="20"/>
          <w:szCs w:val="20"/>
        </w:rPr>
        <w:t>Further, the State asserts that the p</w:t>
      </w:r>
      <w:r w:rsidR="0096268F" w:rsidRPr="00B645F5">
        <w:rPr>
          <w:rFonts w:asciiTheme="majorHAnsi" w:hAnsiTheme="majorHAnsi"/>
          <w:sz w:val="20"/>
          <w:szCs w:val="20"/>
        </w:rPr>
        <w:t xml:space="preserve">etitioner failed to establish that he is mentally incompetent or that his mental condition has deteriorated to the point of insanity that would render application of the death penalty impermissible. </w:t>
      </w:r>
      <w:r w:rsidR="001C5D8B" w:rsidRPr="00B645F5">
        <w:rPr>
          <w:rFonts w:asciiTheme="majorHAnsi" w:hAnsiTheme="majorHAnsi"/>
          <w:sz w:val="20"/>
          <w:szCs w:val="20"/>
        </w:rPr>
        <w:t xml:space="preserve">It is asserted that Mr. </w:t>
      </w:r>
      <w:r w:rsidR="00AC5329" w:rsidRPr="00B645F5">
        <w:rPr>
          <w:rFonts w:asciiTheme="majorHAnsi" w:hAnsiTheme="majorHAnsi"/>
          <w:sz w:val="20"/>
          <w:szCs w:val="20"/>
        </w:rPr>
        <w:t>Ibarra</w:t>
      </w:r>
      <w:r w:rsidR="001C5D8B" w:rsidRPr="00B645F5">
        <w:rPr>
          <w:rFonts w:asciiTheme="majorHAnsi" w:hAnsiTheme="majorHAnsi"/>
          <w:sz w:val="20"/>
          <w:szCs w:val="20"/>
        </w:rPr>
        <w:t>’s</w:t>
      </w:r>
      <w:r w:rsidR="0096268F" w:rsidRPr="00B645F5">
        <w:rPr>
          <w:rFonts w:asciiTheme="majorHAnsi" w:hAnsiTheme="majorHAnsi"/>
          <w:sz w:val="20"/>
          <w:szCs w:val="20"/>
        </w:rPr>
        <w:t xml:space="preserve"> mental capacity was investigated and reviewed on multiple occasions where it was found not to meet the constitutionally required standard. </w:t>
      </w:r>
      <w:r w:rsidR="00181801" w:rsidRPr="00B645F5">
        <w:rPr>
          <w:rFonts w:asciiTheme="majorHAnsi" w:hAnsiTheme="majorHAnsi"/>
          <w:sz w:val="20"/>
          <w:szCs w:val="20"/>
        </w:rPr>
        <w:t>Lastly,</w:t>
      </w:r>
      <w:r w:rsidR="002023A6" w:rsidRPr="00B645F5">
        <w:rPr>
          <w:rFonts w:asciiTheme="majorHAnsi" w:hAnsiTheme="majorHAnsi"/>
          <w:sz w:val="20"/>
          <w:szCs w:val="20"/>
        </w:rPr>
        <w:t xml:space="preserve"> the State highlights that t</w:t>
      </w:r>
      <w:r w:rsidR="0096268F" w:rsidRPr="00B645F5">
        <w:rPr>
          <w:rFonts w:asciiTheme="majorHAnsi" w:hAnsiTheme="majorHAnsi"/>
          <w:sz w:val="20"/>
          <w:szCs w:val="20"/>
        </w:rPr>
        <w:t>he U.S. Supreme Court has held that mentally ill individuals may be executed as long as they understand the reason for their execution</w:t>
      </w:r>
      <w:r w:rsidR="002023A6" w:rsidRPr="00B645F5">
        <w:rPr>
          <w:rFonts w:asciiTheme="majorHAnsi" w:hAnsiTheme="majorHAnsi"/>
          <w:sz w:val="20"/>
          <w:szCs w:val="20"/>
        </w:rPr>
        <w:t>.</w:t>
      </w:r>
    </w:p>
    <w:p w14:paraId="3A7C0E1C" w14:textId="77777777" w:rsidR="002023A6" w:rsidRPr="00B645F5" w:rsidRDefault="002023A6" w:rsidP="002023A6">
      <w:pPr>
        <w:pStyle w:val="ListParagraph"/>
        <w:rPr>
          <w:rFonts w:asciiTheme="majorHAnsi" w:hAnsiTheme="majorHAnsi"/>
          <w:sz w:val="20"/>
          <w:szCs w:val="20"/>
        </w:rPr>
      </w:pPr>
    </w:p>
    <w:p w14:paraId="44361533" w14:textId="77777777" w:rsidR="001B2AF9" w:rsidRPr="00B645F5" w:rsidRDefault="002023A6"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With respect to the claim </w:t>
      </w:r>
      <w:r w:rsidR="00D3522A" w:rsidRPr="00B645F5">
        <w:rPr>
          <w:rFonts w:asciiTheme="majorHAnsi" w:hAnsiTheme="majorHAnsi"/>
          <w:sz w:val="20"/>
          <w:szCs w:val="20"/>
        </w:rPr>
        <w:t xml:space="preserve">of Mr. </w:t>
      </w:r>
      <w:r w:rsidR="00AC5329" w:rsidRPr="00B645F5">
        <w:rPr>
          <w:rFonts w:asciiTheme="majorHAnsi" w:hAnsiTheme="majorHAnsi"/>
          <w:sz w:val="20"/>
          <w:szCs w:val="20"/>
        </w:rPr>
        <w:t>Ibarra</w:t>
      </w:r>
      <w:r w:rsidR="00D3522A" w:rsidRPr="00B645F5">
        <w:rPr>
          <w:rFonts w:asciiTheme="majorHAnsi" w:hAnsiTheme="majorHAnsi"/>
          <w:sz w:val="20"/>
          <w:szCs w:val="20"/>
        </w:rPr>
        <w:t xml:space="preserve"> suffering from death row phenomenon, the State asserts that the domestic </w:t>
      </w:r>
      <w:r w:rsidR="0096268F" w:rsidRPr="00B645F5">
        <w:rPr>
          <w:rFonts w:asciiTheme="majorHAnsi" w:hAnsiTheme="majorHAnsi"/>
          <w:sz w:val="20"/>
          <w:szCs w:val="20"/>
        </w:rPr>
        <w:t xml:space="preserve">appellate process affords those convicted of capital offenses the highest level of internationally recognized </w:t>
      </w:r>
      <w:proofErr w:type="gramStart"/>
      <w:r w:rsidR="0096268F" w:rsidRPr="00B645F5">
        <w:rPr>
          <w:rFonts w:asciiTheme="majorHAnsi" w:hAnsiTheme="majorHAnsi"/>
          <w:sz w:val="20"/>
          <w:szCs w:val="20"/>
        </w:rPr>
        <w:t>protection</w:t>
      </w:r>
      <w:r w:rsidR="008B53EE" w:rsidRPr="00B645F5">
        <w:rPr>
          <w:rFonts w:asciiTheme="majorHAnsi" w:hAnsiTheme="majorHAnsi"/>
          <w:sz w:val="20"/>
          <w:szCs w:val="20"/>
        </w:rPr>
        <w:t>, and</w:t>
      </w:r>
      <w:proofErr w:type="gramEnd"/>
      <w:r w:rsidR="0096268F" w:rsidRPr="00B645F5">
        <w:rPr>
          <w:rFonts w:asciiTheme="majorHAnsi" w:hAnsiTheme="majorHAnsi"/>
          <w:sz w:val="20"/>
          <w:szCs w:val="20"/>
        </w:rPr>
        <w:t xml:space="preserve"> provides avenues for both state and federal court review of every criminal conviction. In addition, federal habeas corpus procedures enable federal courts to review the substantive and procedural merits of every death penalty sentence imposed by state courts. It is an individual’s right to take full advantage of mandatory and discretionary appeals at the state and federal level, and it is not uncommon that many years pass before this extensive appeals process is completed. </w:t>
      </w:r>
    </w:p>
    <w:p w14:paraId="69D814E0" w14:textId="77777777" w:rsidR="001B2AF9" w:rsidRPr="00B645F5" w:rsidRDefault="001B2AF9" w:rsidP="001B2AF9">
      <w:pPr>
        <w:pStyle w:val="ListParagraph"/>
        <w:rPr>
          <w:rFonts w:asciiTheme="majorHAnsi" w:hAnsiTheme="majorHAnsi"/>
          <w:sz w:val="20"/>
          <w:szCs w:val="20"/>
        </w:rPr>
      </w:pPr>
    </w:p>
    <w:p w14:paraId="21A5BCEE" w14:textId="77777777" w:rsidR="00885FF0" w:rsidRPr="00B645F5" w:rsidRDefault="0096268F"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The State rejects the contention that the </w:t>
      </w:r>
      <w:r w:rsidR="00181801" w:rsidRPr="00B645F5">
        <w:rPr>
          <w:rFonts w:asciiTheme="majorHAnsi" w:hAnsiTheme="majorHAnsi"/>
          <w:sz w:val="20"/>
          <w:szCs w:val="20"/>
        </w:rPr>
        <w:t xml:space="preserve">American </w:t>
      </w:r>
      <w:r w:rsidRPr="00B645F5">
        <w:rPr>
          <w:rFonts w:asciiTheme="majorHAnsi" w:hAnsiTheme="majorHAnsi"/>
          <w:sz w:val="20"/>
          <w:szCs w:val="20"/>
        </w:rPr>
        <w:t>Declaration requires States to revise the conditions of detention, which may be mandated by the security risks posed by convicted prisoners on death row, so that they may avoid the hardship potentially associated with a prolonged detention.</w:t>
      </w:r>
      <w:r w:rsidR="00885FF0" w:rsidRPr="00B645F5">
        <w:rPr>
          <w:rFonts w:asciiTheme="majorHAnsi" w:hAnsiTheme="majorHAnsi"/>
          <w:sz w:val="20"/>
          <w:szCs w:val="20"/>
        </w:rPr>
        <w:t xml:space="preserve"> </w:t>
      </w:r>
      <w:r w:rsidR="002B7F79" w:rsidRPr="00B645F5">
        <w:rPr>
          <w:rFonts w:asciiTheme="majorHAnsi" w:hAnsiTheme="majorHAnsi"/>
          <w:sz w:val="20"/>
          <w:szCs w:val="20"/>
        </w:rPr>
        <w:t>L</w:t>
      </w:r>
      <w:r w:rsidR="00885FF0" w:rsidRPr="00B645F5">
        <w:rPr>
          <w:rFonts w:asciiTheme="majorHAnsi" w:hAnsiTheme="majorHAnsi"/>
          <w:sz w:val="20"/>
          <w:szCs w:val="20"/>
        </w:rPr>
        <w:t>ong periods of detention on death row are often the result of a constitutionally- mandated, exhaustive appeal process like what has taken place in this case where Petitioner has had numerous federal and states court reviews of his case.</w:t>
      </w:r>
      <w:r w:rsidRPr="00B645F5">
        <w:rPr>
          <w:rFonts w:asciiTheme="majorHAnsi" w:hAnsiTheme="majorHAnsi"/>
          <w:sz w:val="20"/>
          <w:szCs w:val="20"/>
        </w:rPr>
        <w:t xml:space="preserve"> </w:t>
      </w:r>
    </w:p>
    <w:p w14:paraId="6E4DAAFC" w14:textId="77777777" w:rsidR="00885FF0" w:rsidRPr="00B645F5" w:rsidRDefault="00885FF0" w:rsidP="00885FF0">
      <w:pPr>
        <w:pStyle w:val="ListParagraph"/>
        <w:rPr>
          <w:rFonts w:asciiTheme="majorHAnsi" w:hAnsiTheme="majorHAnsi"/>
          <w:sz w:val="20"/>
          <w:szCs w:val="20"/>
        </w:rPr>
      </w:pPr>
    </w:p>
    <w:p w14:paraId="34A56C0D" w14:textId="77777777" w:rsidR="00112370" w:rsidRPr="00B645F5" w:rsidRDefault="00C4770B" w:rsidP="00544E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It is submitted that t</w:t>
      </w:r>
      <w:r w:rsidR="0096268F" w:rsidRPr="00B645F5">
        <w:rPr>
          <w:rFonts w:asciiTheme="majorHAnsi" w:hAnsiTheme="majorHAnsi"/>
          <w:sz w:val="20"/>
          <w:szCs w:val="20"/>
        </w:rPr>
        <w:t xml:space="preserve">he conditions of detention during what may be an extended delay between sentencing and execution, follow as a consequence of </w:t>
      </w:r>
      <w:proofErr w:type="gramStart"/>
      <w:r w:rsidR="0096268F" w:rsidRPr="00B645F5">
        <w:rPr>
          <w:rFonts w:asciiTheme="majorHAnsi" w:hAnsiTheme="majorHAnsi"/>
          <w:sz w:val="20"/>
          <w:szCs w:val="20"/>
        </w:rPr>
        <w:t>lawfully-imposed</w:t>
      </w:r>
      <w:proofErr w:type="gramEnd"/>
      <w:r w:rsidR="0096268F" w:rsidRPr="00B645F5">
        <w:rPr>
          <w:rFonts w:asciiTheme="majorHAnsi" w:hAnsiTheme="majorHAnsi"/>
          <w:sz w:val="20"/>
          <w:szCs w:val="20"/>
        </w:rPr>
        <w:t xml:space="preserve"> capital punishment. </w:t>
      </w:r>
      <w:r w:rsidR="00236A7E" w:rsidRPr="00B645F5">
        <w:rPr>
          <w:rFonts w:asciiTheme="majorHAnsi" w:hAnsiTheme="majorHAnsi"/>
          <w:sz w:val="20"/>
          <w:szCs w:val="20"/>
        </w:rPr>
        <w:t xml:space="preserve">The State adds that </w:t>
      </w:r>
      <w:r w:rsidR="00695589" w:rsidRPr="00B645F5">
        <w:rPr>
          <w:rFonts w:asciiTheme="majorHAnsi" w:hAnsiTheme="majorHAnsi"/>
          <w:sz w:val="20"/>
          <w:szCs w:val="20"/>
        </w:rPr>
        <w:t>u</w:t>
      </w:r>
      <w:r w:rsidR="0096268F" w:rsidRPr="00B645F5">
        <w:rPr>
          <w:rFonts w:asciiTheme="majorHAnsi" w:hAnsiTheme="majorHAnsi"/>
          <w:sz w:val="20"/>
          <w:szCs w:val="20"/>
        </w:rPr>
        <w:t xml:space="preserve">nder the Fourteenth Amendment’s Due Process Clause, prisoners have a protected liberty interest in avoiding certain types of solitary </w:t>
      </w:r>
      <w:proofErr w:type="gramStart"/>
      <w:r w:rsidR="0096268F" w:rsidRPr="00B645F5">
        <w:rPr>
          <w:rFonts w:asciiTheme="majorHAnsi" w:hAnsiTheme="majorHAnsi"/>
          <w:sz w:val="20"/>
          <w:szCs w:val="20"/>
        </w:rPr>
        <w:t>confinement</w:t>
      </w:r>
      <w:r w:rsidR="008965B7" w:rsidRPr="00B645F5">
        <w:rPr>
          <w:rFonts w:asciiTheme="majorHAnsi" w:hAnsiTheme="majorHAnsi"/>
          <w:sz w:val="20"/>
          <w:szCs w:val="20"/>
        </w:rPr>
        <w:t>, and</w:t>
      </w:r>
      <w:proofErr w:type="gramEnd"/>
      <w:r w:rsidR="0096268F" w:rsidRPr="00B645F5">
        <w:rPr>
          <w:rFonts w:asciiTheme="majorHAnsi" w:hAnsiTheme="majorHAnsi"/>
          <w:sz w:val="20"/>
          <w:szCs w:val="20"/>
        </w:rPr>
        <w:t xml:space="preserve"> cannot be subjected to solitary confinement absent an administrative hearing and other procedures protective of their right to due process. </w:t>
      </w:r>
      <w:r w:rsidR="002B7F79" w:rsidRPr="00B645F5">
        <w:rPr>
          <w:rFonts w:asciiTheme="majorHAnsi" w:hAnsiTheme="majorHAnsi"/>
          <w:sz w:val="20"/>
          <w:szCs w:val="20"/>
        </w:rPr>
        <w:t>The State asserts that a</w:t>
      </w:r>
      <w:r w:rsidR="0096268F" w:rsidRPr="00B645F5">
        <w:rPr>
          <w:rFonts w:asciiTheme="majorHAnsi" w:hAnsiTheme="majorHAnsi"/>
          <w:sz w:val="20"/>
          <w:szCs w:val="20"/>
        </w:rPr>
        <w:t xml:space="preserve"> finding that conditions of detention of prisoners subject to the death sentence violate the Declaration would undermine the State’s authority to take appropriate safety and security measures to protect other persons during this review period. </w:t>
      </w:r>
    </w:p>
    <w:p w14:paraId="492EF4C8" w14:textId="77777777" w:rsidR="00112370" w:rsidRPr="00B645F5" w:rsidRDefault="00112370" w:rsidP="00112370">
      <w:pPr>
        <w:pStyle w:val="ListParagraph"/>
        <w:rPr>
          <w:rFonts w:asciiTheme="majorHAnsi" w:hAnsiTheme="majorHAnsi"/>
          <w:sz w:val="20"/>
          <w:szCs w:val="20"/>
        </w:rPr>
      </w:pPr>
    </w:p>
    <w:p w14:paraId="29717021" w14:textId="77777777" w:rsidR="00D72D41" w:rsidRPr="00B645F5" w:rsidRDefault="00D33583"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lastRenderedPageBreak/>
        <w:t>It is lastly submitted that the fourth instance doctrine precludes the commission from review</w:t>
      </w:r>
      <w:r w:rsidR="00181801" w:rsidRPr="00B645F5">
        <w:rPr>
          <w:rFonts w:asciiTheme="majorHAnsi" w:hAnsiTheme="majorHAnsi"/>
          <w:sz w:val="20"/>
          <w:szCs w:val="20"/>
        </w:rPr>
        <w:t>ing</w:t>
      </w:r>
      <w:r w:rsidRPr="00B645F5">
        <w:rPr>
          <w:rFonts w:asciiTheme="majorHAnsi" w:hAnsiTheme="majorHAnsi"/>
          <w:sz w:val="20"/>
          <w:szCs w:val="20"/>
        </w:rPr>
        <w:t xml:space="preserve"> </w:t>
      </w:r>
      <w:r w:rsidR="00112370" w:rsidRPr="00B645F5">
        <w:rPr>
          <w:rFonts w:asciiTheme="majorHAnsi" w:hAnsiTheme="majorHAnsi"/>
          <w:sz w:val="20"/>
          <w:szCs w:val="20"/>
        </w:rPr>
        <w:t xml:space="preserve">the petitioners’ </w:t>
      </w:r>
      <w:r w:rsidR="001D61FD" w:rsidRPr="00B645F5">
        <w:rPr>
          <w:rFonts w:asciiTheme="majorHAnsi" w:hAnsiTheme="majorHAnsi"/>
          <w:sz w:val="20"/>
          <w:szCs w:val="20"/>
        </w:rPr>
        <w:t>claim</w:t>
      </w:r>
      <w:r w:rsidR="00112370" w:rsidRPr="00B645F5">
        <w:rPr>
          <w:rFonts w:asciiTheme="majorHAnsi" w:hAnsiTheme="majorHAnsi"/>
          <w:sz w:val="20"/>
          <w:szCs w:val="20"/>
        </w:rPr>
        <w:t>s</w:t>
      </w:r>
      <w:r w:rsidR="00BC5797" w:rsidRPr="00B645F5">
        <w:rPr>
          <w:rFonts w:asciiTheme="majorHAnsi" w:hAnsiTheme="majorHAnsi"/>
          <w:sz w:val="20"/>
          <w:szCs w:val="20"/>
        </w:rPr>
        <w:t>. It is submitted that the alleged victim</w:t>
      </w:r>
      <w:r w:rsidR="003472C4" w:rsidRPr="00B645F5">
        <w:rPr>
          <w:rFonts w:asciiTheme="majorHAnsi" w:hAnsiTheme="majorHAnsi"/>
          <w:sz w:val="20"/>
          <w:szCs w:val="20"/>
        </w:rPr>
        <w:t xml:space="preserve"> has availed himself of th</w:t>
      </w:r>
      <w:r w:rsidR="003B7EF9" w:rsidRPr="00B645F5">
        <w:rPr>
          <w:rFonts w:asciiTheme="majorHAnsi" w:hAnsiTheme="majorHAnsi"/>
          <w:sz w:val="20"/>
          <w:szCs w:val="20"/>
        </w:rPr>
        <w:t>e domestic</w:t>
      </w:r>
      <w:r w:rsidR="003472C4" w:rsidRPr="00B645F5">
        <w:rPr>
          <w:rFonts w:asciiTheme="majorHAnsi" w:hAnsiTheme="majorHAnsi"/>
          <w:sz w:val="20"/>
          <w:szCs w:val="20"/>
        </w:rPr>
        <w:t xml:space="preserve"> legal framework to challenge his conviction and his sentence in multiple proceedings over a number of years. In each of these proceedings, the courts carefully reviewed the evidence and rejected </w:t>
      </w:r>
      <w:r w:rsidR="003B7EF9" w:rsidRPr="00B645F5">
        <w:rPr>
          <w:rFonts w:asciiTheme="majorHAnsi" w:hAnsiTheme="majorHAnsi"/>
          <w:sz w:val="20"/>
          <w:szCs w:val="20"/>
        </w:rPr>
        <w:t>the alleged victim’s</w:t>
      </w:r>
      <w:r w:rsidR="003472C4" w:rsidRPr="00B645F5">
        <w:rPr>
          <w:rFonts w:asciiTheme="majorHAnsi" w:hAnsiTheme="majorHAnsi"/>
          <w:sz w:val="20"/>
          <w:szCs w:val="20"/>
        </w:rPr>
        <w:t xml:space="preserve"> arguments as meritless.</w:t>
      </w:r>
      <w:r w:rsidR="002D384F" w:rsidRPr="00B645F5">
        <w:rPr>
          <w:rFonts w:asciiTheme="majorHAnsi" w:hAnsiTheme="majorHAnsi"/>
          <w:sz w:val="20"/>
          <w:szCs w:val="20"/>
        </w:rPr>
        <w:t xml:space="preserve"> </w:t>
      </w:r>
      <w:r w:rsidR="003B7EF9" w:rsidRPr="00B645F5">
        <w:rPr>
          <w:rFonts w:asciiTheme="majorHAnsi" w:hAnsiTheme="majorHAnsi"/>
          <w:sz w:val="20"/>
          <w:szCs w:val="20"/>
        </w:rPr>
        <w:t xml:space="preserve">The State claims that </w:t>
      </w:r>
      <w:r w:rsidR="001F6F8A" w:rsidRPr="00B645F5">
        <w:rPr>
          <w:rFonts w:asciiTheme="majorHAnsi" w:hAnsiTheme="majorHAnsi"/>
          <w:sz w:val="20"/>
          <w:szCs w:val="20"/>
        </w:rPr>
        <w:t>in reviewing the claims,</w:t>
      </w:r>
      <w:r w:rsidR="00004191" w:rsidRPr="00B645F5">
        <w:rPr>
          <w:rFonts w:asciiTheme="majorHAnsi" w:hAnsiTheme="majorHAnsi"/>
          <w:sz w:val="20"/>
          <w:szCs w:val="20"/>
        </w:rPr>
        <w:t xml:space="preserve"> the Commission </w:t>
      </w:r>
      <w:r w:rsidR="001F6F8A" w:rsidRPr="00B645F5">
        <w:rPr>
          <w:rFonts w:asciiTheme="majorHAnsi" w:hAnsiTheme="majorHAnsi"/>
          <w:sz w:val="20"/>
          <w:szCs w:val="20"/>
        </w:rPr>
        <w:t xml:space="preserve">would be </w:t>
      </w:r>
      <w:r w:rsidR="00004191" w:rsidRPr="00B645F5">
        <w:rPr>
          <w:rFonts w:asciiTheme="majorHAnsi" w:hAnsiTheme="majorHAnsi"/>
          <w:sz w:val="20"/>
          <w:szCs w:val="20"/>
        </w:rPr>
        <w:t xml:space="preserve">second-guessing the legal and factual determinations of both state and federal courts at multiple levels, </w:t>
      </w:r>
      <w:r w:rsidR="007A407D" w:rsidRPr="00B645F5">
        <w:rPr>
          <w:rFonts w:asciiTheme="majorHAnsi" w:hAnsiTheme="majorHAnsi"/>
          <w:sz w:val="20"/>
          <w:szCs w:val="20"/>
        </w:rPr>
        <w:t xml:space="preserve">which were </w:t>
      </w:r>
      <w:r w:rsidR="00004191" w:rsidRPr="00B645F5">
        <w:rPr>
          <w:rFonts w:asciiTheme="majorHAnsi" w:hAnsiTheme="majorHAnsi"/>
          <w:sz w:val="20"/>
          <w:szCs w:val="20"/>
        </w:rPr>
        <w:t>conducted in conformity with due process protections under U.S. law and fully consistent</w:t>
      </w:r>
      <w:r w:rsidR="007A407D" w:rsidRPr="00B645F5">
        <w:rPr>
          <w:rFonts w:asciiTheme="majorHAnsi" w:hAnsiTheme="majorHAnsi"/>
          <w:sz w:val="20"/>
          <w:szCs w:val="20"/>
        </w:rPr>
        <w:t xml:space="preserve"> </w:t>
      </w:r>
      <w:r w:rsidR="00004191" w:rsidRPr="00B645F5">
        <w:rPr>
          <w:rFonts w:asciiTheme="majorHAnsi" w:hAnsiTheme="majorHAnsi"/>
          <w:sz w:val="20"/>
          <w:szCs w:val="20"/>
        </w:rPr>
        <w:t xml:space="preserve">with U.S. commitments under the American Declaration. </w:t>
      </w:r>
    </w:p>
    <w:p w14:paraId="7FE762CC" w14:textId="77777777" w:rsidR="00D10FF4" w:rsidRPr="00B645F5"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6AC630E1" w14:textId="77777777" w:rsidR="00A473E3" w:rsidRPr="00B645F5" w:rsidRDefault="00F516D3" w:rsidP="00EC55EA">
      <w:pPr>
        <w:pStyle w:val="Heading1"/>
        <w:tabs>
          <w:tab w:val="left" w:pos="360"/>
        </w:tabs>
        <w:spacing w:before="0"/>
        <w:ind w:hanging="720"/>
        <w:rPr>
          <w:color w:val="auto"/>
          <w:sz w:val="20"/>
          <w:szCs w:val="20"/>
        </w:rPr>
      </w:pPr>
      <w:bookmarkStart w:id="4" w:name="_Toc90115114"/>
      <w:r w:rsidRPr="00B645F5">
        <w:rPr>
          <w:color w:val="auto"/>
          <w:sz w:val="20"/>
          <w:szCs w:val="20"/>
        </w:rPr>
        <w:t>ADMISSIBILITY</w:t>
      </w:r>
      <w:bookmarkEnd w:id="4"/>
      <w:r w:rsidR="0081365E" w:rsidRPr="00B645F5">
        <w:rPr>
          <w:sz w:val="20"/>
          <w:szCs w:val="20"/>
        </w:rPr>
        <w:tab/>
      </w:r>
    </w:p>
    <w:p w14:paraId="504E22D8" w14:textId="77777777" w:rsidR="00F516D3" w:rsidRPr="00B645F5" w:rsidRDefault="00F516D3" w:rsidP="00EC55EA">
      <w:pPr>
        <w:rPr>
          <w:rFonts w:asciiTheme="majorHAnsi" w:hAnsiTheme="majorHAnsi"/>
          <w:sz w:val="20"/>
          <w:szCs w:val="20"/>
        </w:rPr>
      </w:pPr>
    </w:p>
    <w:p w14:paraId="609BA317" w14:textId="77777777" w:rsidR="00F516D3" w:rsidRPr="00B645F5" w:rsidRDefault="00F516D3" w:rsidP="00EC55EA">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90115115"/>
      <w:bookmarkStart w:id="7" w:name="_Toc6349142"/>
      <w:r w:rsidRPr="00B645F5">
        <w:rPr>
          <w:rFonts w:cs="Times New Roman"/>
          <w:color w:val="auto"/>
          <w:sz w:val="20"/>
          <w:szCs w:val="20"/>
        </w:rPr>
        <w:t xml:space="preserve">Competence, duplication of procedures and international </w:t>
      </w:r>
      <w:r w:rsidRPr="00B645F5">
        <w:rPr>
          <w:rFonts w:cs="Times New Roman"/>
          <w:i/>
          <w:color w:val="auto"/>
          <w:sz w:val="20"/>
          <w:szCs w:val="20"/>
        </w:rPr>
        <w:t>res judicata</w:t>
      </w:r>
      <w:bookmarkEnd w:id="5"/>
      <w:bookmarkEnd w:id="6"/>
      <w:r w:rsidRPr="00B645F5">
        <w:rPr>
          <w:rFonts w:cs="Times New Roman"/>
          <w:color w:val="auto"/>
          <w:sz w:val="20"/>
          <w:szCs w:val="20"/>
        </w:rPr>
        <w:t xml:space="preserve"> </w:t>
      </w:r>
      <w:bookmarkEnd w:id="7"/>
    </w:p>
    <w:p w14:paraId="4DCC9567" w14:textId="77777777" w:rsidR="00947B86" w:rsidRPr="00B645F5" w:rsidRDefault="00947B86" w:rsidP="00EC55EA">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B645F5" w14:paraId="3D50FCD9" w14:textId="77777777" w:rsidTr="006B6E2E">
        <w:trPr>
          <w:cantSplit/>
        </w:trPr>
        <w:tc>
          <w:tcPr>
            <w:tcW w:w="3600" w:type="dxa"/>
            <w:tcBorders>
              <w:top w:val="single" w:sz="4" w:space="0" w:color="auto"/>
              <w:bottom w:val="single" w:sz="6" w:space="0" w:color="auto"/>
            </w:tcBorders>
            <w:shd w:val="clear" w:color="auto" w:fill="67AE3C"/>
            <w:vAlign w:val="center"/>
          </w:tcPr>
          <w:p w14:paraId="3C8C6769" w14:textId="77777777" w:rsidR="00947B86" w:rsidRPr="00B645F5" w:rsidRDefault="00947B86" w:rsidP="00EC55EA">
            <w:pPr>
              <w:jc w:val="center"/>
              <w:rPr>
                <w:rFonts w:asciiTheme="majorHAnsi" w:hAnsiTheme="majorHAnsi"/>
                <w:b/>
                <w:bCs/>
                <w:i/>
                <w:color w:val="FFFFFF" w:themeColor="background1"/>
                <w:sz w:val="20"/>
                <w:szCs w:val="20"/>
              </w:rPr>
            </w:pPr>
            <w:r w:rsidRPr="00B645F5">
              <w:rPr>
                <w:rFonts w:asciiTheme="majorHAnsi" w:hAnsiTheme="majorHAnsi"/>
                <w:b/>
                <w:bCs/>
                <w:color w:val="FFFFFF" w:themeColor="background1"/>
                <w:sz w:val="20"/>
                <w:szCs w:val="20"/>
              </w:rPr>
              <w:t>Competence</w:t>
            </w:r>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Ratione</w:t>
            </w:r>
            <w:proofErr w:type="spellEnd"/>
            <w:r w:rsidRPr="00B645F5">
              <w:rPr>
                <w:rFonts w:asciiTheme="majorHAnsi" w:hAnsiTheme="majorHAnsi"/>
                <w:b/>
                <w:bCs/>
                <w:i/>
                <w:color w:val="FFFFFF" w:themeColor="background1"/>
                <w:sz w:val="20"/>
                <w:szCs w:val="20"/>
              </w:rPr>
              <w:t xml:space="preserve"> personae:</w:t>
            </w:r>
          </w:p>
        </w:tc>
        <w:tc>
          <w:tcPr>
            <w:tcW w:w="5760" w:type="dxa"/>
            <w:vAlign w:val="center"/>
          </w:tcPr>
          <w:p w14:paraId="7167FC8F" w14:textId="77777777" w:rsidR="00947B86" w:rsidRPr="00B645F5" w:rsidRDefault="00947B86" w:rsidP="00EC55EA">
            <w:pPr>
              <w:rPr>
                <w:rFonts w:asciiTheme="majorHAnsi" w:hAnsiTheme="majorHAnsi"/>
                <w:bCs/>
                <w:sz w:val="20"/>
                <w:szCs w:val="20"/>
              </w:rPr>
            </w:pPr>
            <w:r w:rsidRPr="00B645F5">
              <w:rPr>
                <w:rFonts w:asciiTheme="majorHAnsi" w:hAnsiTheme="majorHAnsi"/>
                <w:bCs/>
                <w:sz w:val="20"/>
                <w:szCs w:val="20"/>
              </w:rPr>
              <w:t>Yes</w:t>
            </w:r>
          </w:p>
        </w:tc>
      </w:tr>
      <w:tr w:rsidR="00947B86" w:rsidRPr="00B645F5" w14:paraId="3357478E" w14:textId="77777777" w:rsidTr="006B6E2E">
        <w:trPr>
          <w:cantSplit/>
        </w:trPr>
        <w:tc>
          <w:tcPr>
            <w:tcW w:w="3600" w:type="dxa"/>
            <w:tcBorders>
              <w:top w:val="single" w:sz="6" w:space="0" w:color="auto"/>
              <w:bottom w:val="single" w:sz="6" w:space="0" w:color="auto"/>
            </w:tcBorders>
            <w:shd w:val="clear" w:color="auto" w:fill="67AE3C"/>
            <w:vAlign w:val="center"/>
          </w:tcPr>
          <w:p w14:paraId="6700F742" w14:textId="77777777" w:rsidR="00947B86" w:rsidRPr="00B645F5" w:rsidRDefault="00947B86" w:rsidP="00EC55EA">
            <w:pPr>
              <w:jc w:val="center"/>
              <w:rPr>
                <w:rFonts w:asciiTheme="majorHAnsi" w:hAnsiTheme="majorHAnsi"/>
                <w:b/>
                <w:bCs/>
                <w:color w:val="FFFFFF" w:themeColor="background1"/>
                <w:sz w:val="20"/>
                <w:szCs w:val="20"/>
              </w:rPr>
            </w:pPr>
            <w:r w:rsidRPr="00B645F5">
              <w:rPr>
                <w:rFonts w:asciiTheme="majorHAnsi" w:hAnsiTheme="majorHAnsi"/>
                <w:b/>
                <w:bCs/>
                <w:color w:val="FFFFFF" w:themeColor="background1"/>
                <w:sz w:val="20"/>
                <w:szCs w:val="20"/>
              </w:rPr>
              <w:t>Competence</w:t>
            </w:r>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Ratione</w:t>
            </w:r>
            <w:proofErr w:type="spellEnd"/>
            <w:r w:rsidRPr="00B645F5">
              <w:rPr>
                <w:rFonts w:asciiTheme="majorHAnsi" w:hAnsiTheme="majorHAnsi"/>
                <w:b/>
                <w:bCs/>
                <w:i/>
                <w:color w:val="FFFFFF" w:themeColor="background1"/>
                <w:sz w:val="20"/>
                <w:szCs w:val="20"/>
              </w:rPr>
              <w:t xml:space="preserve"> loci</w:t>
            </w:r>
            <w:r w:rsidRPr="00B645F5">
              <w:rPr>
                <w:rFonts w:asciiTheme="majorHAnsi" w:hAnsiTheme="majorHAnsi"/>
                <w:b/>
                <w:bCs/>
                <w:color w:val="FFFFFF" w:themeColor="background1"/>
                <w:sz w:val="20"/>
                <w:szCs w:val="20"/>
              </w:rPr>
              <w:t>:</w:t>
            </w:r>
          </w:p>
        </w:tc>
        <w:tc>
          <w:tcPr>
            <w:tcW w:w="5760" w:type="dxa"/>
            <w:vAlign w:val="center"/>
          </w:tcPr>
          <w:p w14:paraId="2B1A846E" w14:textId="77777777" w:rsidR="00947B86" w:rsidRPr="00B645F5" w:rsidRDefault="00947B86" w:rsidP="00EC55EA">
            <w:pPr>
              <w:rPr>
                <w:rFonts w:asciiTheme="majorHAnsi" w:hAnsiTheme="majorHAnsi"/>
                <w:bCs/>
                <w:sz w:val="20"/>
                <w:szCs w:val="20"/>
              </w:rPr>
            </w:pPr>
            <w:r w:rsidRPr="00B645F5">
              <w:rPr>
                <w:rFonts w:asciiTheme="majorHAnsi" w:hAnsiTheme="majorHAnsi"/>
                <w:bCs/>
                <w:sz w:val="20"/>
                <w:szCs w:val="20"/>
              </w:rPr>
              <w:t>Yes</w:t>
            </w:r>
          </w:p>
        </w:tc>
      </w:tr>
      <w:tr w:rsidR="00947B86" w:rsidRPr="00B645F5" w14:paraId="158F6E86" w14:textId="77777777" w:rsidTr="006B6E2E">
        <w:trPr>
          <w:cantSplit/>
        </w:trPr>
        <w:tc>
          <w:tcPr>
            <w:tcW w:w="3600" w:type="dxa"/>
            <w:tcBorders>
              <w:top w:val="single" w:sz="6" w:space="0" w:color="auto"/>
              <w:bottom w:val="single" w:sz="6" w:space="0" w:color="auto"/>
            </w:tcBorders>
            <w:shd w:val="clear" w:color="auto" w:fill="67AE3C"/>
            <w:vAlign w:val="center"/>
          </w:tcPr>
          <w:p w14:paraId="3660D306" w14:textId="77777777" w:rsidR="00947B86" w:rsidRPr="00B645F5" w:rsidRDefault="00947B86" w:rsidP="00EC55EA">
            <w:pPr>
              <w:jc w:val="center"/>
              <w:rPr>
                <w:rFonts w:asciiTheme="majorHAnsi" w:hAnsiTheme="majorHAnsi"/>
                <w:b/>
                <w:bCs/>
                <w:color w:val="FFFFFF" w:themeColor="background1"/>
                <w:sz w:val="20"/>
                <w:szCs w:val="20"/>
              </w:rPr>
            </w:pPr>
            <w:r w:rsidRPr="00B645F5">
              <w:rPr>
                <w:rFonts w:asciiTheme="majorHAnsi" w:hAnsiTheme="majorHAnsi"/>
                <w:b/>
                <w:bCs/>
                <w:color w:val="FFFFFF" w:themeColor="background1"/>
                <w:sz w:val="20"/>
                <w:szCs w:val="20"/>
              </w:rPr>
              <w:t>Competence</w:t>
            </w:r>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Ratione</w:t>
            </w:r>
            <w:proofErr w:type="spellEnd"/>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temporis</w:t>
            </w:r>
            <w:proofErr w:type="spellEnd"/>
            <w:r w:rsidRPr="00B645F5">
              <w:rPr>
                <w:rFonts w:asciiTheme="majorHAnsi" w:hAnsiTheme="majorHAnsi"/>
                <w:b/>
                <w:bCs/>
                <w:color w:val="FFFFFF" w:themeColor="background1"/>
                <w:sz w:val="20"/>
                <w:szCs w:val="20"/>
              </w:rPr>
              <w:t>:</w:t>
            </w:r>
          </w:p>
        </w:tc>
        <w:tc>
          <w:tcPr>
            <w:tcW w:w="5760" w:type="dxa"/>
            <w:vAlign w:val="center"/>
          </w:tcPr>
          <w:p w14:paraId="3B8C6F1D" w14:textId="77777777" w:rsidR="00947B86" w:rsidRPr="00B645F5" w:rsidRDefault="00947B86" w:rsidP="00EC55EA">
            <w:pPr>
              <w:rPr>
                <w:rFonts w:asciiTheme="majorHAnsi" w:hAnsiTheme="majorHAnsi"/>
                <w:bCs/>
                <w:sz w:val="20"/>
                <w:szCs w:val="20"/>
              </w:rPr>
            </w:pPr>
            <w:r w:rsidRPr="00B645F5">
              <w:rPr>
                <w:rFonts w:asciiTheme="majorHAnsi" w:hAnsiTheme="majorHAnsi"/>
                <w:bCs/>
                <w:sz w:val="20"/>
                <w:szCs w:val="20"/>
              </w:rPr>
              <w:t>Yes</w:t>
            </w:r>
          </w:p>
        </w:tc>
      </w:tr>
      <w:tr w:rsidR="00947B86" w:rsidRPr="00B645F5" w14:paraId="626248A1" w14:textId="77777777" w:rsidTr="006B6E2E">
        <w:trPr>
          <w:cantSplit/>
        </w:trPr>
        <w:tc>
          <w:tcPr>
            <w:tcW w:w="3600" w:type="dxa"/>
            <w:tcBorders>
              <w:top w:val="single" w:sz="6" w:space="0" w:color="auto"/>
              <w:bottom w:val="single" w:sz="6" w:space="0" w:color="auto"/>
            </w:tcBorders>
            <w:shd w:val="clear" w:color="auto" w:fill="67AE3C"/>
            <w:vAlign w:val="center"/>
          </w:tcPr>
          <w:p w14:paraId="3A8FCCFE" w14:textId="77777777" w:rsidR="00947B86" w:rsidRPr="00B645F5" w:rsidRDefault="00947B86" w:rsidP="00EC55EA">
            <w:pPr>
              <w:jc w:val="center"/>
              <w:rPr>
                <w:rFonts w:asciiTheme="majorHAnsi" w:hAnsiTheme="majorHAnsi"/>
                <w:b/>
                <w:bCs/>
                <w:color w:val="FFFFFF" w:themeColor="background1"/>
                <w:sz w:val="20"/>
                <w:szCs w:val="20"/>
              </w:rPr>
            </w:pPr>
            <w:r w:rsidRPr="00B645F5">
              <w:rPr>
                <w:rFonts w:asciiTheme="majorHAnsi" w:hAnsiTheme="majorHAnsi"/>
                <w:b/>
                <w:bCs/>
                <w:color w:val="FFFFFF" w:themeColor="background1"/>
                <w:sz w:val="20"/>
                <w:szCs w:val="20"/>
              </w:rPr>
              <w:t>Competence</w:t>
            </w:r>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Ratione</w:t>
            </w:r>
            <w:proofErr w:type="spellEnd"/>
            <w:r w:rsidRPr="00B645F5">
              <w:rPr>
                <w:rFonts w:asciiTheme="majorHAnsi" w:hAnsiTheme="majorHAnsi"/>
                <w:b/>
                <w:bCs/>
                <w:i/>
                <w:color w:val="FFFFFF" w:themeColor="background1"/>
                <w:sz w:val="20"/>
                <w:szCs w:val="20"/>
              </w:rPr>
              <w:t xml:space="preserve"> </w:t>
            </w:r>
            <w:proofErr w:type="spellStart"/>
            <w:r w:rsidRPr="00B645F5">
              <w:rPr>
                <w:rFonts w:asciiTheme="majorHAnsi" w:hAnsiTheme="majorHAnsi"/>
                <w:b/>
                <w:bCs/>
                <w:i/>
                <w:color w:val="FFFFFF" w:themeColor="background1"/>
                <w:sz w:val="20"/>
                <w:szCs w:val="20"/>
              </w:rPr>
              <w:t>materiae</w:t>
            </w:r>
            <w:proofErr w:type="spellEnd"/>
            <w:r w:rsidRPr="00B645F5">
              <w:rPr>
                <w:rFonts w:asciiTheme="majorHAnsi" w:hAnsiTheme="majorHAnsi"/>
                <w:b/>
                <w:bCs/>
                <w:color w:val="FFFFFF" w:themeColor="background1"/>
                <w:sz w:val="20"/>
                <w:szCs w:val="20"/>
              </w:rPr>
              <w:t>:</w:t>
            </w:r>
          </w:p>
        </w:tc>
        <w:tc>
          <w:tcPr>
            <w:tcW w:w="5760" w:type="dxa"/>
            <w:vAlign w:val="center"/>
          </w:tcPr>
          <w:p w14:paraId="39B7FC99" w14:textId="77777777" w:rsidR="00947B86" w:rsidRPr="00B645F5" w:rsidRDefault="00947B86" w:rsidP="00EC55EA">
            <w:pPr>
              <w:jc w:val="both"/>
              <w:rPr>
                <w:rFonts w:asciiTheme="majorHAnsi" w:hAnsiTheme="majorHAnsi"/>
                <w:bCs/>
                <w:sz w:val="20"/>
                <w:szCs w:val="20"/>
              </w:rPr>
            </w:pPr>
            <w:r w:rsidRPr="00B645F5">
              <w:rPr>
                <w:rFonts w:asciiTheme="majorHAnsi" w:hAnsiTheme="majorHAnsi"/>
                <w:bCs/>
                <w:sz w:val="20"/>
                <w:szCs w:val="20"/>
              </w:rPr>
              <w:t xml:space="preserve">Yes, American Declaration of the Rights and Duties of Man (ratification of the OAS Charter on </w:t>
            </w:r>
            <w:r w:rsidR="00355EA7" w:rsidRPr="00B645F5">
              <w:rPr>
                <w:rFonts w:asciiTheme="majorHAnsi" w:hAnsiTheme="majorHAnsi"/>
                <w:bCs/>
                <w:sz w:val="20"/>
                <w:szCs w:val="20"/>
              </w:rPr>
              <w:t xml:space="preserve">June </w:t>
            </w:r>
            <w:r w:rsidRPr="00B645F5">
              <w:rPr>
                <w:rFonts w:asciiTheme="majorHAnsi" w:hAnsiTheme="majorHAnsi"/>
                <w:bCs/>
                <w:sz w:val="20"/>
                <w:szCs w:val="20"/>
              </w:rPr>
              <w:t>1</w:t>
            </w:r>
            <w:r w:rsidR="00355EA7" w:rsidRPr="00B645F5">
              <w:rPr>
                <w:rFonts w:asciiTheme="majorHAnsi" w:hAnsiTheme="majorHAnsi"/>
                <w:bCs/>
                <w:sz w:val="20"/>
                <w:szCs w:val="20"/>
              </w:rPr>
              <w:t>9</w:t>
            </w:r>
            <w:r w:rsidRPr="00B645F5">
              <w:rPr>
                <w:rFonts w:asciiTheme="majorHAnsi" w:hAnsiTheme="majorHAnsi"/>
                <w:bCs/>
                <w:sz w:val="20"/>
                <w:szCs w:val="20"/>
              </w:rPr>
              <w:t>, 1951)</w:t>
            </w:r>
          </w:p>
        </w:tc>
      </w:tr>
      <w:tr w:rsidR="00947B86" w:rsidRPr="00B645F5" w14:paraId="0A5C1F97" w14:textId="77777777" w:rsidTr="006B6E2E">
        <w:trPr>
          <w:cantSplit/>
        </w:trPr>
        <w:tc>
          <w:tcPr>
            <w:tcW w:w="3600" w:type="dxa"/>
            <w:tcBorders>
              <w:top w:val="single" w:sz="6" w:space="0" w:color="auto"/>
              <w:bottom w:val="single" w:sz="6" w:space="0" w:color="auto"/>
            </w:tcBorders>
            <w:shd w:val="clear" w:color="auto" w:fill="67AE3C"/>
            <w:vAlign w:val="center"/>
          </w:tcPr>
          <w:p w14:paraId="6F893A87" w14:textId="77777777" w:rsidR="00947B86" w:rsidRPr="00B645F5" w:rsidRDefault="00947B86" w:rsidP="00EC55EA">
            <w:pPr>
              <w:jc w:val="center"/>
              <w:rPr>
                <w:rFonts w:asciiTheme="majorHAnsi" w:hAnsiTheme="majorHAnsi"/>
                <w:b/>
                <w:bCs/>
                <w:color w:val="FFFFFF" w:themeColor="background1"/>
                <w:sz w:val="20"/>
                <w:szCs w:val="20"/>
              </w:rPr>
            </w:pPr>
            <w:r w:rsidRPr="00B645F5">
              <w:rPr>
                <w:rFonts w:asciiTheme="majorHAnsi" w:hAnsiTheme="majorHAnsi"/>
                <w:b/>
                <w:bCs/>
                <w:color w:val="FFFFFF" w:themeColor="background1"/>
                <w:sz w:val="20"/>
                <w:szCs w:val="20"/>
              </w:rPr>
              <w:t xml:space="preserve">Duplication of procedures and international </w:t>
            </w:r>
            <w:r w:rsidRPr="00B645F5">
              <w:rPr>
                <w:rFonts w:asciiTheme="majorHAnsi" w:hAnsiTheme="majorHAnsi"/>
                <w:b/>
                <w:bCs/>
                <w:i/>
                <w:iCs/>
                <w:color w:val="FFFFFF" w:themeColor="background1"/>
                <w:sz w:val="20"/>
                <w:szCs w:val="20"/>
              </w:rPr>
              <w:t>res judicata</w:t>
            </w:r>
            <w:r w:rsidRPr="00B645F5">
              <w:rPr>
                <w:rFonts w:asciiTheme="majorHAnsi" w:hAnsiTheme="majorHAnsi"/>
                <w:b/>
                <w:bCs/>
                <w:color w:val="FFFFFF" w:themeColor="background1"/>
                <w:sz w:val="20"/>
                <w:szCs w:val="20"/>
              </w:rPr>
              <w:t>:</w:t>
            </w:r>
          </w:p>
        </w:tc>
        <w:tc>
          <w:tcPr>
            <w:tcW w:w="5760" w:type="dxa"/>
            <w:vAlign w:val="center"/>
          </w:tcPr>
          <w:p w14:paraId="7E973869" w14:textId="77777777" w:rsidR="00947B86" w:rsidRPr="00B645F5" w:rsidRDefault="00947B86" w:rsidP="00EC55EA">
            <w:pPr>
              <w:jc w:val="both"/>
              <w:rPr>
                <w:rFonts w:asciiTheme="majorHAnsi" w:hAnsiTheme="majorHAnsi"/>
                <w:bCs/>
                <w:sz w:val="20"/>
                <w:szCs w:val="20"/>
              </w:rPr>
            </w:pPr>
            <w:r w:rsidRPr="00B645F5">
              <w:rPr>
                <w:rFonts w:asciiTheme="majorHAnsi" w:hAnsiTheme="majorHAnsi"/>
                <w:bCs/>
                <w:sz w:val="20"/>
                <w:szCs w:val="20"/>
              </w:rPr>
              <w:t>No</w:t>
            </w:r>
          </w:p>
        </w:tc>
      </w:tr>
    </w:tbl>
    <w:p w14:paraId="0B3498AF" w14:textId="77777777" w:rsidR="0081365E" w:rsidRPr="00B645F5" w:rsidRDefault="0081365E" w:rsidP="00EC55EA">
      <w:pPr>
        <w:rPr>
          <w:rFonts w:asciiTheme="majorHAnsi" w:hAnsiTheme="majorHAnsi"/>
          <w:sz w:val="20"/>
          <w:szCs w:val="20"/>
        </w:rPr>
      </w:pPr>
    </w:p>
    <w:p w14:paraId="7BD22738" w14:textId="77777777" w:rsidR="00CB5E44" w:rsidRPr="00B645F5" w:rsidRDefault="00CB5E44"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The IACHR notes the State’s position that the Commission does not have competence to review claims arising under the Vienna Convention. As it will be addressed below, while the Commission has no jurisdiction to find a violation of such provisions, it may consider them for the purpose of evaluating the State’s compliance with a foreign national’s due process rights under the American Declaration.</w:t>
      </w:r>
    </w:p>
    <w:p w14:paraId="483791A5" w14:textId="77777777" w:rsidR="00626FB3" w:rsidRPr="00B645F5" w:rsidRDefault="00626FB3" w:rsidP="00EC55EA">
      <w:pPr>
        <w:rPr>
          <w:rFonts w:asciiTheme="majorHAnsi" w:hAnsiTheme="majorHAnsi"/>
          <w:sz w:val="20"/>
          <w:szCs w:val="20"/>
        </w:rPr>
      </w:pPr>
    </w:p>
    <w:p w14:paraId="16DB3BFD" w14:textId="77777777" w:rsidR="00F516D3" w:rsidRPr="00B645F5" w:rsidRDefault="00317FC6"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8" w:name="_Toc90115116"/>
      <w:r w:rsidRPr="00B645F5">
        <w:rPr>
          <w:rFonts w:cs="Tahoma"/>
          <w:color w:val="auto"/>
          <w:sz w:val="20"/>
          <w:szCs w:val="20"/>
          <w:shd w:val="clear" w:color="auto" w:fill="FFFFFF"/>
        </w:rPr>
        <w:t>Exhaustion of domestic remedies and timeliness of the petition</w:t>
      </w:r>
      <w:bookmarkEnd w:id="8"/>
    </w:p>
    <w:p w14:paraId="7399129A" w14:textId="77777777" w:rsidR="00D94F44" w:rsidRPr="00B645F5" w:rsidRDefault="00D94F44" w:rsidP="00EC55EA">
      <w:pPr>
        <w:rPr>
          <w:rFonts w:asciiTheme="majorHAnsi" w:hAnsiTheme="majorHAnsi"/>
          <w:color w:val="FF0000"/>
          <w:sz w:val="20"/>
          <w:szCs w:val="20"/>
        </w:rPr>
      </w:pPr>
    </w:p>
    <w:p w14:paraId="526B98E7" w14:textId="77777777" w:rsidR="007F5FAE" w:rsidRPr="00B645F5" w:rsidRDefault="006560CC" w:rsidP="007F5F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Cambria" w:hAnsi="Cambria"/>
          <w:sz w:val="20"/>
          <w:szCs w:val="20"/>
        </w:rPr>
        <w:t>According to the court record</w:t>
      </w:r>
      <w:r w:rsidR="00FA7D85" w:rsidRPr="00B645F5">
        <w:rPr>
          <w:rFonts w:ascii="Cambria" w:hAnsi="Cambria"/>
          <w:sz w:val="20"/>
          <w:szCs w:val="20"/>
        </w:rPr>
        <w:t>,</w:t>
      </w:r>
      <w:r w:rsidRPr="00B645F5">
        <w:rPr>
          <w:rStyle w:val="FootnoteReference"/>
          <w:rFonts w:ascii="Cambria" w:hAnsi="Cambria"/>
          <w:sz w:val="20"/>
          <w:szCs w:val="20"/>
        </w:rPr>
        <w:footnoteReference w:id="4"/>
      </w:r>
      <w:r w:rsidRPr="00B645F5">
        <w:rPr>
          <w:rFonts w:ascii="Cambria" w:hAnsi="Cambria"/>
          <w:sz w:val="20"/>
          <w:szCs w:val="20"/>
        </w:rPr>
        <w:t xml:space="preserve"> </w:t>
      </w:r>
      <w:r w:rsidR="00FC65E0" w:rsidRPr="00B645F5">
        <w:rPr>
          <w:rFonts w:ascii="Cambria" w:hAnsi="Cambria"/>
          <w:sz w:val="20"/>
          <w:szCs w:val="20"/>
        </w:rPr>
        <w:t xml:space="preserve">Mr. </w:t>
      </w:r>
      <w:r w:rsidR="00AC5329" w:rsidRPr="00B645F5">
        <w:rPr>
          <w:rFonts w:ascii="Cambria" w:hAnsi="Cambria"/>
          <w:sz w:val="20"/>
          <w:szCs w:val="20"/>
        </w:rPr>
        <w:t>Ibarra</w:t>
      </w:r>
      <w:r w:rsidR="00FC65E0" w:rsidRPr="00B645F5">
        <w:rPr>
          <w:rFonts w:ascii="Cambria" w:hAnsi="Cambria"/>
          <w:sz w:val="20"/>
          <w:szCs w:val="20"/>
        </w:rPr>
        <w:t>’ s judg</w:t>
      </w:r>
      <w:r w:rsidR="00084496" w:rsidRPr="00B645F5">
        <w:rPr>
          <w:rFonts w:ascii="Cambria" w:hAnsi="Cambria"/>
          <w:sz w:val="20"/>
          <w:szCs w:val="20"/>
        </w:rPr>
        <w:t>ment and sentence culminated on September 22, 1997</w:t>
      </w:r>
      <w:r w:rsidR="00FA7D85" w:rsidRPr="00B645F5">
        <w:rPr>
          <w:rFonts w:ascii="Cambria" w:hAnsi="Cambria"/>
          <w:sz w:val="20"/>
          <w:szCs w:val="20"/>
        </w:rPr>
        <w:t>,</w:t>
      </w:r>
      <w:r w:rsidR="00084496" w:rsidRPr="00B645F5">
        <w:rPr>
          <w:rFonts w:ascii="Cambria" w:hAnsi="Cambria"/>
          <w:sz w:val="20"/>
          <w:szCs w:val="20"/>
        </w:rPr>
        <w:t xml:space="preserve"> with his motion for new trial overruled </w:t>
      </w:r>
      <w:r w:rsidR="00007F9D" w:rsidRPr="00B645F5">
        <w:rPr>
          <w:rFonts w:ascii="Cambria" w:hAnsi="Cambria"/>
          <w:sz w:val="20"/>
          <w:szCs w:val="20"/>
        </w:rPr>
        <w:t xml:space="preserve">by the State District Court on December 9, 1997. </w:t>
      </w:r>
      <w:r w:rsidR="003F10AF" w:rsidRPr="00B645F5">
        <w:rPr>
          <w:rFonts w:ascii="Cambria" w:hAnsi="Cambria"/>
          <w:sz w:val="20"/>
          <w:szCs w:val="20"/>
        </w:rPr>
        <w:t>His conviction and sentence</w:t>
      </w:r>
      <w:r w:rsidR="00007F9D" w:rsidRPr="00B645F5">
        <w:rPr>
          <w:rFonts w:ascii="Cambria" w:hAnsi="Cambria"/>
          <w:sz w:val="20"/>
          <w:szCs w:val="20"/>
        </w:rPr>
        <w:t xml:space="preserve"> w</w:t>
      </w:r>
      <w:r w:rsidR="003F10AF" w:rsidRPr="00B645F5">
        <w:rPr>
          <w:rFonts w:ascii="Cambria" w:hAnsi="Cambria"/>
          <w:sz w:val="20"/>
          <w:szCs w:val="20"/>
        </w:rPr>
        <w:t>ere</w:t>
      </w:r>
      <w:r w:rsidR="00007F9D" w:rsidRPr="00B645F5">
        <w:rPr>
          <w:rFonts w:ascii="Cambria" w:hAnsi="Cambria"/>
          <w:sz w:val="20"/>
          <w:szCs w:val="20"/>
        </w:rPr>
        <w:t xml:space="preserve"> affirmed </w:t>
      </w:r>
      <w:r w:rsidR="003F10AF" w:rsidRPr="00B645F5">
        <w:rPr>
          <w:rFonts w:ascii="Cambria" w:hAnsi="Cambria"/>
          <w:sz w:val="20"/>
          <w:szCs w:val="20"/>
        </w:rPr>
        <w:t>on Direct Appeal</w:t>
      </w:r>
      <w:r w:rsidR="00B179AC" w:rsidRPr="00B645F5">
        <w:rPr>
          <w:rFonts w:ascii="Cambria" w:hAnsi="Cambria"/>
          <w:sz w:val="20"/>
          <w:szCs w:val="20"/>
        </w:rPr>
        <w:t xml:space="preserve"> </w:t>
      </w:r>
      <w:r w:rsidR="00FA7D85" w:rsidRPr="00B645F5">
        <w:rPr>
          <w:rFonts w:ascii="Cambria" w:hAnsi="Cambria"/>
          <w:sz w:val="20"/>
          <w:szCs w:val="20"/>
        </w:rPr>
        <w:t xml:space="preserve">on </w:t>
      </w:r>
      <w:r w:rsidR="00B179AC" w:rsidRPr="00B645F5">
        <w:rPr>
          <w:rFonts w:ascii="Cambria" w:hAnsi="Cambria"/>
          <w:sz w:val="20"/>
          <w:szCs w:val="20"/>
        </w:rPr>
        <w:t>Oc</w:t>
      </w:r>
      <w:r w:rsidR="00C954B5" w:rsidRPr="00B645F5">
        <w:rPr>
          <w:rFonts w:ascii="Cambria" w:hAnsi="Cambria"/>
          <w:sz w:val="20"/>
          <w:szCs w:val="20"/>
        </w:rPr>
        <w:t xml:space="preserve">tober 9, 1999, with a rehearing denied on December 8, </w:t>
      </w:r>
      <w:r w:rsidR="00167524" w:rsidRPr="00B645F5">
        <w:rPr>
          <w:rFonts w:ascii="Cambria" w:hAnsi="Cambria"/>
          <w:sz w:val="20"/>
          <w:szCs w:val="20"/>
        </w:rPr>
        <w:t>1999</w:t>
      </w:r>
      <w:r w:rsidR="00277402" w:rsidRPr="00B645F5">
        <w:rPr>
          <w:rFonts w:ascii="Cambria" w:hAnsi="Cambria"/>
          <w:sz w:val="20"/>
          <w:szCs w:val="20"/>
        </w:rPr>
        <w:t>,</w:t>
      </w:r>
      <w:r w:rsidR="00167524" w:rsidRPr="00B645F5">
        <w:rPr>
          <w:rStyle w:val="FootnoteReference"/>
          <w:rFonts w:ascii="Cambria" w:hAnsi="Cambria"/>
          <w:sz w:val="20"/>
          <w:szCs w:val="20"/>
        </w:rPr>
        <w:footnoteReference w:id="5"/>
      </w:r>
      <w:r w:rsidR="00277402" w:rsidRPr="00B645F5">
        <w:rPr>
          <w:rFonts w:ascii="Cambria" w:hAnsi="Cambria"/>
          <w:sz w:val="20"/>
          <w:szCs w:val="20"/>
        </w:rPr>
        <w:t xml:space="preserve"> and his</w:t>
      </w:r>
      <w:r w:rsidR="0065319B" w:rsidRPr="00B645F5">
        <w:rPr>
          <w:rFonts w:ascii="Cambria" w:hAnsi="Cambria"/>
          <w:sz w:val="20"/>
          <w:szCs w:val="20"/>
        </w:rPr>
        <w:t xml:space="preserve"> petition for </w:t>
      </w:r>
      <w:r w:rsidR="0001723B" w:rsidRPr="00B645F5">
        <w:rPr>
          <w:rFonts w:ascii="Cambria" w:hAnsi="Cambria"/>
          <w:sz w:val="20"/>
          <w:szCs w:val="20"/>
        </w:rPr>
        <w:t>W</w:t>
      </w:r>
      <w:r w:rsidR="0065319B" w:rsidRPr="00B645F5">
        <w:rPr>
          <w:rFonts w:ascii="Cambria" w:hAnsi="Cambria"/>
          <w:sz w:val="20"/>
          <w:szCs w:val="20"/>
        </w:rPr>
        <w:t>rit of Certiorari</w:t>
      </w:r>
      <w:r w:rsidR="00FA7D85" w:rsidRPr="00B645F5">
        <w:rPr>
          <w:rFonts w:ascii="Cambria" w:hAnsi="Cambria"/>
          <w:sz w:val="20"/>
          <w:szCs w:val="20"/>
        </w:rPr>
        <w:t xml:space="preserve"> </w:t>
      </w:r>
      <w:r w:rsidR="0001723B" w:rsidRPr="00B645F5">
        <w:rPr>
          <w:rFonts w:ascii="Cambria" w:hAnsi="Cambria"/>
          <w:sz w:val="20"/>
          <w:szCs w:val="20"/>
        </w:rPr>
        <w:t>denied on October</w:t>
      </w:r>
      <w:r w:rsidR="001436F1" w:rsidRPr="00B645F5">
        <w:rPr>
          <w:rFonts w:ascii="Cambria" w:hAnsi="Cambria"/>
          <w:sz w:val="20"/>
          <w:szCs w:val="20"/>
        </w:rPr>
        <w:t xml:space="preserve"> 2, 2000.</w:t>
      </w:r>
      <w:r w:rsidR="002B4029" w:rsidRPr="00B645F5">
        <w:rPr>
          <w:rStyle w:val="FootnoteReference"/>
          <w:rFonts w:ascii="Cambria" w:hAnsi="Cambria"/>
          <w:sz w:val="20"/>
          <w:szCs w:val="20"/>
        </w:rPr>
        <w:footnoteReference w:id="6"/>
      </w:r>
      <w:r w:rsidR="00277402" w:rsidRPr="00B645F5">
        <w:rPr>
          <w:rFonts w:ascii="Cambria" w:hAnsi="Cambria"/>
          <w:sz w:val="20"/>
          <w:szCs w:val="20"/>
        </w:rPr>
        <w:t xml:space="preserve"> T</w:t>
      </w:r>
      <w:r w:rsidR="00EC03B0" w:rsidRPr="00B645F5">
        <w:rPr>
          <w:rFonts w:ascii="Cambria" w:hAnsi="Cambria"/>
          <w:sz w:val="20"/>
          <w:szCs w:val="20"/>
        </w:rPr>
        <w:t>he Court of Criminal Appeals denied his initial habeas corpus on April 4, 2001</w:t>
      </w:r>
      <w:r w:rsidR="00CE4743" w:rsidRPr="00B645F5">
        <w:rPr>
          <w:rFonts w:ascii="Cambria" w:hAnsi="Cambria"/>
          <w:sz w:val="20"/>
          <w:szCs w:val="20"/>
        </w:rPr>
        <w:t>,</w:t>
      </w:r>
      <w:r w:rsidR="00CE4743" w:rsidRPr="00B645F5">
        <w:rPr>
          <w:rStyle w:val="FootnoteReference"/>
          <w:rFonts w:ascii="Cambria" w:hAnsi="Cambria"/>
          <w:sz w:val="20"/>
          <w:szCs w:val="20"/>
        </w:rPr>
        <w:footnoteReference w:id="7"/>
      </w:r>
      <w:r w:rsidR="008659E3" w:rsidRPr="00B645F5">
        <w:rPr>
          <w:rFonts w:ascii="Cambria" w:hAnsi="Cambria"/>
          <w:sz w:val="20"/>
          <w:szCs w:val="20"/>
        </w:rPr>
        <w:t xml:space="preserve"> the Court thereafter d</w:t>
      </w:r>
      <w:r w:rsidR="00CA2DCC" w:rsidRPr="00B645F5">
        <w:rPr>
          <w:rFonts w:ascii="Cambria" w:hAnsi="Cambria"/>
          <w:sz w:val="20"/>
          <w:szCs w:val="20"/>
        </w:rPr>
        <w:t>ismissed</w:t>
      </w:r>
      <w:r w:rsidR="008659E3" w:rsidRPr="00B645F5">
        <w:rPr>
          <w:rFonts w:ascii="Cambria" w:hAnsi="Cambria"/>
          <w:sz w:val="20"/>
          <w:szCs w:val="20"/>
        </w:rPr>
        <w:t xml:space="preserve"> the</w:t>
      </w:r>
      <w:r w:rsidR="00CA2DCC" w:rsidRPr="00B645F5">
        <w:rPr>
          <w:rFonts w:ascii="Cambria" w:hAnsi="Cambria"/>
          <w:sz w:val="20"/>
          <w:szCs w:val="20"/>
        </w:rPr>
        <w:t xml:space="preserve"> second and third habeas corp</w:t>
      </w:r>
      <w:r w:rsidR="002424AD" w:rsidRPr="00B645F5">
        <w:rPr>
          <w:rFonts w:ascii="Cambria" w:hAnsi="Cambria"/>
          <w:sz w:val="20"/>
          <w:szCs w:val="20"/>
        </w:rPr>
        <w:t>us petition on September 26, 2007,</w:t>
      </w:r>
      <w:r w:rsidR="002424AD" w:rsidRPr="00B645F5">
        <w:rPr>
          <w:rStyle w:val="FootnoteReference"/>
          <w:rFonts w:ascii="Cambria" w:hAnsi="Cambria"/>
          <w:sz w:val="20"/>
          <w:szCs w:val="20"/>
        </w:rPr>
        <w:footnoteReference w:id="8"/>
      </w:r>
      <w:r w:rsidR="0063776B" w:rsidRPr="00B645F5">
        <w:rPr>
          <w:rFonts w:ascii="Cambria" w:hAnsi="Cambria"/>
          <w:sz w:val="20"/>
          <w:szCs w:val="20"/>
        </w:rPr>
        <w:t xml:space="preserve"> </w:t>
      </w:r>
      <w:r w:rsidR="007B79DC" w:rsidRPr="00B645F5">
        <w:rPr>
          <w:rFonts w:ascii="Cambria" w:hAnsi="Cambria"/>
          <w:sz w:val="20"/>
          <w:szCs w:val="20"/>
        </w:rPr>
        <w:t>and on May 19, 2008</w:t>
      </w:r>
      <w:r w:rsidR="00FA7D85" w:rsidRPr="00B645F5">
        <w:rPr>
          <w:rFonts w:ascii="Cambria" w:hAnsi="Cambria"/>
          <w:sz w:val="20"/>
          <w:szCs w:val="20"/>
        </w:rPr>
        <w:t>,</w:t>
      </w:r>
      <w:r w:rsidR="007B79DC" w:rsidRPr="00B645F5">
        <w:rPr>
          <w:rFonts w:ascii="Cambria" w:hAnsi="Cambria"/>
          <w:sz w:val="20"/>
          <w:szCs w:val="20"/>
        </w:rPr>
        <w:t xml:space="preserve"> his petition for Writ of </w:t>
      </w:r>
      <w:r w:rsidR="00E51D54" w:rsidRPr="00B645F5">
        <w:rPr>
          <w:rFonts w:ascii="Cambria" w:hAnsi="Cambria"/>
          <w:sz w:val="20"/>
          <w:szCs w:val="20"/>
        </w:rPr>
        <w:t>Certiorari was denied.</w:t>
      </w:r>
      <w:r w:rsidR="00E51D54" w:rsidRPr="00B645F5">
        <w:rPr>
          <w:rStyle w:val="FootnoteReference"/>
          <w:rFonts w:ascii="Cambria" w:hAnsi="Cambria"/>
          <w:sz w:val="20"/>
          <w:szCs w:val="20"/>
        </w:rPr>
        <w:footnoteReference w:id="9"/>
      </w:r>
      <w:r w:rsidR="008659E3" w:rsidRPr="00B645F5">
        <w:rPr>
          <w:rFonts w:ascii="Cambria" w:hAnsi="Cambria"/>
          <w:sz w:val="20"/>
          <w:szCs w:val="20"/>
        </w:rPr>
        <w:t xml:space="preserve"> </w:t>
      </w:r>
      <w:r w:rsidR="00076535" w:rsidRPr="00B645F5">
        <w:rPr>
          <w:rFonts w:ascii="Cambria" w:hAnsi="Cambria"/>
          <w:sz w:val="20"/>
          <w:szCs w:val="20"/>
        </w:rPr>
        <w:t>The fourth habeas corp</w:t>
      </w:r>
      <w:r w:rsidR="009B4D88" w:rsidRPr="00B645F5">
        <w:rPr>
          <w:rFonts w:ascii="Cambria" w:hAnsi="Cambria"/>
          <w:sz w:val="20"/>
          <w:szCs w:val="20"/>
        </w:rPr>
        <w:t>us petition for relief was dismissed by the Court of Criminal Appeals</w:t>
      </w:r>
      <w:r w:rsidR="00423F3C" w:rsidRPr="00B645F5">
        <w:rPr>
          <w:rFonts w:ascii="Cambria" w:hAnsi="Cambria"/>
          <w:sz w:val="20"/>
          <w:szCs w:val="20"/>
        </w:rPr>
        <w:t xml:space="preserve"> on October 1, 2008,</w:t>
      </w:r>
      <w:r w:rsidR="00423F3C" w:rsidRPr="00B645F5">
        <w:rPr>
          <w:rStyle w:val="FootnoteReference"/>
          <w:rFonts w:ascii="Cambria" w:hAnsi="Cambria"/>
          <w:sz w:val="20"/>
          <w:szCs w:val="20"/>
        </w:rPr>
        <w:footnoteReference w:id="10"/>
      </w:r>
      <w:r w:rsidR="00F420D4" w:rsidRPr="00B645F5">
        <w:rPr>
          <w:rFonts w:ascii="Cambria" w:hAnsi="Cambria"/>
          <w:sz w:val="20"/>
          <w:szCs w:val="20"/>
        </w:rPr>
        <w:t xml:space="preserve"> </w:t>
      </w:r>
      <w:r w:rsidR="00733926" w:rsidRPr="00B645F5">
        <w:rPr>
          <w:rFonts w:ascii="Cambria" w:hAnsi="Cambria"/>
          <w:sz w:val="20"/>
          <w:szCs w:val="20"/>
        </w:rPr>
        <w:t xml:space="preserve">and the United States District Court </w:t>
      </w:r>
      <w:r w:rsidR="003631F7" w:rsidRPr="00B645F5">
        <w:rPr>
          <w:rFonts w:ascii="Cambria" w:hAnsi="Cambria"/>
          <w:sz w:val="20"/>
          <w:szCs w:val="20"/>
        </w:rPr>
        <w:t>denied federal habeas corpus on March 31, 2011;</w:t>
      </w:r>
      <w:r w:rsidR="0059561D" w:rsidRPr="00B645F5">
        <w:rPr>
          <w:rStyle w:val="FootnoteReference"/>
          <w:rFonts w:ascii="Cambria" w:hAnsi="Cambria"/>
          <w:sz w:val="20"/>
          <w:szCs w:val="20"/>
        </w:rPr>
        <w:footnoteReference w:id="11"/>
      </w:r>
      <w:r w:rsidR="003631F7" w:rsidRPr="00B645F5">
        <w:rPr>
          <w:rFonts w:ascii="Cambria" w:hAnsi="Cambria"/>
          <w:sz w:val="20"/>
          <w:szCs w:val="20"/>
        </w:rPr>
        <w:t xml:space="preserve"> </w:t>
      </w:r>
      <w:r w:rsidR="00A82546" w:rsidRPr="00B645F5">
        <w:rPr>
          <w:rFonts w:ascii="Cambria" w:hAnsi="Cambria"/>
          <w:sz w:val="20"/>
          <w:szCs w:val="20"/>
        </w:rPr>
        <w:t xml:space="preserve">with exceptions </w:t>
      </w:r>
      <w:r w:rsidR="003631F7" w:rsidRPr="00B645F5">
        <w:rPr>
          <w:rFonts w:ascii="Cambria" w:hAnsi="Cambria"/>
          <w:sz w:val="20"/>
          <w:szCs w:val="20"/>
        </w:rPr>
        <w:t>sustain</w:t>
      </w:r>
      <w:r w:rsidR="00A82546" w:rsidRPr="00B645F5">
        <w:rPr>
          <w:rFonts w:ascii="Cambria" w:hAnsi="Cambria"/>
          <w:sz w:val="20"/>
          <w:szCs w:val="20"/>
        </w:rPr>
        <w:t xml:space="preserve">ed in part and </w:t>
      </w:r>
      <w:r w:rsidR="0059561D" w:rsidRPr="00B645F5">
        <w:rPr>
          <w:rFonts w:ascii="Cambria" w:hAnsi="Cambria"/>
          <w:sz w:val="20"/>
          <w:szCs w:val="20"/>
        </w:rPr>
        <w:t>dismissed in part.</w:t>
      </w:r>
      <w:r w:rsidR="00FA7D65" w:rsidRPr="00B645F5">
        <w:rPr>
          <w:rStyle w:val="FootnoteReference"/>
          <w:rFonts w:ascii="Cambria" w:hAnsi="Cambria"/>
          <w:sz w:val="20"/>
          <w:szCs w:val="20"/>
        </w:rPr>
        <w:footnoteReference w:id="12"/>
      </w:r>
      <w:r w:rsidR="003631F7" w:rsidRPr="00B645F5">
        <w:rPr>
          <w:rFonts w:ascii="Cambria" w:hAnsi="Cambria"/>
          <w:sz w:val="20"/>
          <w:szCs w:val="20"/>
        </w:rPr>
        <w:t xml:space="preserve"> </w:t>
      </w:r>
      <w:r w:rsidR="00DE279E" w:rsidRPr="00B645F5">
        <w:rPr>
          <w:rFonts w:ascii="Cambria" w:hAnsi="Cambria"/>
          <w:sz w:val="20"/>
          <w:szCs w:val="20"/>
        </w:rPr>
        <w:t>The United States Court of Appeal</w:t>
      </w:r>
      <w:r w:rsidR="00272563" w:rsidRPr="00B645F5">
        <w:rPr>
          <w:rFonts w:ascii="Cambria" w:hAnsi="Cambria"/>
          <w:sz w:val="20"/>
          <w:szCs w:val="20"/>
        </w:rPr>
        <w:t xml:space="preserve"> for the 5</w:t>
      </w:r>
      <w:r w:rsidR="00272563" w:rsidRPr="00B645F5">
        <w:rPr>
          <w:rFonts w:ascii="Cambria" w:hAnsi="Cambria"/>
          <w:sz w:val="20"/>
          <w:szCs w:val="20"/>
          <w:vertAlign w:val="superscript"/>
        </w:rPr>
        <w:t>th</w:t>
      </w:r>
      <w:r w:rsidR="00272563" w:rsidRPr="00B645F5">
        <w:rPr>
          <w:rFonts w:ascii="Cambria" w:hAnsi="Cambria"/>
          <w:sz w:val="20"/>
          <w:szCs w:val="20"/>
        </w:rPr>
        <w:t xml:space="preserve"> Circuit affirmed the District Court’s denial of federal habeas relief</w:t>
      </w:r>
      <w:r w:rsidR="0001291F" w:rsidRPr="00B645F5">
        <w:rPr>
          <w:rFonts w:ascii="Cambria" w:hAnsi="Cambria"/>
          <w:sz w:val="20"/>
          <w:szCs w:val="20"/>
        </w:rPr>
        <w:t xml:space="preserve"> on August 26, 2019,</w:t>
      </w:r>
      <w:r w:rsidR="00EA10C4" w:rsidRPr="00B645F5">
        <w:rPr>
          <w:rStyle w:val="FootnoteReference"/>
          <w:rFonts w:ascii="Cambria" w:hAnsi="Cambria"/>
          <w:sz w:val="20"/>
          <w:szCs w:val="20"/>
        </w:rPr>
        <w:footnoteReference w:id="13"/>
      </w:r>
      <w:r w:rsidR="0001291F" w:rsidRPr="00B645F5">
        <w:rPr>
          <w:rFonts w:ascii="Cambria" w:hAnsi="Cambria"/>
          <w:sz w:val="20"/>
          <w:szCs w:val="20"/>
        </w:rPr>
        <w:t xml:space="preserve"> and hi</w:t>
      </w:r>
      <w:r w:rsidR="004B35F1" w:rsidRPr="00B645F5">
        <w:rPr>
          <w:rFonts w:ascii="Cambria" w:hAnsi="Cambria"/>
          <w:sz w:val="20"/>
          <w:szCs w:val="20"/>
        </w:rPr>
        <w:t>s petition for writ of certiorari was denied on June 8, 2020.</w:t>
      </w:r>
      <w:r w:rsidR="00C30405" w:rsidRPr="00B645F5">
        <w:rPr>
          <w:rStyle w:val="FootnoteReference"/>
          <w:rFonts w:ascii="Cambria" w:hAnsi="Cambria"/>
          <w:sz w:val="20"/>
          <w:szCs w:val="20"/>
        </w:rPr>
        <w:footnoteReference w:id="14"/>
      </w:r>
      <w:r w:rsidR="00E23ED5" w:rsidRPr="00B645F5">
        <w:rPr>
          <w:rFonts w:ascii="Cambria" w:hAnsi="Cambria"/>
          <w:sz w:val="20"/>
          <w:szCs w:val="20"/>
        </w:rPr>
        <w:t xml:space="preserve"> </w:t>
      </w:r>
      <w:r w:rsidR="00823BB4" w:rsidRPr="00B645F5">
        <w:rPr>
          <w:rFonts w:ascii="Cambria" w:hAnsi="Cambria"/>
          <w:sz w:val="20"/>
          <w:szCs w:val="20"/>
        </w:rPr>
        <w:t xml:space="preserve">On August 6, 2020, </w:t>
      </w:r>
      <w:r w:rsidR="001C3547" w:rsidRPr="00B645F5">
        <w:rPr>
          <w:rFonts w:ascii="Cambria" w:hAnsi="Cambria"/>
          <w:sz w:val="20"/>
          <w:szCs w:val="20"/>
        </w:rPr>
        <w:t xml:space="preserve">by virtue of </w:t>
      </w:r>
      <w:r w:rsidR="00823BB4" w:rsidRPr="00B645F5">
        <w:rPr>
          <w:rFonts w:ascii="Cambria" w:hAnsi="Cambria"/>
          <w:sz w:val="20"/>
          <w:szCs w:val="20"/>
        </w:rPr>
        <w:t xml:space="preserve">the </w:t>
      </w:r>
      <w:r w:rsidR="001C3547" w:rsidRPr="00B645F5">
        <w:rPr>
          <w:rFonts w:ascii="Cambria" w:hAnsi="Cambria"/>
          <w:sz w:val="20"/>
          <w:szCs w:val="20"/>
        </w:rPr>
        <w:t xml:space="preserve">State District Court order, the execution of Mr. </w:t>
      </w:r>
      <w:r w:rsidR="00AC5329" w:rsidRPr="00B645F5">
        <w:rPr>
          <w:rFonts w:ascii="Cambria" w:hAnsi="Cambria"/>
          <w:sz w:val="20"/>
          <w:szCs w:val="20"/>
        </w:rPr>
        <w:t>Ibarra</w:t>
      </w:r>
      <w:r w:rsidR="004D6F25" w:rsidRPr="00B645F5">
        <w:rPr>
          <w:rFonts w:ascii="Cambria" w:hAnsi="Cambria"/>
          <w:sz w:val="20"/>
          <w:szCs w:val="20"/>
        </w:rPr>
        <w:t xml:space="preserve"> was scheduled for March 4, 2021.</w:t>
      </w:r>
      <w:r w:rsidR="00821206" w:rsidRPr="00B645F5">
        <w:rPr>
          <w:rStyle w:val="FootnoteReference"/>
          <w:rFonts w:ascii="Cambria" w:hAnsi="Cambria"/>
          <w:sz w:val="20"/>
          <w:szCs w:val="20"/>
        </w:rPr>
        <w:footnoteReference w:id="15"/>
      </w:r>
      <w:r w:rsidR="004D6F25" w:rsidRPr="00B645F5">
        <w:rPr>
          <w:rFonts w:ascii="Cambria" w:hAnsi="Cambria"/>
          <w:sz w:val="20"/>
          <w:szCs w:val="20"/>
        </w:rPr>
        <w:t xml:space="preserve"> </w:t>
      </w:r>
    </w:p>
    <w:p w14:paraId="04D5B29C" w14:textId="77777777" w:rsidR="007F5FAE" w:rsidRPr="00B645F5" w:rsidRDefault="007F5FAE" w:rsidP="007F5FA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531B23D" w14:textId="77777777" w:rsidR="00ED2795" w:rsidRPr="00B645F5" w:rsidRDefault="00FA7D85" w:rsidP="007F5F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The State alleges that the petition is </w:t>
      </w:r>
      <w:r w:rsidR="00062A69" w:rsidRPr="00B645F5">
        <w:rPr>
          <w:rFonts w:asciiTheme="majorHAnsi" w:hAnsiTheme="majorHAnsi"/>
          <w:sz w:val="20"/>
          <w:szCs w:val="20"/>
        </w:rPr>
        <w:t>inadmissible,</w:t>
      </w:r>
      <w:r w:rsidRPr="00B645F5">
        <w:rPr>
          <w:rFonts w:asciiTheme="majorHAnsi" w:hAnsiTheme="majorHAnsi"/>
          <w:sz w:val="20"/>
          <w:szCs w:val="20"/>
        </w:rPr>
        <w:t xml:space="preserve"> as domestic remedies had not been exhausted</w:t>
      </w:r>
      <w:r w:rsidR="00062A69" w:rsidRPr="00B645F5">
        <w:rPr>
          <w:rFonts w:asciiTheme="majorHAnsi" w:hAnsiTheme="majorHAnsi"/>
          <w:sz w:val="20"/>
          <w:szCs w:val="20"/>
        </w:rPr>
        <w:t xml:space="preserve"> at the time </w:t>
      </w:r>
      <w:r w:rsidR="007F5FAE" w:rsidRPr="00B645F5">
        <w:rPr>
          <w:rFonts w:asciiTheme="majorHAnsi" w:hAnsiTheme="majorHAnsi"/>
          <w:sz w:val="20"/>
          <w:szCs w:val="20"/>
        </w:rPr>
        <w:t>the petition</w:t>
      </w:r>
      <w:r w:rsidR="00062A69" w:rsidRPr="00B645F5">
        <w:rPr>
          <w:rFonts w:asciiTheme="majorHAnsi" w:hAnsiTheme="majorHAnsi"/>
          <w:sz w:val="20"/>
          <w:szCs w:val="20"/>
        </w:rPr>
        <w:t xml:space="preserve"> was submitted. </w:t>
      </w:r>
      <w:r w:rsidR="007F5FAE" w:rsidRPr="00B645F5">
        <w:rPr>
          <w:rFonts w:asciiTheme="majorHAnsi" w:hAnsiTheme="majorHAnsi"/>
          <w:sz w:val="20"/>
          <w:szCs w:val="20"/>
        </w:rPr>
        <w:t>First, t</w:t>
      </w:r>
      <w:r w:rsidR="00062A69" w:rsidRPr="00B645F5">
        <w:rPr>
          <w:rFonts w:asciiTheme="majorHAnsi" w:hAnsiTheme="majorHAnsi"/>
          <w:sz w:val="20"/>
          <w:szCs w:val="20"/>
        </w:rPr>
        <w:t>he I</w:t>
      </w:r>
      <w:r w:rsidR="00AE0551" w:rsidRPr="00B645F5">
        <w:rPr>
          <w:rFonts w:asciiTheme="majorHAnsi" w:hAnsiTheme="majorHAnsi"/>
          <w:sz w:val="20"/>
          <w:szCs w:val="20"/>
        </w:rPr>
        <w:t xml:space="preserve">ACHR notes in this regard that </w:t>
      </w:r>
      <w:r w:rsidR="00ED2795" w:rsidRPr="00B645F5">
        <w:rPr>
          <w:rFonts w:asciiTheme="majorHAnsi" w:hAnsiTheme="majorHAnsi"/>
          <w:sz w:val="20"/>
          <w:szCs w:val="20"/>
        </w:rPr>
        <w:t xml:space="preserve">the requirement set forth in Article </w:t>
      </w:r>
      <w:r w:rsidR="00AE0551" w:rsidRPr="00B645F5">
        <w:rPr>
          <w:rFonts w:asciiTheme="majorHAnsi" w:hAnsiTheme="majorHAnsi"/>
          <w:sz w:val="20"/>
          <w:szCs w:val="20"/>
        </w:rPr>
        <w:t>31</w:t>
      </w:r>
      <w:r w:rsidR="00ED2795" w:rsidRPr="00B645F5">
        <w:rPr>
          <w:rFonts w:asciiTheme="majorHAnsi" w:hAnsiTheme="majorHAnsi"/>
          <w:sz w:val="20"/>
          <w:szCs w:val="20"/>
        </w:rPr>
        <w:t xml:space="preserve"> of the R</w:t>
      </w:r>
      <w:r w:rsidR="00AE0551" w:rsidRPr="00B645F5">
        <w:rPr>
          <w:rFonts w:asciiTheme="majorHAnsi" w:hAnsiTheme="majorHAnsi"/>
          <w:sz w:val="20"/>
          <w:szCs w:val="20"/>
        </w:rPr>
        <w:t xml:space="preserve">ules of Procedure is analyzed </w:t>
      </w:r>
      <w:r w:rsidR="007F5FAE" w:rsidRPr="00B645F5">
        <w:rPr>
          <w:rFonts w:asciiTheme="majorHAnsi" w:hAnsiTheme="majorHAnsi"/>
          <w:sz w:val="20"/>
          <w:szCs w:val="20"/>
        </w:rPr>
        <w:t xml:space="preserve">in light of the situation in force at the time the admissibility of the petition </w:t>
      </w:r>
      <w:r w:rsidR="007F5FAE" w:rsidRPr="00B645F5">
        <w:rPr>
          <w:rFonts w:asciiTheme="majorHAnsi" w:hAnsiTheme="majorHAnsi"/>
          <w:sz w:val="20"/>
          <w:szCs w:val="20"/>
        </w:rPr>
        <w:lastRenderedPageBreak/>
        <w:t>is decided.</w:t>
      </w:r>
      <w:r w:rsidR="0072725F" w:rsidRPr="00B645F5">
        <w:rPr>
          <w:rStyle w:val="FootnoteReference"/>
          <w:rFonts w:asciiTheme="majorHAnsi" w:hAnsiTheme="majorHAnsi"/>
          <w:sz w:val="20"/>
          <w:szCs w:val="20"/>
        </w:rPr>
        <w:footnoteReference w:id="16"/>
      </w:r>
      <w:r w:rsidR="007F5FAE" w:rsidRPr="00B645F5">
        <w:rPr>
          <w:rFonts w:asciiTheme="majorHAnsi" w:hAnsiTheme="majorHAnsi"/>
          <w:sz w:val="20"/>
          <w:szCs w:val="20"/>
        </w:rPr>
        <w:t xml:space="preserve"> As indicated above, all ordinary and extraordinary remedies have been exhausted. Second, the purpose of the </w:t>
      </w:r>
      <w:r w:rsidR="0072725F" w:rsidRPr="00B645F5">
        <w:rPr>
          <w:rFonts w:asciiTheme="majorHAnsi" w:hAnsiTheme="majorHAnsi"/>
          <w:sz w:val="20"/>
          <w:szCs w:val="20"/>
        </w:rPr>
        <w:t>rule requiring the prior</w:t>
      </w:r>
      <w:r w:rsidR="007F5FAE" w:rsidRPr="00B645F5">
        <w:rPr>
          <w:rFonts w:asciiTheme="majorHAnsi" w:hAnsiTheme="majorHAnsi"/>
          <w:sz w:val="20"/>
          <w:szCs w:val="20"/>
        </w:rPr>
        <w:t xml:space="preserve"> exhaustion of domestic remedies is to give the State the opportunity to remedy the matter within its jurisdiction before it reaches </w:t>
      </w:r>
      <w:r w:rsidR="0072725F" w:rsidRPr="00B645F5">
        <w:rPr>
          <w:rFonts w:asciiTheme="majorHAnsi" w:hAnsiTheme="majorHAnsi"/>
          <w:sz w:val="20"/>
          <w:szCs w:val="20"/>
        </w:rPr>
        <w:t>an international body</w:t>
      </w:r>
      <w:r w:rsidR="007F5FAE" w:rsidRPr="00B645F5">
        <w:rPr>
          <w:rFonts w:asciiTheme="majorHAnsi" w:hAnsiTheme="majorHAnsi"/>
          <w:sz w:val="20"/>
          <w:szCs w:val="20"/>
        </w:rPr>
        <w:t>.</w:t>
      </w:r>
      <w:r w:rsidR="007F5FAE" w:rsidRPr="00B645F5">
        <w:rPr>
          <w:rStyle w:val="FootnoteReference"/>
          <w:rFonts w:asciiTheme="majorHAnsi" w:hAnsiTheme="majorHAnsi"/>
          <w:sz w:val="20"/>
          <w:szCs w:val="20"/>
        </w:rPr>
        <w:footnoteReference w:id="17"/>
      </w:r>
      <w:r w:rsidR="007F5FAE" w:rsidRPr="00B645F5">
        <w:rPr>
          <w:rFonts w:asciiTheme="majorHAnsi" w:hAnsiTheme="majorHAnsi"/>
          <w:sz w:val="20"/>
          <w:szCs w:val="20"/>
        </w:rPr>
        <w:t xml:space="preserve"> In the instant case, even at the time the petition was submitted, </w:t>
      </w:r>
      <w:r w:rsidR="0072725F" w:rsidRPr="00B645F5">
        <w:rPr>
          <w:rFonts w:asciiTheme="majorHAnsi" w:hAnsiTheme="majorHAnsi"/>
          <w:sz w:val="20"/>
          <w:szCs w:val="20"/>
        </w:rPr>
        <w:t xml:space="preserve">Mr. </w:t>
      </w:r>
      <w:r w:rsidR="0034549C" w:rsidRPr="00B645F5">
        <w:rPr>
          <w:rFonts w:asciiTheme="majorHAnsi" w:hAnsiTheme="majorHAnsi"/>
          <w:sz w:val="20"/>
          <w:szCs w:val="20"/>
        </w:rPr>
        <w:t>Ibarra</w:t>
      </w:r>
      <w:r w:rsidR="0072725F" w:rsidRPr="00B645F5">
        <w:rPr>
          <w:rFonts w:asciiTheme="majorHAnsi" w:hAnsiTheme="majorHAnsi"/>
          <w:sz w:val="20"/>
          <w:szCs w:val="20"/>
        </w:rPr>
        <w:t xml:space="preserve"> had exhausted a </w:t>
      </w:r>
      <w:r w:rsidR="007F5FAE" w:rsidRPr="00B645F5">
        <w:rPr>
          <w:rFonts w:asciiTheme="majorHAnsi" w:hAnsiTheme="majorHAnsi"/>
          <w:sz w:val="20"/>
          <w:szCs w:val="20"/>
        </w:rPr>
        <w:t>direct appeal, a petition for writ of certiorari</w:t>
      </w:r>
      <w:r w:rsidR="0072725F" w:rsidRPr="00B645F5">
        <w:rPr>
          <w:rFonts w:asciiTheme="majorHAnsi" w:hAnsiTheme="majorHAnsi"/>
          <w:sz w:val="20"/>
          <w:szCs w:val="20"/>
        </w:rPr>
        <w:t>, and four</w:t>
      </w:r>
      <w:r w:rsidR="007F5FAE" w:rsidRPr="00B645F5">
        <w:rPr>
          <w:rFonts w:asciiTheme="majorHAnsi" w:hAnsiTheme="majorHAnsi"/>
          <w:sz w:val="20"/>
          <w:szCs w:val="20"/>
        </w:rPr>
        <w:t xml:space="preserve"> habeas corpus </w:t>
      </w:r>
      <w:r w:rsidR="0072725F" w:rsidRPr="00B645F5">
        <w:rPr>
          <w:rFonts w:asciiTheme="majorHAnsi" w:hAnsiTheme="majorHAnsi"/>
          <w:sz w:val="20"/>
          <w:szCs w:val="20"/>
        </w:rPr>
        <w:t>petitions</w:t>
      </w:r>
      <w:r w:rsidR="007F5FAE" w:rsidRPr="00B645F5">
        <w:rPr>
          <w:rFonts w:asciiTheme="majorHAnsi" w:hAnsiTheme="majorHAnsi"/>
          <w:sz w:val="20"/>
          <w:szCs w:val="20"/>
        </w:rPr>
        <w:t xml:space="preserve">. Therefore, </w:t>
      </w:r>
      <w:r w:rsidR="0072725F" w:rsidRPr="00B645F5">
        <w:rPr>
          <w:rFonts w:asciiTheme="majorHAnsi" w:hAnsiTheme="majorHAnsi"/>
          <w:sz w:val="20"/>
          <w:szCs w:val="20"/>
        </w:rPr>
        <w:t xml:space="preserve">even </w:t>
      </w:r>
      <w:r w:rsidR="007F5FAE" w:rsidRPr="00B645F5">
        <w:rPr>
          <w:rFonts w:asciiTheme="majorHAnsi" w:hAnsiTheme="majorHAnsi"/>
          <w:sz w:val="20"/>
          <w:szCs w:val="20"/>
        </w:rPr>
        <w:t xml:space="preserve">before </w:t>
      </w:r>
      <w:r w:rsidR="0072725F" w:rsidRPr="00B645F5">
        <w:rPr>
          <w:rFonts w:asciiTheme="majorHAnsi" w:hAnsiTheme="majorHAnsi"/>
          <w:sz w:val="20"/>
          <w:szCs w:val="20"/>
        </w:rPr>
        <w:t xml:space="preserve">the petition was filed before the IACHR, Mr. </w:t>
      </w:r>
      <w:r w:rsidR="00AC5329" w:rsidRPr="00B645F5">
        <w:rPr>
          <w:rFonts w:asciiTheme="majorHAnsi" w:hAnsiTheme="majorHAnsi"/>
          <w:sz w:val="20"/>
          <w:szCs w:val="20"/>
        </w:rPr>
        <w:t>Ibarra</w:t>
      </w:r>
      <w:r w:rsidR="0072725F" w:rsidRPr="00B645F5">
        <w:rPr>
          <w:rFonts w:asciiTheme="majorHAnsi" w:hAnsiTheme="majorHAnsi"/>
          <w:sz w:val="20"/>
          <w:szCs w:val="20"/>
        </w:rPr>
        <w:t xml:space="preserve"> had raised the issue at the domestic level, so the purpose of the international rule has been served.</w:t>
      </w:r>
    </w:p>
    <w:p w14:paraId="2E8F7E0A" w14:textId="77777777" w:rsidR="00977752" w:rsidRPr="00B645F5" w:rsidRDefault="00977752" w:rsidP="00977752">
      <w:pPr>
        <w:rPr>
          <w:rFonts w:asciiTheme="majorHAnsi" w:hAnsiTheme="majorHAnsi"/>
          <w:color w:val="FF0000"/>
          <w:sz w:val="20"/>
          <w:szCs w:val="20"/>
        </w:rPr>
      </w:pPr>
    </w:p>
    <w:p w14:paraId="51E32218" w14:textId="77777777" w:rsidR="004804D4" w:rsidRPr="00B645F5" w:rsidRDefault="00FB0135" w:rsidP="00EC55EA">
      <w:pPr>
        <w:pStyle w:val="parrafos"/>
        <w:numPr>
          <w:ilvl w:val="0"/>
          <w:numId w:val="55"/>
        </w:numPr>
        <w:ind w:left="0" w:firstLine="0"/>
      </w:pPr>
      <w:r w:rsidRPr="00B645F5">
        <w:t xml:space="preserve">Based on the above factors, the Inter-American Commission concludes that the </w:t>
      </w:r>
      <w:r w:rsidR="004804D4" w:rsidRPr="00B645F5">
        <w:t>alleged victim</w:t>
      </w:r>
      <w:r w:rsidRPr="00B645F5">
        <w:t xml:space="preserve"> properly exhausted domestic remedies available within the domestic legal system and, therefore, that </w:t>
      </w:r>
      <w:r w:rsidR="004804D4" w:rsidRPr="00B645F5">
        <w:t>the</w:t>
      </w:r>
      <w:r w:rsidRPr="00B645F5">
        <w:t xml:space="preserve"> claims before the Commission are not barred from consideration by the requirement of exhaustion of domestic remedies under Article 31(1) of its Rules of Procedure.</w:t>
      </w:r>
      <w:r w:rsidR="00C43943" w:rsidRPr="00B645F5">
        <w:t xml:space="preserve"> </w:t>
      </w:r>
    </w:p>
    <w:p w14:paraId="119FD21B" w14:textId="77777777" w:rsidR="004804D4" w:rsidRPr="00B645F5" w:rsidRDefault="004804D4" w:rsidP="00EC55EA">
      <w:pPr>
        <w:pStyle w:val="ListParagraph"/>
      </w:pPr>
    </w:p>
    <w:p w14:paraId="3B4C120D" w14:textId="77777777" w:rsidR="00FB0135" w:rsidRPr="00B645F5" w:rsidRDefault="00C43943" w:rsidP="00EC55EA">
      <w:pPr>
        <w:pStyle w:val="parrafos"/>
        <w:numPr>
          <w:ilvl w:val="0"/>
          <w:numId w:val="55"/>
        </w:numPr>
        <w:ind w:left="0" w:firstLine="0"/>
      </w:pPr>
      <w:r w:rsidRPr="00B645F5">
        <w:t xml:space="preserve">The petition before the IACHR was presented on </w:t>
      </w:r>
      <w:r w:rsidR="00656D15" w:rsidRPr="00B645F5">
        <w:t>February 2, 2018</w:t>
      </w:r>
      <w:r w:rsidR="00BF4994" w:rsidRPr="00B645F5">
        <w:t xml:space="preserve">. </w:t>
      </w:r>
      <w:r w:rsidR="000F27E1" w:rsidRPr="00B645F5">
        <w:t>It is noted that t</w:t>
      </w:r>
      <w:r w:rsidR="007E2CB3" w:rsidRPr="00B645F5">
        <w:t xml:space="preserve">he </w:t>
      </w:r>
      <w:r w:rsidR="005C566A" w:rsidRPr="00B645F5">
        <w:t xml:space="preserve">United States </w:t>
      </w:r>
      <w:r w:rsidR="007A444B" w:rsidRPr="00B645F5">
        <w:t xml:space="preserve">Court of Appeal had not </w:t>
      </w:r>
      <w:r w:rsidR="00B22EC8" w:rsidRPr="00B645F5">
        <w:t xml:space="preserve">provided a decision on the District Court’s denial of Mr. </w:t>
      </w:r>
      <w:r w:rsidR="00AC5329" w:rsidRPr="00B645F5">
        <w:t>Ibarra</w:t>
      </w:r>
      <w:r w:rsidR="00B22EC8" w:rsidRPr="00B645F5">
        <w:t>’s petition for federal habeas corpus</w:t>
      </w:r>
      <w:r w:rsidR="00536020" w:rsidRPr="00B645F5">
        <w:t xml:space="preserve"> by this date but that the alleged violations claimed subsisted beyond that date and continued to be the subject of </w:t>
      </w:r>
      <w:r w:rsidR="0047721C" w:rsidRPr="00B645F5">
        <w:t xml:space="preserve">petitions for relief until </w:t>
      </w:r>
      <w:r w:rsidR="0047721C" w:rsidRPr="00B645F5">
        <w:rPr>
          <w:rFonts w:ascii="Cambria" w:hAnsi="Cambria"/>
        </w:rPr>
        <w:t>his petition for writ of certiorari was denied on June 8, 2020</w:t>
      </w:r>
      <w:r w:rsidR="00836B01" w:rsidRPr="00B645F5">
        <w:rPr>
          <w:rFonts w:ascii="Cambria" w:hAnsi="Cambria"/>
        </w:rPr>
        <w:t>.</w:t>
      </w:r>
      <w:r w:rsidR="0047721C" w:rsidRPr="00B645F5">
        <w:t xml:space="preserve"> </w:t>
      </w:r>
      <w:r w:rsidR="009B4FCA" w:rsidRPr="00B645F5">
        <w:t xml:space="preserve"> </w:t>
      </w:r>
      <w:r w:rsidR="00D31A84" w:rsidRPr="00B645F5">
        <w:t>The Commission</w:t>
      </w:r>
      <w:r w:rsidR="00FB0135" w:rsidRPr="00B645F5">
        <w:t xml:space="preserve"> </w:t>
      </w:r>
      <w:r w:rsidR="00A274BD" w:rsidRPr="00B645F5">
        <w:t xml:space="preserve">therefore </w:t>
      </w:r>
      <w:r w:rsidR="00FB0135" w:rsidRPr="00B645F5">
        <w:t xml:space="preserve">concludes that </w:t>
      </w:r>
      <w:r w:rsidR="00A274BD" w:rsidRPr="00B645F5">
        <w:t xml:space="preserve">the requirement specified in Article 32(1) of its Rules of Procedure has been met. </w:t>
      </w:r>
    </w:p>
    <w:p w14:paraId="705D580F" w14:textId="77777777" w:rsidR="00D20BFA" w:rsidRPr="00B645F5" w:rsidRDefault="00D20BFA" w:rsidP="00EC55EA">
      <w:pPr>
        <w:pStyle w:val="parrafos"/>
        <w:ind w:left="0" w:firstLine="0"/>
      </w:pPr>
    </w:p>
    <w:p w14:paraId="48082166" w14:textId="77777777" w:rsidR="00F516D3" w:rsidRPr="00B645F5" w:rsidRDefault="00F516D3"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7602625"/>
      <w:bookmarkStart w:id="10" w:name="_Toc90115117"/>
      <w:bookmarkStart w:id="11" w:name="_Toc6349144"/>
      <w:r w:rsidRPr="00B645F5">
        <w:rPr>
          <w:rFonts w:cs="Times New Roman"/>
          <w:color w:val="auto"/>
          <w:sz w:val="20"/>
          <w:szCs w:val="20"/>
        </w:rPr>
        <w:t>Colorable claim</w:t>
      </w:r>
      <w:bookmarkEnd w:id="9"/>
      <w:bookmarkEnd w:id="10"/>
      <w:r w:rsidRPr="00B645F5">
        <w:rPr>
          <w:rFonts w:cs="Times New Roman"/>
          <w:color w:val="auto"/>
          <w:sz w:val="20"/>
          <w:szCs w:val="20"/>
        </w:rPr>
        <w:t xml:space="preserve"> </w:t>
      </w:r>
      <w:bookmarkEnd w:id="11"/>
    </w:p>
    <w:p w14:paraId="7AF619E5" w14:textId="77777777" w:rsidR="00764470" w:rsidRPr="00B645F5" w:rsidRDefault="00764470" w:rsidP="00EC55EA">
      <w:pPr>
        <w:rPr>
          <w:rFonts w:asciiTheme="majorHAnsi" w:hAnsiTheme="majorHAnsi"/>
          <w:sz w:val="20"/>
          <w:szCs w:val="20"/>
        </w:rPr>
      </w:pPr>
    </w:p>
    <w:p w14:paraId="4E4C7035" w14:textId="77777777" w:rsidR="008277A8" w:rsidRPr="00B645F5" w:rsidRDefault="00764470" w:rsidP="004B7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B645F5">
        <w:rPr>
          <w:rFonts w:asciiTheme="majorHAnsi" w:hAnsiTheme="majorHAnsi"/>
          <w:sz w:val="20"/>
          <w:szCs w:val="20"/>
        </w:rPr>
        <w:t xml:space="preserve">The Commission considers that, if proven, the facts alleged would tend to establish violations of the rights set forth in </w:t>
      </w:r>
      <w:r w:rsidR="00CF0A29" w:rsidRPr="00B645F5">
        <w:rPr>
          <w:rFonts w:asciiTheme="majorHAnsi" w:hAnsiTheme="majorHAnsi"/>
          <w:sz w:val="20"/>
          <w:szCs w:val="20"/>
        </w:rPr>
        <w:t>Articles</w:t>
      </w:r>
      <w:r w:rsidR="00D32ED7" w:rsidRPr="00B645F5">
        <w:rPr>
          <w:rFonts w:asciiTheme="majorHAnsi" w:hAnsiTheme="majorHAnsi"/>
          <w:sz w:val="20"/>
          <w:szCs w:val="20"/>
        </w:rPr>
        <w:t xml:space="preserve"> I</w:t>
      </w:r>
      <w:r w:rsidR="00AF29D4" w:rsidRPr="00B645F5">
        <w:rPr>
          <w:rFonts w:asciiTheme="majorHAnsi" w:hAnsiTheme="majorHAnsi"/>
          <w:sz w:val="20"/>
          <w:szCs w:val="20"/>
        </w:rPr>
        <w:t xml:space="preserve">, </w:t>
      </w:r>
      <w:r w:rsidR="00836B01" w:rsidRPr="00B645F5">
        <w:rPr>
          <w:rFonts w:asciiTheme="majorHAnsi" w:hAnsiTheme="majorHAnsi"/>
          <w:sz w:val="20"/>
          <w:szCs w:val="20"/>
        </w:rPr>
        <w:t xml:space="preserve">II, </w:t>
      </w:r>
      <w:r w:rsidR="00AF29D4" w:rsidRPr="00B645F5">
        <w:rPr>
          <w:rFonts w:asciiTheme="majorHAnsi" w:hAnsiTheme="majorHAnsi"/>
          <w:sz w:val="20"/>
          <w:szCs w:val="20"/>
        </w:rPr>
        <w:t>XVIII</w:t>
      </w:r>
      <w:r w:rsidR="00057777" w:rsidRPr="00B645F5">
        <w:rPr>
          <w:rFonts w:asciiTheme="majorHAnsi" w:hAnsiTheme="majorHAnsi"/>
          <w:sz w:val="20"/>
          <w:szCs w:val="20"/>
        </w:rPr>
        <w:t>, XXV</w:t>
      </w:r>
      <w:r w:rsidR="00550FAA" w:rsidRPr="00B645F5">
        <w:rPr>
          <w:rFonts w:asciiTheme="majorHAnsi" w:hAnsiTheme="majorHAnsi"/>
          <w:sz w:val="20"/>
          <w:szCs w:val="20"/>
        </w:rPr>
        <w:t xml:space="preserve"> and XXVI</w:t>
      </w:r>
      <w:r w:rsidR="00CF0A29" w:rsidRPr="00B645F5">
        <w:rPr>
          <w:rFonts w:asciiTheme="majorHAnsi" w:hAnsiTheme="majorHAnsi"/>
          <w:sz w:val="20"/>
          <w:szCs w:val="20"/>
        </w:rPr>
        <w:t xml:space="preserve"> </w:t>
      </w:r>
      <w:r w:rsidRPr="00B645F5">
        <w:rPr>
          <w:rFonts w:asciiTheme="majorHAnsi" w:hAnsiTheme="majorHAnsi"/>
          <w:sz w:val="20"/>
          <w:szCs w:val="20"/>
        </w:rPr>
        <w:t>of the American Declaration,</w:t>
      </w:r>
      <w:r w:rsidR="005B1DBA" w:rsidRPr="00B645F5">
        <w:rPr>
          <w:rFonts w:asciiTheme="majorHAnsi" w:hAnsiTheme="majorHAnsi"/>
          <w:sz w:val="20"/>
          <w:szCs w:val="20"/>
        </w:rPr>
        <w:t xml:space="preserve"> to the detriment of </w:t>
      </w:r>
      <w:r w:rsidR="004B70DD" w:rsidRPr="00B645F5">
        <w:rPr>
          <w:rFonts w:asciiTheme="majorHAnsi" w:hAnsiTheme="majorHAnsi"/>
          <w:sz w:val="20"/>
          <w:szCs w:val="20"/>
        </w:rPr>
        <w:t>M</w:t>
      </w:r>
      <w:r w:rsidR="00836B01" w:rsidRPr="00B645F5">
        <w:rPr>
          <w:rFonts w:asciiTheme="majorHAnsi" w:hAnsiTheme="majorHAnsi"/>
          <w:sz w:val="20"/>
          <w:szCs w:val="20"/>
        </w:rPr>
        <w:t xml:space="preserve">r. </w:t>
      </w:r>
      <w:r w:rsidR="00AC5329" w:rsidRPr="00B645F5">
        <w:rPr>
          <w:rFonts w:asciiTheme="majorHAnsi" w:hAnsiTheme="majorHAnsi"/>
          <w:sz w:val="20"/>
          <w:szCs w:val="20"/>
        </w:rPr>
        <w:t>Ibarra</w:t>
      </w:r>
      <w:r w:rsidRPr="00B645F5">
        <w:rPr>
          <w:rFonts w:asciiTheme="majorHAnsi" w:hAnsiTheme="majorHAnsi"/>
          <w:sz w:val="20"/>
          <w:szCs w:val="20"/>
        </w:rPr>
        <w:t xml:space="preserve">. </w:t>
      </w:r>
    </w:p>
    <w:p w14:paraId="65799192" w14:textId="77777777" w:rsidR="00B41B62" w:rsidRPr="00B645F5" w:rsidRDefault="00B41B62" w:rsidP="00C206EA">
      <w:pPr>
        <w:rPr>
          <w:rFonts w:asciiTheme="majorHAnsi" w:hAnsiTheme="majorHAnsi"/>
          <w:sz w:val="20"/>
          <w:szCs w:val="20"/>
        </w:rPr>
      </w:pPr>
    </w:p>
    <w:p w14:paraId="03D27299" w14:textId="77777777" w:rsidR="003823B2" w:rsidRPr="00B645F5" w:rsidRDefault="00F516D3" w:rsidP="00EC55EA">
      <w:pPr>
        <w:pStyle w:val="Heading1"/>
        <w:tabs>
          <w:tab w:val="left" w:pos="360"/>
        </w:tabs>
        <w:spacing w:before="0"/>
        <w:ind w:hanging="720"/>
        <w:rPr>
          <w:color w:val="auto"/>
          <w:sz w:val="20"/>
          <w:szCs w:val="20"/>
        </w:rPr>
      </w:pPr>
      <w:bookmarkStart w:id="12" w:name="_Toc90115118"/>
      <w:r w:rsidRPr="00B645F5">
        <w:rPr>
          <w:color w:val="auto"/>
          <w:sz w:val="20"/>
          <w:szCs w:val="20"/>
        </w:rPr>
        <w:t>FINDINGS OF FACT</w:t>
      </w:r>
      <w:bookmarkEnd w:id="12"/>
    </w:p>
    <w:p w14:paraId="3B8301EB" w14:textId="77777777" w:rsidR="0096765A" w:rsidRPr="00B645F5" w:rsidRDefault="0096765A" w:rsidP="00EC55EA">
      <w:pPr>
        <w:rPr>
          <w:rFonts w:asciiTheme="majorHAnsi" w:hAnsiTheme="majorHAnsi"/>
          <w:sz w:val="20"/>
          <w:szCs w:val="20"/>
        </w:rPr>
      </w:pPr>
    </w:p>
    <w:p w14:paraId="2BED5FE6" w14:textId="77777777" w:rsidR="00DA249D" w:rsidRPr="00B645F5" w:rsidRDefault="00DA249D" w:rsidP="00EC55EA">
      <w:pPr>
        <w:pStyle w:val="Heading2"/>
        <w:numPr>
          <w:ilvl w:val="0"/>
          <w:numId w:val="58"/>
        </w:numPr>
        <w:tabs>
          <w:tab w:val="left" w:pos="360"/>
        </w:tabs>
        <w:spacing w:before="0"/>
        <w:ind w:hanging="720"/>
        <w:rPr>
          <w:color w:val="auto"/>
          <w:sz w:val="20"/>
          <w:szCs w:val="20"/>
        </w:rPr>
      </w:pPr>
      <w:bookmarkStart w:id="13" w:name="_Toc26881333"/>
      <w:bookmarkStart w:id="14" w:name="_Toc90115119"/>
      <w:r w:rsidRPr="00B645F5">
        <w:rPr>
          <w:color w:val="auto"/>
          <w:sz w:val="20"/>
          <w:szCs w:val="20"/>
        </w:rPr>
        <w:t>Facts of the case</w:t>
      </w:r>
      <w:bookmarkEnd w:id="13"/>
      <w:bookmarkEnd w:id="14"/>
    </w:p>
    <w:p w14:paraId="4C84D7FD" w14:textId="77777777" w:rsidR="00DA249D" w:rsidRPr="00B645F5" w:rsidRDefault="00DA249D" w:rsidP="00EC55EA">
      <w:pPr>
        <w:rPr>
          <w:rFonts w:asciiTheme="majorHAnsi" w:hAnsiTheme="majorHAnsi"/>
          <w:sz w:val="20"/>
          <w:szCs w:val="20"/>
        </w:rPr>
      </w:pPr>
    </w:p>
    <w:p w14:paraId="1F5EF228" w14:textId="77777777" w:rsidR="00A973BE" w:rsidRPr="00B645F5" w:rsidRDefault="007D4C5C" w:rsidP="00F43C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According to the facts as accounted by the courts</w:t>
      </w:r>
      <w:r w:rsidR="003450CB" w:rsidRPr="00B645F5">
        <w:rPr>
          <w:rFonts w:asciiTheme="majorHAnsi" w:hAnsiTheme="majorHAnsi"/>
          <w:sz w:val="20"/>
          <w:szCs w:val="20"/>
        </w:rPr>
        <w:t>,</w:t>
      </w:r>
      <w:r w:rsidRPr="00B645F5">
        <w:rPr>
          <w:rStyle w:val="FootnoteReference"/>
          <w:rFonts w:asciiTheme="majorHAnsi" w:hAnsiTheme="majorHAnsi"/>
          <w:sz w:val="20"/>
          <w:szCs w:val="20"/>
        </w:rPr>
        <w:footnoteReference w:id="18"/>
      </w:r>
      <w:r w:rsidR="00C41EC1" w:rsidRPr="00B645F5">
        <w:rPr>
          <w:rFonts w:asciiTheme="majorHAnsi" w:hAnsiTheme="majorHAnsi"/>
          <w:sz w:val="20"/>
          <w:szCs w:val="20"/>
        </w:rPr>
        <w:t xml:space="preserve"> </w:t>
      </w:r>
      <w:r w:rsidR="00A973BE" w:rsidRPr="00B645F5">
        <w:rPr>
          <w:rFonts w:asciiTheme="majorHAnsi" w:hAnsiTheme="majorHAnsi"/>
          <w:sz w:val="20"/>
          <w:szCs w:val="20"/>
        </w:rPr>
        <w:t xml:space="preserve">Ramiro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was convicted of capital murder </w:t>
      </w:r>
      <w:r w:rsidR="00F77BD9" w:rsidRPr="00B645F5">
        <w:rPr>
          <w:rFonts w:asciiTheme="majorHAnsi" w:hAnsiTheme="majorHAnsi"/>
          <w:sz w:val="20"/>
          <w:szCs w:val="20"/>
        </w:rPr>
        <w:t>for</w:t>
      </w:r>
      <w:r w:rsidR="00A973BE" w:rsidRPr="00B645F5">
        <w:rPr>
          <w:rFonts w:asciiTheme="majorHAnsi" w:hAnsiTheme="majorHAnsi"/>
          <w:sz w:val="20"/>
          <w:szCs w:val="20"/>
        </w:rPr>
        <w:t xml:space="preserve"> the rape and strangulation of </w:t>
      </w:r>
      <w:r w:rsidR="00F77BD9" w:rsidRPr="00B645F5">
        <w:rPr>
          <w:rFonts w:asciiTheme="majorHAnsi" w:hAnsiTheme="majorHAnsi"/>
          <w:sz w:val="20"/>
          <w:szCs w:val="20"/>
        </w:rPr>
        <w:t xml:space="preserve">a </w:t>
      </w:r>
      <w:r w:rsidR="00A973BE" w:rsidRPr="00B645F5">
        <w:rPr>
          <w:rFonts w:asciiTheme="majorHAnsi" w:hAnsiTheme="majorHAnsi"/>
          <w:sz w:val="20"/>
          <w:szCs w:val="20"/>
        </w:rPr>
        <w:t>16-year-old. The facts as established from the trial reflect that 16-year-old Maria De La Paz Zuniga was raped, sodomized, and murdered on the morning of March 6, 1987. The police obtained a search warrant on March 10, 1987</w:t>
      </w:r>
      <w:r w:rsidR="003450CB" w:rsidRPr="00B645F5">
        <w:rPr>
          <w:rFonts w:asciiTheme="majorHAnsi" w:hAnsiTheme="majorHAnsi"/>
          <w:sz w:val="20"/>
          <w:szCs w:val="20"/>
        </w:rPr>
        <w:t>,</w:t>
      </w:r>
      <w:r w:rsidR="00A973BE" w:rsidRPr="00B645F5">
        <w:rPr>
          <w:rFonts w:asciiTheme="majorHAnsi" w:hAnsiTheme="majorHAnsi"/>
          <w:sz w:val="20"/>
          <w:szCs w:val="20"/>
        </w:rPr>
        <w:t xml:space="preserve"> to obtain blood and hair samples from </w:t>
      </w:r>
      <w:r w:rsidR="000B162F" w:rsidRPr="00B645F5">
        <w:rPr>
          <w:rFonts w:asciiTheme="majorHAnsi" w:hAnsiTheme="majorHAnsi"/>
          <w:sz w:val="20"/>
          <w:szCs w:val="20"/>
        </w:rPr>
        <w:t xml:space="preserve">Mr. </w:t>
      </w:r>
      <w:r w:rsidR="00AC5329" w:rsidRPr="00B645F5">
        <w:rPr>
          <w:rFonts w:asciiTheme="majorHAnsi" w:hAnsiTheme="majorHAnsi"/>
          <w:sz w:val="20"/>
          <w:szCs w:val="20"/>
        </w:rPr>
        <w:t>Ibarra</w:t>
      </w:r>
      <w:r w:rsidR="000B162F" w:rsidRPr="00B645F5">
        <w:rPr>
          <w:rFonts w:asciiTheme="majorHAnsi" w:hAnsiTheme="majorHAnsi"/>
          <w:sz w:val="20"/>
          <w:szCs w:val="20"/>
        </w:rPr>
        <w:t xml:space="preserve"> </w:t>
      </w:r>
      <w:r w:rsidR="00A973BE" w:rsidRPr="00B645F5">
        <w:rPr>
          <w:rFonts w:asciiTheme="majorHAnsi" w:hAnsiTheme="majorHAnsi"/>
          <w:sz w:val="20"/>
          <w:szCs w:val="20"/>
        </w:rPr>
        <w:t xml:space="preserve">to compare to the hair and bodily fluids found at the crime scene. An indictment for murder was issued against </w:t>
      </w:r>
      <w:r w:rsidR="000B162F" w:rsidRPr="00B645F5">
        <w:rPr>
          <w:rFonts w:asciiTheme="majorHAnsi" w:hAnsiTheme="majorHAnsi"/>
          <w:sz w:val="20"/>
          <w:szCs w:val="20"/>
        </w:rPr>
        <w:t>Mr</w:t>
      </w:r>
      <w:r w:rsidR="0041293F" w:rsidRPr="00B645F5">
        <w:rPr>
          <w:rFonts w:asciiTheme="majorHAnsi" w:hAnsiTheme="majorHAnsi"/>
          <w:sz w:val="20"/>
          <w:szCs w:val="20"/>
        </w:rPr>
        <w:t xml:space="preserve">.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on May 27, 1987. Subsequently, </w:t>
      </w:r>
      <w:r w:rsidR="0041293F" w:rsidRPr="00B645F5">
        <w:rPr>
          <w:rFonts w:asciiTheme="majorHAnsi" w:hAnsiTheme="majorHAnsi"/>
          <w:sz w:val="20"/>
          <w:szCs w:val="20"/>
        </w:rPr>
        <w:t xml:space="preserve">Mr.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filed a motion to suppress, which was granted because the search warrant was not issued by the appropriate court. At that time, Texas law precluded the police from obtaining a second search warrant.</w:t>
      </w:r>
      <w:r w:rsidR="00AB43AD" w:rsidRPr="00B645F5">
        <w:rPr>
          <w:rFonts w:asciiTheme="majorHAnsi" w:hAnsiTheme="majorHAnsi"/>
          <w:sz w:val="20"/>
          <w:szCs w:val="20"/>
        </w:rPr>
        <w:t xml:space="preserve"> </w:t>
      </w:r>
      <w:r w:rsidR="00A973BE" w:rsidRPr="00B645F5">
        <w:rPr>
          <w:rFonts w:asciiTheme="majorHAnsi" w:hAnsiTheme="majorHAnsi"/>
          <w:sz w:val="20"/>
          <w:szCs w:val="20"/>
        </w:rPr>
        <w:t xml:space="preserve">Because it believed there was insufficient evidence without the blood and hair comparisons, the State dismissed the indictment on July 19, 1998, and </w:t>
      </w:r>
      <w:r w:rsidR="0041293F" w:rsidRPr="00B645F5">
        <w:rPr>
          <w:rFonts w:asciiTheme="majorHAnsi" w:hAnsiTheme="majorHAnsi"/>
          <w:sz w:val="20"/>
          <w:szCs w:val="20"/>
        </w:rPr>
        <w:t xml:space="preserve">Mr.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was released from custody.</w:t>
      </w:r>
    </w:p>
    <w:p w14:paraId="187CBBEE" w14:textId="77777777" w:rsidR="004244FE" w:rsidRPr="00B645F5" w:rsidRDefault="004244FE" w:rsidP="004244F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0442534F" w14:textId="77777777" w:rsidR="00C43931" w:rsidRPr="00B645F5" w:rsidRDefault="004244FE" w:rsidP="00A55C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According to the facts as accounted by the courts,</w:t>
      </w:r>
      <w:r w:rsidRPr="00B645F5">
        <w:rPr>
          <w:rFonts w:asciiTheme="majorHAnsi" w:hAnsiTheme="majorHAnsi"/>
          <w:sz w:val="20"/>
          <w:szCs w:val="20"/>
          <w:vertAlign w:val="superscript"/>
        </w:rPr>
        <w:footnoteReference w:id="19"/>
      </w:r>
      <w:r w:rsidRPr="00B645F5">
        <w:rPr>
          <w:rFonts w:asciiTheme="majorHAnsi" w:hAnsiTheme="majorHAnsi"/>
          <w:sz w:val="20"/>
          <w:szCs w:val="20"/>
        </w:rPr>
        <w:t xml:space="preserve"> </w:t>
      </w:r>
      <w:r w:rsidR="00A973BE" w:rsidRPr="00B645F5">
        <w:rPr>
          <w:rFonts w:asciiTheme="majorHAnsi" w:hAnsiTheme="majorHAnsi"/>
          <w:sz w:val="20"/>
          <w:szCs w:val="20"/>
        </w:rPr>
        <w:t xml:space="preserve">Texas law changed in 1995, allowing police to obtain the issuance of more than one evidentiary search warrant in a case. The police obtained a second warrant for hair and blood samples from </w:t>
      </w:r>
      <w:r w:rsidR="00A56B48" w:rsidRPr="00B645F5">
        <w:rPr>
          <w:rFonts w:asciiTheme="majorHAnsi" w:hAnsiTheme="majorHAnsi"/>
          <w:sz w:val="20"/>
          <w:szCs w:val="20"/>
        </w:rPr>
        <w:t xml:space="preserve">Mr.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on </w:t>
      </w:r>
      <w:proofErr w:type="gramStart"/>
      <w:r w:rsidR="00A973BE" w:rsidRPr="00B645F5">
        <w:rPr>
          <w:rFonts w:asciiTheme="majorHAnsi" w:hAnsiTheme="majorHAnsi"/>
          <w:sz w:val="20"/>
          <w:szCs w:val="20"/>
        </w:rPr>
        <w:t>July 2, 1996</w:t>
      </w:r>
      <w:r w:rsidR="003450CB" w:rsidRPr="00B645F5">
        <w:rPr>
          <w:rFonts w:asciiTheme="majorHAnsi" w:hAnsiTheme="majorHAnsi"/>
          <w:sz w:val="20"/>
          <w:szCs w:val="20"/>
        </w:rPr>
        <w:t>,</w:t>
      </w:r>
      <w:r w:rsidR="00A973BE" w:rsidRPr="00B645F5">
        <w:rPr>
          <w:rFonts w:asciiTheme="majorHAnsi" w:hAnsiTheme="majorHAnsi"/>
          <w:sz w:val="20"/>
          <w:szCs w:val="20"/>
        </w:rPr>
        <w:t xml:space="preserve"> and</w:t>
      </w:r>
      <w:proofErr w:type="gramEnd"/>
      <w:r w:rsidR="00A973BE" w:rsidRPr="00B645F5">
        <w:rPr>
          <w:rFonts w:asciiTheme="majorHAnsi" w:hAnsiTheme="majorHAnsi"/>
          <w:sz w:val="20"/>
          <w:szCs w:val="20"/>
        </w:rPr>
        <w:t xml:space="preserve"> were able to secure such evidence. Examination of the evidence revealed that the facial and pubic hairs found on and around Maria </w:t>
      </w:r>
      <w:r w:rsidR="004D5C7D" w:rsidRPr="00B645F5">
        <w:rPr>
          <w:rFonts w:asciiTheme="majorHAnsi" w:hAnsiTheme="majorHAnsi"/>
          <w:sz w:val="20"/>
          <w:szCs w:val="20"/>
        </w:rPr>
        <w:t xml:space="preserve">De La Paz Zuniga </w:t>
      </w:r>
      <w:r w:rsidR="00A973BE" w:rsidRPr="00B645F5">
        <w:rPr>
          <w:rFonts w:asciiTheme="majorHAnsi" w:hAnsiTheme="majorHAnsi"/>
          <w:sz w:val="20"/>
          <w:szCs w:val="20"/>
        </w:rPr>
        <w:t xml:space="preserve">were similar to those of </w:t>
      </w:r>
      <w:r w:rsidR="004D5C7D" w:rsidRPr="00B645F5">
        <w:rPr>
          <w:rFonts w:asciiTheme="majorHAnsi" w:hAnsiTheme="majorHAnsi"/>
          <w:sz w:val="20"/>
          <w:szCs w:val="20"/>
        </w:rPr>
        <w:t xml:space="preserve">Mr. </w:t>
      </w:r>
      <w:r w:rsidR="00AC5329" w:rsidRPr="00B645F5">
        <w:rPr>
          <w:rFonts w:asciiTheme="majorHAnsi" w:hAnsiTheme="majorHAnsi"/>
          <w:sz w:val="20"/>
          <w:szCs w:val="20"/>
        </w:rPr>
        <w:t>Ibarra</w:t>
      </w:r>
      <w:r w:rsidR="00A973BE" w:rsidRPr="00B645F5">
        <w:rPr>
          <w:rFonts w:asciiTheme="majorHAnsi" w:hAnsiTheme="majorHAnsi"/>
          <w:sz w:val="20"/>
          <w:szCs w:val="20"/>
        </w:rPr>
        <w:t>, and his DNA matched the semen recovered from her body and underwear, as well as the material under her fingernails.</w:t>
      </w:r>
      <w:r w:rsidR="004D5C7D" w:rsidRPr="00B645F5">
        <w:rPr>
          <w:rFonts w:asciiTheme="majorHAnsi" w:hAnsiTheme="majorHAnsi"/>
          <w:sz w:val="20"/>
          <w:szCs w:val="20"/>
        </w:rPr>
        <w:t xml:space="preserve"> </w:t>
      </w:r>
      <w:r w:rsidR="001F5E48" w:rsidRPr="00B645F5">
        <w:rPr>
          <w:rFonts w:asciiTheme="majorHAnsi" w:hAnsiTheme="majorHAnsi"/>
          <w:sz w:val="20"/>
          <w:szCs w:val="20"/>
        </w:rPr>
        <w:t xml:space="preserve">Mr. </w:t>
      </w:r>
      <w:r w:rsidR="00AC5329" w:rsidRPr="00B645F5">
        <w:rPr>
          <w:rFonts w:asciiTheme="majorHAnsi" w:hAnsiTheme="majorHAnsi"/>
          <w:sz w:val="20"/>
          <w:szCs w:val="20"/>
        </w:rPr>
        <w:t>Ibarra</w:t>
      </w:r>
      <w:r w:rsidR="00A973BE" w:rsidRPr="00B645F5">
        <w:rPr>
          <w:rFonts w:asciiTheme="majorHAnsi" w:hAnsiTheme="majorHAnsi"/>
          <w:sz w:val="20"/>
          <w:szCs w:val="20"/>
        </w:rPr>
        <w:t xml:space="preserve"> was then reindicted for </w:t>
      </w:r>
      <w:r w:rsidR="003450CB" w:rsidRPr="00B645F5">
        <w:rPr>
          <w:rFonts w:asciiTheme="majorHAnsi" w:hAnsiTheme="majorHAnsi"/>
          <w:sz w:val="20"/>
          <w:szCs w:val="20"/>
        </w:rPr>
        <w:t>her</w:t>
      </w:r>
      <w:r w:rsidR="00A973BE" w:rsidRPr="00B645F5">
        <w:rPr>
          <w:rFonts w:asciiTheme="majorHAnsi" w:hAnsiTheme="majorHAnsi"/>
          <w:sz w:val="20"/>
          <w:szCs w:val="20"/>
        </w:rPr>
        <w:t xml:space="preserve"> murder on September 18, 1996.</w:t>
      </w:r>
      <w:r w:rsidR="00920325" w:rsidRPr="00B645F5">
        <w:rPr>
          <w:rFonts w:asciiTheme="majorHAnsi" w:hAnsiTheme="majorHAnsi"/>
          <w:sz w:val="20"/>
          <w:szCs w:val="20"/>
        </w:rPr>
        <w:t xml:space="preserve"> </w:t>
      </w:r>
    </w:p>
    <w:p w14:paraId="31FB5C26" w14:textId="77777777" w:rsidR="00D14900" w:rsidRPr="00B645F5" w:rsidRDefault="00D14900" w:rsidP="004E00E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55214E04" w14:textId="77777777" w:rsidR="009F1ADE" w:rsidRPr="00B645F5" w:rsidRDefault="009D44D1" w:rsidP="009F1ADE">
      <w:pPr>
        <w:pStyle w:val="Heading2"/>
        <w:numPr>
          <w:ilvl w:val="0"/>
          <w:numId w:val="58"/>
        </w:numPr>
        <w:tabs>
          <w:tab w:val="left" w:pos="360"/>
        </w:tabs>
        <w:spacing w:before="0"/>
        <w:ind w:hanging="720"/>
        <w:rPr>
          <w:color w:val="auto"/>
          <w:sz w:val="20"/>
          <w:szCs w:val="20"/>
        </w:rPr>
      </w:pPr>
      <w:bookmarkStart w:id="15" w:name="_Toc90115120"/>
      <w:r w:rsidRPr="00B645F5">
        <w:rPr>
          <w:color w:val="auto"/>
          <w:sz w:val="20"/>
          <w:szCs w:val="20"/>
        </w:rPr>
        <w:t>Trial and death sentence</w:t>
      </w:r>
      <w:bookmarkEnd w:id="15"/>
    </w:p>
    <w:p w14:paraId="79BADDAB" w14:textId="77777777" w:rsidR="009F1ADE" w:rsidRPr="00B645F5" w:rsidRDefault="009F1ADE" w:rsidP="009F1A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textAlignment w:val="baseline"/>
        <w:rPr>
          <w:rFonts w:asciiTheme="majorHAnsi" w:hAnsiTheme="majorHAnsi"/>
          <w:sz w:val="20"/>
          <w:szCs w:val="20"/>
        </w:rPr>
      </w:pPr>
    </w:p>
    <w:p w14:paraId="10D6F0BF" w14:textId="77777777" w:rsidR="005158F1" w:rsidRPr="00B645F5" w:rsidRDefault="009F1ADE" w:rsidP="004246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On September </w:t>
      </w:r>
      <w:r w:rsidR="003450CB" w:rsidRPr="00B645F5">
        <w:rPr>
          <w:rFonts w:asciiTheme="majorHAnsi" w:hAnsiTheme="majorHAnsi"/>
          <w:sz w:val="20"/>
          <w:szCs w:val="20"/>
        </w:rPr>
        <w:t xml:space="preserve">17, </w:t>
      </w:r>
      <w:r w:rsidRPr="00B645F5">
        <w:rPr>
          <w:rFonts w:asciiTheme="majorHAnsi" w:hAnsiTheme="majorHAnsi"/>
          <w:sz w:val="20"/>
          <w:szCs w:val="20"/>
        </w:rPr>
        <w:t xml:space="preserve">1997, Mr. </w:t>
      </w:r>
      <w:r w:rsidR="00AC5329" w:rsidRPr="00B645F5">
        <w:rPr>
          <w:rFonts w:asciiTheme="majorHAnsi" w:hAnsiTheme="majorHAnsi"/>
          <w:sz w:val="20"/>
          <w:szCs w:val="20"/>
        </w:rPr>
        <w:t>Ibarra</w:t>
      </w:r>
      <w:r w:rsidRPr="00B645F5">
        <w:rPr>
          <w:rFonts w:asciiTheme="majorHAnsi" w:hAnsiTheme="majorHAnsi"/>
          <w:sz w:val="20"/>
          <w:szCs w:val="20"/>
        </w:rPr>
        <w:t xml:space="preserve"> was convicted of murder. On</w:t>
      </w:r>
      <w:r w:rsidR="003450CB" w:rsidRPr="00B645F5">
        <w:rPr>
          <w:rFonts w:asciiTheme="majorHAnsi" w:hAnsiTheme="majorHAnsi"/>
          <w:sz w:val="20"/>
          <w:szCs w:val="20"/>
        </w:rPr>
        <w:t xml:space="preserve"> </w:t>
      </w:r>
      <w:r w:rsidRPr="00B645F5">
        <w:rPr>
          <w:rFonts w:asciiTheme="majorHAnsi" w:hAnsiTheme="majorHAnsi"/>
          <w:sz w:val="20"/>
          <w:szCs w:val="20"/>
        </w:rPr>
        <w:t xml:space="preserve">September </w:t>
      </w:r>
      <w:r w:rsidR="003450CB" w:rsidRPr="00B645F5">
        <w:rPr>
          <w:rFonts w:asciiTheme="majorHAnsi" w:hAnsiTheme="majorHAnsi"/>
          <w:sz w:val="20"/>
          <w:szCs w:val="20"/>
        </w:rPr>
        <w:t xml:space="preserve">22, </w:t>
      </w:r>
      <w:r w:rsidRPr="00B645F5">
        <w:rPr>
          <w:rFonts w:asciiTheme="majorHAnsi" w:hAnsiTheme="majorHAnsi"/>
          <w:sz w:val="20"/>
          <w:szCs w:val="20"/>
        </w:rPr>
        <w:t xml:space="preserve">1997, </w:t>
      </w:r>
      <w:r w:rsidR="003450CB" w:rsidRPr="00B645F5">
        <w:rPr>
          <w:rFonts w:asciiTheme="majorHAnsi" w:hAnsiTheme="majorHAnsi"/>
          <w:sz w:val="20"/>
          <w:szCs w:val="20"/>
        </w:rPr>
        <w:t>he</w:t>
      </w:r>
      <w:r w:rsidRPr="00B645F5">
        <w:rPr>
          <w:rFonts w:asciiTheme="majorHAnsi" w:hAnsiTheme="majorHAnsi"/>
          <w:sz w:val="20"/>
          <w:szCs w:val="20"/>
        </w:rPr>
        <w:t xml:space="preserve"> was sentenced to death</w:t>
      </w:r>
      <w:r w:rsidRPr="00B645F5">
        <w:rPr>
          <w:rFonts w:asciiTheme="majorHAnsi" w:hAnsiTheme="majorHAnsi"/>
          <w:sz w:val="20"/>
          <w:szCs w:val="20"/>
          <w:vertAlign w:val="superscript"/>
        </w:rPr>
        <w:footnoteReference w:id="20"/>
      </w:r>
      <w:r w:rsidRPr="00B645F5">
        <w:rPr>
          <w:rFonts w:asciiTheme="majorHAnsi" w:hAnsiTheme="majorHAnsi"/>
          <w:sz w:val="20"/>
          <w:szCs w:val="20"/>
        </w:rPr>
        <w:t>.</w:t>
      </w:r>
      <w:r w:rsidR="00DC7277" w:rsidRPr="00B645F5">
        <w:rPr>
          <w:rFonts w:asciiTheme="majorHAnsi" w:hAnsiTheme="majorHAnsi"/>
          <w:sz w:val="20"/>
          <w:szCs w:val="20"/>
        </w:rPr>
        <w:t xml:space="preserve"> </w:t>
      </w:r>
      <w:r w:rsidR="0053347F" w:rsidRPr="00B645F5">
        <w:rPr>
          <w:rFonts w:asciiTheme="majorHAnsi" w:hAnsiTheme="majorHAnsi"/>
          <w:sz w:val="20"/>
          <w:szCs w:val="20"/>
        </w:rPr>
        <w:t>The petitioners provid</w:t>
      </w:r>
      <w:r w:rsidR="007F391B" w:rsidRPr="00B645F5">
        <w:rPr>
          <w:rFonts w:asciiTheme="majorHAnsi" w:hAnsiTheme="majorHAnsi"/>
          <w:sz w:val="20"/>
          <w:szCs w:val="20"/>
        </w:rPr>
        <w:t>e</w:t>
      </w:r>
      <w:r w:rsidR="007F391B" w:rsidRPr="00B645F5">
        <w:rPr>
          <w:rStyle w:val="FootnoteReference"/>
          <w:rFonts w:asciiTheme="majorHAnsi" w:hAnsiTheme="majorHAnsi"/>
          <w:sz w:val="20"/>
          <w:szCs w:val="20"/>
        </w:rPr>
        <w:footnoteReference w:id="21"/>
      </w:r>
      <w:r w:rsidR="0053347F" w:rsidRPr="00B645F5">
        <w:rPr>
          <w:rFonts w:asciiTheme="majorHAnsi" w:hAnsiTheme="majorHAnsi"/>
          <w:sz w:val="20"/>
          <w:szCs w:val="20"/>
        </w:rPr>
        <w:t xml:space="preserve"> that with the assistance of the Mexican consular officials, Mr. </w:t>
      </w:r>
      <w:r w:rsidR="00AC5329" w:rsidRPr="00B645F5">
        <w:rPr>
          <w:rFonts w:asciiTheme="majorHAnsi" w:hAnsiTheme="majorHAnsi"/>
          <w:sz w:val="20"/>
          <w:szCs w:val="20"/>
        </w:rPr>
        <w:t>Ibarra</w:t>
      </w:r>
      <w:r w:rsidR="0053347F" w:rsidRPr="00B645F5">
        <w:rPr>
          <w:rFonts w:asciiTheme="majorHAnsi" w:hAnsiTheme="majorHAnsi"/>
          <w:sz w:val="20"/>
          <w:szCs w:val="20"/>
        </w:rPr>
        <w:t xml:space="preserve">’s defense attorney filed a motion for a new trial based on the </w:t>
      </w:r>
      <w:r w:rsidR="003450CB" w:rsidRPr="00B645F5">
        <w:rPr>
          <w:rFonts w:asciiTheme="majorHAnsi" w:hAnsiTheme="majorHAnsi"/>
          <w:sz w:val="20"/>
          <w:szCs w:val="20"/>
        </w:rPr>
        <w:t xml:space="preserve">failure to comply with the Vienna Convention on Consular </w:t>
      </w:r>
      <w:r w:rsidR="003450CB" w:rsidRPr="00B645F5">
        <w:rPr>
          <w:rFonts w:asciiTheme="majorHAnsi" w:hAnsiTheme="majorHAnsi"/>
          <w:sz w:val="20"/>
          <w:szCs w:val="20"/>
        </w:rPr>
        <w:lastRenderedPageBreak/>
        <w:t>Relations (“VCCR”)</w:t>
      </w:r>
      <w:r w:rsidR="0053347F" w:rsidRPr="00B645F5">
        <w:rPr>
          <w:rFonts w:asciiTheme="majorHAnsi" w:hAnsiTheme="majorHAnsi"/>
          <w:sz w:val="20"/>
          <w:szCs w:val="20"/>
        </w:rPr>
        <w:t xml:space="preserve">. The police freely admitted that they knew Mr. </w:t>
      </w:r>
      <w:r w:rsidR="00AC5329" w:rsidRPr="00B645F5">
        <w:rPr>
          <w:rFonts w:asciiTheme="majorHAnsi" w:hAnsiTheme="majorHAnsi"/>
          <w:sz w:val="20"/>
          <w:szCs w:val="20"/>
        </w:rPr>
        <w:t>Ibarra</w:t>
      </w:r>
      <w:r w:rsidR="0053347F" w:rsidRPr="00B645F5">
        <w:rPr>
          <w:rFonts w:asciiTheme="majorHAnsi" w:hAnsiTheme="majorHAnsi"/>
          <w:sz w:val="20"/>
          <w:szCs w:val="20"/>
        </w:rPr>
        <w:t xml:space="preserve"> was a Mexican </w:t>
      </w:r>
      <w:proofErr w:type="gramStart"/>
      <w:r w:rsidR="0053347F" w:rsidRPr="00B645F5">
        <w:rPr>
          <w:rFonts w:asciiTheme="majorHAnsi" w:hAnsiTheme="majorHAnsi"/>
          <w:sz w:val="20"/>
          <w:szCs w:val="20"/>
        </w:rPr>
        <w:t>national, but</w:t>
      </w:r>
      <w:proofErr w:type="gramEnd"/>
      <w:r w:rsidR="0053347F" w:rsidRPr="00B645F5">
        <w:rPr>
          <w:rFonts w:asciiTheme="majorHAnsi" w:hAnsiTheme="majorHAnsi"/>
          <w:sz w:val="20"/>
          <w:szCs w:val="20"/>
        </w:rPr>
        <w:t xml:space="preserve"> were not aware that he had the right to consult with the Mexican consulate. </w:t>
      </w:r>
      <w:r w:rsidR="00DC7277" w:rsidRPr="00B645F5">
        <w:rPr>
          <w:rFonts w:ascii="Cambria" w:hAnsi="Cambria"/>
          <w:sz w:val="20"/>
          <w:szCs w:val="20"/>
        </w:rPr>
        <w:t xml:space="preserve">His motion for new trial </w:t>
      </w:r>
      <w:r w:rsidR="00832F52" w:rsidRPr="00B645F5">
        <w:rPr>
          <w:rFonts w:ascii="Cambria" w:hAnsi="Cambria"/>
          <w:sz w:val="20"/>
          <w:szCs w:val="20"/>
        </w:rPr>
        <w:t xml:space="preserve">was </w:t>
      </w:r>
      <w:r w:rsidR="00DC7277" w:rsidRPr="00B645F5">
        <w:rPr>
          <w:rFonts w:ascii="Cambria" w:hAnsi="Cambria"/>
          <w:sz w:val="20"/>
          <w:szCs w:val="20"/>
        </w:rPr>
        <w:t>overruled by the State District Court on December 9, 1997.</w:t>
      </w:r>
      <w:r w:rsidR="00832F52" w:rsidRPr="00B645F5">
        <w:rPr>
          <w:rStyle w:val="FootnoteReference"/>
          <w:rFonts w:ascii="Cambria" w:hAnsi="Cambria"/>
          <w:sz w:val="20"/>
          <w:szCs w:val="20"/>
        </w:rPr>
        <w:footnoteReference w:id="22"/>
      </w:r>
    </w:p>
    <w:p w14:paraId="20DE7A2C" w14:textId="77777777" w:rsidR="003F2D7B" w:rsidRPr="00B645F5" w:rsidRDefault="003F2D7B" w:rsidP="003F2D7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201B8F6" w14:textId="77777777" w:rsidR="00C44AE9" w:rsidRPr="00B645F5" w:rsidRDefault="0003540D" w:rsidP="00017B2F">
      <w:pPr>
        <w:pStyle w:val="Heading2"/>
        <w:numPr>
          <w:ilvl w:val="0"/>
          <w:numId w:val="58"/>
        </w:numPr>
        <w:tabs>
          <w:tab w:val="left" w:pos="360"/>
        </w:tabs>
        <w:spacing w:before="0"/>
        <w:ind w:hanging="720"/>
        <w:rPr>
          <w:color w:val="auto"/>
          <w:sz w:val="20"/>
          <w:szCs w:val="20"/>
        </w:rPr>
      </w:pPr>
      <w:bookmarkStart w:id="16" w:name="_Toc90115121"/>
      <w:r w:rsidRPr="00B645F5">
        <w:rPr>
          <w:color w:val="auto"/>
          <w:sz w:val="20"/>
          <w:szCs w:val="20"/>
        </w:rPr>
        <w:t>Post-c</w:t>
      </w:r>
      <w:r w:rsidR="00F42CE4" w:rsidRPr="00B645F5">
        <w:rPr>
          <w:color w:val="auto"/>
          <w:sz w:val="20"/>
          <w:szCs w:val="20"/>
        </w:rPr>
        <w:t>onviction</w:t>
      </w:r>
      <w:r w:rsidRPr="00B645F5">
        <w:rPr>
          <w:color w:val="auto"/>
          <w:sz w:val="20"/>
          <w:szCs w:val="20"/>
        </w:rPr>
        <w:t xml:space="preserve"> r</w:t>
      </w:r>
      <w:r w:rsidR="00D25AD2" w:rsidRPr="00B645F5">
        <w:rPr>
          <w:color w:val="auto"/>
          <w:sz w:val="20"/>
          <w:szCs w:val="20"/>
        </w:rPr>
        <w:t>elie</w:t>
      </w:r>
      <w:r w:rsidR="00CD4C7E" w:rsidRPr="00B645F5">
        <w:rPr>
          <w:color w:val="auto"/>
          <w:sz w:val="20"/>
          <w:szCs w:val="20"/>
        </w:rPr>
        <w:t>f and other remedies</w:t>
      </w:r>
      <w:bookmarkEnd w:id="16"/>
    </w:p>
    <w:p w14:paraId="67217A13" w14:textId="77777777" w:rsidR="00CD4C7E" w:rsidRPr="00B645F5" w:rsidRDefault="00CD4C7E" w:rsidP="00CD4C7E"/>
    <w:p w14:paraId="0A551A66" w14:textId="77777777" w:rsidR="00CD4C7E" w:rsidRPr="00B645F5" w:rsidRDefault="00CD4C7E" w:rsidP="00CD4C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Cambria" w:hAnsi="Cambria"/>
          <w:sz w:val="20"/>
          <w:szCs w:val="20"/>
        </w:rPr>
        <w:t>According to the court record</w:t>
      </w:r>
      <w:r w:rsidR="003450CB" w:rsidRPr="00B645F5">
        <w:rPr>
          <w:rFonts w:ascii="Cambria" w:hAnsi="Cambria"/>
          <w:sz w:val="20"/>
          <w:szCs w:val="20"/>
        </w:rPr>
        <w:t>,</w:t>
      </w:r>
      <w:r w:rsidRPr="00B645F5">
        <w:rPr>
          <w:rFonts w:ascii="Cambria" w:hAnsi="Cambria"/>
          <w:sz w:val="20"/>
          <w:szCs w:val="20"/>
          <w:vertAlign w:val="superscript"/>
        </w:rPr>
        <w:footnoteReference w:id="23"/>
      </w:r>
      <w:r w:rsidRPr="00B645F5">
        <w:rPr>
          <w:rFonts w:asciiTheme="majorHAnsi" w:hAnsiTheme="majorHAnsi"/>
          <w:sz w:val="20"/>
          <w:szCs w:val="20"/>
        </w:rPr>
        <w:t xml:space="preserve"> the alleged victim’s sentence and conviction were affirmed on direct appeal on </w:t>
      </w:r>
      <w:r w:rsidRPr="00B645F5">
        <w:rPr>
          <w:rFonts w:ascii="Cambria" w:hAnsi="Cambria"/>
          <w:sz w:val="20"/>
          <w:szCs w:val="20"/>
        </w:rPr>
        <w:t>October 9, 1999, with a rehea</w:t>
      </w:r>
      <w:r w:rsidR="003450CB" w:rsidRPr="00B645F5">
        <w:rPr>
          <w:rFonts w:ascii="Cambria" w:hAnsi="Cambria"/>
          <w:sz w:val="20"/>
          <w:szCs w:val="20"/>
        </w:rPr>
        <w:t>ring denied on December 8, 1999.</w:t>
      </w:r>
      <w:r w:rsidRPr="00B645F5">
        <w:rPr>
          <w:rFonts w:ascii="Cambria" w:hAnsi="Cambria"/>
          <w:sz w:val="20"/>
          <w:szCs w:val="20"/>
          <w:vertAlign w:val="superscript"/>
        </w:rPr>
        <w:footnoteReference w:id="24"/>
      </w:r>
      <w:r w:rsidRPr="00B645F5">
        <w:rPr>
          <w:rFonts w:ascii="Cambria" w:hAnsi="Cambria"/>
          <w:sz w:val="20"/>
          <w:szCs w:val="20"/>
        </w:rPr>
        <w:t xml:space="preserve"> </w:t>
      </w:r>
      <w:r w:rsidRPr="00B645F5">
        <w:rPr>
          <w:rFonts w:asciiTheme="majorHAnsi" w:hAnsiTheme="majorHAnsi"/>
          <w:sz w:val="20"/>
          <w:szCs w:val="20"/>
        </w:rPr>
        <w:t xml:space="preserve"> </w:t>
      </w:r>
      <w:r w:rsidR="003450CB" w:rsidRPr="00B645F5">
        <w:rPr>
          <w:rFonts w:asciiTheme="majorHAnsi" w:hAnsiTheme="majorHAnsi"/>
          <w:sz w:val="20"/>
          <w:szCs w:val="20"/>
        </w:rPr>
        <w:t>The</w:t>
      </w:r>
      <w:r w:rsidRPr="00B645F5">
        <w:rPr>
          <w:rFonts w:asciiTheme="majorHAnsi" w:hAnsiTheme="majorHAnsi"/>
          <w:sz w:val="20"/>
          <w:szCs w:val="20"/>
        </w:rPr>
        <w:t xml:space="preserve"> petition for a writ of certiorari was denied </w:t>
      </w:r>
      <w:r w:rsidRPr="00B645F5">
        <w:rPr>
          <w:rFonts w:ascii="Cambria" w:hAnsi="Cambria"/>
          <w:sz w:val="20"/>
          <w:szCs w:val="20"/>
        </w:rPr>
        <w:t>on October 2, 2000</w:t>
      </w:r>
      <w:r w:rsidR="003450CB" w:rsidRPr="00B645F5">
        <w:rPr>
          <w:rFonts w:ascii="Cambria" w:hAnsi="Cambria"/>
          <w:sz w:val="20"/>
          <w:szCs w:val="20"/>
        </w:rPr>
        <w:t>,</w:t>
      </w:r>
      <w:r w:rsidRPr="00B645F5">
        <w:rPr>
          <w:rFonts w:ascii="Cambria" w:hAnsi="Cambria"/>
          <w:sz w:val="20"/>
          <w:szCs w:val="20"/>
          <w:vertAlign w:val="superscript"/>
        </w:rPr>
        <w:footnoteReference w:id="25"/>
      </w:r>
      <w:r w:rsidRPr="00B645F5">
        <w:rPr>
          <w:rFonts w:asciiTheme="majorHAnsi" w:hAnsiTheme="majorHAnsi"/>
          <w:sz w:val="20"/>
          <w:szCs w:val="20"/>
        </w:rPr>
        <w:t xml:space="preserve"> and </w:t>
      </w:r>
      <w:r w:rsidR="003450CB" w:rsidRPr="00B645F5">
        <w:rPr>
          <w:rFonts w:asciiTheme="majorHAnsi" w:hAnsiTheme="majorHAnsi"/>
          <w:sz w:val="20"/>
          <w:szCs w:val="20"/>
        </w:rPr>
        <w:t>the</w:t>
      </w:r>
      <w:r w:rsidRPr="00B645F5">
        <w:rPr>
          <w:rFonts w:asciiTheme="majorHAnsi" w:hAnsiTheme="majorHAnsi"/>
          <w:sz w:val="20"/>
          <w:szCs w:val="20"/>
        </w:rPr>
        <w:t xml:space="preserve"> first state habeas corpus petition was denied </w:t>
      </w:r>
      <w:r w:rsidRPr="00B645F5">
        <w:rPr>
          <w:rFonts w:ascii="Cambria" w:hAnsi="Cambria"/>
          <w:sz w:val="20"/>
          <w:szCs w:val="20"/>
        </w:rPr>
        <w:t>on April 4, 2001.</w:t>
      </w:r>
      <w:r w:rsidRPr="00B645F5">
        <w:rPr>
          <w:rFonts w:ascii="Cambria" w:hAnsi="Cambria"/>
          <w:sz w:val="20"/>
          <w:szCs w:val="20"/>
          <w:vertAlign w:val="superscript"/>
        </w:rPr>
        <w:footnoteReference w:id="26"/>
      </w:r>
      <w:r w:rsidRPr="00B645F5">
        <w:rPr>
          <w:rFonts w:asciiTheme="majorHAnsi" w:hAnsiTheme="majorHAnsi"/>
          <w:sz w:val="20"/>
          <w:szCs w:val="20"/>
        </w:rPr>
        <w:t xml:space="preserve"> </w:t>
      </w:r>
    </w:p>
    <w:p w14:paraId="7DE27951" w14:textId="77777777" w:rsidR="00CD4C7E" w:rsidRPr="00B645F5" w:rsidRDefault="00CD4C7E" w:rsidP="00E25C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textAlignment w:val="baseline"/>
        <w:rPr>
          <w:rFonts w:asciiTheme="majorHAnsi" w:hAnsiTheme="majorHAnsi"/>
          <w:sz w:val="20"/>
          <w:szCs w:val="20"/>
        </w:rPr>
      </w:pPr>
    </w:p>
    <w:p w14:paraId="74551674" w14:textId="77777777" w:rsidR="00AD3FD3" w:rsidRPr="00B645F5" w:rsidRDefault="003450CB" w:rsidP="00AD3F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F</w:t>
      </w:r>
      <w:r w:rsidR="00E25C99" w:rsidRPr="00B645F5">
        <w:rPr>
          <w:rFonts w:asciiTheme="majorHAnsi" w:hAnsiTheme="majorHAnsi"/>
          <w:sz w:val="20"/>
          <w:szCs w:val="20"/>
        </w:rPr>
        <w:t>ollowing the U.S. Supreme Court’s decision in Atkins (2002)</w:t>
      </w:r>
      <w:r w:rsidRPr="00B645F5">
        <w:rPr>
          <w:rFonts w:asciiTheme="majorHAnsi" w:hAnsiTheme="majorHAnsi"/>
          <w:sz w:val="20"/>
          <w:szCs w:val="20"/>
        </w:rPr>
        <w:t>,</w:t>
      </w:r>
      <w:r w:rsidR="00E25C99" w:rsidRPr="00B645F5">
        <w:rPr>
          <w:rFonts w:asciiTheme="majorHAnsi" w:hAnsiTheme="majorHAnsi"/>
          <w:sz w:val="20"/>
          <w:szCs w:val="20"/>
          <w:vertAlign w:val="superscript"/>
        </w:rPr>
        <w:footnoteReference w:id="27"/>
      </w:r>
      <w:r w:rsidR="00E25C99" w:rsidRPr="00B645F5">
        <w:rPr>
          <w:rFonts w:asciiTheme="majorHAnsi" w:hAnsiTheme="majorHAnsi"/>
          <w:sz w:val="20"/>
          <w:szCs w:val="20"/>
        </w:rPr>
        <w:t xml:space="preserve"> Mr. </w:t>
      </w:r>
      <w:r w:rsidR="00AC5329" w:rsidRPr="00B645F5">
        <w:rPr>
          <w:rFonts w:asciiTheme="majorHAnsi" w:hAnsiTheme="majorHAnsi"/>
          <w:sz w:val="20"/>
          <w:szCs w:val="20"/>
        </w:rPr>
        <w:t>Ibarra</w:t>
      </w:r>
      <w:r w:rsidR="00E25C99" w:rsidRPr="00B645F5">
        <w:rPr>
          <w:rFonts w:asciiTheme="majorHAnsi" w:hAnsiTheme="majorHAnsi"/>
          <w:sz w:val="20"/>
          <w:szCs w:val="20"/>
        </w:rPr>
        <w:t xml:space="preserve"> subsequently filed an application for a writ of habeas corpus which was stayed while he exhausted additional state court claims pursuant to the decision in Atkins (2002)</w:t>
      </w:r>
      <w:r w:rsidR="00B441B2" w:rsidRPr="00B645F5">
        <w:rPr>
          <w:rFonts w:asciiTheme="majorHAnsi" w:hAnsiTheme="majorHAnsi"/>
          <w:sz w:val="20"/>
          <w:szCs w:val="20"/>
        </w:rPr>
        <w:t xml:space="preserve">. </w:t>
      </w:r>
      <w:r w:rsidR="00E25C99" w:rsidRPr="00B645F5">
        <w:rPr>
          <w:rFonts w:asciiTheme="majorHAnsi" w:hAnsiTheme="majorHAnsi"/>
          <w:sz w:val="20"/>
          <w:szCs w:val="20"/>
        </w:rPr>
        <w:t>His petition was stayed further while he pursued state court claims following President Bush’s announcement that the United States would have state courts give effect to the ruling in the ‘</w:t>
      </w:r>
      <w:proofErr w:type="spellStart"/>
      <w:r w:rsidR="00E25C99" w:rsidRPr="00B645F5">
        <w:rPr>
          <w:rFonts w:asciiTheme="majorHAnsi" w:hAnsiTheme="majorHAnsi"/>
          <w:sz w:val="20"/>
          <w:szCs w:val="20"/>
        </w:rPr>
        <w:t>Avena</w:t>
      </w:r>
      <w:proofErr w:type="spellEnd"/>
      <w:r w:rsidR="00E25C99" w:rsidRPr="00B645F5">
        <w:rPr>
          <w:rFonts w:asciiTheme="majorHAnsi" w:hAnsiTheme="majorHAnsi"/>
          <w:sz w:val="20"/>
          <w:szCs w:val="20"/>
        </w:rPr>
        <w:t xml:space="preserve"> case’, an International Court of Justice</w:t>
      </w:r>
      <w:r w:rsidR="0096253E" w:rsidRPr="00B645F5">
        <w:rPr>
          <w:rFonts w:asciiTheme="majorHAnsi" w:hAnsiTheme="majorHAnsi"/>
          <w:sz w:val="20"/>
          <w:szCs w:val="20"/>
        </w:rPr>
        <w:t xml:space="preserve"> (</w:t>
      </w:r>
      <w:r w:rsidR="00FC7BBE" w:rsidRPr="00B645F5">
        <w:rPr>
          <w:rFonts w:asciiTheme="majorHAnsi" w:hAnsiTheme="majorHAnsi"/>
          <w:sz w:val="20"/>
          <w:szCs w:val="20"/>
        </w:rPr>
        <w:t>ICJ</w:t>
      </w:r>
      <w:r w:rsidR="005F0133" w:rsidRPr="00B645F5">
        <w:rPr>
          <w:rFonts w:asciiTheme="majorHAnsi" w:hAnsiTheme="majorHAnsi"/>
          <w:sz w:val="20"/>
          <w:szCs w:val="20"/>
        </w:rPr>
        <w:t>)</w:t>
      </w:r>
      <w:r w:rsidR="00E25C99" w:rsidRPr="00B645F5">
        <w:rPr>
          <w:rFonts w:asciiTheme="majorHAnsi" w:hAnsiTheme="majorHAnsi"/>
          <w:sz w:val="20"/>
          <w:szCs w:val="20"/>
        </w:rPr>
        <w:t xml:space="preserve"> opinion declaring that Mexican nationals were entitled to review and reconsideration o</w:t>
      </w:r>
      <w:r w:rsidRPr="00B645F5">
        <w:rPr>
          <w:rFonts w:asciiTheme="majorHAnsi" w:hAnsiTheme="majorHAnsi"/>
          <w:sz w:val="20"/>
          <w:szCs w:val="20"/>
        </w:rPr>
        <w:t>f their convictions due to the S</w:t>
      </w:r>
      <w:r w:rsidR="00E25C99" w:rsidRPr="00B645F5">
        <w:rPr>
          <w:rFonts w:asciiTheme="majorHAnsi" w:hAnsiTheme="majorHAnsi"/>
          <w:sz w:val="20"/>
          <w:szCs w:val="20"/>
        </w:rPr>
        <w:t>tates’ failure to comply with the VCCR</w:t>
      </w:r>
      <w:r w:rsidR="000969DB" w:rsidRPr="00B645F5">
        <w:rPr>
          <w:rFonts w:asciiTheme="majorHAnsi" w:hAnsiTheme="majorHAnsi"/>
          <w:sz w:val="20"/>
          <w:szCs w:val="20"/>
        </w:rPr>
        <w:t>,</w:t>
      </w:r>
      <w:r w:rsidR="00C231B6" w:rsidRPr="00B645F5">
        <w:rPr>
          <w:rFonts w:asciiTheme="majorHAnsi" w:hAnsiTheme="majorHAnsi"/>
          <w:sz w:val="20"/>
          <w:szCs w:val="20"/>
        </w:rPr>
        <w:t xml:space="preserve"> requiring them to advise these defendants of their right to contact the Mexican consulate</w:t>
      </w:r>
      <w:r w:rsidR="00E25C99" w:rsidRPr="00B645F5">
        <w:rPr>
          <w:rFonts w:asciiTheme="majorHAnsi" w:hAnsiTheme="majorHAnsi"/>
          <w:sz w:val="20"/>
          <w:szCs w:val="20"/>
        </w:rPr>
        <w:t>.</w:t>
      </w:r>
      <w:r w:rsidR="00E25C99" w:rsidRPr="00B645F5">
        <w:rPr>
          <w:rFonts w:asciiTheme="majorHAnsi" w:hAnsiTheme="majorHAnsi"/>
          <w:sz w:val="20"/>
          <w:szCs w:val="20"/>
          <w:vertAlign w:val="superscript"/>
        </w:rPr>
        <w:footnoteReference w:id="28"/>
      </w:r>
    </w:p>
    <w:p w14:paraId="7F4B4E0F" w14:textId="77777777" w:rsidR="00AD3FD3" w:rsidRPr="00B645F5" w:rsidRDefault="00AD3FD3" w:rsidP="00AD3FD3">
      <w:pPr>
        <w:rPr>
          <w:rFonts w:asciiTheme="majorHAnsi" w:eastAsia="Cambria" w:hAnsiTheme="majorHAnsi" w:cs="Cambria"/>
          <w:color w:val="000000"/>
          <w:sz w:val="20"/>
          <w:szCs w:val="20"/>
          <w:u w:color="000000"/>
          <w:lang w:eastAsia="es-ES"/>
        </w:rPr>
      </w:pPr>
    </w:p>
    <w:p w14:paraId="6E3D04A8" w14:textId="77777777" w:rsidR="00E910FB" w:rsidRPr="00B645F5" w:rsidRDefault="00E25C99" w:rsidP="00C42E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 </w:t>
      </w:r>
      <w:r w:rsidR="00A44ECE" w:rsidRPr="00B645F5">
        <w:rPr>
          <w:rFonts w:asciiTheme="majorHAnsi" w:hAnsiTheme="majorHAnsi"/>
          <w:sz w:val="20"/>
          <w:szCs w:val="20"/>
        </w:rPr>
        <w:t>As</w:t>
      </w:r>
      <w:r w:rsidR="00987678" w:rsidRPr="00B645F5">
        <w:rPr>
          <w:rFonts w:asciiTheme="majorHAnsi" w:hAnsiTheme="majorHAnsi"/>
          <w:sz w:val="20"/>
          <w:szCs w:val="20"/>
        </w:rPr>
        <w:t xml:space="preserve"> outlined by the court</w:t>
      </w:r>
      <w:r w:rsidR="003450CB" w:rsidRPr="00B645F5">
        <w:rPr>
          <w:rFonts w:asciiTheme="majorHAnsi" w:hAnsiTheme="majorHAnsi"/>
          <w:sz w:val="20"/>
          <w:szCs w:val="20"/>
        </w:rPr>
        <w:t>,</w:t>
      </w:r>
      <w:r w:rsidR="00987678" w:rsidRPr="00B645F5">
        <w:rPr>
          <w:rFonts w:asciiTheme="majorHAnsi" w:hAnsiTheme="majorHAnsi"/>
          <w:sz w:val="20"/>
          <w:szCs w:val="20"/>
          <w:vertAlign w:val="superscript"/>
        </w:rPr>
        <w:footnoteReference w:id="29"/>
      </w:r>
      <w:r w:rsidR="00987678" w:rsidRPr="00B645F5">
        <w:rPr>
          <w:rFonts w:asciiTheme="majorHAnsi" w:hAnsiTheme="majorHAnsi"/>
          <w:sz w:val="20"/>
          <w:szCs w:val="20"/>
        </w:rPr>
        <w:t xml:space="preserve"> t</w:t>
      </w:r>
      <w:r w:rsidRPr="00B645F5">
        <w:rPr>
          <w:rFonts w:asciiTheme="majorHAnsi" w:hAnsiTheme="majorHAnsi"/>
          <w:sz w:val="20"/>
          <w:szCs w:val="20"/>
        </w:rPr>
        <w:t>he Texas Court of Criminal Appeals remanded the alleged victim’s Atkins claim to the trial court for an evidentiary hearing</w:t>
      </w:r>
      <w:r w:rsidR="006C2519" w:rsidRPr="00B645F5">
        <w:rPr>
          <w:rFonts w:asciiTheme="majorHAnsi" w:hAnsiTheme="majorHAnsi"/>
          <w:sz w:val="20"/>
          <w:szCs w:val="20"/>
        </w:rPr>
        <w:t xml:space="preserve"> that was scheduled for September 2006</w:t>
      </w:r>
      <w:r w:rsidRPr="00B645F5">
        <w:rPr>
          <w:rFonts w:asciiTheme="majorHAnsi" w:hAnsiTheme="majorHAnsi"/>
          <w:sz w:val="20"/>
          <w:szCs w:val="20"/>
        </w:rPr>
        <w:t xml:space="preserve">. </w:t>
      </w:r>
      <w:r w:rsidR="006C2519" w:rsidRPr="00B645F5">
        <w:rPr>
          <w:rFonts w:asciiTheme="majorHAnsi" w:eastAsia="Times New Roman" w:hAnsiTheme="majorHAnsi"/>
          <w:sz w:val="20"/>
          <w:bdr w:val="none" w:sz="0" w:space="0" w:color="auto"/>
        </w:rPr>
        <w:t xml:space="preserve">The defense presented an affidavit signed by </w:t>
      </w:r>
      <w:r w:rsidR="00E910FB" w:rsidRPr="00B645F5">
        <w:rPr>
          <w:rFonts w:asciiTheme="majorHAnsi" w:eastAsia="Times New Roman" w:hAnsiTheme="majorHAnsi"/>
          <w:sz w:val="20"/>
          <w:bdr w:val="none" w:sz="0" w:space="0" w:color="auto"/>
        </w:rPr>
        <w:t xml:space="preserve">Dr. </w:t>
      </w:r>
      <w:r w:rsidR="006C2519" w:rsidRPr="00B645F5">
        <w:rPr>
          <w:rFonts w:asciiTheme="majorHAnsi" w:eastAsia="Times New Roman" w:hAnsiTheme="majorHAnsi"/>
          <w:sz w:val="20"/>
          <w:bdr w:val="none" w:sz="0" w:space="0" w:color="auto"/>
        </w:rPr>
        <w:t xml:space="preserve">Carol M. Romney, </w:t>
      </w:r>
      <w:r w:rsidR="006C2519" w:rsidRPr="00B645F5">
        <w:rPr>
          <w:rFonts w:asciiTheme="majorHAnsi" w:eastAsia="Times New Roman" w:hAnsiTheme="majorHAnsi"/>
          <w:sz w:val="20"/>
          <w:szCs w:val="20"/>
          <w:bdr w:val="none" w:sz="0" w:space="0" w:color="auto"/>
        </w:rPr>
        <w:t>a licensed clinical psychologist,</w:t>
      </w:r>
      <w:r w:rsidR="006C2519" w:rsidRPr="00B645F5">
        <w:rPr>
          <w:rFonts w:asciiTheme="majorHAnsi" w:eastAsia="Times New Roman" w:hAnsiTheme="majorHAnsi"/>
          <w:sz w:val="20"/>
          <w:bdr w:val="none" w:sz="0" w:space="0" w:color="auto"/>
        </w:rPr>
        <w:t xml:space="preserve"> which concluded that Mr. Ibarra “has mental retardation” after two psychological examinations were done on June 9 and 10, 2003. A measure of intellectual functioning revealed a </w:t>
      </w:r>
      <w:proofErr w:type="gramStart"/>
      <w:r w:rsidR="006C2519" w:rsidRPr="00B645F5">
        <w:rPr>
          <w:rFonts w:asciiTheme="majorHAnsi" w:eastAsia="Times New Roman" w:hAnsiTheme="majorHAnsi"/>
          <w:sz w:val="20"/>
          <w:bdr w:val="none" w:sz="0" w:space="0" w:color="auto"/>
        </w:rPr>
        <w:t>full scale</w:t>
      </w:r>
      <w:proofErr w:type="gramEnd"/>
      <w:r w:rsidR="006C2519" w:rsidRPr="00B645F5">
        <w:rPr>
          <w:rFonts w:asciiTheme="majorHAnsi" w:eastAsia="Times New Roman" w:hAnsiTheme="majorHAnsi"/>
          <w:sz w:val="20"/>
          <w:bdr w:val="none" w:sz="0" w:space="0" w:color="auto"/>
        </w:rPr>
        <w:t xml:space="preserve"> IQ score of 65, that Mr. Ibarra exhibited a “uniform and diffuse level of cognitive deficits”, his problem solving skills were “confused” and he showed an “impaired ability for sequencing”.</w:t>
      </w:r>
      <w:r w:rsidR="006C2519" w:rsidRPr="00B645F5">
        <w:rPr>
          <w:rFonts w:asciiTheme="majorHAnsi" w:hAnsiTheme="majorHAnsi"/>
          <w:sz w:val="20"/>
          <w:szCs w:val="20"/>
          <w:vertAlign w:val="superscript"/>
        </w:rPr>
        <w:footnoteReference w:id="30"/>
      </w:r>
      <w:r w:rsidR="006C2519" w:rsidRPr="00B645F5">
        <w:rPr>
          <w:rFonts w:asciiTheme="majorHAnsi" w:hAnsiTheme="majorHAnsi"/>
          <w:sz w:val="20"/>
          <w:szCs w:val="20"/>
          <w:vertAlign w:val="superscript"/>
        </w:rPr>
        <w:t xml:space="preserve"> </w:t>
      </w:r>
    </w:p>
    <w:p w14:paraId="07434E5E" w14:textId="77777777" w:rsidR="00E910FB" w:rsidRPr="00B645F5" w:rsidRDefault="00E910FB" w:rsidP="00E910FB">
      <w:pPr>
        <w:pStyle w:val="ListParagraph"/>
        <w:rPr>
          <w:rFonts w:asciiTheme="majorHAnsi" w:eastAsia="Times New Roman" w:hAnsiTheme="majorHAnsi"/>
          <w:sz w:val="20"/>
          <w:bdr w:val="none" w:sz="0" w:space="0" w:color="auto"/>
        </w:rPr>
      </w:pPr>
    </w:p>
    <w:p w14:paraId="17BC99F7" w14:textId="1E5386CA" w:rsidR="00E910FB" w:rsidRPr="00B645F5" w:rsidRDefault="00E40A5A"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eastAsia="Times New Roman" w:hAnsiTheme="majorHAnsi"/>
          <w:sz w:val="20"/>
          <w:bdr w:val="none" w:sz="0" w:space="0" w:color="auto"/>
        </w:rPr>
        <w:t xml:space="preserve">The affidavit was declared inadmissible because it was not sworn before a notary. </w:t>
      </w:r>
      <w:r w:rsidR="00E910FB" w:rsidRPr="00B645F5">
        <w:rPr>
          <w:rFonts w:asciiTheme="majorHAnsi" w:eastAsia="Times New Roman" w:hAnsiTheme="majorHAnsi"/>
          <w:sz w:val="20"/>
          <w:bdr w:val="none" w:sz="0" w:space="0" w:color="auto"/>
        </w:rPr>
        <w:t>Dr. Romney made the following annotation at the bottom of the affidavit:</w:t>
      </w:r>
      <w:r w:rsidRPr="00B645F5">
        <w:rPr>
          <w:rStyle w:val="FootnoteReference"/>
          <w:rFonts w:asciiTheme="majorHAnsi" w:eastAsia="Times New Roman" w:hAnsiTheme="majorHAnsi"/>
          <w:sz w:val="20"/>
          <w:bdr w:val="none" w:sz="0" w:space="0" w:color="auto"/>
        </w:rPr>
        <w:footnoteReference w:id="31"/>
      </w:r>
      <w:r w:rsidR="00E910FB" w:rsidRPr="00B645F5">
        <w:rPr>
          <w:rFonts w:asciiTheme="majorHAnsi" w:eastAsia="Times New Roman" w:hAnsiTheme="majorHAnsi"/>
          <w:sz w:val="20"/>
          <w:bdr w:val="none" w:sz="0" w:space="0" w:color="auto"/>
        </w:rPr>
        <w:t xml:space="preserve"> </w:t>
      </w:r>
    </w:p>
    <w:p w14:paraId="66242786" w14:textId="77777777" w:rsidR="00E910FB" w:rsidRPr="00B645F5" w:rsidRDefault="00E910FB" w:rsidP="00E910FB">
      <w:pPr>
        <w:pStyle w:val="ListParagraph"/>
        <w:rPr>
          <w:rFonts w:asciiTheme="majorHAnsi" w:eastAsia="Times New Roman" w:hAnsiTheme="majorHAnsi"/>
          <w:sz w:val="20"/>
          <w:bdr w:val="none" w:sz="0" w:space="0" w:color="auto"/>
        </w:rPr>
      </w:pPr>
    </w:p>
    <w:p w14:paraId="0BA95437" w14:textId="6C993210" w:rsidR="006C2519" w:rsidRPr="00B645F5" w:rsidRDefault="00E910FB" w:rsidP="00E40A5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textAlignment w:val="baseline"/>
        <w:rPr>
          <w:rFonts w:asciiTheme="majorHAnsi" w:eastAsia="Times New Roman" w:hAnsiTheme="majorHAnsi"/>
          <w:sz w:val="18"/>
          <w:szCs w:val="18"/>
          <w:bdr w:val="none" w:sz="0" w:space="0" w:color="auto"/>
        </w:rPr>
      </w:pPr>
      <w:r w:rsidRPr="00B645F5">
        <w:rPr>
          <w:rFonts w:asciiTheme="majorHAnsi" w:eastAsia="Times New Roman" w:hAnsiTheme="majorHAnsi"/>
          <w:sz w:val="18"/>
          <w:szCs w:val="18"/>
          <w:bdr w:val="none" w:sz="0" w:space="0" w:color="auto"/>
        </w:rPr>
        <w:t xml:space="preserve">“This document is not notarized because counsel for Mr. Ibarra requested that I provide an affidavit on Friday, September 15, 2006. I was unable to reach a notary public during the weekend. A signed and sworn affidavit will be substituted for this declaration at the first available opportunity.” </w:t>
      </w:r>
    </w:p>
    <w:p w14:paraId="5CA17A73" w14:textId="77777777" w:rsidR="006C2519" w:rsidRPr="00B645F5" w:rsidRDefault="006C2519" w:rsidP="006C2519">
      <w:pPr>
        <w:pStyle w:val="ListParagraph"/>
        <w:rPr>
          <w:rFonts w:asciiTheme="majorHAnsi" w:hAnsiTheme="majorHAnsi"/>
          <w:sz w:val="20"/>
          <w:szCs w:val="20"/>
        </w:rPr>
      </w:pPr>
    </w:p>
    <w:p w14:paraId="06FE8146" w14:textId="62C25139" w:rsidR="00C42E73" w:rsidRPr="00B645F5" w:rsidRDefault="00E25C99"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The trial court determined that Mr. </w:t>
      </w:r>
      <w:r w:rsidR="00AC5329" w:rsidRPr="00B645F5">
        <w:rPr>
          <w:rFonts w:asciiTheme="majorHAnsi" w:hAnsiTheme="majorHAnsi"/>
          <w:sz w:val="20"/>
          <w:szCs w:val="20"/>
        </w:rPr>
        <w:t>Ibarra</w:t>
      </w:r>
      <w:r w:rsidRPr="00B645F5">
        <w:rPr>
          <w:rFonts w:asciiTheme="majorHAnsi" w:hAnsiTheme="majorHAnsi"/>
          <w:sz w:val="20"/>
          <w:szCs w:val="20"/>
        </w:rPr>
        <w:t xml:space="preserve"> </w:t>
      </w:r>
      <w:r w:rsidR="009E1A85" w:rsidRPr="00B645F5">
        <w:rPr>
          <w:rFonts w:asciiTheme="majorHAnsi" w:hAnsiTheme="majorHAnsi"/>
          <w:sz w:val="20"/>
          <w:szCs w:val="20"/>
        </w:rPr>
        <w:t>did</w:t>
      </w:r>
      <w:r w:rsidRPr="00B645F5">
        <w:rPr>
          <w:rFonts w:asciiTheme="majorHAnsi" w:hAnsiTheme="majorHAnsi"/>
          <w:sz w:val="20"/>
          <w:szCs w:val="20"/>
        </w:rPr>
        <w:t xml:space="preserve"> not </w:t>
      </w:r>
      <w:r w:rsidR="00216FAE" w:rsidRPr="00B645F5">
        <w:rPr>
          <w:rFonts w:asciiTheme="majorHAnsi" w:hAnsiTheme="majorHAnsi"/>
          <w:sz w:val="20"/>
          <w:szCs w:val="20"/>
        </w:rPr>
        <w:t xml:space="preserve">have a </w:t>
      </w:r>
      <w:r w:rsidRPr="00B645F5">
        <w:rPr>
          <w:rFonts w:asciiTheme="majorHAnsi" w:hAnsiTheme="majorHAnsi"/>
          <w:sz w:val="20"/>
          <w:szCs w:val="20"/>
        </w:rPr>
        <w:t>mental</w:t>
      </w:r>
      <w:r w:rsidR="009E1A85" w:rsidRPr="00B645F5">
        <w:rPr>
          <w:rFonts w:asciiTheme="majorHAnsi" w:hAnsiTheme="majorHAnsi"/>
          <w:sz w:val="20"/>
          <w:szCs w:val="20"/>
        </w:rPr>
        <w:t xml:space="preserve"> disability</w:t>
      </w:r>
      <w:r w:rsidR="001A369A" w:rsidRPr="00B645F5">
        <w:rPr>
          <w:rFonts w:asciiTheme="majorHAnsi" w:hAnsiTheme="majorHAnsi"/>
          <w:sz w:val="20"/>
          <w:szCs w:val="20"/>
        </w:rPr>
        <w:t xml:space="preserve"> based, </w:t>
      </w:r>
      <w:r w:rsidR="001A369A" w:rsidRPr="00B645F5">
        <w:rPr>
          <w:rFonts w:asciiTheme="majorHAnsi" w:hAnsiTheme="majorHAnsi"/>
          <w:i/>
          <w:sz w:val="20"/>
          <w:szCs w:val="20"/>
        </w:rPr>
        <w:t>inter alia</w:t>
      </w:r>
      <w:r w:rsidR="001A369A" w:rsidRPr="00B645F5">
        <w:rPr>
          <w:rFonts w:asciiTheme="majorHAnsi" w:hAnsiTheme="majorHAnsi"/>
          <w:sz w:val="20"/>
          <w:szCs w:val="20"/>
        </w:rPr>
        <w:t>, on the opinion of Dr. Stephen Mark, who had found no evidence of mental handicap after two examinations of Mr. Ibarra. T</w:t>
      </w:r>
      <w:r w:rsidRPr="00B645F5">
        <w:rPr>
          <w:rFonts w:asciiTheme="majorHAnsi" w:hAnsiTheme="majorHAnsi"/>
          <w:sz w:val="20"/>
          <w:szCs w:val="20"/>
        </w:rPr>
        <w:t xml:space="preserve">his holding was adopted on appeal by the </w:t>
      </w:r>
      <w:r w:rsidR="005878EE" w:rsidRPr="00B645F5">
        <w:rPr>
          <w:rFonts w:asciiTheme="majorHAnsi" w:hAnsiTheme="majorHAnsi"/>
          <w:sz w:val="20"/>
          <w:szCs w:val="20"/>
        </w:rPr>
        <w:t xml:space="preserve">Texas </w:t>
      </w:r>
      <w:r w:rsidRPr="00B645F5">
        <w:rPr>
          <w:rFonts w:asciiTheme="majorHAnsi" w:hAnsiTheme="majorHAnsi"/>
          <w:sz w:val="20"/>
          <w:szCs w:val="20"/>
        </w:rPr>
        <w:t xml:space="preserve">Court of Criminal Appeals. In the same order, the </w:t>
      </w:r>
      <w:r w:rsidR="00F842F5" w:rsidRPr="00B645F5">
        <w:rPr>
          <w:rFonts w:asciiTheme="majorHAnsi" w:hAnsiTheme="majorHAnsi"/>
          <w:sz w:val="20"/>
          <w:szCs w:val="20"/>
        </w:rPr>
        <w:t>Texas Court of Criminal Appeals</w:t>
      </w:r>
      <w:r w:rsidRPr="00B645F5">
        <w:rPr>
          <w:rFonts w:asciiTheme="majorHAnsi" w:hAnsiTheme="majorHAnsi"/>
          <w:sz w:val="20"/>
          <w:szCs w:val="20"/>
        </w:rPr>
        <w:t xml:space="preserve"> dismissed his separate petition for relief under the </w:t>
      </w:r>
      <w:proofErr w:type="spellStart"/>
      <w:r w:rsidRPr="00B645F5">
        <w:rPr>
          <w:rFonts w:asciiTheme="majorHAnsi" w:hAnsiTheme="majorHAnsi"/>
          <w:sz w:val="20"/>
          <w:szCs w:val="20"/>
        </w:rPr>
        <w:t>Avena</w:t>
      </w:r>
      <w:proofErr w:type="spellEnd"/>
      <w:r w:rsidRPr="00B645F5">
        <w:rPr>
          <w:rFonts w:asciiTheme="majorHAnsi" w:hAnsiTheme="majorHAnsi"/>
          <w:sz w:val="20"/>
          <w:szCs w:val="20"/>
        </w:rPr>
        <w:t xml:space="preserve"> claim</w:t>
      </w:r>
      <w:r w:rsidR="002E239A" w:rsidRPr="00B645F5">
        <w:rPr>
          <w:rFonts w:asciiTheme="majorHAnsi" w:hAnsiTheme="majorHAnsi"/>
          <w:sz w:val="20"/>
          <w:szCs w:val="20"/>
        </w:rPr>
        <w:t>, on procedural grounds, finding that the ICJ ruling did not constitute a basis for a successive habeas corpus petition under state law</w:t>
      </w:r>
      <w:r w:rsidRPr="00B645F5">
        <w:rPr>
          <w:rFonts w:asciiTheme="majorHAnsi" w:hAnsiTheme="majorHAnsi"/>
          <w:sz w:val="20"/>
          <w:szCs w:val="20"/>
        </w:rPr>
        <w:t>. The Court of Criminal Appeals thereafter dismissed the second and third habeas corpus petition</w:t>
      </w:r>
      <w:r w:rsidR="003450CB" w:rsidRPr="00B645F5">
        <w:rPr>
          <w:rFonts w:asciiTheme="majorHAnsi" w:hAnsiTheme="majorHAnsi"/>
          <w:sz w:val="20"/>
          <w:szCs w:val="20"/>
        </w:rPr>
        <w:t>s</w:t>
      </w:r>
      <w:r w:rsidRPr="00B645F5">
        <w:rPr>
          <w:rFonts w:asciiTheme="majorHAnsi" w:hAnsiTheme="majorHAnsi"/>
          <w:sz w:val="20"/>
          <w:szCs w:val="20"/>
        </w:rPr>
        <w:t xml:space="preserve"> on September 26, 2007.</w:t>
      </w:r>
      <w:r w:rsidRPr="00B645F5">
        <w:rPr>
          <w:rFonts w:asciiTheme="majorHAnsi" w:hAnsiTheme="majorHAnsi"/>
          <w:sz w:val="20"/>
          <w:szCs w:val="20"/>
          <w:vertAlign w:val="superscript"/>
        </w:rPr>
        <w:footnoteReference w:id="32"/>
      </w:r>
      <w:r w:rsidRPr="00B645F5">
        <w:rPr>
          <w:rFonts w:asciiTheme="majorHAnsi" w:hAnsiTheme="majorHAnsi"/>
          <w:sz w:val="20"/>
          <w:szCs w:val="20"/>
        </w:rPr>
        <w:t xml:space="preserve"> Mr. </w:t>
      </w:r>
      <w:r w:rsidR="00AC5329" w:rsidRPr="00B645F5">
        <w:rPr>
          <w:rFonts w:asciiTheme="majorHAnsi" w:hAnsiTheme="majorHAnsi"/>
          <w:sz w:val="20"/>
          <w:szCs w:val="20"/>
        </w:rPr>
        <w:t>Ibarra</w:t>
      </w:r>
      <w:r w:rsidRPr="00B645F5">
        <w:rPr>
          <w:rFonts w:asciiTheme="majorHAnsi" w:hAnsiTheme="majorHAnsi"/>
          <w:sz w:val="20"/>
          <w:szCs w:val="20"/>
        </w:rPr>
        <w:t xml:space="preserve">’s application for certiorari on his </w:t>
      </w:r>
      <w:proofErr w:type="spellStart"/>
      <w:r w:rsidRPr="00B645F5">
        <w:rPr>
          <w:rFonts w:asciiTheme="majorHAnsi" w:hAnsiTheme="majorHAnsi"/>
          <w:sz w:val="20"/>
          <w:szCs w:val="20"/>
        </w:rPr>
        <w:t>Avena</w:t>
      </w:r>
      <w:proofErr w:type="spellEnd"/>
      <w:r w:rsidRPr="00B645F5">
        <w:rPr>
          <w:rFonts w:asciiTheme="majorHAnsi" w:hAnsiTheme="majorHAnsi"/>
          <w:sz w:val="20"/>
          <w:szCs w:val="20"/>
        </w:rPr>
        <w:t xml:space="preserve"> claim was thereafter denied on May 19, 2008. </w:t>
      </w:r>
    </w:p>
    <w:p w14:paraId="6CB21C97" w14:textId="77777777" w:rsidR="00C42E73" w:rsidRPr="00B645F5" w:rsidRDefault="00C42E73" w:rsidP="00C42E73">
      <w:pPr>
        <w:rPr>
          <w:rFonts w:asciiTheme="majorHAnsi" w:eastAsia="Cambria" w:hAnsiTheme="majorHAnsi" w:cs="Cambria"/>
          <w:color w:val="000000"/>
          <w:sz w:val="20"/>
          <w:szCs w:val="20"/>
          <w:u w:color="000000"/>
          <w:lang w:eastAsia="es-ES"/>
        </w:rPr>
      </w:pPr>
    </w:p>
    <w:p w14:paraId="07FFB59C" w14:textId="77777777" w:rsidR="00541ECB" w:rsidRPr="00B645F5" w:rsidRDefault="0052358F" w:rsidP="00541E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lastRenderedPageBreak/>
        <w:t>According to the procedural history as outlined by the court,</w:t>
      </w:r>
      <w:r w:rsidRPr="00B645F5">
        <w:rPr>
          <w:rFonts w:asciiTheme="majorHAnsi" w:hAnsiTheme="majorHAnsi"/>
          <w:sz w:val="20"/>
          <w:szCs w:val="20"/>
          <w:vertAlign w:val="superscript"/>
        </w:rPr>
        <w:footnoteReference w:id="33"/>
      </w:r>
      <w:r w:rsidR="00E25C99" w:rsidRPr="00B645F5">
        <w:rPr>
          <w:rFonts w:asciiTheme="majorHAnsi" w:hAnsiTheme="majorHAnsi"/>
          <w:sz w:val="20"/>
          <w:szCs w:val="20"/>
        </w:rPr>
        <w:t xml:space="preserve"> </w:t>
      </w:r>
      <w:r w:rsidRPr="00B645F5">
        <w:rPr>
          <w:rFonts w:asciiTheme="majorHAnsi" w:hAnsiTheme="majorHAnsi"/>
          <w:sz w:val="20"/>
          <w:szCs w:val="20"/>
        </w:rPr>
        <w:t xml:space="preserve">a </w:t>
      </w:r>
      <w:r w:rsidR="00E25C99" w:rsidRPr="00B645F5">
        <w:rPr>
          <w:rFonts w:asciiTheme="majorHAnsi" w:hAnsiTheme="majorHAnsi"/>
          <w:sz w:val="20"/>
          <w:szCs w:val="20"/>
        </w:rPr>
        <w:t>fourth state habeas petition, raising a claim</w:t>
      </w:r>
      <w:r w:rsidR="006771AA" w:rsidRPr="00B645F5">
        <w:rPr>
          <w:rFonts w:asciiTheme="majorHAnsi" w:hAnsiTheme="majorHAnsi"/>
          <w:sz w:val="20"/>
          <w:szCs w:val="20"/>
        </w:rPr>
        <w:t xml:space="preserve"> </w:t>
      </w:r>
      <w:r w:rsidR="00C50E95" w:rsidRPr="00B645F5">
        <w:rPr>
          <w:rFonts w:asciiTheme="majorHAnsi" w:hAnsiTheme="majorHAnsi"/>
          <w:sz w:val="20"/>
          <w:szCs w:val="20"/>
        </w:rPr>
        <w:t>that his trial counsel was ineffective, relying upon the opinion in Wiggins v. Smith</w:t>
      </w:r>
      <w:r w:rsidR="00E25C99" w:rsidRPr="00B645F5">
        <w:rPr>
          <w:rFonts w:asciiTheme="majorHAnsi" w:hAnsiTheme="majorHAnsi"/>
          <w:sz w:val="20"/>
          <w:szCs w:val="20"/>
          <w:vertAlign w:val="superscript"/>
        </w:rPr>
        <w:footnoteReference w:id="34"/>
      </w:r>
      <w:r w:rsidR="00E25C99" w:rsidRPr="00B645F5">
        <w:rPr>
          <w:rFonts w:asciiTheme="majorHAnsi" w:hAnsiTheme="majorHAnsi"/>
          <w:sz w:val="20"/>
          <w:szCs w:val="20"/>
        </w:rPr>
        <w:t xml:space="preserve">, was also dismissed by the </w:t>
      </w:r>
      <w:r w:rsidR="00F842F5" w:rsidRPr="00B645F5">
        <w:rPr>
          <w:rFonts w:asciiTheme="majorHAnsi" w:hAnsiTheme="majorHAnsi"/>
          <w:sz w:val="20"/>
          <w:szCs w:val="20"/>
        </w:rPr>
        <w:t>Texas Court of Criminal Appeals</w:t>
      </w:r>
      <w:r w:rsidR="00E25C99" w:rsidRPr="00B645F5">
        <w:rPr>
          <w:rFonts w:asciiTheme="majorHAnsi" w:hAnsiTheme="majorHAnsi"/>
          <w:sz w:val="20"/>
          <w:szCs w:val="20"/>
        </w:rPr>
        <w:t xml:space="preserve"> on October 1, 2008</w:t>
      </w:r>
      <w:r w:rsidR="00180F5B" w:rsidRPr="00B645F5">
        <w:rPr>
          <w:rFonts w:asciiTheme="majorHAnsi" w:hAnsiTheme="majorHAnsi"/>
          <w:sz w:val="20"/>
          <w:szCs w:val="20"/>
        </w:rPr>
        <w:t xml:space="preserve">, </w:t>
      </w:r>
      <w:r w:rsidR="000C4531" w:rsidRPr="00B645F5">
        <w:rPr>
          <w:rFonts w:asciiTheme="majorHAnsi" w:hAnsiTheme="majorHAnsi"/>
          <w:sz w:val="20"/>
          <w:szCs w:val="20"/>
        </w:rPr>
        <w:t>as an abuse of the writ</w:t>
      </w:r>
      <w:r w:rsidR="00A719E7" w:rsidRPr="00B645F5">
        <w:rPr>
          <w:rFonts w:asciiTheme="majorHAnsi" w:hAnsiTheme="majorHAnsi"/>
          <w:sz w:val="20"/>
          <w:szCs w:val="20"/>
        </w:rPr>
        <w:t>.</w:t>
      </w:r>
      <w:r w:rsidR="00180F5B" w:rsidRPr="00B645F5">
        <w:rPr>
          <w:rFonts w:asciiTheme="majorHAnsi" w:hAnsiTheme="majorHAnsi"/>
          <w:sz w:val="20"/>
          <w:szCs w:val="20"/>
        </w:rPr>
        <w:t xml:space="preserve"> </w:t>
      </w:r>
      <w:r w:rsidR="00F167C4" w:rsidRPr="00B645F5">
        <w:rPr>
          <w:rFonts w:asciiTheme="majorHAnsi" w:hAnsiTheme="majorHAnsi"/>
          <w:sz w:val="20"/>
          <w:szCs w:val="20"/>
        </w:rPr>
        <w:t>According to the court record,</w:t>
      </w:r>
      <w:r w:rsidR="00F167C4" w:rsidRPr="00B645F5">
        <w:rPr>
          <w:rFonts w:asciiTheme="majorHAnsi" w:hAnsiTheme="majorHAnsi"/>
          <w:sz w:val="20"/>
          <w:szCs w:val="20"/>
          <w:vertAlign w:val="superscript"/>
        </w:rPr>
        <w:footnoteReference w:id="35"/>
      </w:r>
      <w:r w:rsidR="00F167C4" w:rsidRPr="00B645F5">
        <w:rPr>
          <w:rFonts w:asciiTheme="majorHAnsi" w:hAnsiTheme="majorHAnsi"/>
          <w:sz w:val="20"/>
          <w:szCs w:val="20"/>
        </w:rPr>
        <w:t xml:space="preserve"> </w:t>
      </w:r>
      <w:r w:rsidR="007460EB" w:rsidRPr="00B645F5">
        <w:rPr>
          <w:rFonts w:asciiTheme="majorHAnsi" w:hAnsiTheme="majorHAnsi"/>
          <w:sz w:val="20"/>
          <w:szCs w:val="20"/>
        </w:rPr>
        <w:t>Mr.</w:t>
      </w:r>
      <w:r w:rsidR="00F167C4" w:rsidRPr="00B645F5">
        <w:rPr>
          <w:rFonts w:asciiTheme="majorHAnsi" w:hAnsiTheme="majorHAnsi"/>
          <w:sz w:val="20"/>
          <w:szCs w:val="20"/>
        </w:rPr>
        <w:t xml:space="preserve"> </w:t>
      </w:r>
      <w:r w:rsidR="00AC5329" w:rsidRPr="00B645F5">
        <w:rPr>
          <w:rFonts w:asciiTheme="majorHAnsi" w:hAnsiTheme="majorHAnsi"/>
          <w:sz w:val="20"/>
          <w:szCs w:val="20"/>
        </w:rPr>
        <w:t>Ibarra</w:t>
      </w:r>
      <w:r w:rsidR="00F167C4" w:rsidRPr="00B645F5">
        <w:rPr>
          <w:rFonts w:asciiTheme="majorHAnsi" w:hAnsiTheme="majorHAnsi"/>
          <w:sz w:val="20"/>
          <w:szCs w:val="20"/>
        </w:rPr>
        <w:t xml:space="preserve"> </w:t>
      </w:r>
      <w:r w:rsidR="00EC0F80" w:rsidRPr="00B645F5">
        <w:rPr>
          <w:rFonts w:asciiTheme="majorHAnsi" w:hAnsiTheme="majorHAnsi"/>
          <w:sz w:val="20"/>
          <w:szCs w:val="20"/>
        </w:rPr>
        <w:t>contended that “his trial counsel was ineffective in his investigation, development, and presentation of mitigation evidence, as well as the development of rebuttal evidence for the state’s aggravating factors at sentencing” in violation of the Sixth Amendment and</w:t>
      </w:r>
      <w:r w:rsidR="00F65C83" w:rsidRPr="00B645F5">
        <w:rPr>
          <w:rFonts w:asciiTheme="majorHAnsi" w:hAnsiTheme="majorHAnsi"/>
          <w:sz w:val="20"/>
          <w:szCs w:val="20"/>
        </w:rPr>
        <w:t xml:space="preserve"> the decision of</w:t>
      </w:r>
      <w:r w:rsidR="00EC0F80" w:rsidRPr="00B645F5">
        <w:rPr>
          <w:rFonts w:asciiTheme="majorHAnsi" w:hAnsiTheme="majorHAnsi"/>
          <w:sz w:val="20"/>
          <w:szCs w:val="20"/>
        </w:rPr>
        <w:t xml:space="preserve"> Wiggins.</w:t>
      </w:r>
      <w:r w:rsidR="00B12727" w:rsidRPr="00B645F5">
        <w:rPr>
          <w:rFonts w:asciiTheme="majorHAnsi" w:hAnsiTheme="majorHAnsi"/>
          <w:sz w:val="20"/>
          <w:szCs w:val="20"/>
        </w:rPr>
        <w:t xml:space="preserve"> </w:t>
      </w:r>
    </w:p>
    <w:p w14:paraId="77E6D2BF" w14:textId="77777777" w:rsidR="00A2118B" w:rsidRPr="00B645F5" w:rsidRDefault="00A2118B" w:rsidP="00A2118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D2FE89D" w14:textId="77777777" w:rsidR="00CE476B" w:rsidRPr="00B645F5" w:rsidRDefault="00B516A4" w:rsidP="00CE47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The United States District Court </w:t>
      </w:r>
      <w:r w:rsidR="00077F2D" w:rsidRPr="00B645F5">
        <w:rPr>
          <w:rFonts w:asciiTheme="majorHAnsi" w:hAnsiTheme="majorHAnsi"/>
          <w:sz w:val="20"/>
          <w:szCs w:val="20"/>
        </w:rPr>
        <w:t xml:space="preserve">thereafter </w:t>
      </w:r>
      <w:r w:rsidRPr="00B645F5">
        <w:rPr>
          <w:rFonts w:asciiTheme="majorHAnsi" w:hAnsiTheme="majorHAnsi"/>
          <w:sz w:val="20"/>
          <w:szCs w:val="20"/>
        </w:rPr>
        <w:t xml:space="preserve">denied </w:t>
      </w:r>
      <w:r w:rsidR="00501282" w:rsidRPr="00B645F5">
        <w:rPr>
          <w:rFonts w:asciiTheme="majorHAnsi" w:hAnsiTheme="majorHAnsi"/>
          <w:sz w:val="20"/>
          <w:szCs w:val="20"/>
        </w:rPr>
        <w:t xml:space="preserve">the </w:t>
      </w:r>
      <w:r w:rsidRPr="00B645F5">
        <w:rPr>
          <w:rFonts w:asciiTheme="majorHAnsi" w:hAnsiTheme="majorHAnsi"/>
          <w:sz w:val="20"/>
          <w:szCs w:val="20"/>
        </w:rPr>
        <w:t>federal habeas corpus on March 31, 2011</w:t>
      </w:r>
      <w:r w:rsidR="00077F2D" w:rsidRPr="00B645F5">
        <w:rPr>
          <w:rFonts w:asciiTheme="majorHAnsi" w:hAnsiTheme="majorHAnsi"/>
          <w:sz w:val="20"/>
          <w:szCs w:val="20"/>
        </w:rPr>
        <w:t>,</w:t>
      </w:r>
      <w:r w:rsidRPr="00B645F5">
        <w:rPr>
          <w:rFonts w:asciiTheme="majorHAnsi" w:hAnsiTheme="majorHAnsi"/>
          <w:sz w:val="20"/>
          <w:szCs w:val="20"/>
          <w:vertAlign w:val="superscript"/>
        </w:rPr>
        <w:footnoteReference w:id="36"/>
      </w:r>
      <w:r w:rsidR="00EC0F80" w:rsidRPr="00B645F5">
        <w:rPr>
          <w:rFonts w:asciiTheme="majorHAnsi" w:hAnsiTheme="majorHAnsi"/>
          <w:sz w:val="20"/>
          <w:szCs w:val="20"/>
        </w:rPr>
        <w:t xml:space="preserve"> reject</w:t>
      </w:r>
      <w:r w:rsidR="00171593" w:rsidRPr="00B645F5">
        <w:rPr>
          <w:rFonts w:asciiTheme="majorHAnsi" w:hAnsiTheme="majorHAnsi"/>
          <w:sz w:val="20"/>
          <w:szCs w:val="20"/>
        </w:rPr>
        <w:t>ing</w:t>
      </w:r>
      <w:r w:rsidR="00EC0F80" w:rsidRPr="00B645F5">
        <w:rPr>
          <w:rFonts w:asciiTheme="majorHAnsi" w:hAnsiTheme="majorHAnsi"/>
          <w:sz w:val="20"/>
          <w:szCs w:val="20"/>
        </w:rPr>
        <w:t xml:space="preserve"> th</w:t>
      </w:r>
      <w:r w:rsidR="00171593" w:rsidRPr="00B645F5">
        <w:rPr>
          <w:rFonts w:asciiTheme="majorHAnsi" w:hAnsiTheme="majorHAnsi"/>
          <w:sz w:val="20"/>
          <w:szCs w:val="20"/>
        </w:rPr>
        <w:t>e</w:t>
      </w:r>
      <w:r w:rsidR="00EC0F80" w:rsidRPr="00B645F5">
        <w:rPr>
          <w:rFonts w:asciiTheme="majorHAnsi" w:hAnsiTheme="majorHAnsi"/>
          <w:sz w:val="20"/>
          <w:szCs w:val="20"/>
        </w:rPr>
        <w:t xml:space="preserve"> claim for two independent reasons</w:t>
      </w:r>
      <w:r w:rsidR="00DD68FE" w:rsidRPr="00B645F5">
        <w:rPr>
          <w:rFonts w:asciiTheme="majorHAnsi" w:hAnsiTheme="majorHAnsi"/>
          <w:sz w:val="20"/>
          <w:szCs w:val="20"/>
        </w:rPr>
        <w:t xml:space="preserve">. The first reason was that the claim was subject to </w:t>
      </w:r>
      <w:r w:rsidR="00EC0F80" w:rsidRPr="00B645F5">
        <w:rPr>
          <w:rFonts w:asciiTheme="majorHAnsi" w:hAnsiTheme="majorHAnsi"/>
          <w:sz w:val="20"/>
          <w:szCs w:val="20"/>
        </w:rPr>
        <w:t xml:space="preserve">procedural default under governing precedent, and </w:t>
      </w:r>
      <w:r w:rsidR="009111F0" w:rsidRPr="00B645F5">
        <w:rPr>
          <w:rFonts w:asciiTheme="majorHAnsi" w:hAnsiTheme="majorHAnsi"/>
          <w:sz w:val="20"/>
          <w:szCs w:val="20"/>
        </w:rPr>
        <w:t>secondly, that</w:t>
      </w:r>
      <w:r w:rsidR="00EC0F80" w:rsidRPr="00B645F5">
        <w:rPr>
          <w:rFonts w:asciiTheme="majorHAnsi" w:hAnsiTheme="majorHAnsi"/>
          <w:sz w:val="20"/>
          <w:szCs w:val="20"/>
        </w:rPr>
        <w:t xml:space="preserve"> alternatively, his claim was meritless, because</w:t>
      </w:r>
      <w:r w:rsidR="009111F0" w:rsidRPr="00B645F5">
        <w:rPr>
          <w:rFonts w:asciiTheme="majorHAnsi" w:hAnsiTheme="majorHAnsi"/>
          <w:sz w:val="20"/>
          <w:szCs w:val="20"/>
        </w:rPr>
        <w:t xml:space="preserve"> Mr.</w:t>
      </w:r>
      <w:r w:rsidR="00EC0F80" w:rsidRPr="00B645F5">
        <w:rPr>
          <w:rFonts w:asciiTheme="majorHAnsi" w:hAnsiTheme="majorHAnsi"/>
          <w:sz w:val="20"/>
          <w:szCs w:val="20"/>
        </w:rPr>
        <w:t xml:space="preserve"> </w:t>
      </w:r>
      <w:r w:rsidR="00AC5329" w:rsidRPr="00B645F5">
        <w:rPr>
          <w:rFonts w:asciiTheme="majorHAnsi" w:hAnsiTheme="majorHAnsi"/>
          <w:sz w:val="20"/>
          <w:szCs w:val="20"/>
        </w:rPr>
        <w:t>Ibarra</w:t>
      </w:r>
      <w:r w:rsidR="00EC0F80" w:rsidRPr="00B645F5">
        <w:rPr>
          <w:rFonts w:asciiTheme="majorHAnsi" w:hAnsiTheme="majorHAnsi"/>
          <w:sz w:val="20"/>
          <w:szCs w:val="20"/>
        </w:rPr>
        <w:t xml:space="preserve"> could not demonstrate prejudice. </w:t>
      </w:r>
    </w:p>
    <w:p w14:paraId="61FBB95B" w14:textId="77777777" w:rsidR="00C6371F" w:rsidRPr="00B645F5" w:rsidRDefault="00C6371F" w:rsidP="00C6371F">
      <w:pPr>
        <w:pStyle w:val="ListParagraph"/>
        <w:rPr>
          <w:rFonts w:asciiTheme="majorHAnsi" w:hAnsiTheme="majorHAnsi"/>
          <w:sz w:val="20"/>
          <w:szCs w:val="20"/>
        </w:rPr>
      </w:pPr>
    </w:p>
    <w:p w14:paraId="1102CEAC" w14:textId="77777777" w:rsidR="003E7899" w:rsidRPr="00B645F5" w:rsidRDefault="003450CB"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The</w:t>
      </w:r>
      <w:r w:rsidR="004157A2" w:rsidRPr="00B645F5">
        <w:rPr>
          <w:rFonts w:asciiTheme="majorHAnsi" w:hAnsiTheme="majorHAnsi"/>
          <w:sz w:val="20"/>
          <w:szCs w:val="20"/>
        </w:rPr>
        <w:t xml:space="preserve"> federal hab</w:t>
      </w:r>
      <w:r w:rsidR="00833A9E" w:rsidRPr="00B645F5">
        <w:rPr>
          <w:rFonts w:asciiTheme="majorHAnsi" w:hAnsiTheme="majorHAnsi"/>
          <w:sz w:val="20"/>
          <w:szCs w:val="20"/>
        </w:rPr>
        <w:t xml:space="preserve">eas corpus was denied </w:t>
      </w:r>
      <w:r w:rsidRPr="00B645F5">
        <w:rPr>
          <w:rFonts w:asciiTheme="majorHAnsi" w:hAnsiTheme="majorHAnsi"/>
          <w:sz w:val="20"/>
          <w:szCs w:val="20"/>
        </w:rPr>
        <w:t>by t</w:t>
      </w:r>
      <w:r w:rsidR="00EC0F80" w:rsidRPr="00B645F5">
        <w:rPr>
          <w:rFonts w:asciiTheme="majorHAnsi" w:hAnsiTheme="majorHAnsi"/>
          <w:sz w:val="20"/>
          <w:szCs w:val="20"/>
        </w:rPr>
        <w:t>h</w:t>
      </w:r>
      <w:r w:rsidR="00613188" w:rsidRPr="00B645F5">
        <w:rPr>
          <w:rFonts w:asciiTheme="majorHAnsi" w:hAnsiTheme="majorHAnsi"/>
          <w:sz w:val="20"/>
          <w:szCs w:val="20"/>
        </w:rPr>
        <w:t>e U.S. Court of Appeal</w:t>
      </w:r>
      <w:r w:rsidRPr="00B645F5">
        <w:rPr>
          <w:rFonts w:asciiTheme="majorHAnsi" w:hAnsiTheme="majorHAnsi"/>
          <w:sz w:val="20"/>
          <w:szCs w:val="20"/>
        </w:rPr>
        <w:t>, which</w:t>
      </w:r>
      <w:r w:rsidR="00EC0F80" w:rsidRPr="00B645F5">
        <w:rPr>
          <w:rFonts w:asciiTheme="majorHAnsi" w:hAnsiTheme="majorHAnsi"/>
          <w:sz w:val="20"/>
          <w:szCs w:val="20"/>
        </w:rPr>
        <w:t xml:space="preserve"> held that reasonable jurists “could not disagree with the district court’s conclusion that Petitioner’s Wiggins claim was procedurally defaulted” and denied a</w:t>
      </w:r>
      <w:r w:rsidR="00C40816" w:rsidRPr="00B645F5">
        <w:rPr>
          <w:rFonts w:asciiTheme="majorHAnsi" w:hAnsiTheme="majorHAnsi"/>
          <w:sz w:val="20"/>
          <w:szCs w:val="20"/>
        </w:rPr>
        <w:t xml:space="preserve"> certificate of appealability. </w:t>
      </w:r>
    </w:p>
    <w:p w14:paraId="33BF6491" w14:textId="77777777" w:rsidR="003E7899" w:rsidRPr="00B645F5" w:rsidRDefault="003E7899" w:rsidP="003E7899">
      <w:pPr>
        <w:pStyle w:val="ListParagraph"/>
        <w:rPr>
          <w:rFonts w:asciiTheme="majorHAnsi" w:hAnsiTheme="majorHAnsi"/>
          <w:sz w:val="20"/>
          <w:szCs w:val="20"/>
        </w:rPr>
      </w:pPr>
    </w:p>
    <w:p w14:paraId="5081DE79" w14:textId="77777777" w:rsidR="00AF41C9" w:rsidRPr="00B645F5" w:rsidRDefault="00EC0F80" w:rsidP="003E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As to the Atkins claim, t</w:t>
      </w:r>
      <w:r w:rsidR="007427BC" w:rsidRPr="00B645F5">
        <w:rPr>
          <w:rFonts w:asciiTheme="majorHAnsi" w:hAnsiTheme="majorHAnsi"/>
          <w:sz w:val="20"/>
          <w:szCs w:val="20"/>
        </w:rPr>
        <w:t>he U.S. C</w:t>
      </w:r>
      <w:r w:rsidRPr="00B645F5">
        <w:rPr>
          <w:rFonts w:asciiTheme="majorHAnsi" w:hAnsiTheme="majorHAnsi"/>
          <w:sz w:val="20"/>
          <w:szCs w:val="20"/>
        </w:rPr>
        <w:t>ourt</w:t>
      </w:r>
      <w:r w:rsidR="007427BC" w:rsidRPr="00B645F5">
        <w:rPr>
          <w:rFonts w:asciiTheme="majorHAnsi" w:hAnsiTheme="majorHAnsi"/>
          <w:sz w:val="20"/>
          <w:szCs w:val="20"/>
        </w:rPr>
        <w:t xml:space="preserve"> of Appeal</w:t>
      </w:r>
      <w:r w:rsidR="007B0FEA" w:rsidRPr="00B645F5">
        <w:rPr>
          <w:rStyle w:val="FootnoteReference"/>
          <w:rFonts w:asciiTheme="majorHAnsi" w:hAnsiTheme="majorHAnsi"/>
          <w:sz w:val="20"/>
          <w:szCs w:val="20"/>
        </w:rPr>
        <w:footnoteReference w:id="37"/>
      </w:r>
      <w:r w:rsidRPr="00B645F5">
        <w:rPr>
          <w:rFonts w:asciiTheme="majorHAnsi" w:hAnsiTheme="majorHAnsi"/>
          <w:sz w:val="20"/>
          <w:szCs w:val="20"/>
        </w:rPr>
        <w:t xml:space="preserve"> denied a </w:t>
      </w:r>
      <w:r w:rsidR="007427BC" w:rsidRPr="00B645F5">
        <w:rPr>
          <w:rFonts w:asciiTheme="majorHAnsi" w:hAnsiTheme="majorHAnsi"/>
          <w:sz w:val="20"/>
          <w:szCs w:val="20"/>
        </w:rPr>
        <w:t>certificate of appealability</w:t>
      </w:r>
      <w:r w:rsidRPr="00B645F5">
        <w:rPr>
          <w:rFonts w:asciiTheme="majorHAnsi" w:hAnsiTheme="majorHAnsi"/>
          <w:sz w:val="20"/>
          <w:szCs w:val="20"/>
        </w:rPr>
        <w:t xml:space="preserve"> on alternative grounds of procedural bar, non-exhaustion, and </w:t>
      </w:r>
      <w:proofErr w:type="spellStart"/>
      <w:r w:rsidRPr="00B645F5">
        <w:rPr>
          <w:rFonts w:asciiTheme="majorHAnsi" w:hAnsiTheme="majorHAnsi"/>
          <w:sz w:val="20"/>
          <w:szCs w:val="20"/>
        </w:rPr>
        <w:t>meritlessness</w:t>
      </w:r>
      <w:proofErr w:type="spellEnd"/>
      <w:r w:rsidRPr="00B645F5">
        <w:rPr>
          <w:rFonts w:asciiTheme="majorHAnsi" w:hAnsiTheme="majorHAnsi"/>
          <w:sz w:val="20"/>
          <w:szCs w:val="20"/>
        </w:rPr>
        <w:t xml:space="preserve">. The </w:t>
      </w:r>
      <w:r w:rsidR="0077070C" w:rsidRPr="00B645F5">
        <w:rPr>
          <w:rFonts w:asciiTheme="majorHAnsi" w:hAnsiTheme="majorHAnsi"/>
          <w:sz w:val="20"/>
          <w:szCs w:val="20"/>
        </w:rPr>
        <w:t xml:space="preserve">Court noted that the </w:t>
      </w:r>
      <w:r w:rsidRPr="00B645F5">
        <w:rPr>
          <w:rFonts w:asciiTheme="majorHAnsi" w:hAnsiTheme="majorHAnsi"/>
          <w:sz w:val="20"/>
          <w:szCs w:val="20"/>
        </w:rPr>
        <w:t>evidence</w:t>
      </w:r>
      <w:r w:rsidR="007427BC" w:rsidRPr="00B645F5">
        <w:rPr>
          <w:rFonts w:asciiTheme="majorHAnsi" w:hAnsiTheme="majorHAnsi"/>
          <w:sz w:val="20"/>
          <w:szCs w:val="20"/>
        </w:rPr>
        <w:t xml:space="preserve"> Mr.</w:t>
      </w:r>
      <w:r w:rsidRPr="00B645F5">
        <w:rPr>
          <w:rFonts w:asciiTheme="majorHAnsi" w:hAnsiTheme="majorHAnsi"/>
          <w:sz w:val="20"/>
          <w:szCs w:val="20"/>
        </w:rPr>
        <w:t xml:space="preserve"> </w:t>
      </w:r>
      <w:r w:rsidR="00AC5329" w:rsidRPr="00B645F5">
        <w:rPr>
          <w:rFonts w:asciiTheme="majorHAnsi" w:hAnsiTheme="majorHAnsi"/>
          <w:sz w:val="20"/>
          <w:szCs w:val="20"/>
        </w:rPr>
        <w:t>Ibarra</w:t>
      </w:r>
      <w:r w:rsidRPr="00B645F5">
        <w:rPr>
          <w:rFonts w:asciiTheme="majorHAnsi" w:hAnsiTheme="majorHAnsi"/>
          <w:sz w:val="20"/>
          <w:szCs w:val="20"/>
        </w:rPr>
        <w:t xml:space="preserve"> offered in state court included an unsworn, inadmissible expert witness statement concerning </w:t>
      </w:r>
      <w:r w:rsidR="00617074" w:rsidRPr="00B645F5">
        <w:rPr>
          <w:rFonts w:asciiTheme="majorHAnsi" w:hAnsiTheme="majorHAnsi"/>
          <w:sz w:val="20"/>
          <w:szCs w:val="20"/>
        </w:rPr>
        <w:t xml:space="preserve">Mr. </w:t>
      </w:r>
      <w:r w:rsidR="00AC5329" w:rsidRPr="00B645F5">
        <w:rPr>
          <w:rFonts w:asciiTheme="majorHAnsi" w:hAnsiTheme="majorHAnsi"/>
          <w:sz w:val="20"/>
          <w:szCs w:val="20"/>
        </w:rPr>
        <w:t>Ibarra</w:t>
      </w:r>
      <w:r w:rsidRPr="00B645F5">
        <w:rPr>
          <w:rFonts w:asciiTheme="majorHAnsi" w:hAnsiTheme="majorHAnsi"/>
          <w:sz w:val="20"/>
          <w:szCs w:val="20"/>
        </w:rPr>
        <w:t xml:space="preserve">’s IQ; an investigative report about his alleged adaptive deficits; and the opinion of Dr. Stephen Mark, who had found no evidence of mental handicap after two examinations of </w:t>
      </w:r>
      <w:r w:rsidR="00617074" w:rsidRPr="00B645F5">
        <w:rPr>
          <w:rFonts w:asciiTheme="majorHAnsi" w:hAnsiTheme="majorHAnsi"/>
          <w:sz w:val="20"/>
          <w:szCs w:val="20"/>
        </w:rPr>
        <w:t xml:space="preserve">Mr. </w:t>
      </w:r>
      <w:r w:rsidR="00AC5329" w:rsidRPr="00B645F5">
        <w:rPr>
          <w:rFonts w:asciiTheme="majorHAnsi" w:hAnsiTheme="majorHAnsi"/>
          <w:sz w:val="20"/>
          <w:szCs w:val="20"/>
        </w:rPr>
        <w:t>Ibarra</w:t>
      </w:r>
      <w:r w:rsidRPr="00B645F5">
        <w:rPr>
          <w:rFonts w:asciiTheme="majorHAnsi" w:hAnsiTheme="majorHAnsi"/>
          <w:sz w:val="20"/>
          <w:szCs w:val="20"/>
        </w:rPr>
        <w:t xml:space="preserve">. </w:t>
      </w:r>
      <w:r w:rsidR="00AF41C9" w:rsidRPr="00B645F5">
        <w:rPr>
          <w:rFonts w:asciiTheme="majorHAnsi" w:hAnsiTheme="majorHAnsi"/>
          <w:sz w:val="20"/>
          <w:szCs w:val="20"/>
        </w:rPr>
        <w:t>Further, the court noted that to establi</w:t>
      </w:r>
      <w:r w:rsidR="003450CB" w:rsidRPr="00B645F5">
        <w:rPr>
          <w:rFonts w:asciiTheme="majorHAnsi" w:hAnsiTheme="majorHAnsi"/>
          <w:sz w:val="20"/>
          <w:szCs w:val="20"/>
        </w:rPr>
        <w:t>sh that he falls under Atkins, p</w:t>
      </w:r>
      <w:r w:rsidR="00AF41C9" w:rsidRPr="00B645F5">
        <w:rPr>
          <w:rFonts w:asciiTheme="majorHAnsi" w:hAnsiTheme="majorHAnsi"/>
          <w:sz w:val="20"/>
          <w:szCs w:val="20"/>
        </w:rPr>
        <w:t>etitioner must demonstrate that he possesses significantly subaverage intellectual functioning and impaired adaptive functioning, both of which manifested before the age of 18.</w:t>
      </w:r>
      <w:r w:rsidR="003E7899" w:rsidRPr="00B645F5">
        <w:rPr>
          <w:rFonts w:asciiTheme="majorHAnsi" w:hAnsiTheme="majorHAnsi"/>
          <w:sz w:val="20"/>
          <w:szCs w:val="20"/>
        </w:rPr>
        <w:t xml:space="preserve"> </w:t>
      </w:r>
      <w:r w:rsidRPr="00B645F5">
        <w:rPr>
          <w:rFonts w:asciiTheme="majorHAnsi" w:hAnsiTheme="majorHAnsi"/>
          <w:sz w:val="20"/>
          <w:szCs w:val="20"/>
        </w:rPr>
        <w:t>The T</w:t>
      </w:r>
      <w:r w:rsidR="000E662B" w:rsidRPr="00B645F5">
        <w:rPr>
          <w:rFonts w:asciiTheme="majorHAnsi" w:hAnsiTheme="majorHAnsi"/>
          <w:sz w:val="20"/>
          <w:szCs w:val="20"/>
        </w:rPr>
        <w:t>exas Court of Criminal Appeals</w:t>
      </w:r>
      <w:r w:rsidRPr="00B645F5">
        <w:rPr>
          <w:rFonts w:asciiTheme="majorHAnsi" w:hAnsiTheme="majorHAnsi"/>
          <w:sz w:val="20"/>
          <w:szCs w:val="20"/>
        </w:rPr>
        <w:t xml:space="preserve"> had rejected this claim on the merits</w:t>
      </w:r>
      <w:r w:rsidR="00916A5D" w:rsidRPr="00B645F5">
        <w:rPr>
          <w:rFonts w:asciiTheme="majorHAnsi" w:hAnsiTheme="majorHAnsi"/>
          <w:sz w:val="20"/>
          <w:szCs w:val="20"/>
        </w:rPr>
        <w:t xml:space="preserve"> and</w:t>
      </w:r>
      <w:r w:rsidRPr="00B645F5">
        <w:rPr>
          <w:rFonts w:asciiTheme="majorHAnsi" w:hAnsiTheme="majorHAnsi"/>
          <w:sz w:val="20"/>
          <w:szCs w:val="20"/>
        </w:rPr>
        <w:t xml:space="preserve"> </w:t>
      </w:r>
      <w:r w:rsidR="000E662B" w:rsidRPr="00B645F5">
        <w:rPr>
          <w:rFonts w:asciiTheme="majorHAnsi" w:hAnsiTheme="majorHAnsi"/>
          <w:sz w:val="20"/>
          <w:szCs w:val="20"/>
        </w:rPr>
        <w:t xml:space="preserve">Mr. </w:t>
      </w:r>
      <w:r w:rsidR="00AC5329" w:rsidRPr="00B645F5">
        <w:rPr>
          <w:rFonts w:asciiTheme="majorHAnsi" w:hAnsiTheme="majorHAnsi"/>
          <w:sz w:val="20"/>
          <w:szCs w:val="20"/>
        </w:rPr>
        <w:t>Ibarra</w:t>
      </w:r>
      <w:r w:rsidRPr="00B645F5">
        <w:rPr>
          <w:rFonts w:asciiTheme="majorHAnsi" w:hAnsiTheme="majorHAnsi"/>
          <w:sz w:val="20"/>
          <w:szCs w:val="20"/>
        </w:rPr>
        <w:t xml:space="preserve"> consequently offered material new evidence in federal court, </w:t>
      </w:r>
      <w:r w:rsidR="0058426B" w:rsidRPr="00B645F5">
        <w:rPr>
          <w:rFonts w:asciiTheme="majorHAnsi" w:hAnsiTheme="majorHAnsi"/>
          <w:sz w:val="20"/>
          <w:szCs w:val="20"/>
        </w:rPr>
        <w:t xml:space="preserve">which </w:t>
      </w:r>
      <w:r w:rsidRPr="00B645F5">
        <w:rPr>
          <w:rFonts w:asciiTheme="majorHAnsi" w:hAnsiTheme="majorHAnsi"/>
          <w:sz w:val="20"/>
          <w:szCs w:val="20"/>
        </w:rPr>
        <w:t>render</w:t>
      </w:r>
      <w:r w:rsidR="0058426B" w:rsidRPr="00B645F5">
        <w:rPr>
          <w:rFonts w:asciiTheme="majorHAnsi" w:hAnsiTheme="majorHAnsi"/>
          <w:sz w:val="20"/>
          <w:szCs w:val="20"/>
        </w:rPr>
        <w:t>ed</w:t>
      </w:r>
      <w:r w:rsidRPr="00B645F5">
        <w:rPr>
          <w:rFonts w:asciiTheme="majorHAnsi" w:hAnsiTheme="majorHAnsi"/>
          <w:sz w:val="20"/>
          <w:szCs w:val="20"/>
        </w:rPr>
        <w:t xml:space="preserve"> his claim unexhausted and procedurally barred. </w:t>
      </w:r>
    </w:p>
    <w:p w14:paraId="2140B2F5" w14:textId="77777777" w:rsidR="00AF41C9" w:rsidRPr="00B645F5" w:rsidRDefault="00AF41C9" w:rsidP="00AF41C9">
      <w:pPr>
        <w:pStyle w:val="ListParagraph"/>
        <w:rPr>
          <w:rFonts w:asciiTheme="majorHAnsi" w:hAnsiTheme="majorHAnsi"/>
          <w:sz w:val="20"/>
          <w:szCs w:val="20"/>
        </w:rPr>
      </w:pPr>
    </w:p>
    <w:p w14:paraId="4A1E232A" w14:textId="77777777" w:rsidR="00B11CA8" w:rsidRPr="00B645F5" w:rsidRDefault="0026041A" w:rsidP="007F1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La</w:t>
      </w:r>
      <w:r w:rsidR="00E928F3" w:rsidRPr="00B645F5">
        <w:rPr>
          <w:rFonts w:asciiTheme="majorHAnsi" w:hAnsiTheme="majorHAnsi"/>
          <w:sz w:val="20"/>
          <w:szCs w:val="20"/>
        </w:rPr>
        <w:t xml:space="preserve">stly, the court considered his claim based on the </w:t>
      </w:r>
      <w:proofErr w:type="spellStart"/>
      <w:r w:rsidR="00E928F3" w:rsidRPr="00B645F5">
        <w:rPr>
          <w:rFonts w:asciiTheme="majorHAnsi" w:hAnsiTheme="majorHAnsi"/>
          <w:sz w:val="20"/>
          <w:szCs w:val="20"/>
        </w:rPr>
        <w:t>Avena</w:t>
      </w:r>
      <w:proofErr w:type="spellEnd"/>
      <w:r w:rsidR="00E928F3" w:rsidRPr="00B645F5">
        <w:rPr>
          <w:rFonts w:asciiTheme="majorHAnsi" w:hAnsiTheme="majorHAnsi"/>
          <w:sz w:val="20"/>
          <w:szCs w:val="20"/>
        </w:rPr>
        <w:t xml:space="preserve"> case </w:t>
      </w:r>
      <w:r w:rsidR="00B01280" w:rsidRPr="00B645F5">
        <w:rPr>
          <w:rFonts w:asciiTheme="majorHAnsi" w:hAnsiTheme="majorHAnsi"/>
          <w:sz w:val="20"/>
          <w:szCs w:val="20"/>
        </w:rPr>
        <w:t>barred due to being procedurally defaulted,</w:t>
      </w:r>
      <w:r w:rsidR="00666F75" w:rsidRPr="00B645F5">
        <w:rPr>
          <w:rFonts w:asciiTheme="majorHAnsi" w:hAnsiTheme="majorHAnsi"/>
          <w:sz w:val="20"/>
          <w:szCs w:val="20"/>
        </w:rPr>
        <w:t xml:space="preserve"> recognizing that the claim in his direct appeal was dismissed due to lack of contemporaneous objection. </w:t>
      </w:r>
      <w:r w:rsidR="00D446CA" w:rsidRPr="00B645F5">
        <w:rPr>
          <w:rFonts w:asciiTheme="majorHAnsi" w:hAnsiTheme="majorHAnsi"/>
          <w:sz w:val="20"/>
          <w:szCs w:val="20"/>
        </w:rPr>
        <w:t xml:space="preserve">Moreover, the court provided that </w:t>
      </w:r>
      <w:r w:rsidR="00AD6328" w:rsidRPr="00B645F5">
        <w:rPr>
          <w:rFonts w:asciiTheme="majorHAnsi" w:hAnsiTheme="majorHAnsi"/>
          <w:sz w:val="20"/>
          <w:szCs w:val="20"/>
        </w:rPr>
        <w:t xml:space="preserve">even if the claim was not procedurally defaulted, to be successful, Mr. </w:t>
      </w:r>
      <w:r w:rsidR="00AC5329" w:rsidRPr="00B645F5">
        <w:rPr>
          <w:rFonts w:asciiTheme="majorHAnsi" w:hAnsiTheme="majorHAnsi"/>
          <w:sz w:val="20"/>
          <w:szCs w:val="20"/>
        </w:rPr>
        <w:t>Ibarra</w:t>
      </w:r>
      <w:r w:rsidR="00AD6328" w:rsidRPr="00B645F5">
        <w:rPr>
          <w:rFonts w:asciiTheme="majorHAnsi" w:hAnsiTheme="majorHAnsi"/>
          <w:sz w:val="20"/>
          <w:szCs w:val="20"/>
        </w:rPr>
        <w:t xml:space="preserve"> would need to show he was prejudiced</w:t>
      </w:r>
      <w:r w:rsidR="00A2118B" w:rsidRPr="00B645F5">
        <w:rPr>
          <w:rFonts w:asciiTheme="majorHAnsi" w:hAnsiTheme="majorHAnsi"/>
          <w:sz w:val="20"/>
          <w:szCs w:val="20"/>
        </w:rPr>
        <w:t xml:space="preserve"> by the state’s failure to </w:t>
      </w:r>
      <w:r w:rsidR="00EB5CF8" w:rsidRPr="00B645F5">
        <w:rPr>
          <w:rFonts w:asciiTheme="majorHAnsi" w:hAnsiTheme="majorHAnsi"/>
          <w:sz w:val="20"/>
          <w:szCs w:val="20"/>
        </w:rPr>
        <w:t>inform of his right to notify the consul</w:t>
      </w:r>
      <w:r w:rsidR="007F19E9" w:rsidRPr="00B645F5">
        <w:rPr>
          <w:rFonts w:asciiTheme="majorHAnsi" w:hAnsiTheme="majorHAnsi"/>
          <w:sz w:val="20"/>
          <w:szCs w:val="20"/>
        </w:rPr>
        <w:t xml:space="preserve">ate of his arrest and conviction. </w:t>
      </w:r>
    </w:p>
    <w:p w14:paraId="0137EB03" w14:textId="77777777" w:rsidR="00AB49E0" w:rsidRPr="00B645F5" w:rsidRDefault="00AB49E0" w:rsidP="00AB49E0">
      <w:pPr>
        <w:pStyle w:val="ListParagraph"/>
        <w:rPr>
          <w:rFonts w:asciiTheme="majorHAnsi" w:hAnsiTheme="majorHAnsi"/>
          <w:sz w:val="20"/>
          <w:szCs w:val="20"/>
        </w:rPr>
      </w:pPr>
    </w:p>
    <w:p w14:paraId="593F8304" w14:textId="77777777" w:rsidR="00EC0F80" w:rsidRPr="00B645F5" w:rsidRDefault="00AE2AE2" w:rsidP="00B11C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R</w:t>
      </w:r>
      <w:r w:rsidR="00EC0F80" w:rsidRPr="00B645F5">
        <w:rPr>
          <w:rFonts w:asciiTheme="majorHAnsi" w:hAnsiTheme="majorHAnsi"/>
          <w:sz w:val="20"/>
          <w:szCs w:val="20"/>
        </w:rPr>
        <w:t>eviewing the state court record, th</w:t>
      </w:r>
      <w:r w:rsidR="00903CF1" w:rsidRPr="00B645F5">
        <w:rPr>
          <w:rFonts w:asciiTheme="majorHAnsi" w:hAnsiTheme="majorHAnsi"/>
          <w:sz w:val="20"/>
          <w:szCs w:val="20"/>
        </w:rPr>
        <w:t>e U.S Court of Appeal</w:t>
      </w:r>
      <w:r w:rsidR="00EC0F80" w:rsidRPr="00B645F5">
        <w:rPr>
          <w:rFonts w:asciiTheme="majorHAnsi" w:hAnsiTheme="majorHAnsi"/>
          <w:sz w:val="20"/>
          <w:szCs w:val="20"/>
        </w:rPr>
        <w:t xml:space="preserve"> found it not debatable that the state courts’ rejection of </w:t>
      </w:r>
      <w:r w:rsidR="00214280" w:rsidRPr="00B645F5">
        <w:rPr>
          <w:rFonts w:asciiTheme="majorHAnsi" w:hAnsiTheme="majorHAnsi"/>
          <w:sz w:val="20"/>
          <w:szCs w:val="20"/>
        </w:rPr>
        <w:t xml:space="preserve">Mr. </w:t>
      </w:r>
      <w:r w:rsidR="00AC5329" w:rsidRPr="00B645F5">
        <w:rPr>
          <w:rFonts w:asciiTheme="majorHAnsi" w:hAnsiTheme="majorHAnsi"/>
          <w:sz w:val="20"/>
          <w:szCs w:val="20"/>
        </w:rPr>
        <w:t>Ibarra</w:t>
      </w:r>
      <w:r w:rsidR="00EC0F80" w:rsidRPr="00B645F5">
        <w:rPr>
          <w:rFonts w:asciiTheme="majorHAnsi" w:hAnsiTheme="majorHAnsi"/>
          <w:sz w:val="20"/>
          <w:szCs w:val="20"/>
        </w:rPr>
        <w:t>’s Atkins claim on the merits</w:t>
      </w:r>
      <w:r w:rsidR="0049216F" w:rsidRPr="00B645F5">
        <w:rPr>
          <w:rFonts w:asciiTheme="majorHAnsi" w:hAnsiTheme="majorHAnsi"/>
          <w:sz w:val="20"/>
          <w:szCs w:val="20"/>
        </w:rPr>
        <w:t xml:space="preserve"> </w:t>
      </w:r>
      <w:r w:rsidR="00214280" w:rsidRPr="00B645F5">
        <w:rPr>
          <w:rFonts w:asciiTheme="majorHAnsi" w:hAnsiTheme="majorHAnsi"/>
          <w:sz w:val="20"/>
          <w:szCs w:val="20"/>
        </w:rPr>
        <w:t xml:space="preserve">was without violation. </w:t>
      </w:r>
      <w:r w:rsidR="00B34C10" w:rsidRPr="00B645F5">
        <w:rPr>
          <w:rFonts w:ascii="Cambria" w:hAnsi="Cambria"/>
          <w:sz w:val="20"/>
          <w:szCs w:val="20"/>
        </w:rPr>
        <w:t>The court affirmed the District Court’s denial of federal habeas relief on August 26, 2019</w:t>
      </w:r>
      <w:r w:rsidR="008C125B" w:rsidRPr="00B645F5">
        <w:rPr>
          <w:rFonts w:ascii="Cambria" w:hAnsi="Cambria"/>
          <w:sz w:val="20"/>
          <w:szCs w:val="20"/>
        </w:rPr>
        <w:t>.</w:t>
      </w:r>
      <w:r w:rsidR="00B34C10" w:rsidRPr="00B645F5">
        <w:rPr>
          <w:rFonts w:ascii="Cambria" w:hAnsi="Cambria"/>
          <w:sz w:val="20"/>
          <w:szCs w:val="20"/>
          <w:vertAlign w:val="superscript"/>
        </w:rPr>
        <w:footnoteReference w:id="38"/>
      </w:r>
      <w:r w:rsidR="008C125B" w:rsidRPr="00B645F5">
        <w:rPr>
          <w:rFonts w:ascii="Cambria" w:hAnsi="Cambria"/>
          <w:sz w:val="20"/>
          <w:szCs w:val="20"/>
        </w:rPr>
        <w:t xml:space="preserve"> Mr. </w:t>
      </w:r>
      <w:r w:rsidR="00AC5329" w:rsidRPr="00B645F5">
        <w:rPr>
          <w:rFonts w:ascii="Cambria" w:hAnsi="Cambria"/>
          <w:sz w:val="20"/>
          <w:szCs w:val="20"/>
        </w:rPr>
        <w:t>Ibarra</w:t>
      </w:r>
      <w:r w:rsidR="008C125B" w:rsidRPr="00B645F5">
        <w:rPr>
          <w:rFonts w:ascii="Cambria" w:hAnsi="Cambria"/>
          <w:sz w:val="20"/>
          <w:szCs w:val="20"/>
        </w:rPr>
        <w:t>’s</w:t>
      </w:r>
      <w:r w:rsidR="00B34C10" w:rsidRPr="00B645F5">
        <w:rPr>
          <w:rFonts w:ascii="Cambria" w:hAnsi="Cambria"/>
          <w:sz w:val="20"/>
          <w:szCs w:val="20"/>
        </w:rPr>
        <w:t xml:space="preserve"> petition for writ of certiorari was denied on June 8, 2020.</w:t>
      </w:r>
      <w:r w:rsidR="00B34C10" w:rsidRPr="00B645F5">
        <w:rPr>
          <w:rFonts w:ascii="Cambria" w:hAnsi="Cambria"/>
          <w:sz w:val="20"/>
          <w:szCs w:val="20"/>
          <w:vertAlign w:val="superscript"/>
        </w:rPr>
        <w:footnoteReference w:id="39"/>
      </w:r>
      <w:r w:rsidR="00B34C10" w:rsidRPr="00B645F5">
        <w:rPr>
          <w:rFonts w:ascii="Cambria" w:hAnsi="Cambria"/>
          <w:sz w:val="20"/>
          <w:szCs w:val="20"/>
        </w:rPr>
        <w:t xml:space="preserve"> On August 6, 2020, by virtue of the State District Court order, the execution of Mr. </w:t>
      </w:r>
      <w:r w:rsidR="00AC5329" w:rsidRPr="00B645F5">
        <w:rPr>
          <w:rFonts w:ascii="Cambria" w:hAnsi="Cambria"/>
          <w:sz w:val="20"/>
          <w:szCs w:val="20"/>
        </w:rPr>
        <w:t>Ibarra</w:t>
      </w:r>
      <w:r w:rsidR="00B34C10" w:rsidRPr="00B645F5">
        <w:rPr>
          <w:rFonts w:ascii="Cambria" w:hAnsi="Cambria"/>
          <w:sz w:val="20"/>
          <w:szCs w:val="20"/>
        </w:rPr>
        <w:t xml:space="preserve"> was scheduled for March 4, 2021.</w:t>
      </w:r>
      <w:r w:rsidR="00B34C10" w:rsidRPr="00B645F5">
        <w:rPr>
          <w:rFonts w:ascii="Cambria" w:hAnsi="Cambria"/>
          <w:sz w:val="20"/>
          <w:szCs w:val="20"/>
          <w:vertAlign w:val="superscript"/>
        </w:rPr>
        <w:footnoteReference w:id="40"/>
      </w:r>
      <w:r w:rsidR="00B34C10" w:rsidRPr="00B645F5">
        <w:rPr>
          <w:rFonts w:ascii="Cambria" w:hAnsi="Cambria"/>
          <w:sz w:val="20"/>
          <w:szCs w:val="20"/>
        </w:rPr>
        <w:t xml:space="preserve"> </w:t>
      </w:r>
    </w:p>
    <w:p w14:paraId="749221BE" w14:textId="00325617" w:rsidR="00BC62EA" w:rsidRPr="00B645F5" w:rsidRDefault="00BC62EA" w:rsidP="00BC62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52573E8" w14:textId="33C1E74C" w:rsidR="00BC62EA" w:rsidRPr="00B645F5" w:rsidRDefault="00942F4B" w:rsidP="00BC62EA">
      <w:pPr>
        <w:keepNext/>
        <w:keepLines/>
        <w:numPr>
          <w:ilvl w:val="0"/>
          <w:numId w:val="58"/>
        </w:numPr>
        <w:tabs>
          <w:tab w:val="left" w:pos="360"/>
        </w:tabs>
        <w:ind w:hanging="720"/>
        <w:outlineLvl w:val="1"/>
        <w:rPr>
          <w:rFonts w:asciiTheme="majorHAnsi" w:eastAsiaTheme="majorEastAsia" w:hAnsiTheme="majorHAnsi" w:cstheme="majorBidi"/>
          <w:b/>
          <w:bCs/>
          <w:sz w:val="20"/>
          <w:szCs w:val="20"/>
        </w:rPr>
      </w:pPr>
      <w:bookmarkStart w:id="17" w:name="_Toc90115122"/>
      <w:r w:rsidRPr="00B645F5">
        <w:rPr>
          <w:rFonts w:asciiTheme="majorHAnsi" w:eastAsiaTheme="majorEastAsia" w:hAnsiTheme="majorHAnsi" w:cstheme="majorBidi"/>
          <w:b/>
          <w:bCs/>
          <w:sz w:val="20"/>
          <w:szCs w:val="20"/>
        </w:rPr>
        <w:t>Motion to disqualify and j</w:t>
      </w:r>
      <w:r w:rsidR="00FD35F5" w:rsidRPr="00B645F5">
        <w:rPr>
          <w:rFonts w:asciiTheme="majorHAnsi" w:eastAsiaTheme="majorEastAsia" w:hAnsiTheme="majorHAnsi" w:cstheme="majorBidi"/>
          <w:b/>
          <w:bCs/>
          <w:sz w:val="20"/>
          <w:szCs w:val="20"/>
        </w:rPr>
        <w:t>u</w:t>
      </w:r>
      <w:r w:rsidR="002654C3" w:rsidRPr="00B645F5">
        <w:rPr>
          <w:rFonts w:asciiTheme="majorHAnsi" w:eastAsiaTheme="majorEastAsia" w:hAnsiTheme="majorHAnsi" w:cstheme="majorBidi"/>
          <w:b/>
          <w:bCs/>
          <w:sz w:val="20"/>
          <w:szCs w:val="20"/>
        </w:rPr>
        <w:t xml:space="preserve">dicial </w:t>
      </w:r>
      <w:r w:rsidR="00734261" w:rsidRPr="00B645F5">
        <w:rPr>
          <w:rFonts w:asciiTheme="majorHAnsi" w:eastAsiaTheme="majorEastAsia" w:hAnsiTheme="majorHAnsi" w:cstheme="majorBidi"/>
          <w:b/>
          <w:bCs/>
          <w:sz w:val="20"/>
          <w:szCs w:val="20"/>
        </w:rPr>
        <w:t>misconduct c</w:t>
      </w:r>
      <w:r w:rsidR="00FD35F5" w:rsidRPr="00B645F5">
        <w:rPr>
          <w:rFonts w:asciiTheme="majorHAnsi" w:eastAsiaTheme="majorEastAsia" w:hAnsiTheme="majorHAnsi" w:cstheme="majorBidi"/>
          <w:b/>
          <w:bCs/>
          <w:sz w:val="20"/>
          <w:szCs w:val="20"/>
        </w:rPr>
        <w:t>omplaint</w:t>
      </w:r>
      <w:r w:rsidR="00647F95" w:rsidRPr="00B645F5">
        <w:rPr>
          <w:rStyle w:val="FootnoteReference"/>
          <w:rFonts w:asciiTheme="majorHAnsi" w:eastAsiaTheme="majorEastAsia" w:hAnsiTheme="majorHAnsi"/>
          <w:b/>
          <w:bCs/>
          <w:sz w:val="20"/>
          <w:szCs w:val="20"/>
        </w:rPr>
        <w:footnoteReference w:id="41"/>
      </w:r>
      <w:bookmarkEnd w:id="17"/>
    </w:p>
    <w:p w14:paraId="28DC44C1" w14:textId="77777777" w:rsidR="00FD35F5" w:rsidRPr="00B645F5" w:rsidRDefault="00FD35F5" w:rsidP="00024A24">
      <w:pPr>
        <w:rPr>
          <w:rFonts w:asciiTheme="majorHAnsi" w:eastAsia="Cambria" w:hAnsiTheme="majorHAnsi" w:cs="Cambria"/>
          <w:color w:val="000000"/>
          <w:sz w:val="20"/>
          <w:szCs w:val="20"/>
          <w:u w:color="000000"/>
          <w:lang w:eastAsia="es-ES"/>
        </w:rPr>
      </w:pPr>
    </w:p>
    <w:p w14:paraId="5AB0D879" w14:textId="2213221F" w:rsidR="00942F4B" w:rsidRPr="00B645F5" w:rsidRDefault="00942F4B" w:rsidP="00E85A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On June 5, 2013, Mr. Ibarra filed a motion to disqualify Judge Jones from any further participation in his case and to vacate the Fifth Circuit’s opinion denying his application for a certificate of appealability, which had been authored by Judge Jones. On 10 June 2013, Judge Jones issued an order denying Mr. Ibarra’s motion. The order</w:t>
      </w:r>
      <w:r w:rsidR="00D43623" w:rsidRPr="00B645F5">
        <w:rPr>
          <w:rFonts w:asciiTheme="majorHAnsi" w:hAnsiTheme="majorHAnsi"/>
          <w:sz w:val="20"/>
          <w:szCs w:val="20"/>
        </w:rPr>
        <w:t>, signed by</w:t>
      </w:r>
      <w:r w:rsidRPr="00B645F5">
        <w:rPr>
          <w:rFonts w:asciiTheme="majorHAnsi" w:hAnsiTheme="majorHAnsi"/>
          <w:sz w:val="20"/>
          <w:szCs w:val="20"/>
        </w:rPr>
        <w:t xml:space="preserve"> reads as follows:</w:t>
      </w:r>
      <w:r w:rsidR="00F52787" w:rsidRPr="00B645F5">
        <w:rPr>
          <w:rFonts w:ascii="Cambria" w:hAnsi="Cambria"/>
          <w:sz w:val="20"/>
          <w:szCs w:val="20"/>
          <w:vertAlign w:val="superscript"/>
        </w:rPr>
        <w:footnoteReference w:id="42"/>
      </w:r>
    </w:p>
    <w:p w14:paraId="69E2CCB0" w14:textId="4A0FADE2" w:rsidR="00942F4B" w:rsidRPr="00B645F5" w:rsidRDefault="00942F4B" w:rsidP="00942F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n-GB"/>
        </w:rPr>
      </w:pPr>
    </w:p>
    <w:p w14:paraId="568E83AD" w14:textId="5CEBF94F" w:rsidR="00942F4B" w:rsidRPr="00B645F5" w:rsidRDefault="00F52787" w:rsidP="00F527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sz w:val="20"/>
          <w:szCs w:val="20"/>
          <w:lang w:val="en-GB"/>
        </w:rPr>
      </w:pPr>
      <w:r w:rsidRPr="00B645F5">
        <w:rPr>
          <w:rFonts w:asciiTheme="majorHAnsi" w:hAnsiTheme="majorHAnsi"/>
          <w:sz w:val="20"/>
          <w:szCs w:val="20"/>
          <w:lang w:val="en-GB"/>
        </w:rPr>
        <w:lastRenderedPageBreak/>
        <w:t>“</w:t>
      </w:r>
      <w:r w:rsidR="004C573B" w:rsidRPr="00B645F5">
        <w:rPr>
          <w:rFonts w:asciiTheme="majorHAnsi" w:hAnsiTheme="majorHAnsi"/>
          <w:sz w:val="20"/>
          <w:szCs w:val="20"/>
          <w:lang w:val="en-GB"/>
        </w:rPr>
        <w:t>ORDER</w:t>
      </w:r>
    </w:p>
    <w:p w14:paraId="73FB966A" w14:textId="65C506E8" w:rsidR="004C573B" w:rsidRPr="00B645F5" w:rsidRDefault="004C573B" w:rsidP="00F527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sz w:val="20"/>
          <w:szCs w:val="20"/>
          <w:lang w:val="en-GB"/>
        </w:rPr>
      </w:pPr>
      <w:r w:rsidRPr="00B645F5">
        <w:rPr>
          <w:rFonts w:asciiTheme="majorHAnsi" w:hAnsiTheme="majorHAnsi"/>
          <w:sz w:val="20"/>
          <w:szCs w:val="20"/>
          <w:lang w:val="en-GB"/>
        </w:rPr>
        <w:t xml:space="preserve">IT IS ORDERED that appellant’s motion </w:t>
      </w:r>
      <w:r w:rsidR="00D43623" w:rsidRPr="00B645F5">
        <w:rPr>
          <w:rFonts w:asciiTheme="majorHAnsi" w:hAnsiTheme="majorHAnsi"/>
          <w:sz w:val="20"/>
          <w:szCs w:val="20"/>
          <w:lang w:val="en-GB"/>
        </w:rPr>
        <w:t>to disqualify Judge Edith H. Jones is denied</w:t>
      </w:r>
      <w:r w:rsidR="00F52787" w:rsidRPr="00B645F5">
        <w:rPr>
          <w:rFonts w:asciiTheme="majorHAnsi" w:hAnsiTheme="majorHAnsi"/>
          <w:sz w:val="20"/>
          <w:szCs w:val="20"/>
          <w:lang w:val="en-GB"/>
        </w:rPr>
        <w:t>.”</w:t>
      </w:r>
    </w:p>
    <w:p w14:paraId="15EC9735" w14:textId="77777777" w:rsidR="00942F4B" w:rsidRPr="00B645F5" w:rsidRDefault="00942F4B" w:rsidP="00942F4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25465FCE" w14:textId="7E2D8C2F" w:rsidR="000E2AE8" w:rsidRPr="00B645F5" w:rsidRDefault="00572C4A" w:rsidP="00942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According to </w:t>
      </w:r>
      <w:r w:rsidR="00834E7A" w:rsidRPr="00B645F5">
        <w:rPr>
          <w:rFonts w:asciiTheme="majorHAnsi" w:hAnsiTheme="majorHAnsi"/>
          <w:sz w:val="20"/>
          <w:szCs w:val="20"/>
        </w:rPr>
        <w:t xml:space="preserve">the </w:t>
      </w:r>
      <w:r w:rsidR="00643D18" w:rsidRPr="00B645F5">
        <w:rPr>
          <w:rFonts w:asciiTheme="majorHAnsi" w:hAnsiTheme="majorHAnsi"/>
          <w:sz w:val="20"/>
          <w:szCs w:val="20"/>
          <w:lang w:val="en-GB"/>
        </w:rPr>
        <w:t>r</w:t>
      </w:r>
      <w:r w:rsidR="0079259C" w:rsidRPr="00B645F5">
        <w:rPr>
          <w:rFonts w:asciiTheme="majorHAnsi" w:hAnsiTheme="majorHAnsi"/>
          <w:sz w:val="20"/>
          <w:szCs w:val="20"/>
          <w:lang w:val="en-GB"/>
        </w:rPr>
        <w:t>eport of the Special Committee to the Judicial Council of the District of Columbia Circuit</w:t>
      </w:r>
      <w:r w:rsidR="00643D18" w:rsidRPr="00B645F5">
        <w:rPr>
          <w:rFonts w:asciiTheme="majorHAnsi" w:hAnsiTheme="majorHAnsi"/>
          <w:sz w:val="20"/>
          <w:szCs w:val="20"/>
        </w:rPr>
        <w:t>,</w:t>
      </w:r>
      <w:r w:rsidR="00DC5CB2" w:rsidRPr="00B645F5">
        <w:rPr>
          <w:rFonts w:asciiTheme="majorHAnsi" w:hAnsiTheme="majorHAnsi"/>
          <w:sz w:val="20"/>
          <w:szCs w:val="20"/>
        </w:rPr>
        <w:t xml:space="preserve"> hereinafter ‘the Committee’,</w:t>
      </w:r>
      <w:r w:rsidR="00643D18" w:rsidRPr="00B645F5">
        <w:rPr>
          <w:rFonts w:asciiTheme="majorHAnsi" w:hAnsiTheme="majorHAnsi"/>
          <w:sz w:val="20"/>
          <w:szCs w:val="20"/>
        </w:rPr>
        <w:t xml:space="preserve"> </w:t>
      </w:r>
      <w:r w:rsidR="00E85A45" w:rsidRPr="00B645F5">
        <w:rPr>
          <w:rFonts w:asciiTheme="majorHAnsi" w:hAnsiTheme="majorHAnsi"/>
          <w:sz w:val="20"/>
          <w:szCs w:val="20"/>
          <w:lang w:val="en-GB"/>
        </w:rPr>
        <w:t xml:space="preserve">issued in 2014, </w:t>
      </w:r>
      <w:r w:rsidR="00643D18" w:rsidRPr="00B645F5">
        <w:rPr>
          <w:rFonts w:asciiTheme="majorHAnsi" w:hAnsiTheme="majorHAnsi"/>
          <w:sz w:val="20"/>
          <w:szCs w:val="20"/>
        </w:rPr>
        <w:t>t</w:t>
      </w:r>
      <w:r w:rsidR="00EB6AF6" w:rsidRPr="00B645F5">
        <w:rPr>
          <w:rFonts w:asciiTheme="majorHAnsi" w:hAnsiTheme="majorHAnsi"/>
          <w:sz w:val="20"/>
          <w:szCs w:val="20"/>
        </w:rPr>
        <w:t xml:space="preserve">hirteen </w:t>
      </w:r>
      <w:r w:rsidR="0007354F" w:rsidRPr="00B645F5">
        <w:rPr>
          <w:rFonts w:asciiTheme="majorHAnsi" w:hAnsiTheme="majorHAnsi"/>
          <w:sz w:val="20"/>
          <w:szCs w:val="20"/>
        </w:rPr>
        <w:t>legal aid and civil liberty groups</w:t>
      </w:r>
      <w:r w:rsidR="00E85A45" w:rsidRPr="00B645F5">
        <w:rPr>
          <w:rFonts w:asciiTheme="majorHAnsi" w:hAnsiTheme="majorHAnsi"/>
          <w:sz w:val="20"/>
          <w:szCs w:val="20"/>
        </w:rPr>
        <w:t xml:space="preserve"> later</w:t>
      </w:r>
      <w:r w:rsidR="0007354F" w:rsidRPr="00B645F5">
        <w:rPr>
          <w:rFonts w:asciiTheme="majorHAnsi" w:hAnsiTheme="majorHAnsi"/>
          <w:sz w:val="20"/>
          <w:szCs w:val="20"/>
        </w:rPr>
        <w:t xml:space="preserve"> </w:t>
      </w:r>
      <w:r w:rsidR="000B4365" w:rsidRPr="00B645F5">
        <w:rPr>
          <w:rFonts w:asciiTheme="majorHAnsi" w:hAnsiTheme="majorHAnsi"/>
          <w:sz w:val="20"/>
          <w:szCs w:val="20"/>
        </w:rPr>
        <w:t>filed a c</w:t>
      </w:r>
      <w:r w:rsidR="00EB6AF6" w:rsidRPr="00B645F5">
        <w:rPr>
          <w:rFonts w:asciiTheme="majorHAnsi" w:hAnsiTheme="majorHAnsi"/>
          <w:sz w:val="20"/>
          <w:szCs w:val="20"/>
        </w:rPr>
        <w:t xml:space="preserve">omplaint of </w:t>
      </w:r>
      <w:r w:rsidR="00643D18" w:rsidRPr="00B645F5">
        <w:rPr>
          <w:rFonts w:asciiTheme="majorHAnsi" w:hAnsiTheme="majorHAnsi"/>
          <w:sz w:val="20"/>
          <w:szCs w:val="20"/>
        </w:rPr>
        <w:t>j</w:t>
      </w:r>
      <w:r w:rsidR="00EB6AF6" w:rsidRPr="00B645F5">
        <w:rPr>
          <w:rFonts w:asciiTheme="majorHAnsi" w:hAnsiTheme="majorHAnsi"/>
          <w:sz w:val="20"/>
          <w:szCs w:val="20"/>
        </w:rPr>
        <w:t xml:space="preserve">udicial </w:t>
      </w:r>
      <w:r w:rsidR="00643D18" w:rsidRPr="00B645F5">
        <w:rPr>
          <w:rFonts w:asciiTheme="majorHAnsi" w:hAnsiTheme="majorHAnsi"/>
          <w:sz w:val="20"/>
          <w:szCs w:val="20"/>
        </w:rPr>
        <w:t>m</w:t>
      </w:r>
      <w:r w:rsidR="00EB6AF6" w:rsidRPr="00B645F5">
        <w:rPr>
          <w:rFonts w:asciiTheme="majorHAnsi" w:hAnsiTheme="majorHAnsi"/>
          <w:sz w:val="20"/>
          <w:szCs w:val="20"/>
        </w:rPr>
        <w:t xml:space="preserve">isconduct against Judge Edith Jones of the United States Court of Appeals for the Fifth Circuit. The </w:t>
      </w:r>
      <w:r w:rsidR="000B4365" w:rsidRPr="00B645F5">
        <w:rPr>
          <w:rFonts w:asciiTheme="majorHAnsi" w:hAnsiTheme="majorHAnsi"/>
          <w:sz w:val="20"/>
          <w:szCs w:val="20"/>
        </w:rPr>
        <w:t>c</w:t>
      </w:r>
      <w:r w:rsidR="00EB6AF6" w:rsidRPr="00B645F5">
        <w:rPr>
          <w:rFonts w:asciiTheme="majorHAnsi" w:hAnsiTheme="majorHAnsi"/>
          <w:sz w:val="20"/>
          <w:szCs w:val="20"/>
        </w:rPr>
        <w:t>omplaint allege</w:t>
      </w:r>
      <w:r w:rsidR="00024A24" w:rsidRPr="00B645F5">
        <w:rPr>
          <w:rFonts w:asciiTheme="majorHAnsi" w:hAnsiTheme="majorHAnsi"/>
          <w:sz w:val="20"/>
          <w:szCs w:val="20"/>
        </w:rPr>
        <w:t>d</w:t>
      </w:r>
      <w:r w:rsidR="00EB6AF6" w:rsidRPr="00B645F5">
        <w:rPr>
          <w:rFonts w:asciiTheme="majorHAnsi" w:hAnsiTheme="majorHAnsi"/>
          <w:sz w:val="20"/>
          <w:szCs w:val="20"/>
        </w:rPr>
        <w:t xml:space="preserve"> misconduct arising from remarks </w:t>
      </w:r>
      <w:r w:rsidR="009245E0" w:rsidRPr="00B645F5">
        <w:rPr>
          <w:rFonts w:asciiTheme="majorHAnsi" w:hAnsiTheme="majorHAnsi"/>
          <w:sz w:val="20"/>
          <w:szCs w:val="20"/>
        </w:rPr>
        <w:t xml:space="preserve">the </w:t>
      </w:r>
      <w:r w:rsidR="00EB6AF6" w:rsidRPr="00B645F5">
        <w:rPr>
          <w:rFonts w:asciiTheme="majorHAnsi" w:hAnsiTheme="majorHAnsi"/>
          <w:sz w:val="20"/>
          <w:szCs w:val="20"/>
        </w:rPr>
        <w:t xml:space="preserve">Judge made at a lecture on the death penalty at the University of Pennsylvania Law School on February 20, 2013. </w:t>
      </w:r>
    </w:p>
    <w:p w14:paraId="17D62473" w14:textId="77777777" w:rsidR="000E2AE8" w:rsidRPr="00B645F5" w:rsidRDefault="000E2AE8" w:rsidP="000E2AE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0D41159D" w14:textId="77777777" w:rsidR="00642D69" w:rsidRPr="00B645F5" w:rsidRDefault="009245E0" w:rsidP="00882C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T</w:t>
      </w:r>
      <w:r w:rsidR="00DC5CB2" w:rsidRPr="00B645F5">
        <w:rPr>
          <w:rFonts w:asciiTheme="majorHAnsi" w:hAnsiTheme="majorHAnsi"/>
          <w:sz w:val="20"/>
          <w:szCs w:val="20"/>
        </w:rPr>
        <w:t xml:space="preserve">he </w:t>
      </w:r>
      <w:r w:rsidR="001D473D" w:rsidRPr="00B645F5">
        <w:rPr>
          <w:rFonts w:asciiTheme="majorHAnsi" w:hAnsiTheme="majorHAnsi"/>
          <w:sz w:val="20"/>
          <w:szCs w:val="20"/>
        </w:rPr>
        <w:t xml:space="preserve">Committee upon review of various pieces of evidence first established in the report that </w:t>
      </w:r>
      <w:r w:rsidR="00642D69" w:rsidRPr="00B645F5">
        <w:rPr>
          <w:rFonts w:asciiTheme="majorHAnsi" w:hAnsiTheme="majorHAnsi"/>
          <w:sz w:val="20"/>
          <w:szCs w:val="20"/>
        </w:rPr>
        <w:t>in the absence of a recording of the lecture, it was unable to determine the nature of Judge Jones’ tone or demeanor and so were unable to make a finding based on a preponderance of the evidence.</w:t>
      </w:r>
      <w:r w:rsidR="001414BE" w:rsidRPr="00B645F5">
        <w:rPr>
          <w:rFonts w:asciiTheme="majorHAnsi" w:hAnsiTheme="majorHAnsi"/>
          <w:sz w:val="20"/>
          <w:szCs w:val="20"/>
        </w:rPr>
        <w:t xml:space="preserve"> The Committee’s </w:t>
      </w:r>
      <w:r w:rsidR="00A52EBE" w:rsidRPr="00B645F5">
        <w:rPr>
          <w:rFonts w:asciiTheme="majorHAnsi" w:hAnsiTheme="majorHAnsi"/>
          <w:sz w:val="20"/>
          <w:szCs w:val="20"/>
        </w:rPr>
        <w:t>findings w</w:t>
      </w:r>
      <w:r w:rsidR="000A2930" w:rsidRPr="00B645F5">
        <w:rPr>
          <w:rFonts w:asciiTheme="majorHAnsi" w:hAnsiTheme="majorHAnsi"/>
          <w:sz w:val="20"/>
          <w:szCs w:val="20"/>
        </w:rPr>
        <w:t>ere</w:t>
      </w:r>
      <w:r w:rsidR="00A52EBE" w:rsidRPr="00B645F5">
        <w:rPr>
          <w:rFonts w:asciiTheme="majorHAnsi" w:hAnsiTheme="majorHAnsi"/>
          <w:sz w:val="20"/>
          <w:szCs w:val="20"/>
        </w:rPr>
        <w:t xml:space="preserve"> based on the submission of the judge’s notes, affidavits of attendees of the lecture and </w:t>
      </w:r>
      <w:r w:rsidR="00882CB8" w:rsidRPr="00B645F5">
        <w:rPr>
          <w:rFonts w:asciiTheme="majorHAnsi" w:hAnsiTheme="majorHAnsi"/>
          <w:sz w:val="20"/>
          <w:szCs w:val="20"/>
        </w:rPr>
        <w:t>other witness statements</w:t>
      </w:r>
      <w:r w:rsidR="000315B2" w:rsidRPr="00B645F5">
        <w:rPr>
          <w:rFonts w:asciiTheme="majorHAnsi" w:hAnsiTheme="majorHAnsi"/>
          <w:sz w:val="20"/>
          <w:szCs w:val="20"/>
        </w:rPr>
        <w:t xml:space="preserve">. </w:t>
      </w:r>
    </w:p>
    <w:p w14:paraId="14E6E69A" w14:textId="77777777" w:rsidR="006F53AF" w:rsidRPr="00B645F5" w:rsidRDefault="006F53AF" w:rsidP="006F53AF">
      <w:pPr>
        <w:pStyle w:val="ListParagraph"/>
        <w:rPr>
          <w:rFonts w:asciiTheme="majorHAnsi" w:hAnsiTheme="majorHAnsi"/>
          <w:sz w:val="20"/>
          <w:szCs w:val="20"/>
        </w:rPr>
      </w:pPr>
    </w:p>
    <w:p w14:paraId="79296F1E" w14:textId="77777777" w:rsidR="00B757BC" w:rsidRPr="00B645F5" w:rsidRDefault="000315B2" w:rsidP="00131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It was noted that a</w:t>
      </w:r>
      <w:r w:rsidR="00EB6AF6" w:rsidRPr="00B645F5">
        <w:rPr>
          <w:rFonts w:asciiTheme="majorHAnsi" w:hAnsiTheme="majorHAnsi"/>
          <w:sz w:val="20"/>
          <w:szCs w:val="20"/>
        </w:rPr>
        <w:t xml:space="preserve">t some point during </w:t>
      </w:r>
      <w:r w:rsidRPr="00B645F5">
        <w:rPr>
          <w:rFonts w:asciiTheme="majorHAnsi" w:hAnsiTheme="majorHAnsi"/>
          <w:sz w:val="20"/>
          <w:szCs w:val="20"/>
        </w:rPr>
        <w:t>the</w:t>
      </w:r>
      <w:r w:rsidR="00EB6AF6" w:rsidRPr="00B645F5">
        <w:rPr>
          <w:rFonts w:asciiTheme="majorHAnsi" w:hAnsiTheme="majorHAnsi"/>
          <w:sz w:val="20"/>
          <w:szCs w:val="20"/>
        </w:rPr>
        <w:t xml:space="preserve"> lecture, Judge Jones said that certain kinds of challenges to capital punishment are “red herrings”</w:t>
      </w:r>
      <w:r w:rsidR="008824F9" w:rsidRPr="00B645F5">
        <w:rPr>
          <w:rFonts w:asciiTheme="majorHAnsi" w:hAnsiTheme="majorHAnsi"/>
          <w:sz w:val="20"/>
          <w:szCs w:val="20"/>
        </w:rPr>
        <w:t xml:space="preserve"> such as claims on intellectual disability and </w:t>
      </w:r>
      <w:r w:rsidR="00830BF0" w:rsidRPr="00B645F5">
        <w:rPr>
          <w:rFonts w:asciiTheme="majorHAnsi" w:hAnsiTheme="majorHAnsi"/>
          <w:sz w:val="20"/>
          <w:szCs w:val="20"/>
        </w:rPr>
        <w:t>the right to consular notification.</w:t>
      </w:r>
    </w:p>
    <w:p w14:paraId="4598D58C" w14:textId="77777777" w:rsidR="00B757BC" w:rsidRPr="00B645F5" w:rsidRDefault="00B757BC" w:rsidP="00B757BC">
      <w:pPr>
        <w:pStyle w:val="ListParagraph"/>
        <w:rPr>
          <w:rFonts w:asciiTheme="majorHAnsi" w:hAnsiTheme="majorHAnsi"/>
          <w:sz w:val="20"/>
          <w:szCs w:val="20"/>
        </w:rPr>
      </w:pPr>
    </w:p>
    <w:p w14:paraId="13453B3F" w14:textId="77777777" w:rsidR="00FE3A3E" w:rsidRPr="00B645F5" w:rsidRDefault="00B757BC" w:rsidP="00E93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With respect to a claim that words spoken communicated racial bias, </w:t>
      </w:r>
      <w:r w:rsidR="00440ED3" w:rsidRPr="00B645F5">
        <w:rPr>
          <w:rFonts w:asciiTheme="majorHAnsi" w:hAnsiTheme="majorHAnsi"/>
          <w:sz w:val="20"/>
          <w:szCs w:val="20"/>
        </w:rPr>
        <w:t xml:space="preserve">Judge Jones </w:t>
      </w:r>
      <w:r w:rsidR="00EB6AF6" w:rsidRPr="00B645F5">
        <w:rPr>
          <w:rFonts w:asciiTheme="majorHAnsi" w:hAnsiTheme="majorHAnsi"/>
          <w:sz w:val="20"/>
          <w:szCs w:val="20"/>
        </w:rPr>
        <w:t>acknowledge</w:t>
      </w:r>
      <w:r w:rsidR="00440ED3" w:rsidRPr="00B645F5">
        <w:rPr>
          <w:rFonts w:asciiTheme="majorHAnsi" w:hAnsiTheme="majorHAnsi"/>
          <w:sz w:val="20"/>
          <w:szCs w:val="20"/>
        </w:rPr>
        <w:t>d that in her lecture</w:t>
      </w:r>
      <w:r w:rsidR="00EB6AF6" w:rsidRPr="00B645F5">
        <w:rPr>
          <w:rFonts w:asciiTheme="majorHAnsi" w:hAnsiTheme="majorHAnsi"/>
          <w:sz w:val="20"/>
          <w:szCs w:val="20"/>
        </w:rPr>
        <w:t xml:space="preserve"> she said that “sadly, African-Americans seem to be disproportionately on death row,” and that she “may have said” that “sadly some groups seem to commit more heinous crimes,” </w:t>
      </w:r>
      <w:r w:rsidR="002A6EEB" w:rsidRPr="00B645F5">
        <w:rPr>
          <w:rFonts w:asciiTheme="majorHAnsi" w:hAnsiTheme="majorHAnsi"/>
          <w:sz w:val="20"/>
          <w:szCs w:val="20"/>
        </w:rPr>
        <w:t>but</w:t>
      </w:r>
      <w:r w:rsidR="00EB6AF6" w:rsidRPr="00B645F5">
        <w:rPr>
          <w:rFonts w:asciiTheme="majorHAnsi" w:hAnsiTheme="majorHAnsi"/>
          <w:sz w:val="20"/>
          <w:szCs w:val="20"/>
        </w:rPr>
        <w:t xml:space="preserve"> insists that she “was talking about statistical facts</w:t>
      </w:r>
      <w:r w:rsidR="002A6EEB" w:rsidRPr="00B645F5">
        <w:rPr>
          <w:rFonts w:asciiTheme="majorHAnsi" w:hAnsiTheme="majorHAnsi"/>
          <w:sz w:val="20"/>
          <w:szCs w:val="20"/>
        </w:rPr>
        <w:t>… [and]</w:t>
      </w:r>
      <w:r w:rsidR="00EB6AF6" w:rsidRPr="00B645F5">
        <w:rPr>
          <w:rFonts w:asciiTheme="majorHAnsi" w:hAnsiTheme="majorHAnsi"/>
          <w:sz w:val="20"/>
          <w:szCs w:val="20"/>
        </w:rPr>
        <w:t xml:space="preserve"> not talking about propensities.” </w:t>
      </w:r>
      <w:r w:rsidR="00095BB2" w:rsidRPr="00B645F5">
        <w:rPr>
          <w:rFonts w:asciiTheme="majorHAnsi" w:hAnsiTheme="majorHAnsi"/>
          <w:sz w:val="20"/>
          <w:szCs w:val="20"/>
        </w:rPr>
        <w:t>The Committee found that</w:t>
      </w:r>
      <w:r w:rsidR="004F770D" w:rsidRPr="00B645F5">
        <w:rPr>
          <w:rFonts w:asciiTheme="majorHAnsi" w:hAnsiTheme="majorHAnsi"/>
          <w:sz w:val="20"/>
          <w:szCs w:val="20"/>
        </w:rPr>
        <w:t>,</w:t>
      </w:r>
      <w:r w:rsidR="00095BB2" w:rsidRPr="00B645F5">
        <w:rPr>
          <w:rFonts w:asciiTheme="majorHAnsi" w:hAnsiTheme="majorHAnsi"/>
          <w:sz w:val="20"/>
          <w:szCs w:val="20"/>
        </w:rPr>
        <w:t xml:space="preserve"> based on </w:t>
      </w:r>
      <w:r w:rsidR="00B5362D" w:rsidRPr="00B645F5">
        <w:rPr>
          <w:rFonts w:asciiTheme="majorHAnsi" w:hAnsiTheme="majorHAnsi"/>
          <w:sz w:val="20"/>
          <w:szCs w:val="20"/>
        </w:rPr>
        <w:t>witnesses’ recollections, it was</w:t>
      </w:r>
      <w:r w:rsidR="00EB6AF6" w:rsidRPr="00B645F5">
        <w:rPr>
          <w:rFonts w:asciiTheme="majorHAnsi" w:hAnsiTheme="majorHAnsi"/>
          <w:sz w:val="20"/>
          <w:szCs w:val="20"/>
        </w:rPr>
        <w:t xml:space="preserve"> unable to find that Judge Jones made those comments in her initial remarks</w:t>
      </w:r>
      <w:r w:rsidR="00B470B8" w:rsidRPr="00B645F5">
        <w:rPr>
          <w:rFonts w:asciiTheme="majorHAnsi" w:hAnsiTheme="majorHAnsi"/>
          <w:sz w:val="20"/>
          <w:szCs w:val="20"/>
        </w:rPr>
        <w:t>; and that</w:t>
      </w:r>
      <w:r w:rsidR="00EB6AF6" w:rsidRPr="00B645F5">
        <w:rPr>
          <w:rFonts w:asciiTheme="majorHAnsi" w:hAnsiTheme="majorHAnsi"/>
          <w:sz w:val="20"/>
          <w:szCs w:val="20"/>
        </w:rPr>
        <w:t xml:space="preserve"> whatever she said initially, </w:t>
      </w:r>
      <w:r w:rsidR="008D1052" w:rsidRPr="00B645F5">
        <w:rPr>
          <w:rFonts w:asciiTheme="majorHAnsi" w:hAnsiTheme="majorHAnsi"/>
          <w:sz w:val="20"/>
          <w:szCs w:val="20"/>
        </w:rPr>
        <w:t xml:space="preserve">was clarified within </w:t>
      </w:r>
      <w:r w:rsidR="00EB6AF6" w:rsidRPr="00B645F5">
        <w:rPr>
          <w:rFonts w:asciiTheme="majorHAnsi" w:hAnsiTheme="majorHAnsi"/>
          <w:sz w:val="20"/>
          <w:szCs w:val="20"/>
        </w:rPr>
        <w:t xml:space="preserve">the question-and- answer period that she did not adhere to such views. </w:t>
      </w:r>
      <w:r w:rsidR="00C61F1E" w:rsidRPr="00B645F5">
        <w:rPr>
          <w:rFonts w:asciiTheme="majorHAnsi" w:hAnsiTheme="majorHAnsi"/>
          <w:sz w:val="20"/>
          <w:szCs w:val="20"/>
        </w:rPr>
        <w:t xml:space="preserve">Additionally, it was </w:t>
      </w:r>
      <w:r w:rsidR="00EB6AF6" w:rsidRPr="00B645F5">
        <w:rPr>
          <w:rFonts w:asciiTheme="majorHAnsi" w:hAnsiTheme="majorHAnsi"/>
          <w:sz w:val="20"/>
          <w:szCs w:val="20"/>
        </w:rPr>
        <w:t>recognize</w:t>
      </w:r>
      <w:r w:rsidR="00C61F1E" w:rsidRPr="00B645F5">
        <w:rPr>
          <w:rFonts w:asciiTheme="majorHAnsi" w:hAnsiTheme="majorHAnsi"/>
          <w:sz w:val="20"/>
          <w:szCs w:val="20"/>
        </w:rPr>
        <w:t>d</w:t>
      </w:r>
      <w:r w:rsidR="00EB6AF6" w:rsidRPr="00B645F5">
        <w:rPr>
          <w:rFonts w:asciiTheme="majorHAnsi" w:hAnsiTheme="majorHAnsi"/>
          <w:sz w:val="20"/>
          <w:szCs w:val="20"/>
        </w:rPr>
        <w:t xml:space="preserve"> that, without an explanation or qualification, saying that certain groups are “more involved in” or “commit more of” certain crimes can sound like saying those groups are “prone to commit” such crimes</w:t>
      </w:r>
      <w:r w:rsidR="0040438F" w:rsidRPr="00B645F5">
        <w:rPr>
          <w:rFonts w:asciiTheme="majorHAnsi" w:hAnsiTheme="majorHAnsi"/>
          <w:sz w:val="20"/>
          <w:szCs w:val="20"/>
        </w:rPr>
        <w:t>, but the Committee reasoned tha</w:t>
      </w:r>
      <w:r w:rsidR="000B4365" w:rsidRPr="00B645F5">
        <w:rPr>
          <w:rFonts w:asciiTheme="majorHAnsi" w:hAnsiTheme="majorHAnsi"/>
          <w:sz w:val="20"/>
          <w:szCs w:val="20"/>
        </w:rPr>
        <w:t>t,</w:t>
      </w:r>
      <w:r w:rsidR="00EB6AF6" w:rsidRPr="00B645F5">
        <w:rPr>
          <w:rFonts w:asciiTheme="majorHAnsi" w:hAnsiTheme="majorHAnsi"/>
          <w:sz w:val="20"/>
          <w:szCs w:val="20"/>
        </w:rPr>
        <w:t xml:space="preserve"> whether or not her statistical statements </w:t>
      </w:r>
      <w:r w:rsidR="0040438F" w:rsidRPr="00B645F5">
        <w:rPr>
          <w:rFonts w:asciiTheme="majorHAnsi" w:hAnsiTheme="majorHAnsi"/>
          <w:sz w:val="20"/>
          <w:szCs w:val="20"/>
        </w:rPr>
        <w:t>were</w:t>
      </w:r>
      <w:r w:rsidR="00EB6AF6" w:rsidRPr="00B645F5">
        <w:rPr>
          <w:rFonts w:asciiTheme="majorHAnsi" w:hAnsiTheme="majorHAnsi"/>
          <w:sz w:val="20"/>
          <w:szCs w:val="20"/>
        </w:rPr>
        <w:t xml:space="preserve"> accurate, or accurate only with caveats, they d</w:t>
      </w:r>
      <w:r w:rsidR="0040438F" w:rsidRPr="00B645F5">
        <w:rPr>
          <w:rFonts w:asciiTheme="majorHAnsi" w:hAnsiTheme="majorHAnsi"/>
          <w:sz w:val="20"/>
          <w:szCs w:val="20"/>
        </w:rPr>
        <w:t>id</w:t>
      </w:r>
      <w:r w:rsidR="00EB6AF6" w:rsidRPr="00B645F5">
        <w:rPr>
          <w:rFonts w:asciiTheme="majorHAnsi" w:hAnsiTheme="majorHAnsi"/>
          <w:sz w:val="20"/>
          <w:szCs w:val="20"/>
        </w:rPr>
        <w:t xml:space="preserve"> not by themselves indicate racial bias or an inability to be impartial. </w:t>
      </w:r>
    </w:p>
    <w:p w14:paraId="61FE9C21" w14:textId="77777777" w:rsidR="00FE3A3E" w:rsidRPr="00B645F5" w:rsidRDefault="00FE3A3E" w:rsidP="00FE3A3E">
      <w:pPr>
        <w:pStyle w:val="ListParagraph"/>
        <w:rPr>
          <w:rFonts w:asciiTheme="majorHAnsi" w:hAnsiTheme="majorHAnsi"/>
          <w:sz w:val="20"/>
          <w:szCs w:val="20"/>
        </w:rPr>
      </w:pPr>
    </w:p>
    <w:p w14:paraId="7FB87953" w14:textId="77777777" w:rsidR="00EB6AF6" w:rsidRPr="00B645F5" w:rsidRDefault="00FB6B89" w:rsidP="00DA6E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In response to a</w:t>
      </w:r>
      <w:r w:rsidR="00EB6AF6" w:rsidRPr="00B645F5">
        <w:rPr>
          <w:rFonts w:asciiTheme="majorHAnsi" w:hAnsiTheme="majorHAnsi"/>
          <w:sz w:val="20"/>
          <w:szCs w:val="20"/>
        </w:rPr>
        <w:t xml:space="preserve"> complaint of</w:t>
      </w:r>
      <w:r w:rsidR="008C289D" w:rsidRPr="00B645F5">
        <w:rPr>
          <w:rFonts w:asciiTheme="majorHAnsi" w:hAnsiTheme="majorHAnsi"/>
          <w:sz w:val="20"/>
          <w:szCs w:val="20"/>
        </w:rPr>
        <w:t xml:space="preserve"> statements made by the judge of</w:t>
      </w:r>
      <w:r w:rsidR="00EB6AF6" w:rsidRPr="00B645F5">
        <w:rPr>
          <w:rFonts w:asciiTheme="majorHAnsi" w:hAnsiTheme="majorHAnsi"/>
          <w:sz w:val="20"/>
          <w:szCs w:val="20"/>
        </w:rPr>
        <w:t xml:space="preserve"> </w:t>
      </w:r>
      <w:r w:rsidR="00FE3A3E" w:rsidRPr="00B645F5">
        <w:rPr>
          <w:rFonts w:asciiTheme="majorHAnsi" w:hAnsiTheme="majorHAnsi"/>
          <w:sz w:val="20"/>
          <w:szCs w:val="20"/>
        </w:rPr>
        <w:t>intellectual disability</w:t>
      </w:r>
      <w:r w:rsidR="00EB6AF6" w:rsidRPr="00B645F5">
        <w:rPr>
          <w:rFonts w:asciiTheme="majorHAnsi" w:hAnsiTheme="majorHAnsi"/>
          <w:sz w:val="20"/>
          <w:szCs w:val="20"/>
        </w:rPr>
        <w:t xml:space="preserve"> not being a defense</w:t>
      </w:r>
      <w:r w:rsidR="000B4365" w:rsidRPr="00B645F5">
        <w:rPr>
          <w:rFonts w:asciiTheme="majorHAnsi" w:hAnsiTheme="majorHAnsi"/>
          <w:sz w:val="20"/>
          <w:szCs w:val="20"/>
        </w:rPr>
        <w:t>, the</w:t>
      </w:r>
      <w:r w:rsidR="0094259D" w:rsidRPr="00B645F5">
        <w:rPr>
          <w:rFonts w:asciiTheme="majorHAnsi" w:hAnsiTheme="majorHAnsi"/>
          <w:sz w:val="20"/>
          <w:szCs w:val="20"/>
        </w:rPr>
        <w:t xml:space="preserve"> Committee </w:t>
      </w:r>
      <w:r w:rsidR="00991E62" w:rsidRPr="00B645F5">
        <w:rPr>
          <w:rFonts w:asciiTheme="majorHAnsi" w:hAnsiTheme="majorHAnsi"/>
          <w:sz w:val="20"/>
          <w:szCs w:val="20"/>
        </w:rPr>
        <w:t xml:space="preserve">concluded that no affidavit or witness reported any </w:t>
      </w:r>
      <w:r w:rsidR="00835A00" w:rsidRPr="00B645F5">
        <w:rPr>
          <w:rFonts w:asciiTheme="majorHAnsi" w:hAnsiTheme="majorHAnsi"/>
          <w:sz w:val="20"/>
          <w:szCs w:val="20"/>
        </w:rPr>
        <w:t>statements made by Judge Jones which would have supported this claim. I</w:t>
      </w:r>
      <w:r w:rsidR="005A2B0B" w:rsidRPr="00B645F5">
        <w:rPr>
          <w:rFonts w:asciiTheme="majorHAnsi" w:hAnsiTheme="majorHAnsi"/>
          <w:sz w:val="20"/>
          <w:szCs w:val="20"/>
        </w:rPr>
        <w:t>t was noted</w:t>
      </w:r>
      <w:r w:rsidR="00BA62D9" w:rsidRPr="00B645F5">
        <w:rPr>
          <w:rFonts w:asciiTheme="majorHAnsi" w:hAnsiTheme="majorHAnsi"/>
          <w:sz w:val="20"/>
          <w:szCs w:val="20"/>
        </w:rPr>
        <w:t xml:space="preserve"> by the Committee,</w:t>
      </w:r>
      <w:r w:rsidR="005A2B0B" w:rsidRPr="00B645F5">
        <w:rPr>
          <w:rFonts w:asciiTheme="majorHAnsi" w:hAnsiTheme="majorHAnsi"/>
          <w:sz w:val="20"/>
          <w:szCs w:val="20"/>
        </w:rPr>
        <w:t xml:space="preserve"> that </w:t>
      </w:r>
      <w:r w:rsidR="004136B9" w:rsidRPr="00B645F5">
        <w:rPr>
          <w:rFonts w:asciiTheme="majorHAnsi" w:hAnsiTheme="majorHAnsi"/>
          <w:sz w:val="20"/>
          <w:szCs w:val="20"/>
        </w:rPr>
        <w:t>Judge Jones explained tha</w:t>
      </w:r>
      <w:r w:rsidR="00277440" w:rsidRPr="00B645F5">
        <w:rPr>
          <w:rFonts w:asciiTheme="majorHAnsi" w:hAnsiTheme="majorHAnsi"/>
          <w:sz w:val="20"/>
          <w:szCs w:val="20"/>
        </w:rPr>
        <w:t xml:space="preserve">t </w:t>
      </w:r>
      <w:r w:rsidR="005A2B0B" w:rsidRPr="00B645F5">
        <w:rPr>
          <w:rFonts w:asciiTheme="majorHAnsi" w:hAnsiTheme="majorHAnsi"/>
          <w:sz w:val="20"/>
          <w:szCs w:val="20"/>
        </w:rPr>
        <w:t xml:space="preserve">by referring to the type </w:t>
      </w:r>
      <w:r w:rsidR="000B4365" w:rsidRPr="00B645F5">
        <w:rPr>
          <w:rFonts w:asciiTheme="majorHAnsi" w:hAnsiTheme="majorHAnsi"/>
          <w:sz w:val="20"/>
          <w:szCs w:val="20"/>
        </w:rPr>
        <w:t>of</w:t>
      </w:r>
      <w:r w:rsidR="005A2B0B" w:rsidRPr="00B645F5">
        <w:rPr>
          <w:rFonts w:asciiTheme="majorHAnsi" w:hAnsiTheme="majorHAnsi"/>
          <w:sz w:val="20"/>
          <w:szCs w:val="20"/>
        </w:rPr>
        <w:t xml:space="preserve"> claim as a “red herring”, </w:t>
      </w:r>
      <w:r w:rsidR="00277440" w:rsidRPr="00B645F5">
        <w:rPr>
          <w:rFonts w:asciiTheme="majorHAnsi" w:hAnsiTheme="majorHAnsi"/>
          <w:sz w:val="20"/>
          <w:szCs w:val="20"/>
        </w:rPr>
        <w:t xml:space="preserve">she was describing </w:t>
      </w:r>
      <w:r w:rsidR="00EB6AF6" w:rsidRPr="00B645F5">
        <w:rPr>
          <w:rFonts w:asciiTheme="majorHAnsi" w:hAnsiTheme="majorHAnsi"/>
          <w:sz w:val="20"/>
          <w:szCs w:val="20"/>
        </w:rPr>
        <w:t>a claim that in her experience rarely succeeds</w:t>
      </w:r>
      <w:r w:rsidR="006C13B3" w:rsidRPr="00B645F5">
        <w:rPr>
          <w:rFonts w:asciiTheme="majorHAnsi" w:hAnsiTheme="majorHAnsi"/>
          <w:sz w:val="20"/>
          <w:szCs w:val="20"/>
        </w:rPr>
        <w:t>; to which the Committee found no indication of</w:t>
      </w:r>
      <w:r w:rsidR="00EB6AF6" w:rsidRPr="00B645F5">
        <w:rPr>
          <w:rFonts w:asciiTheme="majorHAnsi" w:hAnsiTheme="majorHAnsi"/>
          <w:sz w:val="20"/>
          <w:szCs w:val="20"/>
        </w:rPr>
        <w:t xml:space="preserve"> bias or impartiality. </w:t>
      </w:r>
    </w:p>
    <w:p w14:paraId="63134F19" w14:textId="77777777" w:rsidR="00820572" w:rsidRPr="00B645F5" w:rsidRDefault="00820572" w:rsidP="00820572">
      <w:pPr>
        <w:pStyle w:val="ListParagraph"/>
        <w:rPr>
          <w:rFonts w:asciiTheme="majorHAnsi" w:hAnsiTheme="majorHAnsi"/>
          <w:sz w:val="20"/>
          <w:szCs w:val="20"/>
        </w:rPr>
      </w:pPr>
    </w:p>
    <w:p w14:paraId="76CE6C49" w14:textId="77777777" w:rsidR="000E2AE8" w:rsidRPr="00B645F5" w:rsidRDefault="00FB6B89"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With respect to a complaint</w:t>
      </w:r>
      <w:r w:rsidR="00EB6AF6" w:rsidRPr="00B645F5">
        <w:rPr>
          <w:rFonts w:asciiTheme="majorHAnsi" w:hAnsiTheme="majorHAnsi"/>
          <w:sz w:val="20"/>
          <w:szCs w:val="20"/>
        </w:rPr>
        <w:t xml:space="preserve"> that Judge Jones “denigrated the system of justice in the nation of . . . Mexico, Mexican Nationals, and the use of international standards in capital cases</w:t>
      </w:r>
      <w:r w:rsidR="0003465F" w:rsidRPr="00B645F5">
        <w:rPr>
          <w:rFonts w:asciiTheme="majorHAnsi" w:hAnsiTheme="majorHAnsi"/>
          <w:sz w:val="20"/>
          <w:szCs w:val="20"/>
        </w:rPr>
        <w:t>” the Committee considered</w:t>
      </w:r>
      <w:r w:rsidR="00623ECE" w:rsidRPr="00B645F5">
        <w:rPr>
          <w:rFonts w:asciiTheme="majorHAnsi" w:hAnsiTheme="majorHAnsi"/>
          <w:sz w:val="20"/>
          <w:szCs w:val="20"/>
        </w:rPr>
        <w:t xml:space="preserve"> </w:t>
      </w:r>
      <w:r w:rsidR="0003465F" w:rsidRPr="00B645F5">
        <w:rPr>
          <w:rFonts w:asciiTheme="majorHAnsi" w:hAnsiTheme="majorHAnsi"/>
          <w:sz w:val="20"/>
          <w:szCs w:val="20"/>
        </w:rPr>
        <w:t>that</w:t>
      </w:r>
      <w:r w:rsidR="00623ECE" w:rsidRPr="00B645F5">
        <w:rPr>
          <w:rFonts w:asciiTheme="majorHAnsi" w:hAnsiTheme="majorHAnsi"/>
          <w:sz w:val="20"/>
          <w:szCs w:val="20"/>
        </w:rPr>
        <w:t xml:space="preserve"> the statements made by the Judge as evidenced by the affidavits</w:t>
      </w:r>
      <w:r w:rsidR="00F0478D" w:rsidRPr="00B645F5">
        <w:rPr>
          <w:rFonts w:asciiTheme="majorHAnsi" w:hAnsiTheme="majorHAnsi"/>
          <w:sz w:val="20"/>
          <w:szCs w:val="20"/>
        </w:rPr>
        <w:t>, witnesses and her notes,</w:t>
      </w:r>
      <w:r w:rsidR="00EB6AF6" w:rsidRPr="00B645F5">
        <w:rPr>
          <w:rFonts w:asciiTheme="majorHAnsi" w:hAnsiTheme="majorHAnsi"/>
          <w:sz w:val="20"/>
          <w:szCs w:val="20"/>
        </w:rPr>
        <w:t xml:space="preserve"> exp</w:t>
      </w:r>
      <w:r w:rsidR="00454C18" w:rsidRPr="00B645F5">
        <w:rPr>
          <w:rFonts w:asciiTheme="majorHAnsi" w:hAnsiTheme="majorHAnsi"/>
          <w:sz w:val="20"/>
          <w:szCs w:val="20"/>
        </w:rPr>
        <w:t>ressed the recollection of</w:t>
      </w:r>
      <w:r w:rsidR="00EB6AF6" w:rsidRPr="00B645F5">
        <w:rPr>
          <w:rFonts w:asciiTheme="majorHAnsi" w:hAnsiTheme="majorHAnsi"/>
          <w:sz w:val="20"/>
          <w:szCs w:val="20"/>
        </w:rPr>
        <w:t xml:space="preserve"> views of a majority of the Supreme Court</w:t>
      </w:r>
      <w:r w:rsidR="00F0478D" w:rsidRPr="00B645F5">
        <w:rPr>
          <w:rFonts w:asciiTheme="majorHAnsi" w:hAnsiTheme="majorHAnsi"/>
          <w:sz w:val="20"/>
          <w:szCs w:val="20"/>
        </w:rPr>
        <w:t xml:space="preserve"> </w:t>
      </w:r>
      <w:r w:rsidR="00454C18" w:rsidRPr="00B645F5">
        <w:rPr>
          <w:rFonts w:asciiTheme="majorHAnsi" w:hAnsiTheme="majorHAnsi"/>
          <w:sz w:val="20"/>
          <w:szCs w:val="20"/>
        </w:rPr>
        <w:t>on similar matters. It was reasoned that</w:t>
      </w:r>
      <w:r w:rsidR="00EB6AF6" w:rsidRPr="00B645F5">
        <w:rPr>
          <w:rFonts w:asciiTheme="majorHAnsi" w:hAnsiTheme="majorHAnsi"/>
          <w:sz w:val="20"/>
          <w:szCs w:val="20"/>
        </w:rPr>
        <w:t xml:space="preserve"> Judge Jones’ contention that a defense based on a defendant’s inability to consult with consular officials has been unlikely to succeed</w:t>
      </w:r>
      <w:r w:rsidR="000B4365" w:rsidRPr="00B645F5">
        <w:rPr>
          <w:rFonts w:asciiTheme="majorHAnsi" w:hAnsiTheme="majorHAnsi"/>
          <w:sz w:val="20"/>
          <w:szCs w:val="20"/>
        </w:rPr>
        <w:t>,</w:t>
      </w:r>
      <w:r w:rsidR="00EB6AF6" w:rsidRPr="00B645F5">
        <w:rPr>
          <w:rFonts w:asciiTheme="majorHAnsi" w:hAnsiTheme="majorHAnsi"/>
          <w:sz w:val="20"/>
          <w:szCs w:val="20"/>
        </w:rPr>
        <w:t xml:space="preserve"> </w:t>
      </w:r>
      <w:r w:rsidR="00CF50A1" w:rsidRPr="00B645F5">
        <w:rPr>
          <w:rFonts w:asciiTheme="majorHAnsi" w:hAnsiTheme="majorHAnsi"/>
          <w:sz w:val="20"/>
          <w:szCs w:val="20"/>
        </w:rPr>
        <w:t>would not be</w:t>
      </w:r>
      <w:r w:rsidR="00EB6AF6" w:rsidRPr="00B645F5">
        <w:rPr>
          <w:rFonts w:asciiTheme="majorHAnsi" w:hAnsiTheme="majorHAnsi"/>
          <w:sz w:val="20"/>
          <w:szCs w:val="20"/>
        </w:rPr>
        <w:t xml:space="preserve"> considered misconduct. </w:t>
      </w:r>
      <w:r w:rsidR="00CF50A1" w:rsidRPr="00B645F5">
        <w:rPr>
          <w:rFonts w:asciiTheme="majorHAnsi" w:hAnsiTheme="majorHAnsi"/>
          <w:sz w:val="20"/>
          <w:szCs w:val="20"/>
        </w:rPr>
        <w:t xml:space="preserve">Further, the </w:t>
      </w:r>
      <w:r w:rsidR="0066022A" w:rsidRPr="00B645F5">
        <w:rPr>
          <w:rFonts w:asciiTheme="majorHAnsi" w:hAnsiTheme="majorHAnsi"/>
          <w:sz w:val="20"/>
          <w:szCs w:val="20"/>
        </w:rPr>
        <w:t>Committee asserted that</w:t>
      </w:r>
      <w:r w:rsidR="00EB6AF6" w:rsidRPr="00B645F5">
        <w:rPr>
          <w:rFonts w:asciiTheme="majorHAnsi" w:hAnsiTheme="majorHAnsi"/>
          <w:sz w:val="20"/>
          <w:szCs w:val="20"/>
        </w:rPr>
        <w:t xml:space="preserve"> a judge</w:t>
      </w:r>
      <w:r w:rsidR="0066022A" w:rsidRPr="00B645F5">
        <w:rPr>
          <w:rFonts w:asciiTheme="majorHAnsi" w:hAnsiTheme="majorHAnsi"/>
          <w:sz w:val="20"/>
          <w:szCs w:val="20"/>
        </w:rPr>
        <w:t xml:space="preserve"> was not barred</w:t>
      </w:r>
      <w:r w:rsidR="00EB6AF6" w:rsidRPr="00B645F5">
        <w:rPr>
          <w:rFonts w:asciiTheme="majorHAnsi" w:hAnsiTheme="majorHAnsi"/>
          <w:sz w:val="20"/>
          <w:szCs w:val="20"/>
        </w:rPr>
        <w:t xml:space="preserve"> from stating what she perceives to be the advantages of her own country’s legal system over that of others.</w:t>
      </w:r>
    </w:p>
    <w:p w14:paraId="681D3689" w14:textId="77777777" w:rsidR="000E2AE8" w:rsidRPr="00B645F5" w:rsidRDefault="000E2AE8" w:rsidP="000E2AE8">
      <w:pPr>
        <w:pStyle w:val="ListParagraph"/>
        <w:rPr>
          <w:rFonts w:asciiTheme="majorHAnsi" w:hAnsiTheme="majorHAnsi"/>
          <w:sz w:val="20"/>
          <w:szCs w:val="20"/>
        </w:rPr>
      </w:pPr>
    </w:p>
    <w:p w14:paraId="43C21616" w14:textId="77777777" w:rsidR="00EB6AF6" w:rsidRPr="00B645F5" w:rsidRDefault="000E2AE8" w:rsidP="00F36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The Committee concluded that </w:t>
      </w:r>
      <w:r w:rsidR="00804BA3" w:rsidRPr="00B645F5">
        <w:rPr>
          <w:rFonts w:asciiTheme="majorHAnsi" w:hAnsiTheme="majorHAnsi"/>
          <w:sz w:val="20"/>
          <w:szCs w:val="20"/>
        </w:rPr>
        <w:t>a</w:t>
      </w:r>
      <w:r w:rsidR="00EB6AF6" w:rsidRPr="00B645F5">
        <w:rPr>
          <w:rFonts w:asciiTheme="majorHAnsi" w:hAnsiTheme="majorHAnsi"/>
          <w:sz w:val="20"/>
          <w:szCs w:val="20"/>
        </w:rPr>
        <w:t xml:space="preserve">lthough </w:t>
      </w:r>
      <w:r w:rsidR="00804BA3" w:rsidRPr="00B645F5">
        <w:rPr>
          <w:rFonts w:asciiTheme="majorHAnsi" w:hAnsiTheme="majorHAnsi"/>
          <w:sz w:val="20"/>
          <w:szCs w:val="20"/>
        </w:rPr>
        <w:t>it found</w:t>
      </w:r>
      <w:r w:rsidR="00EB6AF6" w:rsidRPr="00B645F5">
        <w:rPr>
          <w:rFonts w:asciiTheme="majorHAnsi" w:hAnsiTheme="majorHAnsi"/>
          <w:sz w:val="20"/>
          <w:szCs w:val="20"/>
        </w:rPr>
        <w:t xml:space="preserve"> a number of matters involving individuals</w:t>
      </w:r>
      <w:r w:rsidR="00B1350C" w:rsidRPr="00B645F5">
        <w:rPr>
          <w:rFonts w:asciiTheme="majorHAnsi" w:hAnsiTheme="majorHAnsi"/>
          <w:sz w:val="20"/>
          <w:szCs w:val="20"/>
        </w:rPr>
        <w:t xml:space="preserve"> whose cases</w:t>
      </w:r>
      <w:r w:rsidR="00EB6AF6" w:rsidRPr="00B645F5">
        <w:rPr>
          <w:rFonts w:asciiTheme="majorHAnsi" w:hAnsiTheme="majorHAnsi"/>
          <w:sz w:val="20"/>
          <w:szCs w:val="20"/>
        </w:rPr>
        <w:t xml:space="preserve"> were pending or impending</w:t>
      </w:r>
      <w:r w:rsidR="00B1350C" w:rsidRPr="00B645F5">
        <w:rPr>
          <w:rFonts w:asciiTheme="majorHAnsi" w:hAnsiTheme="majorHAnsi"/>
          <w:sz w:val="20"/>
          <w:szCs w:val="20"/>
        </w:rPr>
        <w:t xml:space="preserve"> were addressed within </w:t>
      </w:r>
      <w:r w:rsidR="00F16807" w:rsidRPr="00B645F5">
        <w:rPr>
          <w:rFonts w:asciiTheme="majorHAnsi" w:hAnsiTheme="majorHAnsi"/>
          <w:sz w:val="20"/>
          <w:szCs w:val="20"/>
        </w:rPr>
        <w:t xml:space="preserve">the </w:t>
      </w:r>
      <w:r w:rsidR="00B1350C" w:rsidRPr="00B645F5">
        <w:rPr>
          <w:rFonts w:asciiTheme="majorHAnsi" w:hAnsiTheme="majorHAnsi"/>
          <w:sz w:val="20"/>
          <w:szCs w:val="20"/>
        </w:rPr>
        <w:t xml:space="preserve">Judge’s </w:t>
      </w:r>
      <w:r w:rsidR="00F16807" w:rsidRPr="00B645F5">
        <w:rPr>
          <w:rFonts w:asciiTheme="majorHAnsi" w:hAnsiTheme="majorHAnsi"/>
          <w:sz w:val="20"/>
          <w:szCs w:val="20"/>
        </w:rPr>
        <w:t>lecture</w:t>
      </w:r>
      <w:r w:rsidR="00EB6AF6" w:rsidRPr="00B645F5">
        <w:rPr>
          <w:rFonts w:asciiTheme="majorHAnsi" w:hAnsiTheme="majorHAnsi"/>
          <w:sz w:val="20"/>
          <w:szCs w:val="20"/>
        </w:rPr>
        <w:t>, and that some of the judge’s comments may have been on the merits of those matters</w:t>
      </w:r>
      <w:r w:rsidR="00F16807" w:rsidRPr="00B645F5">
        <w:rPr>
          <w:rFonts w:asciiTheme="majorHAnsi" w:hAnsiTheme="majorHAnsi"/>
          <w:sz w:val="20"/>
          <w:szCs w:val="20"/>
        </w:rPr>
        <w:t>,</w:t>
      </w:r>
      <w:r w:rsidR="00EB6AF6" w:rsidRPr="00B645F5">
        <w:rPr>
          <w:rFonts w:asciiTheme="majorHAnsi" w:hAnsiTheme="majorHAnsi"/>
          <w:sz w:val="20"/>
          <w:szCs w:val="20"/>
        </w:rPr>
        <w:t xml:space="preserve"> the comments did not violate </w:t>
      </w:r>
      <w:r w:rsidR="005E1634" w:rsidRPr="00B645F5">
        <w:rPr>
          <w:rFonts w:asciiTheme="majorHAnsi" w:hAnsiTheme="majorHAnsi"/>
          <w:sz w:val="20"/>
          <w:szCs w:val="20"/>
        </w:rPr>
        <w:t xml:space="preserve">the </w:t>
      </w:r>
      <w:r w:rsidR="0013399D" w:rsidRPr="00B645F5">
        <w:rPr>
          <w:rFonts w:asciiTheme="majorHAnsi" w:hAnsiTheme="majorHAnsi"/>
          <w:sz w:val="20"/>
          <w:szCs w:val="20"/>
        </w:rPr>
        <w:t xml:space="preserve">code </w:t>
      </w:r>
      <w:r w:rsidR="005E1634" w:rsidRPr="00B645F5">
        <w:rPr>
          <w:rFonts w:asciiTheme="majorHAnsi" w:hAnsiTheme="majorHAnsi"/>
          <w:sz w:val="20"/>
          <w:szCs w:val="20"/>
        </w:rPr>
        <w:t>on judicial conduc</w:t>
      </w:r>
      <w:r w:rsidR="0073726D" w:rsidRPr="00B645F5">
        <w:rPr>
          <w:rFonts w:asciiTheme="majorHAnsi" w:hAnsiTheme="majorHAnsi"/>
          <w:sz w:val="20"/>
          <w:szCs w:val="20"/>
        </w:rPr>
        <w:t>t</w:t>
      </w:r>
      <w:r w:rsidR="00EB6AF6" w:rsidRPr="00B645F5">
        <w:rPr>
          <w:rFonts w:asciiTheme="majorHAnsi" w:hAnsiTheme="majorHAnsi"/>
          <w:sz w:val="20"/>
          <w:szCs w:val="20"/>
        </w:rPr>
        <w:t xml:space="preserve"> because the scholarly presentations exception applie</w:t>
      </w:r>
      <w:r w:rsidR="00DB5A99" w:rsidRPr="00B645F5">
        <w:rPr>
          <w:rFonts w:asciiTheme="majorHAnsi" w:hAnsiTheme="majorHAnsi"/>
          <w:sz w:val="20"/>
          <w:szCs w:val="20"/>
        </w:rPr>
        <w:t>d</w:t>
      </w:r>
      <w:r w:rsidR="00EB6AF6" w:rsidRPr="00B645F5">
        <w:rPr>
          <w:rFonts w:asciiTheme="majorHAnsi" w:hAnsiTheme="majorHAnsi"/>
          <w:sz w:val="20"/>
          <w:szCs w:val="20"/>
        </w:rPr>
        <w:t>.</w:t>
      </w:r>
      <w:r w:rsidR="000B4365" w:rsidRPr="00B645F5">
        <w:rPr>
          <w:rFonts w:asciiTheme="majorHAnsi" w:hAnsiTheme="majorHAnsi"/>
          <w:sz w:val="20"/>
          <w:szCs w:val="20"/>
        </w:rPr>
        <w:t xml:space="preserve"> Moreover,</w:t>
      </w:r>
      <w:r w:rsidR="005E1634" w:rsidRPr="00B645F5">
        <w:rPr>
          <w:rFonts w:asciiTheme="majorHAnsi" w:hAnsiTheme="majorHAnsi"/>
          <w:sz w:val="20"/>
          <w:szCs w:val="20"/>
        </w:rPr>
        <w:t xml:space="preserve"> it found</w:t>
      </w:r>
      <w:r w:rsidR="00EB6AF6" w:rsidRPr="00B645F5">
        <w:rPr>
          <w:rFonts w:asciiTheme="majorHAnsi" w:hAnsiTheme="majorHAnsi"/>
          <w:sz w:val="20"/>
          <w:szCs w:val="20"/>
        </w:rPr>
        <w:t xml:space="preserve"> that the comments did not denigrate public confidence in the judiciary’s integrity or impartiality, and thus did not violate </w:t>
      </w:r>
      <w:r w:rsidR="005E1634" w:rsidRPr="00B645F5">
        <w:rPr>
          <w:rFonts w:asciiTheme="majorHAnsi" w:hAnsiTheme="majorHAnsi"/>
          <w:sz w:val="20"/>
          <w:szCs w:val="20"/>
        </w:rPr>
        <w:t xml:space="preserve">the </w:t>
      </w:r>
      <w:r w:rsidR="0013399D" w:rsidRPr="00B645F5">
        <w:rPr>
          <w:rFonts w:asciiTheme="majorHAnsi" w:hAnsiTheme="majorHAnsi"/>
          <w:sz w:val="20"/>
          <w:szCs w:val="20"/>
        </w:rPr>
        <w:t xml:space="preserve">code </w:t>
      </w:r>
      <w:r w:rsidR="0073726D" w:rsidRPr="00B645F5">
        <w:rPr>
          <w:rFonts w:asciiTheme="majorHAnsi" w:hAnsiTheme="majorHAnsi"/>
          <w:sz w:val="20"/>
          <w:szCs w:val="20"/>
        </w:rPr>
        <w:t>on judicial conduct</w:t>
      </w:r>
      <w:r w:rsidR="005E1634" w:rsidRPr="00B645F5">
        <w:rPr>
          <w:rFonts w:asciiTheme="majorHAnsi" w:hAnsiTheme="majorHAnsi"/>
          <w:sz w:val="20"/>
          <w:szCs w:val="20"/>
        </w:rPr>
        <w:t xml:space="preserve"> </w:t>
      </w:r>
      <w:r w:rsidR="00EB6AF6" w:rsidRPr="00B645F5">
        <w:rPr>
          <w:rFonts w:asciiTheme="majorHAnsi" w:hAnsiTheme="majorHAnsi"/>
          <w:sz w:val="20"/>
          <w:szCs w:val="20"/>
        </w:rPr>
        <w:t xml:space="preserve">or constitute misconduct. </w:t>
      </w:r>
      <w:r w:rsidR="0013399D" w:rsidRPr="00B645F5">
        <w:rPr>
          <w:rFonts w:asciiTheme="majorHAnsi" w:hAnsiTheme="majorHAnsi"/>
          <w:sz w:val="20"/>
          <w:szCs w:val="20"/>
        </w:rPr>
        <w:t xml:space="preserve">The scholarly presentations exception refers to a provision within the </w:t>
      </w:r>
      <w:r w:rsidR="00416D52" w:rsidRPr="00B645F5">
        <w:rPr>
          <w:rFonts w:asciiTheme="majorHAnsi" w:hAnsiTheme="majorHAnsi"/>
          <w:sz w:val="20"/>
          <w:szCs w:val="20"/>
        </w:rPr>
        <w:t>c</w:t>
      </w:r>
      <w:r w:rsidR="00EB6AF6" w:rsidRPr="00B645F5">
        <w:rPr>
          <w:rFonts w:asciiTheme="majorHAnsi" w:hAnsiTheme="majorHAnsi"/>
          <w:sz w:val="20"/>
          <w:szCs w:val="20"/>
        </w:rPr>
        <w:t xml:space="preserve">ode </w:t>
      </w:r>
      <w:r w:rsidR="00416D52" w:rsidRPr="00B645F5">
        <w:rPr>
          <w:rFonts w:asciiTheme="majorHAnsi" w:hAnsiTheme="majorHAnsi"/>
          <w:sz w:val="20"/>
          <w:szCs w:val="20"/>
        </w:rPr>
        <w:t xml:space="preserve">which makes an </w:t>
      </w:r>
      <w:r w:rsidR="00EB6AF6" w:rsidRPr="00B645F5">
        <w:rPr>
          <w:rFonts w:asciiTheme="majorHAnsi" w:hAnsiTheme="majorHAnsi"/>
          <w:sz w:val="20"/>
          <w:szCs w:val="20"/>
        </w:rPr>
        <w:t>exception for offering such comments in the context of “scholarly presentations made for purposes of legal education.”</w:t>
      </w:r>
    </w:p>
    <w:p w14:paraId="07D62E8D" w14:textId="71A88CF2" w:rsidR="00EB6AF6" w:rsidRDefault="00EB6AF6" w:rsidP="0042465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6A3413D3" w14:textId="6AE985DA" w:rsidR="00186ECD" w:rsidRDefault="00186ECD" w:rsidP="0042465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BC0F43C" w14:textId="77777777" w:rsidR="00186ECD" w:rsidRPr="00B645F5" w:rsidRDefault="00186ECD" w:rsidP="0042465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3EC4818F" w14:textId="77777777" w:rsidR="00677DA7" w:rsidRPr="00B645F5" w:rsidRDefault="00677DA7" w:rsidP="00EC55EA">
      <w:pPr>
        <w:pStyle w:val="Heading1"/>
        <w:tabs>
          <w:tab w:val="left" w:pos="360"/>
        </w:tabs>
        <w:spacing w:before="0"/>
        <w:ind w:hanging="720"/>
        <w:rPr>
          <w:color w:val="auto"/>
          <w:sz w:val="20"/>
          <w:szCs w:val="20"/>
        </w:rPr>
      </w:pPr>
      <w:bookmarkStart w:id="18" w:name="_Toc90115123"/>
      <w:r w:rsidRPr="00B645F5">
        <w:rPr>
          <w:color w:val="auto"/>
          <w:sz w:val="20"/>
          <w:szCs w:val="20"/>
        </w:rPr>
        <w:lastRenderedPageBreak/>
        <w:t>ANALYSIS OF LAW</w:t>
      </w:r>
      <w:bookmarkEnd w:id="18"/>
    </w:p>
    <w:p w14:paraId="13AB167B" w14:textId="77777777" w:rsidR="00E57AC6" w:rsidRPr="00B645F5" w:rsidRDefault="00E57AC6" w:rsidP="00EC55EA">
      <w:pPr>
        <w:rPr>
          <w:rFonts w:asciiTheme="majorHAnsi" w:hAnsiTheme="majorHAnsi"/>
          <w:sz w:val="20"/>
          <w:szCs w:val="20"/>
        </w:rPr>
      </w:pPr>
    </w:p>
    <w:p w14:paraId="258A23C2" w14:textId="77777777" w:rsidR="00677DA7" w:rsidRPr="00B645F5" w:rsidRDefault="00677DA7" w:rsidP="00EC55EA">
      <w:pPr>
        <w:pStyle w:val="Heading2"/>
        <w:numPr>
          <w:ilvl w:val="0"/>
          <w:numId w:val="61"/>
        </w:numPr>
        <w:tabs>
          <w:tab w:val="left" w:pos="360"/>
        </w:tabs>
        <w:spacing w:before="0"/>
        <w:ind w:left="0" w:firstLine="0"/>
        <w:rPr>
          <w:color w:val="auto"/>
          <w:sz w:val="20"/>
          <w:szCs w:val="20"/>
        </w:rPr>
      </w:pPr>
      <w:bookmarkStart w:id="19" w:name="_Toc90115124"/>
      <w:r w:rsidRPr="00B645F5">
        <w:rPr>
          <w:color w:val="auto"/>
          <w:sz w:val="20"/>
          <w:szCs w:val="20"/>
        </w:rPr>
        <w:t>Preliminary considerations</w:t>
      </w:r>
      <w:bookmarkEnd w:id="19"/>
    </w:p>
    <w:p w14:paraId="3F8A905C" w14:textId="77777777" w:rsidR="00E57AC6" w:rsidRPr="00B645F5" w:rsidRDefault="00E57AC6" w:rsidP="00EC55EA">
      <w:pPr>
        <w:pStyle w:val="ListParagraph"/>
        <w:rPr>
          <w:sz w:val="20"/>
          <w:szCs w:val="20"/>
        </w:rPr>
      </w:pPr>
    </w:p>
    <w:p w14:paraId="41D0ECD1" w14:textId="77777777" w:rsidR="00E57AC6" w:rsidRPr="00B645F5" w:rsidRDefault="00E57AC6" w:rsidP="00EC55EA">
      <w:pPr>
        <w:pStyle w:val="parrafos"/>
        <w:numPr>
          <w:ilvl w:val="0"/>
          <w:numId w:val="55"/>
        </w:numPr>
        <w:ind w:left="0" w:firstLine="0"/>
      </w:pPr>
      <w:r w:rsidRPr="00B645F5">
        <w:t xml:space="preserve">Before embarking on its analysis of the merits in the case of </w:t>
      </w:r>
      <w:r w:rsidR="00600EB0" w:rsidRPr="00B645F5">
        <w:t xml:space="preserve">Ramiro </w:t>
      </w:r>
      <w:r w:rsidR="0034549C" w:rsidRPr="00B645F5">
        <w:t>Ibarra</w:t>
      </w:r>
      <w:r w:rsidR="00600EB0" w:rsidRPr="00B645F5">
        <w:t xml:space="preserve"> </w:t>
      </w:r>
      <w:proofErr w:type="spellStart"/>
      <w:r w:rsidR="00600EB0" w:rsidRPr="00B645F5">
        <w:t>Ibarra</w:t>
      </w:r>
      <w:proofErr w:type="spellEnd"/>
      <w:r w:rsidRPr="00B645F5">
        <w:t>, the Inter-American Commission reiterate</w:t>
      </w:r>
      <w:r w:rsidR="00BD7B08" w:rsidRPr="00B645F5">
        <w:t>s</w:t>
      </w:r>
      <w:r w:rsidRPr="00B645F5">
        <w:t xml:space="preserve"> its previous rulings regarding the heightened scrutiny to be used in cases involving the death penalty. The right to life has received broad recognition as the supreme human right and as a sine qua non for the enjoyment of all other rights. </w:t>
      </w:r>
    </w:p>
    <w:p w14:paraId="0719EE23" w14:textId="77777777" w:rsidR="00E57AC6" w:rsidRPr="00B645F5" w:rsidRDefault="00E57AC6"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08D170E3" w14:textId="77777777" w:rsidR="00E57AC6" w:rsidRPr="00B645F5" w:rsidRDefault="00E57AC6" w:rsidP="00EC55EA">
      <w:pPr>
        <w:pStyle w:val="parrafos"/>
        <w:numPr>
          <w:ilvl w:val="0"/>
          <w:numId w:val="55"/>
        </w:numPr>
        <w:ind w:left="0" w:firstLine="0"/>
      </w:pPr>
      <w:r w:rsidRPr="00B645F5">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B645F5">
        <w:rPr>
          <w:rStyle w:val="FootnoteReference"/>
        </w:rPr>
        <w:footnoteReference w:id="43"/>
      </w:r>
      <w:r w:rsidRPr="00B645F5">
        <w:t xml:space="preserve"> and it has been set out and applied by the Inter-American Commission in previous capital cases brought before it.</w:t>
      </w:r>
      <w:r w:rsidRPr="00B645F5">
        <w:rPr>
          <w:rStyle w:val="FootnoteReference"/>
        </w:rPr>
        <w:footnoteReference w:id="44"/>
      </w:r>
      <w:r w:rsidRPr="00B645F5">
        <w:t xml:space="preserve"> As the Inter-American Commission has explained, this standard of review is the necessary consequence of the specific penalty at issue and the right to a fair trial and all attendant due process guarantees, among others.</w:t>
      </w:r>
      <w:r w:rsidRPr="00B645F5">
        <w:rPr>
          <w:rStyle w:val="FootnoteReference"/>
        </w:rPr>
        <w:footnoteReference w:id="45"/>
      </w:r>
      <w:r w:rsidRPr="00B645F5">
        <w:t xml:space="preserve"> In the words of the Commission:</w:t>
      </w:r>
    </w:p>
    <w:p w14:paraId="65E46278" w14:textId="77777777" w:rsidR="00E57AC6" w:rsidRPr="00B645F5" w:rsidRDefault="00E57AC6" w:rsidP="00EC55EA">
      <w:pPr>
        <w:pStyle w:val="ListParagraph"/>
        <w:rPr>
          <w:sz w:val="20"/>
          <w:szCs w:val="20"/>
        </w:rPr>
      </w:pPr>
    </w:p>
    <w:p w14:paraId="05A283AB" w14:textId="77777777" w:rsidR="00E57AC6" w:rsidRPr="00B645F5" w:rsidRDefault="00E57AC6" w:rsidP="00EC55EA">
      <w:pPr>
        <w:autoSpaceDE w:val="0"/>
        <w:autoSpaceDN w:val="0"/>
        <w:adjustRightInd w:val="0"/>
        <w:ind w:left="360" w:right="360"/>
        <w:jc w:val="both"/>
        <w:rPr>
          <w:rFonts w:ascii="Cambria" w:hAnsi="Cambria" w:cs="Calibri"/>
          <w:sz w:val="18"/>
          <w:szCs w:val="18"/>
        </w:rPr>
      </w:pPr>
      <w:r w:rsidRPr="00B645F5">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B645F5">
        <w:rPr>
          <w:rStyle w:val="FootnoteReference"/>
          <w:rFonts w:ascii="Cambria" w:hAnsi="Cambria"/>
          <w:sz w:val="18"/>
          <w:szCs w:val="18"/>
        </w:rPr>
        <w:footnoteReference w:id="46"/>
      </w:r>
    </w:p>
    <w:p w14:paraId="46A1E414" w14:textId="77777777" w:rsidR="00E57AC6" w:rsidRPr="00B645F5" w:rsidRDefault="00E57AC6" w:rsidP="00EC55EA">
      <w:pPr>
        <w:jc w:val="both"/>
        <w:rPr>
          <w:rFonts w:ascii="Cambria" w:hAnsi="Cambria"/>
          <w:sz w:val="20"/>
          <w:szCs w:val="20"/>
        </w:rPr>
      </w:pPr>
    </w:p>
    <w:p w14:paraId="4BB7AC81" w14:textId="77777777" w:rsidR="00E57AC6" w:rsidRPr="00B645F5" w:rsidRDefault="00E57AC6" w:rsidP="00EC55EA">
      <w:pPr>
        <w:pStyle w:val="NormalWeb"/>
        <w:numPr>
          <w:ilvl w:val="0"/>
          <w:numId w:val="55"/>
        </w:numPr>
        <w:tabs>
          <w:tab w:val="left" w:pos="360"/>
        </w:tabs>
        <w:spacing w:before="0" w:beforeAutospacing="0" w:after="0" w:afterAutospacing="0"/>
        <w:ind w:left="0" w:firstLine="0"/>
        <w:jc w:val="both"/>
        <w:rPr>
          <w:rFonts w:ascii="Cambria" w:eastAsia="Arial Unicode MS" w:hAnsi="Cambria"/>
          <w:sz w:val="20"/>
          <w:szCs w:val="20"/>
          <w:bdr w:val="nil"/>
        </w:rPr>
      </w:pPr>
      <w:r w:rsidRPr="00B645F5">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B645F5">
        <w:rPr>
          <w:rFonts w:asciiTheme="majorHAnsi" w:hAnsiTheme="majorHAnsi"/>
          <w:sz w:val="20"/>
          <w:szCs w:val="20"/>
        </w:rPr>
        <w:t xml:space="preserve">not to receive cruel, infamous or unusual punishment, to </w:t>
      </w:r>
      <w:r w:rsidRPr="00B645F5">
        <w:rPr>
          <w:rFonts w:asciiTheme="majorHAnsi" w:hAnsiTheme="majorHAnsi"/>
          <w:sz w:val="20"/>
          <w:szCs w:val="20"/>
        </w:rPr>
        <w:t>due process, and to a fair trial as prescribed under the American Declaration</w:t>
      </w:r>
      <w:r w:rsidR="003B1D61" w:rsidRPr="00B645F5">
        <w:rPr>
          <w:rFonts w:asciiTheme="majorHAnsi" w:hAnsiTheme="majorHAnsi"/>
          <w:sz w:val="20"/>
          <w:szCs w:val="20"/>
        </w:rPr>
        <w:t>,</w:t>
      </w:r>
      <w:r w:rsidRPr="00B645F5">
        <w:rPr>
          <w:rFonts w:asciiTheme="majorHAnsi" w:hAnsiTheme="majorHAnsi"/>
          <w:sz w:val="20"/>
          <w:szCs w:val="20"/>
        </w:rPr>
        <w:t xml:space="preserve"> have been respected by the State. With regard to the legal status of the American</w:t>
      </w:r>
      <w:r w:rsidRPr="00B645F5">
        <w:rPr>
          <w:rFonts w:ascii="Cambria" w:hAnsi="Cambria"/>
          <w:sz w:val="20"/>
        </w:rPr>
        <w:t xml:space="preserve"> Declaration, the IACHR reiterates that:</w:t>
      </w:r>
      <w:r w:rsidRPr="00B645F5">
        <w:rPr>
          <w:rStyle w:val="FootnoteReference"/>
          <w:rFonts w:ascii="Cambria" w:hAnsi="Cambria"/>
          <w:sz w:val="20"/>
          <w:szCs w:val="20"/>
        </w:rPr>
        <w:footnoteReference w:id="47"/>
      </w:r>
      <w:r w:rsidRPr="00B645F5">
        <w:rPr>
          <w:rFonts w:ascii="Cambria" w:hAnsi="Cambria" w:cs="Tahoma"/>
          <w:color w:val="262626"/>
          <w:sz w:val="20"/>
          <w:szCs w:val="20"/>
        </w:rPr>
        <w:t xml:space="preserve"> </w:t>
      </w:r>
    </w:p>
    <w:p w14:paraId="6061B783" w14:textId="77777777" w:rsidR="00E57AC6" w:rsidRPr="00B645F5" w:rsidRDefault="00E57AC6" w:rsidP="00EC55EA">
      <w:pPr>
        <w:tabs>
          <w:tab w:val="left" w:pos="630"/>
          <w:tab w:val="left" w:pos="810"/>
        </w:tabs>
        <w:autoSpaceDE w:val="0"/>
        <w:autoSpaceDN w:val="0"/>
        <w:adjustRightInd w:val="0"/>
        <w:jc w:val="both"/>
        <w:rPr>
          <w:rFonts w:ascii="Cambria" w:hAnsi="Cambria" w:cs="Calibri"/>
          <w:sz w:val="20"/>
          <w:szCs w:val="20"/>
        </w:rPr>
      </w:pPr>
    </w:p>
    <w:p w14:paraId="1FCA16F3" w14:textId="77777777" w:rsidR="00E57AC6" w:rsidRPr="00B645F5" w:rsidRDefault="00E57AC6" w:rsidP="00EC55EA">
      <w:pPr>
        <w:tabs>
          <w:tab w:val="left" w:pos="630"/>
          <w:tab w:val="left" w:pos="810"/>
        </w:tabs>
        <w:autoSpaceDE w:val="0"/>
        <w:autoSpaceDN w:val="0"/>
        <w:adjustRightInd w:val="0"/>
        <w:ind w:left="360" w:right="360"/>
        <w:jc w:val="both"/>
        <w:rPr>
          <w:rFonts w:ascii="Cambria" w:hAnsi="Cambria" w:cs="Calibri"/>
          <w:sz w:val="18"/>
          <w:szCs w:val="18"/>
        </w:rPr>
      </w:pPr>
      <w:r w:rsidRPr="00B645F5">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26DF3382" w14:textId="77777777" w:rsidR="00E57AC6" w:rsidRPr="00B645F5" w:rsidRDefault="00E57AC6" w:rsidP="00EC55EA">
      <w:pPr>
        <w:pStyle w:val="ListParagraph"/>
        <w:rPr>
          <w:sz w:val="20"/>
          <w:szCs w:val="20"/>
        </w:rPr>
      </w:pPr>
    </w:p>
    <w:p w14:paraId="5BC7C3CA" w14:textId="77777777" w:rsidR="00E57AC6" w:rsidRPr="00B645F5" w:rsidRDefault="00E57AC6" w:rsidP="00EC55EA">
      <w:pPr>
        <w:pStyle w:val="NormalWeb"/>
        <w:numPr>
          <w:ilvl w:val="0"/>
          <w:numId w:val="55"/>
        </w:numPr>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B645F5">
        <w:rPr>
          <w:rFonts w:asciiTheme="majorHAnsi" w:hAnsiTheme="majorHAnsi"/>
          <w:sz w:val="20"/>
        </w:rPr>
        <w:t xml:space="preserve">Finally, the Commission recalls that its review does not consist of determining that the death penalty in and of itself violates the American Declaration. What this section addresses </w:t>
      </w:r>
      <w:proofErr w:type="gramStart"/>
      <w:r w:rsidRPr="00B645F5">
        <w:rPr>
          <w:rFonts w:asciiTheme="majorHAnsi" w:hAnsiTheme="majorHAnsi"/>
          <w:sz w:val="20"/>
        </w:rPr>
        <w:t>is</w:t>
      </w:r>
      <w:proofErr w:type="gramEnd"/>
      <w:r w:rsidRPr="00B645F5">
        <w:rPr>
          <w:rFonts w:asciiTheme="majorHAnsi" w:hAnsiTheme="majorHAnsi"/>
          <w:sz w:val="20"/>
        </w:rPr>
        <w:t xml:space="preserve"> the standard of review of the alleged human rights violations in the context of </w:t>
      </w:r>
      <w:r w:rsidR="002E3921" w:rsidRPr="00B645F5">
        <w:rPr>
          <w:rFonts w:asciiTheme="majorHAnsi" w:hAnsiTheme="majorHAnsi"/>
          <w:sz w:val="20"/>
        </w:rPr>
        <w:t>criminal proceedings in a case involving the application of t</w:t>
      </w:r>
      <w:r w:rsidRPr="00B645F5">
        <w:rPr>
          <w:rFonts w:asciiTheme="majorHAnsi" w:hAnsiTheme="majorHAnsi"/>
          <w:sz w:val="20"/>
        </w:rPr>
        <w:t>he death penalty.</w:t>
      </w:r>
    </w:p>
    <w:p w14:paraId="19AEF3C0" w14:textId="77777777" w:rsidR="00847431" w:rsidRPr="00B645F5" w:rsidRDefault="00847431" w:rsidP="00EC55EA"/>
    <w:p w14:paraId="67C9DEA5" w14:textId="77777777" w:rsidR="00EF0437" w:rsidRPr="00B645F5" w:rsidRDefault="00582D0D" w:rsidP="009A2007">
      <w:pPr>
        <w:pStyle w:val="Heading2"/>
        <w:numPr>
          <w:ilvl w:val="0"/>
          <w:numId w:val="61"/>
        </w:numPr>
        <w:tabs>
          <w:tab w:val="left" w:pos="360"/>
        </w:tabs>
        <w:spacing w:before="0"/>
        <w:ind w:left="0" w:firstLine="0"/>
        <w:jc w:val="both"/>
        <w:rPr>
          <w:color w:val="auto"/>
          <w:sz w:val="20"/>
          <w:szCs w:val="20"/>
        </w:rPr>
      </w:pPr>
      <w:bookmarkStart w:id="20" w:name="_Toc90115125"/>
      <w:r w:rsidRPr="00B645F5">
        <w:rPr>
          <w:color w:val="auto"/>
          <w:sz w:val="20"/>
          <w:szCs w:val="20"/>
        </w:rPr>
        <w:lastRenderedPageBreak/>
        <w:t>R</w:t>
      </w:r>
      <w:r w:rsidR="00AB2ECE" w:rsidRPr="00B645F5">
        <w:rPr>
          <w:color w:val="auto"/>
          <w:sz w:val="20"/>
          <w:szCs w:val="20"/>
        </w:rPr>
        <w:t>ight to a fair trial</w:t>
      </w:r>
      <w:r w:rsidR="00F61B4C" w:rsidRPr="00B645F5">
        <w:rPr>
          <w:rStyle w:val="FootnoteReference"/>
          <w:color w:val="auto"/>
          <w:sz w:val="20"/>
          <w:szCs w:val="20"/>
        </w:rPr>
        <w:footnoteReference w:id="48"/>
      </w:r>
      <w:r w:rsidR="001563C8" w:rsidRPr="00B645F5">
        <w:rPr>
          <w:color w:val="auto"/>
          <w:sz w:val="20"/>
          <w:szCs w:val="20"/>
        </w:rPr>
        <w:t xml:space="preserve"> </w:t>
      </w:r>
      <w:r w:rsidR="00BE66B0" w:rsidRPr="00B645F5">
        <w:rPr>
          <w:color w:val="auto"/>
          <w:sz w:val="20"/>
          <w:szCs w:val="20"/>
        </w:rPr>
        <w:t>and</w:t>
      </w:r>
      <w:r w:rsidR="00AB2ECE" w:rsidRPr="00B645F5">
        <w:rPr>
          <w:color w:val="auto"/>
          <w:sz w:val="20"/>
          <w:szCs w:val="20"/>
        </w:rPr>
        <w:t xml:space="preserve"> </w:t>
      </w:r>
      <w:r w:rsidR="00B55F23" w:rsidRPr="00B645F5">
        <w:rPr>
          <w:color w:val="auto"/>
          <w:sz w:val="20"/>
          <w:szCs w:val="20"/>
        </w:rPr>
        <w:t>right to due process of law</w:t>
      </w:r>
      <w:r w:rsidR="00F61B4C" w:rsidRPr="00B645F5">
        <w:rPr>
          <w:rStyle w:val="FootnoteReference"/>
          <w:color w:val="auto"/>
          <w:sz w:val="20"/>
          <w:szCs w:val="20"/>
        </w:rPr>
        <w:footnoteReference w:id="49"/>
      </w:r>
      <w:bookmarkEnd w:id="20"/>
      <w:r w:rsidR="00B55F23" w:rsidRPr="00B645F5">
        <w:rPr>
          <w:color w:val="auto"/>
          <w:sz w:val="20"/>
          <w:szCs w:val="20"/>
        </w:rPr>
        <w:t xml:space="preserve"> </w:t>
      </w:r>
    </w:p>
    <w:p w14:paraId="466F4E3C" w14:textId="77777777" w:rsidR="00EF0437" w:rsidRPr="00B645F5" w:rsidRDefault="00EF0437" w:rsidP="009A2007">
      <w:pPr>
        <w:pStyle w:val="NormalWeb"/>
        <w:tabs>
          <w:tab w:val="left" w:pos="360"/>
        </w:tabs>
        <w:spacing w:before="0" w:beforeAutospacing="0" w:after="0" w:afterAutospacing="0"/>
        <w:jc w:val="both"/>
        <w:rPr>
          <w:rFonts w:asciiTheme="majorHAnsi" w:hAnsiTheme="majorHAnsi"/>
          <w:sz w:val="20"/>
          <w:szCs w:val="20"/>
        </w:rPr>
      </w:pPr>
    </w:p>
    <w:p w14:paraId="37193C06" w14:textId="77777777" w:rsidR="004C5505" w:rsidRPr="00B645F5" w:rsidRDefault="00FD3996" w:rsidP="00EC55EA">
      <w:pPr>
        <w:pStyle w:val="Heading3"/>
        <w:numPr>
          <w:ilvl w:val="1"/>
          <w:numId w:val="53"/>
        </w:numPr>
        <w:spacing w:before="0"/>
        <w:ind w:left="360"/>
        <w:rPr>
          <w:color w:val="auto"/>
          <w:sz w:val="20"/>
          <w:szCs w:val="20"/>
        </w:rPr>
      </w:pPr>
      <w:bookmarkStart w:id="21" w:name="_Toc90115126"/>
      <w:r w:rsidRPr="00B645F5">
        <w:rPr>
          <w:color w:val="auto"/>
          <w:sz w:val="20"/>
          <w:szCs w:val="20"/>
        </w:rPr>
        <w:t>R</w:t>
      </w:r>
      <w:r w:rsidR="004C5505" w:rsidRPr="00B645F5">
        <w:rPr>
          <w:color w:val="auto"/>
          <w:sz w:val="20"/>
          <w:szCs w:val="20"/>
        </w:rPr>
        <w:t xml:space="preserve">ight to </w:t>
      </w:r>
      <w:r w:rsidR="00651A30" w:rsidRPr="00B645F5">
        <w:rPr>
          <w:color w:val="auto"/>
          <w:sz w:val="20"/>
          <w:szCs w:val="20"/>
        </w:rPr>
        <w:t xml:space="preserve">information on </w:t>
      </w:r>
      <w:r w:rsidR="004C5505" w:rsidRPr="00B645F5">
        <w:rPr>
          <w:color w:val="auto"/>
          <w:sz w:val="20"/>
          <w:szCs w:val="20"/>
        </w:rPr>
        <w:t xml:space="preserve">consular </w:t>
      </w:r>
      <w:r w:rsidR="007944C5" w:rsidRPr="00B645F5">
        <w:rPr>
          <w:color w:val="auto"/>
          <w:sz w:val="20"/>
          <w:szCs w:val="20"/>
        </w:rPr>
        <w:t>assistance</w:t>
      </w:r>
      <w:bookmarkEnd w:id="21"/>
      <w:r w:rsidR="004C5505" w:rsidRPr="00B645F5">
        <w:rPr>
          <w:color w:val="auto"/>
          <w:sz w:val="20"/>
          <w:szCs w:val="20"/>
        </w:rPr>
        <w:t xml:space="preserve"> </w:t>
      </w:r>
    </w:p>
    <w:p w14:paraId="5E207F0E" w14:textId="77777777" w:rsidR="004C5505" w:rsidRPr="00B645F5" w:rsidRDefault="004C5505" w:rsidP="00EC55EA">
      <w:pPr>
        <w:pStyle w:val="NormalWeb"/>
        <w:tabs>
          <w:tab w:val="left" w:pos="360"/>
        </w:tabs>
        <w:spacing w:before="0" w:beforeAutospacing="0" w:after="0" w:afterAutospacing="0"/>
        <w:jc w:val="both"/>
        <w:rPr>
          <w:rFonts w:asciiTheme="majorHAnsi" w:hAnsiTheme="majorHAnsi"/>
          <w:sz w:val="20"/>
          <w:szCs w:val="20"/>
        </w:rPr>
      </w:pPr>
    </w:p>
    <w:p w14:paraId="1FB723DD" w14:textId="77777777" w:rsidR="00651A30" w:rsidRPr="00B645F5" w:rsidRDefault="00FD3996" w:rsidP="00651A30">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Theme="majorHAnsi" w:hAnsiTheme="majorHAnsi"/>
          <w:sz w:val="20"/>
          <w:szCs w:val="20"/>
        </w:rPr>
        <w:t xml:space="preserve">The Commission has determined in previous cases that it is necessary and appropriate to consider the extent to which a state party has given effect to the requirements of Article 36 of the Vienna Convention for the purpose of evaluating that </w:t>
      </w:r>
      <w:r w:rsidR="000B4365" w:rsidRPr="00B645F5">
        <w:rPr>
          <w:rFonts w:asciiTheme="majorHAnsi" w:hAnsiTheme="majorHAnsi"/>
          <w:sz w:val="20"/>
          <w:szCs w:val="20"/>
        </w:rPr>
        <w:t>S</w:t>
      </w:r>
      <w:r w:rsidRPr="00B645F5">
        <w:rPr>
          <w:rFonts w:asciiTheme="majorHAnsi" w:hAnsiTheme="majorHAnsi"/>
          <w:sz w:val="20"/>
          <w:szCs w:val="20"/>
        </w:rPr>
        <w:t>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B645F5">
        <w:rPr>
          <w:rStyle w:val="FootnoteReference"/>
          <w:rFonts w:asciiTheme="majorHAnsi" w:hAnsiTheme="majorHAnsi"/>
          <w:sz w:val="20"/>
          <w:szCs w:val="20"/>
        </w:rPr>
        <w:footnoteReference w:id="50"/>
      </w:r>
    </w:p>
    <w:p w14:paraId="4FE79EB7" w14:textId="77777777" w:rsidR="000B4365" w:rsidRPr="00B645F5" w:rsidRDefault="000B4365" w:rsidP="000B4365">
      <w:pPr>
        <w:pStyle w:val="NormalWeb"/>
        <w:tabs>
          <w:tab w:val="left" w:pos="360"/>
        </w:tabs>
        <w:spacing w:before="0" w:beforeAutospacing="0" w:after="0" w:afterAutospacing="0"/>
        <w:jc w:val="both"/>
        <w:rPr>
          <w:rFonts w:asciiTheme="majorHAnsi" w:hAnsiTheme="majorHAnsi"/>
          <w:sz w:val="20"/>
          <w:szCs w:val="20"/>
        </w:rPr>
      </w:pPr>
    </w:p>
    <w:p w14:paraId="03C0ACA0" w14:textId="77777777" w:rsidR="00F36552" w:rsidRPr="00B645F5" w:rsidRDefault="00F36552" w:rsidP="00F36552">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B645F5">
        <w:rPr>
          <w:rFonts w:ascii="Cambria" w:hAnsi="Cambria"/>
          <w:sz w:val="20"/>
          <w:szCs w:val="20"/>
        </w:rPr>
        <w:t>The Commission observes that according to Article 36 of the Vienna Convention, “the competent authorities of the receiving State shall, without delay, inform the consular post of the sending State</w:t>
      </w:r>
      <w:r w:rsidR="000B4365" w:rsidRPr="00B645F5">
        <w:rPr>
          <w:rFonts w:ascii="Cambria" w:hAnsi="Cambria"/>
          <w:sz w:val="20"/>
          <w:szCs w:val="20"/>
        </w:rPr>
        <w:t>.</w:t>
      </w:r>
      <w:r w:rsidRPr="00B645F5">
        <w:rPr>
          <w:rFonts w:ascii="Cambria" w:hAnsi="Cambria"/>
          <w:sz w:val="20"/>
          <w:szCs w:val="20"/>
        </w:rPr>
        <w:t>” This Article has been “interpreted as requiring the authorities of the host State to inform any detained foreign national of the rights accorded to him in that article “at the time of the arrest, and in any case before the accused makes any statement or confession to the police or judicial authorities.”</w:t>
      </w:r>
      <w:r w:rsidRPr="00B645F5">
        <w:rPr>
          <w:rStyle w:val="FootnoteReference"/>
          <w:rFonts w:asciiTheme="majorHAnsi" w:hAnsiTheme="majorHAnsi"/>
          <w:sz w:val="18"/>
          <w:szCs w:val="18"/>
        </w:rPr>
        <w:t xml:space="preserve"> </w:t>
      </w:r>
      <w:r w:rsidRPr="00B645F5">
        <w:rPr>
          <w:rStyle w:val="FootnoteReference"/>
          <w:rFonts w:asciiTheme="majorHAnsi" w:hAnsiTheme="majorHAnsi"/>
          <w:sz w:val="18"/>
          <w:szCs w:val="18"/>
        </w:rPr>
        <w:footnoteReference w:id="51"/>
      </w:r>
    </w:p>
    <w:p w14:paraId="11AB16F2" w14:textId="77777777" w:rsidR="00651A30" w:rsidRPr="00B645F5" w:rsidRDefault="00651A30" w:rsidP="00651A30">
      <w:pPr>
        <w:pStyle w:val="NormalWeb"/>
        <w:tabs>
          <w:tab w:val="left" w:pos="360"/>
        </w:tabs>
        <w:spacing w:before="0" w:beforeAutospacing="0" w:after="0" w:afterAutospacing="0"/>
        <w:jc w:val="both"/>
        <w:rPr>
          <w:rFonts w:asciiTheme="majorHAnsi" w:hAnsiTheme="majorHAnsi"/>
          <w:sz w:val="20"/>
          <w:szCs w:val="20"/>
        </w:rPr>
      </w:pPr>
    </w:p>
    <w:p w14:paraId="6B9C0AD1" w14:textId="77777777" w:rsidR="00651A30" w:rsidRPr="00B645F5" w:rsidRDefault="00651A30" w:rsidP="00651A30">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Theme="majorHAnsi" w:hAnsiTheme="majorHAnsi"/>
          <w:sz w:val="20"/>
          <w:szCs w:val="20"/>
        </w:rPr>
        <w:t xml:space="preserve">In its Advisory Opinion OC-16/99, the Inter-American Court established that sub-paragraphs (b) and (c) of Article 36(1) of the Vienna Convention “recognize, </w:t>
      </w:r>
      <w:r w:rsidRPr="00B645F5">
        <w:rPr>
          <w:rFonts w:asciiTheme="majorHAnsi" w:hAnsiTheme="majorHAnsi"/>
          <w:i/>
          <w:sz w:val="20"/>
          <w:szCs w:val="20"/>
        </w:rPr>
        <w:t>inter alia</w:t>
      </w:r>
      <w:r w:rsidRPr="00B645F5">
        <w:rPr>
          <w:rFonts w:asciiTheme="majorHAnsi" w:hAnsiTheme="majorHAnsi"/>
          <w:sz w:val="20"/>
          <w:szCs w:val="20"/>
        </w:rPr>
        <w:t>, a detained foreign national’s right to be advised, without delay, that he has:</w:t>
      </w:r>
    </w:p>
    <w:p w14:paraId="5C57EA03" w14:textId="77777777" w:rsidR="00651A30" w:rsidRPr="00B645F5" w:rsidRDefault="00651A30" w:rsidP="00651A30">
      <w:pPr>
        <w:pStyle w:val="ListParagraph"/>
        <w:rPr>
          <w:rFonts w:asciiTheme="majorHAnsi" w:hAnsiTheme="majorHAnsi"/>
          <w:sz w:val="20"/>
          <w:szCs w:val="20"/>
        </w:rPr>
      </w:pPr>
    </w:p>
    <w:p w14:paraId="33B9591F" w14:textId="77777777" w:rsidR="00651A30" w:rsidRPr="00B645F5" w:rsidRDefault="00651A30" w:rsidP="00651A30">
      <w:pPr>
        <w:pStyle w:val="NormalWeb"/>
        <w:tabs>
          <w:tab w:val="left" w:pos="360"/>
        </w:tabs>
        <w:spacing w:before="0" w:beforeAutospacing="0" w:after="0" w:afterAutospacing="0"/>
        <w:ind w:left="360" w:right="360"/>
        <w:jc w:val="both"/>
        <w:rPr>
          <w:rFonts w:asciiTheme="majorHAnsi" w:hAnsiTheme="majorHAnsi"/>
          <w:sz w:val="18"/>
          <w:szCs w:val="18"/>
        </w:rPr>
      </w:pPr>
      <w:r w:rsidRPr="00B645F5">
        <w:rPr>
          <w:rFonts w:asciiTheme="majorHAnsi" w:hAnsiTheme="majorHAnsi"/>
          <w:sz w:val="18"/>
          <w:szCs w:val="18"/>
        </w:rPr>
        <w:t>a) the right to request and obtain from the competent authorities of the host State that they inform the appropriate consular post that he has been arrested, committed to prison, placed in preventive custody or otherwise detained, and</w:t>
      </w:r>
    </w:p>
    <w:p w14:paraId="689CC08B" w14:textId="77777777" w:rsidR="00651A30" w:rsidRPr="00B645F5" w:rsidRDefault="00651A30" w:rsidP="00651A30">
      <w:pPr>
        <w:pStyle w:val="BodyText"/>
        <w:tabs>
          <w:tab w:val="left" w:pos="360"/>
        </w:tabs>
        <w:ind w:left="360" w:right="360"/>
        <w:jc w:val="both"/>
        <w:rPr>
          <w:rFonts w:asciiTheme="majorHAnsi" w:eastAsia="Times New Roman" w:hAnsiTheme="majorHAnsi"/>
          <w:sz w:val="18"/>
          <w:szCs w:val="18"/>
          <w:bdr w:val="none" w:sz="0" w:space="0" w:color="auto"/>
        </w:rPr>
      </w:pPr>
      <w:r w:rsidRPr="00B645F5">
        <w:rPr>
          <w:rFonts w:asciiTheme="majorHAnsi" w:eastAsia="Times New Roman" w:hAnsiTheme="majorHAnsi"/>
          <w:sz w:val="18"/>
          <w:szCs w:val="18"/>
          <w:bdr w:val="none" w:sz="0" w:space="0" w:color="auto"/>
        </w:rPr>
        <w:t>b) the right to address a communication to the appropriate consular post, which is to be forwarded “without delay.”</w:t>
      </w:r>
      <w:r w:rsidR="003339C8" w:rsidRPr="00B645F5">
        <w:rPr>
          <w:rStyle w:val="FootnoteReference"/>
          <w:rFonts w:asciiTheme="majorHAnsi" w:eastAsia="Times New Roman" w:hAnsiTheme="majorHAnsi"/>
          <w:sz w:val="18"/>
          <w:szCs w:val="18"/>
          <w:bdr w:val="none" w:sz="0" w:space="0" w:color="auto"/>
        </w:rPr>
        <w:footnoteReference w:id="52"/>
      </w:r>
    </w:p>
    <w:p w14:paraId="60937CDF" w14:textId="77777777" w:rsidR="00651A30" w:rsidRPr="00B645F5" w:rsidRDefault="00651A30" w:rsidP="00651A30">
      <w:pPr>
        <w:pStyle w:val="BodyText"/>
        <w:tabs>
          <w:tab w:val="left" w:pos="360"/>
        </w:tabs>
        <w:spacing w:after="0"/>
        <w:ind w:right="360"/>
        <w:jc w:val="both"/>
        <w:rPr>
          <w:rFonts w:asciiTheme="majorHAnsi" w:eastAsia="Times New Roman" w:hAnsiTheme="majorHAnsi"/>
          <w:sz w:val="18"/>
          <w:szCs w:val="18"/>
          <w:bdr w:val="none" w:sz="0" w:space="0" w:color="auto"/>
        </w:rPr>
      </w:pPr>
    </w:p>
    <w:p w14:paraId="152A51D4" w14:textId="77777777" w:rsidR="00FD3996" w:rsidRPr="00B645F5" w:rsidRDefault="00FD3996"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Cambria" w:hAnsi="Cambria"/>
          <w:sz w:val="20"/>
          <w:szCs w:val="20"/>
        </w:rPr>
        <w:t xml:space="preserve">The significance of </w:t>
      </w:r>
      <w:r w:rsidR="007F3523" w:rsidRPr="00B645F5">
        <w:rPr>
          <w:rFonts w:ascii="Cambria" w:hAnsi="Cambria"/>
          <w:sz w:val="20"/>
          <w:szCs w:val="20"/>
        </w:rPr>
        <w:t xml:space="preserve">the right to information on </w:t>
      </w:r>
      <w:r w:rsidRPr="00B645F5">
        <w:rPr>
          <w:rFonts w:ascii="Cambria" w:hAnsi="Cambria"/>
          <w:sz w:val="20"/>
          <w:szCs w:val="20"/>
        </w:rPr>
        <w:t xml:space="preserve">consular </w:t>
      </w:r>
      <w:r w:rsidR="007944C5" w:rsidRPr="00B645F5">
        <w:rPr>
          <w:rFonts w:ascii="Cambria" w:hAnsi="Cambria"/>
          <w:sz w:val="20"/>
          <w:szCs w:val="20"/>
        </w:rPr>
        <w:t>assistance</w:t>
      </w:r>
      <w:r w:rsidRPr="00B645F5">
        <w:rPr>
          <w:rFonts w:ascii="Cambria" w:hAnsi="Cambria"/>
          <w:sz w:val="20"/>
          <w:szCs w:val="20"/>
        </w:rPr>
        <w:t xml:space="preserve"> is also reflected in practice guidelines such as those adopted by the American Bar Association, a national organization for the legal profession in the United States, concerning the due process rights of foreign nationals in capital proceedings. The ABA has indicated in its Guidelines for the Appointment and Performance of Defense Counsel in Death Penalty Cases that:</w:t>
      </w:r>
      <w:r w:rsidRPr="00B645F5">
        <w:rPr>
          <w:rStyle w:val="FootnoteReference"/>
          <w:rFonts w:ascii="Cambria" w:hAnsi="Cambria" w:cs="Arial"/>
          <w:sz w:val="20"/>
          <w:szCs w:val="20"/>
        </w:rPr>
        <w:footnoteReference w:id="53"/>
      </w:r>
    </w:p>
    <w:p w14:paraId="1391EB30" w14:textId="77777777" w:rsidR="00FD3996" w:rsidRPr="00B645F5" w:rsidRDefault="00FD3996" w:rsidP="00EC55EA">
      <w:pPr>
        <w:jc w:val="both"/>
        <w:rPr>
          <w:rFonts w:ascii="Cambria" w:hAnsi="Cambria" w:cs="Arial"/>
          <w:sz w:val="20"/>
          <w:szCs w:val="20"/>
        </w:rPr>
      </w:pPr>
    </w:p>
    <w:p w14:paraId="5FF85A9D" w14:textId="77777777" w:rsidR="00FD3996" w:rsidRPr="00B645F5" w:rsidRDefault="00FD3996" w:rsidP="00EC55EA">
      <w:pPr>
        <w:ind w:left="360" w:right="360"/>
        <w:jc w:val="both"/>
        <w:rPr>
          <w:rFonts w:ascii="Cambria" w:hAnsi="Cambria" w:cs="Arial"/>
          <w:sz w:val="18"/>
          <w:szCs w:val="18"/>
        </w:rPr>
      </w:pPr>
      <w:r w:rsidRPr="00B645F5">
        <w:rPr>
          <w:rFonts w:ascii="Cambria" w:hAnsi="Cambria" w:cs="Arial"/>
          <w:sz w:val="18"/>
          <w:szCs w:val="18"/>
        </w:rPr>
        <w:t>[u]</w:t>
      </w:r>
      <w:proofErr w:type="spellStart"/>
      <w:r w:rsidRPr="00B645F5">
        <w:rPr>
          <w:rFonts w:ascii="Cambria" w:hAnsi="Cambria" w:cs="Arial"/>
          <w:sz w:val="18"/>
          <w:szCs w:val="18"/>
        </w:rPr>
        <w:t>nless</w:t>
      </w:r>
      <w:proofErr w:type="spellEnd"/>
      <w:r w:rsidRPr="00B645F5">
        <w:rPr>
          <w:rFonts w:ascii="Cambria" w:hAnsi="Cambria" w:cs="Arial"/>
          <w:sz w:val="18"/>
          <w:szCs w:val="18"/>
        </w:rPr>
        <w:t xml:space="preserve">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p>
    <w:p w14:paraId="55B9327E" w14:textId="77777777" w:rsidR="00FD3996" w:rsidRPr="00B645F5" w:rsidRDefault="00FD3996" w:rsidP="00EC55EA">
      <w:pPr>
        <w:pStyle w:val="NormalWeb"/>
        <w:tabs>
          <w:tab w:val="left" w:pos="360"/>
        </w:tabs>
        <w:spacing w:before="0" w:beforeAutospacing="0" w:after="0" w:afterAutospacing="0"/>
        <w:jc w:val="both"/>
        <w:rPr>
          <w:rFonts w:ascii="Cambria" w:hAnsi="Cambria"/>
          <w:sz w:val="20"/>
          <w:szCs w:val="20"/>
        </w:rPr>
      </w:pPr>
    </w:p>
    <w:p w14:paraId="3CD2F679" w14:textId="0E2A26B8" w:rsidR="00F36552" w:rsidRPr="00B645F5" w:rsidRDefault="00681A6B" w:rsidP="00F36552">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B645F5">
        <w:rPr>
          <w:rFonts w:ascii="Cambria" w:hAnsi="Cambria"/>
          <w:sz w:val="20"/>
          <w:szCs w:val="20"/>
        </w:rPr>
        <w:t>In th</w:t>
      </w:r>
      <w:r w:rsidR="00880395" w:rsidRPr="00B645F5">
        <w:rPr>
          <w:rFonts w:ascii="Cambria" w:hAnsi="Cambria"/>
          <w:sz w:val="20"/>
          <w:szCs w:val="20"/>
        </w:rPr>
        <w:t xml:space="preserve">e present case, </w:t>
      </w:r>
      <w:r w:rsidR="00AC78C4" w:rsidRPr="00B645F5">
        <w:rPr>
          <w:rFonts w:ascii="Cambria" w:hAnsi="Cambria"/>
          <w:sz w:val="20"/>
          <w:szCs w:val="20"/>
        </w:rPr>
        <w:t>the Commission notes that</w:t>
      </w:r>
      <w:r w:rsidRPr="00B645F5">
        <w:rPr>
          <w:rFonts w:ascii="Cambria" w:hAnsi="Cambria"/>
          <w:sz w:val="20"/>
          <w:szCs w:val="20"/>
        </w:rPr>
        <w:t xml:space="preserve"> </w:t>
      </w:r>
      <w:r w:rsidR="005829D9" w:rsidRPr="00B645F5">
        <w:rPr>
          <w:rFonts w:ascii="Cambria" w:hAnsi="Cambria"/>
          <w:sz w:val="20"/>
          <w:szCs w:val="20"/>
        </w:rPr>
        <w:t>M</w:t>
      </w:r>
      <w:r w:rsidR="00600EB0" w:rsidRPr="00B645F5">
        <w:rPr>
          <w:rFonts w:ascii="Cambria" w:hAnsi="Cambria"/>
          <w:sz w:val="20"/>
          <w:szCs w:val="20"/>
        </w:rPr>
        <w:t xml:space="preserve">r. </w:t>
      </w:r>
      <w:r w:rsidR="00AC5329" w:rsidRPr="00B645F5">
        <w:rPr>
          <w:rFonts w:ascii="Cambria" w:hAnsi="Cambria"/>
          <w:sz w:val="20"/>
          <w:szCs w:val="20"/>
        </w:rPr>
        <w:t>Ibarra</w:t>
      </w:r>
      <w:r w:rsidR="00600EB0" w:rsidRPr="00B645F5">
        <w:rPr>
          <w:rFonts w:ascii="Cambria" w:hAnsi="Cambria"/>
          <w:sz w:val="20"/>
          <w:szCs w:val="20"/>
        </w:rPr>
        <w:t xml:space="preserve"> </w:t>
      </w:r>
      <w:r w:rsidRPr="00B645F5">
        <w:rPr>
          <w:rFonts w:ascii="Cambria" w:hAnsi="Cambria"/>
          <w:sz w:val="20"/>
          <w:szCs w:val="20"/>
        </w:rPr>
        <w:t xml:space="preserve">is a national of </w:t>
      </w:r>
      <w:r w:rsidR="00600EB0" w:rsidRPr="00B645F5">
        <w:rPr>
          <w:rFonts w:ascii="Cambria" w:hAnsi="Cambria"/>
          <w:sz w:val="20"/>
          <w:szCs w:val="20"/>
        </w:rPr>
        <w:t>Mexico</w:t>
      </w:r>
      <w:r w:rsidR="00433469" w:rsidRPr="00B645F5">
        <w:rPr>
          <w:rFonts w:asciiTheme="majorHAnsi" w:hAnsiTheme="majorHAnsi"/>
          <w:sz w:val="20"/>
          <w:szCs w:val="20"/>
        </w:rPr>
        <w:t xml:space="preserve">. </w:t>
      </w:r>
      <w:r w:rsidR="005829D9" w:rsidRPr="00B645F5">
        <w:rPr>
          <w:rFonts w:ascii="Cambria" w:hAnsi="Cambria"/>
          <w:sz w:val="20"/>
          <w:szCs w:val="20"/>
        </w:rPr>
        <w:t>It is</w:t>
      </w:r>
      <w:r w:rsidR="00880395" w:rsidRPr="00B645F5">
        <w:rPr>
          <w:rFonts w:ascii="Cambria" w:hAnsi="Cambria"/>
          <w:sz w:val="20"/>
          <w:szCs w:val="20"/>
        </w:rPr>
        <w:t xml:space="preserve"> assert</w:t>
      </w:r>
      <w:r w:rsidR="005829D9" w:rsidRPr="00B645F5">
        <w:rPr>
          <w:rFonts w:ascii="Cambria" w:hAnsi="Cambria"/>
          <w:sz w:val="20"/>
          <w:szCs w:val="20"/>
        </w:rPr>
        <w:t>ed</w:t>
      </w:r>
      <w:r w:rsidR="00880395" w:rsidRPr="00B645F5">
        <w:rPr>
          <w:rFonts w:ascii="Cambria" w:hAnsi="Cambria"/>
          <w:sz w:val="20"/>
          <w:szCs w:val="20"/>
        </w:rPr>
        <w:t xml:space="preserve"> that </w:t>
      </w:r>
      <w:r w:rsidR="005829D9" w:rsidRPr="00B645F5">
        <w:rPr>
          <w:rFonts w:ascii="Cambria" w:hAnsi="Cambria"/>
          <w:sz w:val="20"/>
          <w:szCs w:val="20"/>
        </w:rPr>
        <w:t>he was not informed of h</w:t>
      </w:r>
      <w:r w:rsidR="004516C2" w:rsidRPr="00B645F5">
        <w:rPr>
          <w:rFonts w:ascii="Cambria" w:hAnsi="Cambria"/>
          <w:sz w:val="20"/>
          <w:szCs w:val="20"/>
        </w:rPr>
        <w:t>is</w:t>
      </w:r>
      <w:r w:rsidR="00880395" w:rsidRPr="00B645F5">
        <w:rPr>
          <w:rFonts w:ascii="Cambria" w:hAnsi="Cambria"/>
          <w:sz w:val="20"/>
          <w:szCs w:val="20"/>
        </w:rPr>
        <w:t xml:space="preserve"> </w:t>
      </w:r>
      <w:r w:rsidRPr="00B645F5">
        <w:rPr>
          <w:rFonts w:ascii="Cambria" w:hAnsi="Cambria"/>
          <w:sz w:val="20"/>
          <w:szCs w:val="20"/>
        </w:rPr>
        <w:t xml:space="preserve">right to </w:t>
      </w:r>
      <w:r w:rsidR="007F3523" w:rsidRPr="00B645F5">
        <w:rPr>
          <w:rFonts w:ascii="Cambria" w:hAnsi="Cambria"/>
          <w:sz w:val="20"/>
          <w:szCs w:val="20"/>
        </w:rPr>
        <w:t xml:space="preserve">information on </w:t>
      </w:r>
      <w:r w:rsidRPr="00B645F5">
        <w:rPr>
          <w:rFonts w:ascii="Cambria" w:hAnsi="Cambria"/>
          <w:sz w:val="20"/>
          <w:szCs w:val="20"/>
        </w:rPr>
        <w:t xml:space="preserve">consular </w:t>
      </w:r>
      <w:r w:rsidR="007944C5" w:rsidRPr="00B645F5">
        <w:rPr>
          <w:rFonts w:ascii="Cambria" w:hAnsi="Cambria"/>
          <w:sz w:val="20"/>
          <w:szCs w:val="20"/>
        </w:rPr>
        <w:t>assistance</w:t>
      </w:r>
      <w:r w:rsidRPr="00B645F5">
        <w:rPr>
          <w:rFonts w:ascii="Cambria" w:hAnsi="Cambria"/>
          <w:sz w:val="20"/>
          <w:szCs w:val="20"/>
        </w:rPr>
        <w:t xml:space="preserve"> when </w:t>
      </w:r>
      <w:r w:rsidR="005829D9" w:rsidRPr="00B645F5">
        <w:rPr>
          <w:rFonts w:ascii="Cambria" w:hAnsi="Cambria"/>
          <w:sz w:val="20"/>
          <w:szCs w:val="20"/>
        </w:rPr>
        <w:t>arrested or subsequent thereto</w:t>
      </w:r>
      <w:r w:rsidR="005B1254" w:rsidRPr="00B645F5">
        <w:rPr>
          <w:rFonts w:ascii="Cambria" w:hAnsi="Cambria"/>
          <w:sz w:val="20"/>
          <w:szCs w:val="20"/>
        </w:rPr>
        <w:t xml:space="preserve"> in preparation for his trial</w:t>
      </w:r>
      <w:r w:rsidRPr="00B645F5">
        <w:rPr>
          <w:rFonts w:ascii="Cambria" w:hAnsi="Cambria"/>
          <w:sz w:val="20"/>
          <w:szCs w:val="20"/>
        </w:rPr>
        <w:t xml:space="preserve">. </w:t>
      </w:r>
      <w:r w:rsidR="00717F06" w:rsidRPr="00B645F5">
        <w:rPr>
          <w:rFonts w:ascii="Cambria" w:hAnsi="Cambria"/>
          <w:sz w:val="20"/>
          <w:szCs w:val="20"/>
        </w:rPr>
        <w:t xml:space="preserve">Moreover, </w:t>
      </w:r>
      <w:r w:rsidR="00717F06" w:rsidRPr="00B645F5">
        <w:rPr>
          <w:rFonts w:asciiTheme="majorHAnsi" w:hAnsiTheme="majorHAnsi"/>
          <w:sz w:val="20"/>
          <w:szCs w:val="20"/>
        </w:rPr>
        <w:t xml:space="preserve">the police freely admitted that they knew Mr. </w:t>
      </w:r>
      <w:r w:rsidR="00AC5329" w:rsidRPr="00B645F5">
        <w:rPr>
          <w:rFonts w:asciiTheme="majorHAnsi" w:hAnsiTheme="majorHAnsi"/>
          <w:sz w:val="20"/>
          <w:szCs w:val="20"/>
        </w:rPr>
        <w:t>Ibarra</w:t>
      </w:r>
      <w:r w:rsidR="00717F06" w:rsidRPr="00B645F5">
        <w:rPr>
          <w:rFonts w:asciiTheme="majorHAnsi" w:hAnsiTheme="majorHAnsi"/>
          <w:sz w:val="20"/>
          <w:szCs w:val="20"/>
        </w:rPr>
        <w:t xml:space="preserve"> was a Mexican </w:t>
      </w:r>
      <w:r w:rsidR="00200794" w:rsidRPr="00B645F5">
        <w:rPr>
          <w:rFonts w:asciiTheme="majorHAnsi" w:hAnsiTheme="majorHAnsi"/>
          <w:sz w:val="20"/>
          <w:szCs w:val="20"/>
        </w:rPr>
        <w:t xml:space="preserve">national </w:t>
      </w:r>
      <w:r w:rsidR="00200794" w:rsidRPr="00B645F5">
        <w:rPr>
          <w:rFonts w:asciiTheme="majorHAnsi" w:hAnsiTheme="majorHAnsi"/>
          <w:sz w:val="20"/>
          <w:szCs w:val="20"/>
        </w:rPr>
        <w:lastRenderedPageBreak/>
        <w:t>but</w:t>
      </w:r>
      <w:r w:rsidR="00717F06" w:rsidRPr="00B645F5">
        <w:rPr>
          <w:rFonts w:asciiTheme="majorHAnsi" w:hAnsiTheme="majorHAnsi"/>
          <w:sz w:val="20"/>
          <w:szCs w:val="20"/>
        </w:rPr>
        <w:t xml:space="preserve"> were not aware that he had the right to consult with the Mexican consulate. </w:t>
      </w:r>
      <w:r w:rsidR="00F36552" w:rsidRPr="00B645F5">
        <w:rPr>
          <w:rFonts w:ascii="Cambria" w:hAnsi="Cambria"/>
          <w:sz w:val="20"/>
          <w:szCs w:val="20"/>
        </w:rPr>
        <w:t xml:space="preserve">Additionally, the Commission notes </w:t>
      </w:r>
      <w:r w:rsidR="00F36552" w:rsidRPr="00B645F5">
        <w:rPr>
          <w:rFonts w:asciiTheme="majorHAnsi" w:hAnsiTheme="majorHAnsi"/>
          <w:sz w:val="20"/>
          <w:szCs w:val="20"/>
        </w:rPr>
        <w:t xml:space="preserve">that the state appointed counsel failed to inform Mr. </w:t>
      </w:r>
      <w:r w:rsidR="00AC5329" w:rsidRPr="00B645F5">
        <w:rPr>
          <w:rFonts w:asciiTheme="majorHAnsi" w:hAnsiTheme="majorHAnsi"/>
          <w:sz w:val="20"/>
          <w:szCs w:val="20"/>
        </w:rPr>
        <w:t>Ibarra</w:t>
      </w:r>
      <w:r w:rsidR="00F36552" w:rsidRPr="00B645F5">
        <w:rPr>
          <w:rFonts w:asciiTheme="majorHAnsi" w:hAnsiTheme="majorHAnsi"/>
          <w:sz w:val="20"/>
          <w:szCs w:val="20"/>
        </w:rPr>
        <w:t xml:space="preserve">, during trial, of his right to information on consular </w:t>
      </w:r>
      <w:r w:rsidR="00F36552" w:rsidRPr="00B645F5">
        <w:rPr>
          <w:rFonts w:ascii="Cambria" w:hAnsi="Cambria"/>
          <w:sz w:val="20"/>
          <w:szCs w:val="20"/>
        </w:rPr>
        <w:t>assistance</w:t>
      </w:r>
      <w:r w:rsidR="00F36552" w:rsidRPr="00B645F5">
        <w:rPr>
          <w:rFonts w:asciiTheme="majorHAnsi" w:hAnsiTheme="majorHAnsi"/>
          <w:sz w:val="20"/>
          <w:szCs w:val="20"/>
        </w:rPr>
        <w:t xml:space="preserve">. </w:t>
      </w:r>
      <w:r w:rsidR="00F36552" w:rsidRPr="00B645F5">
        <w:rPr>
          <w:rFonts w:ascii="Cambria" w:hAnsi="Cambria"/>
          <w:sz w:val="20"/>
          <w:szCs w:val="20"/>
        </w:rPr>
        <w:t xml:space="preserve">Also, according to the facts established in this report, this claim was brought by Mr. </w:t>
      </w:r>
      <w:r w:rsidR="00AC5329" w:rsidRPr="00B645F5">
        <w:rPr>
          <w:rFonts w:ascii="Cambria" w:hAnsi="Cambria"/>
          <w:sz w:val="20"/>
          <w:szCs w:val="20"/>
        </w:rPr>
        <w:t>Ibarra</w:t>
      </w:r>
      <w:r w:rsidR="00F36552" w:rsidRPr="00B645F5">
        <w:rPr>
          <w:rFonts w:ascii="Cambria" w:hAnsi="Cambria"/>
          <w:sz w:val="20"/>
          <w:szCs w:val="20"/>
        </w:rPr>
        <w:t xml:space="preserve"> in a post-conviction </w:t>
      </w:r>
      <w:r w:rsidR="00200794" w:rsidRPr="00B645F5">
        <w:rPr>
          <w:rFonts w:ascii="Cambria" w:hAnsi="Cambria"/>
          <w:sz w:val="20"/>
          <w:szCs w:val="20"/>
        </w:rPr>
        <w:t>motion,</w:t>
      </w:r>
      <w:r w:rsidR="00F36552" w:rsidRPr="00B645F5">
        <w:rPr>
          <w:rFonts w:ascii="Cambria" w:hAnsi="Cambria"/>
          <w:sz w:val="20"/>
          <w:szCs w:val="20"/>
        </w:rPr>
        <w:t xml:space="preserve"> but the court considered that he failed to show that the lack of information on consular assistance </w:t>
      </w:r>
      <w:r w:rsidR="00F36552" w:rsidRPr="00B645F5">
        <w:rPr>
          <w:rFonts w:asciiTheme="majorHAnsi" w:hAnsiTheme="majorHAnsi"/>
          <w:sz w:val="20"/>
          <w:szCs w:val="20"/>
        </w:rPr>
        <w:t xml:space="preserve">affected his conviction and sentence. </w:t>
      </w:r>
    </w:p>
    <w:p w14:paraId="04464C9D" w14:textId="77777777" w:rsidR="00F36552" w:rsidRPr="00B645F5" w:rsidRDefault="00F36552" w:rsidP="00F36552">
      <w:pPr>
        <w:pStyle w:val="NormalWeb"/>
        <w:tabs>
          <w:tab w:val="left" w:pos="360"/>
          <w:tab w:val="left" w:pos="720"/>
          <w:tab w:val="left" w:pos="1440"/>
        </w:tabs>
        <w:spacing w:before="0" w:beforeAutospacing="0" w:after="0" w:afterAutospacing="0"/>
        <w:jc w:val="both"/>
        <w:textAlignment w:val="baseline"/>
        <w:rPr>
          <w:rFonts w:ascii="Cambria" w:hAnsi="Cambria"/>
          <w:sz w:val="20"/>
          <w:szCs w:val="20"/>
        </w:rPr>
      </w:pPr>
    </w:p>
    <w:p w14:paraId="17F5CF8C" w14:textId="77777777" w:rsidR="00F36552" w:rsidRPr="00B645F5" w:rsidRDefault="00F36552" w:rsidP="00F36552">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B645F5">
        <w:rPr>
          <w:rFonts w:ascii="Cambria" w:hAnsi="Cambria"/>
          <w:sz w:val="20"/>
          <w:szCs w:val="20"/>
        </w:rPr>
        <w:t xml:space="preserve">The State has not disputed the petitioners’ contentions in this regard save for the allegation that claims concerning information on consular assistance do not raise a violation of a human right. Accordingly, based upon the information and arguments presented, the Commission concludes that the alleged victim was not notified of his right to information on consular assistance at or subsequent to the time of his respective arrests. </w:t>
      </w:r>
    </w:p>
    <w:p w14:paraId="4C27DD4A" w14:textId="77777777" w:rsidR="00F36552" w:rsidRPr="00B645F5" w:rsidRDefault="00F36552" w:rsidP="00F36552">
      <w:pPr>
        <w:rPr>
          <w:sz w:val="20"/>
          <w:szCs w:val="20"/>
        </w:rPr>
      </w:pPr>
    </w:p>
    <w:p w14:paraId="306138E6" w14:textId="77777777" w:rsidR="00F36552" w:rsidRPr="00B645F5" w:rsidRDefault="00F36552" w:rsidP="00F36552">
      <w:pPr>
        <w:pStyle w:val="NormalWeb"/>
        <w:numPr>
          <w:ilvl w:val="0"/>
          <w:numId w:val="55"/>
        </w:numPr>
        <w:tabs>
          <w:tab w:val="left" w:pos="360"/>
        </w:tabs>
        <w:spacing w:before="0" w:beforeAutospacing="0" w:after="0" w:afterAutospacing="0"/>
        <w:ind w:left="0" w:firstLine="0"/>
        <w:jc w:val="both"/>
        <w:rPr>
          <w:rFonts w:ascii="Cambria" w:hAnsi="Cambria"/>
          <w:sz w:val="20"/>
          <w:szCs w:val="20"/>
        </w:rPr>
      </w:pPr>
      <w:r w:rsidRPr="00B645F5">
        <w:rPr>
          <w:rFonts w:ascii="Cambria" w:hAnsi="Cambria"/>
          <w:sz w:val="20"/>
          <w:szCs w:val="20"/>
        </w:rPr>
        <w:t xml:space="preserve">Based upon the foregoing, the Commission concludes that the State’s obligation under Article 36 of the Vienna Convention to inform Mr. </w:t>
      </w:r>
      <w:r w:rsidR="00AC5329" w:rsidRPr="00B645F5">
        <w:rPr>
          <w:rFonts w:ascii="Cambria" w:hAnsi="Cambria"/>
          <w:sz w:val="20"/>
          <w:szCs w:val="20"/>
        </w:rPr>
        <w:t>Ibarra</w:t>
      </w:r>
      <w:r w:rsidRPr="00B645F5">
        <w:rPr>
          <w:rFonts w:ascii="Cambria" w:hAnsi="Cambria"/>
          <w:sz w:val="20"/>
          <w:szCs w:val="20"/>
        </w:rPr>
        <w:t xml:space="preserve"> at the time of his arrest or during his trial, constituted a fundamental component of the due process standards to which they are entitled under Article XVIII and XXVI of the Declaration, and that the State’s failure to respect and ensure this obligation deprived the alleged victim of a criminal process that satisfied the minimum standards of due process and a fair trial required under Articles XVIII and XXVI of the Declaration. </w:t>
      </w:r>
    </w:p>
    <w:p w14:paraId="1CD0A14E" w14:textId="77777777" w:rsidR="00A66BC5" w:rsidRPr="00B645F5" w:rsidRDefault="00A66BC5" w:rsidP="00A66BC5">
      <w:pPr>
        <w:pStyle w:val="NormalWeb"/>
        <w:tabs>
          <w:tab w:val="left" w:pos="360"/>
        </w:tabs>
        <w:spacing w:before="0" w:beforeAutospacing="0" w:after="0" w:afterAutospacing="0"/>
        <w:jc w:val="both"/>
        <w:rPr>
          <w:rFonts w:ascii="Cambria" w:hAnsi="Cambria"/>
          <w:sz w:val="20"/>
          <w:szCs w:val="20"/>
        </w:rPr>
      </w:pPr>
    </w:p>
    <w:p w14:paraId="0AC8E756" w14:textId="77777777" w:rsidR="007A74BB" w:rsidRPr="00B645F5" w:rsidRDefault="00893298" w:rsidP="00833236">
      <w:pPr>
        <w:pStyle w:val="Heading3"/>
        <w:numPr>
          <w:ilvl w:val="1"/>
          <w:numId w:val="53"/>
        </w:numPr>
        <w:spacing w:before="0"/>
        <w:ind w:left="360"/>
        <w:rPr>
          <w:color w:val="auto"/>
          <w:sz w:val="20"/>
          <w:szCs w:val="20"/>
        </w:rPr>
      </w:pPr>
      <w:bookmarkStart w:id="22" w:name="_Toc90115127"/>
      <w:r w:rsidRPr="00B645F5">
        <w:rPr>
          <w:color w:val="auto"/>
          <w:sz w:val="20"/>
          <w:szCs w:val="20"/>
        </w:rPr>
        <w:t>Ineffective assistance of court-appointed counsel</w:t>
      </w:r>
      <w:bookmarkEnd w:id="22"/>
      <w:r w:rsidRPr="00B645F5">
        <w:rPr>
          <w:color w:val="auto"/>
          <w:sz w:val="20"/>
          <w:szCs w:val="20"/>
        </w:rPr>
        <w:t xml:space="preserve"> </w:t>
      </w:r>
    </w:p>
    <w:p w14:paraId="585F71FB" w14:textId="77777777" w:rsidR="007A74BB" w:rsidRPr="00B645F5" w:rsidRDefault="007A74BB" w:rsidP="005A4196">
      <w:pPr>
        <w:pStyle w:val="NormalWeb"/>
        <w:tabs>
          <w:tab w:val="left" w:pos="360"/>
        </w:tabs>
        <w:spacing w:before="0" w:beforeAutospacing="0" w:after="0" w:afterAutospacing="0"/>
        <w:jc w:val="both"/>
        <w:rPr>
          <w:rFonts w:asciiTheme="majorHAnsi" w:hAnsiTheme="majorHAnsi"/>
          <w:sz w:val="20"/>
          <w:szCs w:val="20"/>
        </w:rPr>
      </w:pPr>
    </w:p>
    <w:p w14:paraId="60A49CAC" w14:textId="77777777" w:rsidR="00893298" w:rsidRPr="00B645F5" w:rsidRDefault="00893298"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Theme="majorHAnsi" w:hAnsiTheme="majorHAnsi"/>
          <w:sz w:val="20"/>
          <w:szCs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B645F5">
        <w:rPr>
          <w:rStyle w:val="FootnoteReference"/>
          <w:rFonts w:asciiTheme="majorHAnsi" w:eastAsia="Arial Unicode MS" w:hAnsiTheme="majorHAnsi"/>
          <w:sz w:val="20"/>
          <w:szCs w:val="20"/>
          <w:bdr w:val="nil"/>
        </w:rPr>
        <w:footnoteReference w:id="54"/>
      </w:r>
      <w:r w:rsidRPr="00B645F5">
        <w:rPr>
          <w:rFonts w:asciiTheme="majorHAnsi" w:hAnsiTheme="majorHAnsi"/>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B645F5">
        <w:rPr>
          <w:rStyle w:val="FootnoteReference"/>
          <w:rFonts w:asciiTheme="majorHAnsi" w:eastAsia="Arial Unicode MS" w:hAnsiTheme="majorHAnsi"/>
          <w:sz w:val="20"/>
          <w:szCs w:val="20"/>
          <w:bdr w:val="nil"/>
        </w:rPr>
        <w:footnoteReference w:id="55"/>
      </w:r>
    </w:p>
    <w:p w14:paraId="261B614E" w14:textId="77777777" w:rsidR="008359D3" w:rsidRPr="00B645F5" w:rsidRDefault="008359D3" w:rsidP="008359D3">
      <w:pPr>
        <w:pStyle w:val="NormalWeb"/>
        <w:tabs>
          <w:tab w:val="left" w:pos="360"/>
        </w:tabs>
        <w:spacing w:before="0" w:beforeAutospacing="0" w:after="0" w:afterAutospacing="0"/>
        <w:jc w:val="both"/>
        <w:rPr>
          <w:rFonts w:asciiTheme="majorHAnsi" w:hAnsiTheme="majorHAnsi"/>
          <w:sz w:val="20"/>
          <w:szCs w:val="20"/>
        </w:rPr>
      </w:pPr>
    </w:p>
    <w:p w14:paraId="0370B99E" w14:textId="77777777" w:rsidR="008359D3" w:rsidRPr="00B645F5" w:rsidRDefault="008359D3" w:rsidP="008359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w:t>
      </w:r>
      <w:r w:rsidRPr="00B645F5">
        <w:rPr>
          <w:rFonts w:asciiTheme="majorHAnsi" w:eastAsia="Times New Roman" w:hAnsiTheme="majorHAnsi"/>
          <w:sz w:val="20"/>
          <w:szCs w:val="20"/>
          <w:bdr w:val="none" w:sz="0" w:space="0" w:color="auto"/>
          <w:vertAlign w:val="superscript"/>
        </w:rPr>
        <w:footnoteReference w:id="56"/>
      </w:r>
    </w:p>
    <w:p w14:paraId="168D926E" w14:textId="77777777" w:rsidR="006A54F9" w:rsidRPr="00B645F5" w:rsidRDefault="006A54F9" w:rsidP="00EC55EA">
      <w:pPr>
        <w:pStyle w:val="NormalWeb"/>
        <w:tabs>
          <w:tab w:val="left" w:pos="360"/>
        </w:tabs>
        <w:spacing w:before="0" w:beforeAutospacing="0" w:after="0" w:afterAutospacing="0"/>
        <w:jc w:val="both"/>
        <w:rPr>
          <w:rFonts w:asciiTheme="majorHAnsi" w:hAnsiTheme="majorHAnsi"/>
          <w:sz w:val="20"/>
          <w:szCs w:val="20"/>
        </w:rPr>
      </w:pPr>
    </w:p>
    <w:p w14:paraId="503749FF" w14:textId="77777777" w:rsidR="002F5096" w:rsidRPr="00B645F5" w:rsidRDefault="006A54F9" w:rsidP="002F5096">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Theme="majorHAnsi" w:hAnsiTheme="majorHAnsi"/>
          <w:sz w:val="20"/>
          <w:szCs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B645F5">
        <w:rPr>
          <w:rStyle w:val="FootnoteReference"/>
          <w:rFonts w:asciiTheme="majorHAnsi" w:hAnsiTheme="majorHAnsi"/>
          <w:sz w:val="20"/>
          <w:szCs w:val="20"/>
        </w:rPr>
        <w:footnoteReference w:id="57"/>
      </w:r>
      <w:r w:rsidRPr="00B645F5">
        <w:rPr>
          <w:rFonts w:asciiTheme="majorHAnsi" w:hAnsiTheme="majorHAnsi"/>
          <w:position w:val="6"/>
          <w:sz w:val="20"/>
          <w:szCs w:val="12"/>
        </w:rPr>
        <w:t xml:space="preserve"> </w:t>
      </w:r>
      <w:r w:rsidRPr="00B645F5">
        <w:rPr>
          <w:rFonts w:asciiTheme="majorHAnsi" w:hAnsiTheme="majorHAnsi"/>
          <w:sz w:val="20"/>
          <w:szCs w:val="20"/>
        </w:rPr>
        <w:t xml:space="preserve">The Commission has also indicated that due process protections, under the Declaration: </w:t>
      </w:r>
    </w:p>
    <w:p w14:paraId="741E92C7" w14:textId="77777777" w:rsidR="002F5096" w:rsidRPr="00B645F5" w:rsidRDefault="002F5096" w:rsidP="002F5096">
      <w:pPr>
        <w:pStyle w:val="NormalWeb"/>
        <w:tabs>
          <w:tab w:val="left" w:pos="360"/>
        </w:tabs>
        <w:spacing w:before="0" w:beforeAutospacing="0" w:after="0" w:afterAutospacing="0"/>
        <w:jc w:val="both"/>
        <w:rPr>
          <w:rFonts w:asciiTheme="majorHAnsi" w:hAnsiTheme="majorHAnsi"/>
          <w:sz w:val="20"/>
          <w:szCs w:val="20"/>
        </w:rPr>
      </w:pPr>
    </w:p>
    <w:p w14:paraId="53F1BFA6" w14:textId="77777777" w:rsidR="00BC33B0" w:rsidRPr="00B645F5" w:rsidRDefault="006A54F9" w:rsidP="00193281">
      <w:pPr>
        <w:spacing w:beforeLines="1" w:before="2" w:afterLines="1" w:after="2"/>
        <w:ind w:left="360" w:right="360"/>
        <w:jc w:val="both"/>
        <w:rPr>
          <w:rFonts w:asciiTheme="majorHAnsi" w:hAnsiTheme="majorHAnsi"/>
          <w:position w:val="4"/>
          <w:sz w:val="18"/>
          <w:szCs w:val="18"/>
        </w:rPr>
      </w:pPr>
      <w:r w:rsidRPr="00B645F5">
        <w:rPr>
          <w:rFonts w:asciiTheme="majorHAnsi" w:hAnsiTheme="majorHAnsi"/>
          <w:sz w:val="18"/>
          <w:szCs w:val="18"/>
        </w:rPr>
        <w:t>guarantee an opportunity to make submissions and present evidence as to whether a death sentence may not be a permissible or appropriate punishment in the circumstances of the defendant’s case, in light of such</w:t>
      </w:r>
      <w:r w:rsidR="002F5096" w:rsidRPr="00B645F5">
        <w:rPr>
          <w:rFonts w:asciiTheme="majorHAnsi" w:hAnsiTheme="majorHAnsi"/>
          <w:sz w:val="18"/>
          <w:szCs w:val="18"/>
        </w:rPr>
        <w:t xml:space="preserve"> </w:t>
      </w:r>
      <w:r w:rsidRPr="00B645F5">
        <w:rPr>
          <w:rFonts w:asciiTheme="majorHAnsi" w:hAnsiTheme="majorHAnsi"/>
          <w:sz w:val="18"/>
          <w:szCs w:val="18"/>
        </w:rPr>
        <w:t>considerations as the offender’s character and record, subjective factors that might have motivated his or her conduct, the design and manner of execution of the particular offense, and the possibility of reform and social readaptation of the offender.</w:t>
      </w:r>
      <w:r w:rsidRPr="00B645F5">
        <w:rPr>
          <w:rStyle w:val="FootnoteReference"/>
          <w:rFonts w:asciiTheme="majorHAnsi" w:hAnsiTheme="majorHAnsi"/>
          <w:sz w:val="18"/>
          <w:szCs w:val="18"/>
        </w:rPr>
        <w:footnoteReference w:id="58"/>
      </w:r>
    </w:p>
    <w:p w14:paraId="7C5217BF" w14:textId="77777777" w:rsidR="00BC33B0" w:rsidRPr="00B645F5" w:rsidRDefault="00BC33B0" w:rsidP="00BC33B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18"/>
        </w:rPr>
      </w:pPr>
    </w:p>
    <w:p w14:paraId="7465EF6C" w14:textId="77777777" w:rsidR="00BC33B0" w:rsidRPr="00B645F5" w:rsidRDefault="00BC33B0" w:rsidP="00041D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18"/>
          <w:bdr w:val="none" w:sz="0" w:space="0" w:color="auto"/>
        </w:rPr>
      </w:pPr>
      <w:r w:rsidRPr="00B645F5">
        <w:rPr>
          <w:rFonts w:asciiTheme="majorHAnsi" w:eastAsia="Times New Roman" w:hAnsiTheme="majorHAnsi"/>
          <w:sz w:val="20"/>
          <w:szCs w:val="20"/>
          <w:bdr w:val="none" w:sz="0" w:space="0" w:color="auto"/>
        </w:rPr>
        <w:t xml:space="preserve">It may be noted that the fundamental nature of this guarantee has been reflected in practice guidelines for lawyers. The American Bar Association has prepared and adopted guidelines and related commentaries that </w:t>
      </w:r>
      <w:r w:rsidRPr="00B645F5">
        <w:rPr>
          <w:rFonts w:asciiTheme="majorHAnsi" w:eastAsia="Times New Roman" w:hAnsiTheme="majorHAnsi"/>
          <w:sz w:val="20"/>
          <w:szCs w:val="20"/>
          <w:bdr w:val="none" w:sz="0" w:space="0" w:color="auto"/>
        </w:rPr>
        <w:lastRenderedPageBreak/>
        <w:t>emphasize the importance of investigating and presenting mitigating evidence in death penalty cases.</w:t>
      </w:r>
      <w:r w:rsidRPr="00B645F5">
        <w:rPr>
          <w:rFonts w:asciiTheme="majorHAnsi" w:eastAsia="Times New Roman" w:hAnsiTheme="majorHAnsi"/>
          <w:sz w:val="20"/>
          <w:szCs w:val="20"/>
          <w:bdr w:val="none" w:sz="0" w:space="0" w:color="auto"/>
          <w:vertAlign w:val="superscript"/>
        </w:rPr>
        <w:footnoteReference w:id="59"/>
      </w:r>
      <w:r w:rsidRPr="00B645F5">
        <w:rPr>
          <w:rFonts w:asciiTheme="majorHAnsi" w:eastAsia="Times New Roman" w:hAnsiTheme="majorHAnsi"/>
          <w:sz w:val="20"/>
          <w:szCs w:val="20"/>
          <w:bdr w:val="none" w:sz="0" w:space="0" w:color="auto"/>
        </w:rPr>
        <w:t xml:space="preserve"> According to these guidelines, the duty of counsel in the United States to investigate and present mitigating evidence is now well-established and “[b]</w:t>
      </w:r>
      <w:proofErr w:type="spellStart"/>
      <w:r w:rsidRPr="00B645F5">
        <w:rPr>
          <w:rFonts w:asciiTheme="majorHAnsi" w:eastAsia="Times New Roman" w:hAnsiTheme="majorHAnsi"/>
          <w:sz w:val="20"/>
          <w:szCs w:val="20"/>
          <w:bdr w:val="none" w:sz="0" w:space="0" w:color="auto"/>
        </w:rPr>
        <w:t>ecause</w:t>
      </w:r>
      <w:proofErr w:type="spellEnd"/>
      <w:r w:rsidRPr="00B645F5">
        <w:rPr>
          <w:rFonts w:asciiTheme="majorHAnsi" w:eastAsia="Times New Roman" w:hAnsiTheme="majorHAnsi"/>
          <w:sz w:val="20"/>
          <w:szCs w:val="20"/>
          <w:bdr w:val="none" w:sz="0" w:space="0" w:color="auto"/>
        </w:rPr>
        <w:t xml:space="preserv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B645F5">
        <w:rPr>
          <w:rFonts w:asciiTheme="majorHAnsi" w:eastAsia="Times New Roman" w:hAnsiTheme="majorHAnsi"/>
          <w:sz w:val="20"/>
          <w:szCs w:val="20"/>
          <w:bdr w:val="none" w:sz="0" w:space="0" w:color="auto"/>
          <w:vertAlign w:val="superscript"/>
        </w:rPr>
        <w:footnoteReference w:id="60"/>
      </w:r>
      <w:r w:rsidRPr="00B645F5">
        <w:rPr>
          <w:rFonts w:asciiTheme="majorHAnsi" w:eastAsia="Times New Roman" w:hAnsiTheme="majorHAnsi"/>
          <w:sz w:val="20"/>
          <w:szCs w:val="20"/>
          <w:bdr w:val="none" w:sz="0" w:space="0" w:color="auto"/>
        </w:rPr>
        <w:t xml:space="preserve"> 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B645F5">
        <w:rPr>
          <w:rFonts w:asciiTheme="majorHAnsi" w:eastAsia="Times New Roman" w:hAnsiTheme="majorHAnsi"/>
          <w:sz w:val="20"/>
          <w:szCs w:val="20"/>
          <w:bdr w:val="none" w:sz="0" w:space="0" w:color="auto"/>
          <w:vertAlign w:val="superscript"/>
        </w:rPr>
        <w:footnoteReference w:id="61"/>
      </w:r>
      <w:r w:rsidRPr="00B645F5">
        <w:rPr>
          <w:rFonts w:asciiTheme="majorHAnsi" w:eastAsia="Times New Roman" w:hAnsiTheme="majorHAnsi"/>
          <w:sz w:val="20"/>
          <w:szCs w:val="20"/>
          <w:bdr w:val="none" w:sz="0" w:space="0" w:color="auto"/>
        </w:rPr>
        <w:t xml:space="preserve"> </w:t>
      </w:r>
    </w:p>
    <w:p w14:paraId="059EF7F3" w14:textId="77777777" w:rsidR="00BC33B0" w:rsidRPr="00B645F5" w:rsidRDefault="00BC33B0" w:rsidP="00BC33B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3E9AE68A" w14:textId="77777777" w:rsidR="00776D14" w:rsidRPr="00B645F5" w:rsidRDefault="003B37EC" w:rsidP="00776D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According to</w:t>
      </w:r>
      <w:r w:rsidR="00BC33B0" w:rsidRPr="00B645F5">
        <w:rPr>
          <w:rFonts w:asciiTheme="majorHAnsi" w:eastAsia="Times New Roman" w:hAnsiTheme="majorHAnsi"/>
          <w:sz w:val="20"/>
          <w:szCs w:val="20"/>
          <w:bdr w:val="none" w:sz="0" w:space="0" w:color="auto"/>
        </w:rPr>
        <w:t xml:space="preserve"> the information provided, </w:t>
      </w:r>
      <w:r w:rsidR="00762E35" w:rsidRPr="00B645F5">
        <w:rPr>
          <w:rFonts w:asciiTheme="majorHAnsi" w:eastAsia="Times New Roman" w:hAnsiTheme="majorHAnsi"/>
          <w:sz w:val="20"/>
          <w:szCs w:val="20"/>
          <w:bdr w:val="none" w:sz="0" w:space="0" w:color="auto"/>
        </w:rPr>
        <w:t>trial counsel called several witnesses to attest</w:t>
      </w:r>
      <w:r w:rsidR="002E7DBC" w:rsidRPr="00B645F5">
        <w:rPr>
          <w:rFonts w:asciiTheme="majorHAnsi" w:eastAsia="Times New Roman" w:hAnsiTheme="majorHAnsi"/>
          <w:sz w:val="20"/>
          <w:szCs w:val="20"/>
          <w:bdr w:val="none" w:sz="0" w:space="0" w:color="auto"/>
        </w:rPr>
        <w:t xml:space="preserve"> to </w:t>
      </w:r>
      <w:r w:rsidR="00762E35" w:rsidRPr="00B645F5">
        <w:rPr>
          <w:rFonts w:asciiTheme="majorHAnsi" w:eastAsia="Times New Roman" w:hAnsiTheme="majorHAnsi"/>
          <w:sz w:val="20"/>
          <w:szCs w:val="20"/>
          <w:bdr w:val="none" w:sz="0" w:space="0" w:color="auto"/>
        </w:rPr>
        <w:t xml:space="preserve">Mr. </w:t>
      </w:r>
      <w:r w:rsidR="00AC5329" w:rsidRPr="00B645F5">
        <w:rPr>
          <w:rFonts w:asciiTheme="majorHAnsi" w:eastAsia="Times New Roman" w:hAnsiTheme="majorHAnsi"/>
          <w:sz w:val="20"/>
          <w:szCs w:val="20"/>
          <w:bdr w:val="none" w:sz="0" w:space="0" w:color="auto"/>
        </w:rPr>
        <w:t>Ibarra</w:t>
      </w:r>
      <w:r w:rsidR="00D4158A" w:rsidRPr="00B645F5">
        <w:rPr>
          <w:rFonts w:asciiTheme="majorHAnsi" w:eastAsia="Times New Roman" w:hAnsiTheme="majorHAnsi"/>
          <w:sz w:val="20"/>
          <w:szCs w:val="20"/>
          <w:bdr w:val="none" w:sz="0" w:space="0" w:color="auto"/>
        </w:rPr>
        <w:t>´s charac</w:t>
      </w:r>
      <w:r w:rsidR="00207606" w:rsidRPr="00B645F5">
        <w:rPr>
          <w:rFonts w:asciiTheme="majorHAnsi" w:eastAsia="Times New Roman" w:hAnsiTheme="majorHAnsi"/>
          <w:sz w:val="20"/>
          <w:szCs w:val="20"/>
          <w:bdr w:val="none" w:sz="0" w:space="0" w:color="auto"/>
        </w:rPr>
        <w:t>ter</w:t>
      </w:r>
      <w:r w:rsidR="002E7DBC" w:rsidRPr="00B645F5">
        <w:rPr>
          <w:rFonts w:asciiTheme="majorHAnsi" w:eastAsia="Times New Roman" w:hAnsiTheme="majorHAnsi"/>
          <w:sz w:val="20"/>
          <w:szCs w:val="20"/>
          <w:bdr w:val="none" w:sz="0" w:space="0" w:color="auto"/>
        </w:rPr>
        <w:t xml:space="preserve">. </w:t>
      </w:r>
      <w:r w:rsidR="001D0E1A" w:rsidRPr="00B645F5">
        <w:rPr>
          <w:rFonts w:asciiTheme="majorHAnsi" w:eastAsia="Times New Roman" w:hAnsiTheme="majorHAnsi"/>
          <w:sz w:val="20"/>
          <w:szCs w:val="20"/>
          <w:bdr w:val="none" w:sz="0" w:space="0" w:color="auto"/>
        </w:rPr>
        <w:t xml:space="preserve">In </w:t>
      </w:r>
      <w:r w:rsidR="00AB7ED1" w:rsidRPr="00B645F5">
        <w:rPr>
          <w:rFonts w:asciiTheme="majorHAnsi" w:eastAsia="Times New Roman" w:hAnsiTheme="majorHAnsi"/>
          <w:sz w:val="20"/>
          <w:szCs w:val="20"/>
          <w:bdr w:val="none" w:sz="0" w:space="0" w:color="auto"/>
        </w:rPr>
        <w:t>particular,</w:t>
      </w:r>
      <w:r w:rsidR="001D0E1A" w:rsidRPr="00B645F5">
        <w:rPr>
          <w:rFonts w:asciiTheme="majorHAnsi" w:eastAsia="Times New Roman" w:hAnsiTheme="majorHAnsi"/>
          <w:sz w:val="20"/>
          <w:szCs w:val="20"/>
          <w:bdr w:val="none" w:sz="0" w:space="0" w:color="auto"/>
        </w:rPr>
        <w:t xml:space="preserve"> the court </w:t>
      </w:r>
      <w:r w:rsidR="003C59EB" w:rsidRPr="00B645F5">
        <w:rPr>
          <w:rFonts w:asciiTheme="majorHAnsi" w:eastAsia="Times New Roman" w:hAnsiTheme="majorHAnsi"/>
          <w:sz w:val="20"/>
          <w:szCs w:val="20"/>
          <w:bdr w:val="none" w:sz="0" w:space="0" w:color="auto"/>
        </w:rPr>
        <w:t>considered that</w:t>
      </w:r>
      <w:r w:rsidR="001D0E1A" w:rsidRPr="00B645F5">
        <w:rPr>
          <w:rFonts w:asciiTheme="majorHAnsi" w:hAnsiTheme="majorHAnsi"/>
          <w:sz w:val="20"/>
          <w:szCs w:val="20"/>
        </w:rPr>
        <w:t xml:space="preserve"> motions for investigative funding and assistance, including evaluations by Dr. Stephen Mark, a psychiatrist</w:t>
      </w:r>
      <w:r w:rsidR="003C59EB" w:rsidRPr="00B645F5">
        <w:rPr>
          <w:rFonts w:asciiTheme="majorHAnsi" w:hAnsiTheme="majorHAnsi"/>
          <w:sz w:val="20"/>
          <w:szCs w:val="20"/>
        </w:rPr>
        <w:t>, were completed.</w:t>
      </w:r>
      <w:r w:rsidR="006844F8" w:rsidRPr="00B645F5">
        <w:rPr>
          <w:rFonts w:asciiTheme="majorHAnsi" w:hAnsiTheme="majorHAnsi"/>
          <w:sz w:val="20"/>
          <w:szCs w:val="20"/>
        </w:rPr>
        <w:t xml:space="preserve"> Moreover, that</w:t>
      </w:r>
      <w:r w:rsidR="001D0E1A" w:rsidRPr="00B645F5">
        <w:rPr>
          <w:rFonts w:asciiTheme="majorHAnsi" w:hAnsiTheme="majorHAnsi"/>
          <w:sz w:val="20"/>
          <w:szCs w:val="20"/>
        </w:rPr>
        <w:t xml:space="preserve"> </w:t>
      </w:r>
      <w:r w:rsidR="006844F8" w:rsidRPr="00B645F5">
        <w:rPr>
          <w:rFonts w:asciiTheme="majorHAnsi" w:hAnsiTheme="majorHAnsi"/>
          <w:sz w:val="20"/>
          <w:szCs w:val="20"/>
        </w:rPr>
        <w:t>m</w:t>
      </w:r>
      <w:r w:rsidR="001D0E1A" w:rsidRPr="00B645F5">
        <w:rPr>
          <w:rFonts w:asciiTheme="majorHAnsi" w:hAnsiTheme="majorHAnsi"/>
          <w:sz w:val="20"/>
          <w:szCs w:val="20"/>
        </w:rPr>
        <w:t>any of the facts identified by</w:t>
      </w:r>
      <w:r w:rsidR="006844F8" w:rsidRPr="00B645F5">
        <w:rPr>
          <w:rFonts w:asciiTheme="majorHAnsi" w:hAnsiTheme="majorHAnsi"/>
          <w:sz w:val="20"/>
          <w:szCs w:val="20"/>
        </w:rPr>
        <w:t xml:space="preserve"> </w:t>
      </w:r>
      <w:r w:rsidR="006844F8" w:rsidRPr="00B645F5">
        <w:rPr>
          <w:rFonts w:asciiTheme="majorHAnsi" w:eastAsia="Times New Roman" w:hAnsiTheme="majorHAnsi"/>
          <w:sz w:val="20"/>
          <w:szCs w:val="20"/>
          <w:bdr w:val="none" w:sz="0" w:space="0" w:color="auto"/>
        </w:rPr>
        <w:t xml:space="preserve">Mr. </w:t>
      </w:r>
      <w:r w:rsidR="00AC5329" w:rsidRPr="00B645F5">
        <w:rPr>
          <w:rFonts w:asciiTheme="majorHAnsi" w:eastAsia="Times New Roman" w:hAnsiTheme="majorHAnsi"/>
          <w:sz w:val="20"/>
          <w:szCs w:val="20"/>
          <w:bdr w:val="none" w:sz="0" w:space="0" w:color="auto"/>
        </w:rPr>
        <w:t>Ibarra</w:t>
      </w:r>
      <w:r w:rsidR="001D01DE" w:rsidRPr="00B645F5">
        <w:rPr>
          <w:rFonts w:asciiTheme="majorHAnsi" w:hAnsiTheme="majorHAnsi"/>
          <w:sz w:val="20"/>
          <w:szCs w:val="20"/>
        </w:rPr>
        <w:t xml:space="preserve"> </w:t>
      </w:r>
      <w:r w:rsidR="001D0E1A" w:rsidRPr="00B645F5">
        <w:rPr>
          <w:rFonts w:asciiTheme="majorHAnsi" w:hAnsiTheme="majorHAnsi"/>
          <w:sz w:val="20"/>
          <w:szCs w:val="20"/>
        </w:rPr>
        <w:t xml:space="preserve">were in fact presented to the jury through the testimony of </w:t>
      </w:r>
      <w:r w:rsidR="001D01DE" w:rsidRPr="00B645F5">
        <w:rPr>
          <w:rFonts w:asciiTheme="majorHAnsi" w:hAnsiTheme="majorHAnsi"/>
          <w:sz w:val="20"/>
          <w:szCs w:val="20"/>
        </w:rPr>
        <w:t>his</w:t>
      </w:r>
      <w:r w:rsidR="001D0E1A" w:rsidRPr="00B645F5">
        <w:rPr>
          <w:rFonts w:asciiTheme="majorHAnsi" w:hAnsiTheme="majorHAnsi"/>
          <w:sz w:val="20"/>
          <w:szCs w:val="20"/>
        </w:rPr>
        <w:t xml:space="preserve"> sister and his wife, who testified that </w:t>
      </w:r>
      <w:r w:rsidR="001D01DE" w:rsidRPr="00B645F5">
        <w:rPr>
          <w:rFonts w:asciiTheme="majorHAnsi" w:hAnsiTheme="majorHAnsi"/>
          <w:sz w:val="20"/>
          <w:szCs w:val="20"/>
        </w:rPr>
        <w:t xml:space="preserve">he </w:t>
      </w:r>
      <w:r w:rsidR="001D0E1A" w:rsidRPr="00B645F5">
        <w:rPr>
          <w:rFonts w:asciiTheme="majorHAnsi" w:hAnsiTheme="majorHAnsi"/>
          <w:sz w:val="20"/>
          <w:szCs w:val="20"/>
        </w:rPr>
        <w:t xml:space="preserve">came to the United States to find work to help support his family, that their family was poor, and that they lived in “humble” circumstances, working on the land, and </w:t>
      </w:r>
      <w:r w:rsidR="001D01DE" w:rsidRPr="00B645F5">
        <w:rPr>
          <w:rFonts w:asciiTheme="majorHAnsi" w:hAnsiTheme="majorHAnsi"/>
          <w:sz w:val="20"/>
          <w:szCs w:val="20"/>
        </w:rPr>
        <w:t xml:space="preserve">provided details on </w:t>
      </w:r>
      <w:r w:rsidR="001D0E1A" w:rsidRPr="00B645F5">
        <w:rPr>
          <w:rFonts w:asciiTheme="majorHAnsi" w:hAnsiTheme="majorHAnsi"/>
          <w:sz w:val="20"/>
          <w:szCs w:val="20"/>
        </w:rPr>
        <w:t xml:space="preserve">the circumstances of his family situation in the United States. </w:t>
      </w:r>
    </w:p>
    <w:p w14:paraId="578B1DFD" w14:textId="77777777" w:rsidR="00776D14" w:rsidRPr="00B645F5" w:rsidRDefault="00776D14" w:rsidP="00776D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0F0A554B" w14:textId="77777777" w:rsidR="00F36552" w:rsidRPr="00B645F5" w:rsidRDefault="00776D14" w:rsidP="009A6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 xml:space="preserve">The Commission considers that the information provided does not sufficiently substantiate the claim that counsel was ineffective in orchestrating investigations and presenting mitigation evidence. It is </w:t>
      </w:r>
      <w:r w:rsidR="009A6422" w:rsidRPr="00B645F5">
        <w:rPr>
          <w:rFonts w:asciiTheme="majorHAnsi" w:eastAsia="Times New Roman" w:hAnsiTheme="majorHAnsi"/>
          <w:sz w:val="20"/>
          <w:szCs w:val="20"/>
          <w:bdr w:val="none" w:sz="0" w:space="0" w:color="auto"/>
        </w:rPr>
        <w:t>submitted</w:t>
      </w:r>
      <w:r w:rsidR="00AB7ED1" w:rsidRPr="00B645F5">
        <w:rPr>
          <w:rFonts w:asciiTheme="majorHAnsi" w:eastAsia="Times New Roman" w:hAnsiTheme="majorHAnsi"/>
          <w:sz w:val="20"/>
          <w:szCs w:val="20"/>
          <w:bdr w:val="none" w:sz="0" w:space="0" w:color="auto"/>
        </w:rPr>
        <w:t>,</w:t>
      </w:r>
      <w:r w:rsidR="009A6422" w:rsidRPr="00B645F5">
        <w:rPr>
          <w:rFonts w:asciiTheme="majorHAnsi" w:eastAsia="Times New Roman" w:hAnsiTheme="majorHAnsi"/>
          <w:sz w:val="20"/>
          <w:szCs w:val="20"/>
          <w:bdr w:val="none" w:sz="0" w:space="0" w:color="auto"/>
        </w:rPr>
        <w:t xml:space="preserve"> </w:t>
      </w:r>
      <w:r w:rsidRPr="00B645F5">
        <w:rPr>
          <w:rFonts w:asciiTheme="majorHAnsi" w:eastAsia="Times New Roman" w:hAnsiTheme="majorHAnsi"/>
          <w:sz w:val="20"/>
          <w:szCs w:val="20"/>
          <w:bdr w:val="none" w:sz="0" w:space="0" w:color="auto"/>
        </w:rPr>
        <w:t>however</w:t>
      </w:r>
      <w:r w:rsidR="00AB7ED1" w:rsidRPr="00B645F5">
        <w:rPr>
          <w:rFonts w:asciiTheme="majorHAnsi" w:eastAsia="Times New Roman" w:hAnsiTheme="majorHAnsi"/>
          <w:sz w:val="20"/>
          <w:szCs w:val="20"/>
          <w:bdr w:val="none" w:sz="0" w:space="0" w:color="auto"/>
        </w:rPr>
        <w:t>,</w:t>
      </w:r>
      <w:r w:rsidRPr="00B645F5">
        <w:rPr>
          <w:rFonts w:asciiTheme="majorHAnsi" w:eastAsia="Times New Roman" w:hAnsiTheme="majorHAnsi"/>
          <w:sz w:val="20"/>
          <w:szCs w:val="20"/>
          <w:bdr w:val="none" w:sz="0" w:space="0" w:color="auto"/>
        </w:rPr>
        <w:t xml:space="preserve"> that</w:t>
      </w:r>
      <w:r w:rsidR="00F36552" w:rsidRPr="00B645F5">
        <w:rPr>
          <w:rFonts w:asciiTheme="majorHAnsi" w:hAnsiTheme="majorHAnsi"/>
          <w:sz w:val="20"/>
          <w:szCs w:val="20"/>
        </w:rPr>
        <w:t xml:space="preserve"> a failure by state-appoin</w:t>
      </w:r>
      <w:r w:rsidR="009A6422" w:rsidRPr="00B645F5">
        <w:rPr>
          <w:rFonts w:asciiTheme="majorHAnsi" w:hAnsiTheme="majorHAnsi"/>
          <w:sz w:val="20"/>
          <w:szCs w:val="20"/>
        </w:rPr>
        <w:t xml:space="preserve">ted counsel to inform Mr. </w:t>
      </w:r>
      <w:r w:rsidR="00AC5329" w:rsidRPr="00B645F5">
        <w:rPr>
          <w:rFonts w:asciiTheme="majorHAnsi" w:hAnsiTheme="majorHAnsi"/>
          <w:sz w:val="20"/>
          <w:szCs w:val="20"/>
        </w:rPr>
        <w:t>Ibarra</w:t>
      </w:r>
      <w:r w:rsidR="00F36552" w:rsidRPr="00B645F5">
        <w:rPr>
          <w:rFonts w:asciiTheme="majorHAnsi" w:hAnsiTheme="majorHAnsi"/>
          <w:sz w:val="20"/>
          <w:szCs w:val="20"/>
        </w:rPr>
        <w:t xml:space="preserve"> of his right to consular notification is a breach of his right t</w:t>
      </w:r>
      <w:r w:rsidR="009A6422" w:rsidRPr="00B645F5">
        <w:rPr>
          <w:rFonts w:asciiTheme="majorHAnsi" w:hAnsiTheme="majorHAnsi"/>
          <w:sz w:val="20"/>
          <w:szCs w:val="20"/>
        </w:rPr>
        <w:t>o due process and a fair trial.</w:t>
      </w:r>
      <w:r w:rsidR="00F36552" w:rsidRPr="00B645F5">
        <w:rPr>
          <w:rFonts w:asciiTheme="majorHAnsi" w:hAnsiTheme="majorHAnsi"/>
          <w:sz w:val="20"/>
          <w:szCs w:val="20"/>
        </w:rPr>
        <w:t xml:space="preserve"> This ha</w:t>
      </w:r>
      <w:r w:rsidR="009A6422" w:rsidRPr="00B645F5">
        <w:rPr>
          <w:rFonts w:asciiTheme="majorHAnsi" w:hAnsiTheme="majorHAnsi"/>
          <w:sz w:val="20"/>
          <w:szCs w:val="20"/>
        </w:rPr>
        <w:t xml:space="preserve">d an impact on Mr. </w:t>
      </w:r>
      <w:r w:rsidR="00AC5329" w:rsidRPr="00B645F5">
        <w:rPr>
          <w:rFonts w:asciiTheme="majorHAnsi" w:hAnsiTheme="majorHAnsi"/>
          <w:sz w:val="20"/>
          <w:szCs w:val="20"/>
        </w:rPr>
        <w:t>Ibarra</w:t>
      </w:r>
      <w:r w:rsidR="00F36552" w:rsidRPr="00B645F5">
        <w:rPr>
          <w:rFonts w:asciiTheme="majorHAnsi" w:hAnsiTheme="majorHAnsi"/>
          <w:sz w:val="20"/>
          <w:szCs w:val="20"/>
        </w:rPr>
        <w:t>’s post-conviction motion as the claim was procedurally barred.</w:t>
      </w:r>
      <w:r w:rsidR="009A6422" w:rsidRPr="00B645F5">
        <w:rPr>
          <w:rFonts w:asciiTheme="majorHAnsi" w:hAnsiTheme="majorHAnsi"/>
          <w:sz w:val="20"/>
          <w:szCs w:val="20"/>
        </w:rPr>
        <w:t xml:space="preserve"> Moreover, it is indeterminable the extent of assistance the consulate could have provided and the impact of further testimony to Mr. </w:t>
      </w:r>
      <w:r w:rsidR="00AC5329" w:rsidRPr="00B645F5">
        <w:rPr>
          <w:rFonts w:asciiTheme="majorHAnsi" w:hAnsiTheme="majorHAnsi"/>
          <w:sz w:val="20"/>
          <w:szCs w:val="20"/>
        </w:rPr>
        <w:t>Ibarra</w:t>
      </w:r>
      <w:r w:rsidR="009A6422" w:rsidRPr="00B645F5">
        <w:rPr>
          <w:rFonts w:asciiTheme="majorHAnsi" w:hAnsiTheme="majorHAnsi"/>
          <w:sz w:val="20"/>
          <w:szCs w:val="20"/>
        </w:rPr>
        <w:t>’s character, however</w:t>
      </w:r>
      <w:r w:rsidR="00AB7ED1" w:rsidRPr="00B645F5">
        <w:rPr>
          <w:rFonts w:asciiTheme="majorHAnsi" w:hAnsiTheme="majorHAnsi"/>
          <w:sz w:val="20"/>
          <w:szCs w:val="20"/>
        </w:rPr>
        <w:t>,</w:t>
      </w:r>
      <w:r w:rsidR="009A6422" w:rsidRPr="00B645F5">
        <w:rPr>
          <w:rFonts w:asciiTheme="majorHAnsi" w:hAnsiTheme="majorHAnsi"/>
          <w:sz w:val="20"/>
          <w:szCs w:val="20"/>
        </w:rPr>
        <w:t xml:space="preserve"> given the heightened scrutiny for capital trials, counsel should have explored all avenues to obtain available mitigating evidence. </w:t>
      </w:r>
    </w:p>
    <w:p w14:paraId="1A76E4AE" w14:textId="77777777" w:rsidR="00F36552" w:rsidRPr="00B645F5" w:rsidRDefault="00F36552" w:rsidP="00BC33B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5E2FB728" w14:textId="316C9BB4" w:rsidR="00BC33B0" w:rsidRPr="00B645F5" w:rsidRDefault="006A0014" w:rsidP="00BC33B0">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rPr>
      </w:pPr>
      <w:r w:rsidRPr="00B645F5">
        <w:rPr>
          <w:rFonts w:asciiTheme="majorHAnsi" w:hAnsiTheme="majorHAnsi"/>
          <w:sz w:val="20"/>
          <w:szCs w:val="20"/>
        </w:rPr>
        <w:t>The Commission considers</w:t>
      </w:r>
      <w:r w:rsidR="00F36552" w:rsidRPr="00B645F5">
        <w:rPr>
          <w:rFonts w:asciiTheme="majorHAnsi" w:hAnsiTheme="majorHAnsi"/>
          <w:sz w:val="20"/>
          <w:szCs w:val="20"/>
        </w:rPr>
        <w:t xml:space="preserve"> that the fundamental due process and fair trial requirements for capital trials include the obligation to afford adequate legal representation, inclusive of the </w:t>
      </w:r>
      <w:r w:rsidR="009A6422" w:rsidRPr="00B645F5">
        <w:rPr>
          <w:rFonts w:asciiTheme="majorHAnsi" w:hAnsiTheme="majorHAnsi"/>
          <w:sz w:val="20"/>
          <w:szCs w:val="20"/>
        </w:rPr>
        <w:t>submission of all available mitigating evidence</w:t>
      </w:r>
      <w:r w:rsidR="00F36552" w:rsidRPr="00B645F5">
        <w:rPr>
          <w:rFonts w:asciiTheme="majorHAnsi" w:hAnsiTheme="majorHAnsi"/>
          <w:sz w:val="20"/>
          <w:szCs w:val="20"/>
        </w:rPr>
        <w:t>, and that the failure to inform a client of his rights to various forms of assistance, specifically, to consular assistance when the client is a foreign national, would constitute inadequate representation. Based on the aforementioned considerations and on the information on record, the Commission concludes that the actions by the state appointed counsel</w:t>
      </w:r>
      <w:r w:rsidR="00F36552" w:rsidRPr="00B645F5">
        <w:rPr>
          <w:rFonts w:asciiTheme="majorHAnsi" w:hAnsiTheme="majorHAnsi" w:cs="Arial"/>
          <w:sz w:val="20"/>
          <w:szCs w:val="20"/>
        </w:rPr>
        <w:t xml:space="preserve"> constitute inadequate representation; and that the United States has violated Mr. </w:t>
      </w:r>
      <w:r w:rsidR="00AC5329" w:rsidRPr="00B645F5">
        <w:rPr>
          <w:rFonts w:asciiTheme="majorHAnsi" w:hAnsiTheme="majorHAnsi" w:cs="Arial"/>
          <w:sz w:val="20"/>
          <w:szCs w:val="20"/>
        </w:rPr>
        <w:t>Ibarra</w:t>
      </w:r>
      <w:r w:rsidR="009A6422" w:rsidRPr="00B645F5">
        <w:rPr>
          <w:rFonts w:asciiTheme="majorHAnsi" w:hAnsiTheme="majorHAnsi" w:cs="Arial"/>
          <w:sz w:val="20"/>
          <w:szCs w:val="20"/>
        </w:rPr>
        <w:t xml:space="preserve">’s </w:t>
      </w:r>
      <w:r w:rsidR="00F36552" w:rsidRPr="00B645F5">
        <w:rPr>
          <w:rFonts w:asciiTheme="majorHAnsi" w:hAnsiTheme="majorHAnsi" w:cs="Arial"/>
          <w:sz w:val="20"/>
          <w:szCs w:val="20"/>
        </w:rPr>
        <w:t>right to due process and to a fair trial under Articles XVIII and XXVI of the American Declaration.</w:t>
      </w:r>
    </w:p>
    <w:p w14:paraId="783E1F83" w14:textId="668A4A74" w:rsidR="00FD6DD7" w:rsidRPr="00B645F5" w:rsidRDefault="00FD6DD7" w:rsidP="00FD6D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024BCE18" w14:textId="77777777" w:rsidR="00FD6DD7" w:rsidRPr="00B645F5" w:rsidRDefault="00FD6DD7" w:rsidP="004F770D">
      <w:pPr>
        <w:pStyle w:val="ListParagraph"/>
        <w:keepNext/>
        <w:keepLines/>
        <w:numPr>
          <w:ilvl w:val="1"/>
          <w:numId w:val="53"/>
        </w:numPr>
        <w:tabs>
          <w:tab w:val="left" w:pos="360"/>
        </w:tabs>
        <w:ind w:left="0" w:firstLine="0"/>
        <w:outlineLvl w:val="2"/>
        <w:rPr>
          <w:rFonts w:asciiTheme="majorHAnsi" w:eastAsiaTheme="majorEastAsia" w:hAnsiTheme="majorHAnsi" w:cstheme="majorBidi"/>
          <w:b/>
          <w:bCs/>
          <w:sz w:val="20"/>
          <w:szCs w:val="20"/>
        </w:rPr>
      </w:pPr>
      <w:bookmarkStart w:id="23" w:name="_Toc90115128"/>
      <w:r w:rsidRPr="00B645F5">
        <w:rPr>
          <w:rFonts w:asciiTheme="majorHAnsi" w:eastAsiaTheme="majorEastAsia" w:hAnsiTheme="majorHAnsi" w:cstheme="majorBidi"/>
          <w:b/>
          <w:bCs/>
          <w:sz w:val="20"/>
          <w:szCs w:val="20"/>
        </w:rPr>
        <w:t xml:space="preserve">Right to </w:t>
      </w:r>
      <w:r w:rsidR="003D3E91" w:rsidRPr="00B645F5">
        <w:rPr>
          <w:rFonts w:asciiTheme="majorHAnsi" w:eastAsiaTheme="majorEastAsia" w:hAnsiTheme="majorHAnsi" w:cstheme="majorBidi"/>
          <w:b/>
          <w:bCs/>
          <w:sz w:val="20"/>
          <w:szCs w:val="20"/>
        </w:rPr>
        <w:t>a</w:t>
      </w:r>
      <w:r w:rsidR="00A2147C" w:rsidRPr="00B645F5">
        <w:rPr>
          <w:rFonts w:asciiTheme="majorHAnsi" w:eastAsiaTheme="majorEastAsia" w:hAnsiTheme="majorHAnsi" w:cstheme="majorBidi"/>
          <w:b/>
          <w:bCs/>
          <w:sz w:val="20"/>
          <w:szCs w:val="20"/>
        </w:rPr>
        <w:t xml:space="preserve">dequate </w:t>
      </w:r>
      <w:r w:rsidR="003D3E91" w:rsidRPr="00B645F5">
        <w:rPr>
          <w:rFonts w:asciiTheme="majorHAnsi" w:eastAsiaTheme="majorEastAsia" w:hAnsiTheme="majorHAnsi" w:cstheme="majorBidi"/>
          <w:b/>
          <w:bCs/>
          <w:sz w:val="20"/>
          <w:szCs w:val="20"/>
        </w:rPr>
        <w:t>t</w:t>
      </w:r>
      <w:r w:rsidR="00A2147C" w:rsidRPr="00B645F5">
        <w:rPr>
          <w:rFonts w:asciiTheme="majorHAnsi" w:eastAsiaTheme="majorEastAsia" w:hAnsiTheme="majorHAnsi" w:cstheme="majorBidi"/>
          <w:b/>
          <w:bCs/>
          <w:sz w:val="20"/>
          <w:szCs w:val="20"/>
        </w:rPr>
        <w:t xml:space="preserve">ime and </w:t>
      </w:r>
      <w:r w:rsidR="00EF051D" w:rsidRPr="00B645F5">
        <w:rPr>
          <w:rFonts w:asciiTheme="majorHAnsi" w:eastAsiaTheme="majorEastAsia" w:hAnsiTheme="majorHAnsi" w:cstheme="majorBidi"/>
          <w:b/>
          <w:bCs/>
          <w:sz w:val="20"/>
          <w:szCs w:val="20"/>
        </w:rPr>
        <w:t>t</w:t>
      </w:r>
      <w:r w:rsidR="00A2147C" w:rsidRPr="00B645F5">
        <w:rPr>
          <w:rFonts w:asciiTheme="majorHAnsi" w:eastAsiaTheme="majorEastAsia" w:hAnsiTheme="majorHAnsi" w:cstheme="majorBidi"/>
          <w:b/>
          <w:bCs/>
          <w:sz w:val="20"/>
          <w:szCs w:val="20"/>
        </w:rPr>
        <w:t>o be</w:t>
      </w:r>
      <w:r w:rsidR="003D3E91" w:rsidRPr="00B645F5">
        <w:rPr>
          <w:rFonts w:asciiTheme="majorHAnsi" w:eastAsiaTheme="majorEastAsia" w:hAnsiTheme="majorHAnsi" w:cstheme="majorBidi"/>
          <w:b/>
          <w:bCs/>
          <w:sz w:val="20"/>
          <w:szCs w:val="20"/>
        </w:rPr>
        <w:t xml:space="preserve"> a</w:t>
      </w:r>
      <w:r w:rsidR="00A2147C" w:rsidRPr="00B645F5">
        <w:rPr>
          <w:rFonts w:asciiTheme="majorHAnsi" w:eastAsiaTheme="majorEastAsia" w:hAnsiTheme="majorHAnsi" w:cstheme="majorBidi"/>
          <w:b/>
          <w:bCs/>
          <w:sz w:val="20"/>
          <w:szCs w:val="20"/>
        </w:rPr>
        <w:t xml:space="preserve">ssisted by </w:t>
      </w:r>
      <w:r w:rsidR="003D3E91" w:rsidRPr="00B645F5">
        <w:rPr>
          <w:rFonts w:asciiTheme="majorHAnsi" w:eastAsiaTheme="majorEastAsia" w:hAnsiTheme="majorHAnsi" w:cstheme="majorBidi"/>
          <w:b/>
          <w:bCs/>
          <w:sz w:val="20"/>
          <w:szCs w:val="20"/>
        </w:rPr>
        <w:t>legal</w:t>
      </w:r>
      <w:r w:rsidR="00A2147C" w:rsidRPr="00B645F5">
        <w:rPr>
          <w:rFonts w:asciiTheme="majorHAnsi" w:eastAsiaTheme="majorEastAsia" w:hAnsiTheme="majorHAnsi" w:cstheme="majorBidi"/>
          <w:b/>
          <w:bCs/>
          <w:sz w:val="20"/>
          <w:szCs w:val="20"/>
        </w:rPr>
        <w:t xml:space="preserve"> </w:t>
      </w:r>
      <w:r w:rsidR="003D3E91" w:rsidRPr="00B645F5">
        <w:rPr>
          <w:rFonts w:asciiTheme="majorHAnsi" w:eastAsiaTheme="majorEastAsia" w:hAnsiTheme="majorHAnsi" w:cstheme="majorBidi"/>
          <w:b/>
          <w:bCs/>
          <w:sz w:val="20"/>
          <w:szCs w:val="20"/>
        </w:rPr>
        <w:t>c</w:t>
      </w:r>
      <w:r w:rsidR="00EF051D" w:rsidRPr="00B645F5">
        <w:rPr>
          <w:rFonts w:asciiTheme="majorHAnsi" w:eastAsiaTheme="majorEastAsia" w:hAnsiTheme="majorHAnsi" w:cstheme="majorBidi"/>
          <w:b/>
          <w:bCs/>
          <w:sz w:val="20"/>
          <w:szCs w:val="20"/>
        </w:rPr>
        <w:t>ounsel</w:t>
      </w:r>
      <w:bookmarkEnd w:id="23"/>
    </w:p>
    <w:p w14:paraId="312E189B" w14:textId="77777777" w:rsidR="00262A01" w:rsidRPr="00B645F5" w:rsidRDefault="00262A01" w:rsidP="00262A0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5072BA64" w14:textId="77777777" w:rsidR="005E657B" w:rsidRPr="00B645F5" w:rsidRDefault="005E657B" w:rsidP="005E65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 xml:space="preserve">The petitioners allege that the state court denied Mr. </w:t>
      </w:r>
      <w:proofErr w:type="spellStart"/>
      <w:r w:rsidRPr="00B645F5">
        <w:rPr>
          <w:rFonts w:asciiTheme="majorHAnsi" w:eastAsia="Times New Roman" w:hAnsiTheme="majorHAnsi"/>
          <w:sz w:val="20"/>
          <w:szCs w:val="20"/>
          <w:bdr w:val="none" w:sz="0" w:space="0" w:color="auto"/>
        </w:rPr>
        <w:t>Rubí</w:t>
      </w:r>
      <w:proofErr w:type="spellEnd"/>
      <w:r w:rsidRPr="00B645F5">
        <w:rPr>
          <w:rFonts w:asciiTheme="majorHAnsi" w:eastAsia="Times New Roman" w:hAnsiTheme="majorHAnsi"/>
          <w:sz w:val="20"/>
          <w:szCs w:val="20"/>
          <w:bdr w:val="none" w:sz="0" w:space="0" w:color="auto"/>
        </w:rPr>
        <w:t xml:space="preserve"> adequate time and funding to prepare for his intellectual disability hearing. They say that neither the Texas Court of Criminal Appeals, nor the trial court, appointed counsel to represent him. He allegedly remained unrepresented in state court until volunteer counsel entered an appearance.</w:t>
      </w:r>
    </w:p>
    <w:p w14:paraId="5C657521" w14:textId="77777777" w:rsidR="00377BE7" w:rsidRPr="00B645F5" w:rsidRDefault="00377BE7" w:rsidP="00377BE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3B4B54EC" w14:textId="77777777" w:rsidR="00377BE7" w:rsidRPr="00B645F5" w:rsidRDefault="00377BE7" w:rsidP="003D3E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 xml:space="preserve">Given the available information on the matter before the Commission, </w:t>
      </w:r>
      <w:r w:rsidR="001B57A9" w:rsidRPr="00B645F5">
        <w:rPr>
          <w:rFonts w:asciiTheme="majorHAnsi" w:eastAsia="Times New Roman" w:hAnsiTheme="majorHAnsi"/>
          <w:sz w:val="20"/>
          <w:szCs w:val="20"/>
          <w:bdr w:val="none" w:sz="0" w:space="0" w:color="auto"/>
        </w:rPr>
        <w:t xml:space="preserve">there is no evidence to substantiate this allegation and the Commission is unable to conclude on whether there exists a violation </w:t>
      </w:r>
      <w:r w:rsidR="00CF7C64" w:rsidRPr="00B645F5">
        <w:rPr>
          <w:rFonts w:asciiTheme="majorHAnsi" w:eastAsia="Times New Roman" w:hAnsiTheme="majorHAnsi"/>
          <w:sz w:val="20"/>
          <w:szCs w:val="20"/>
          <w:bdr w:val="none" w:sz="0" w:space="0" w:color="auto"/>
        </w:rPr>
        <w:t xml:space="preserve">against Mr. Ibarra’s right to adequate time and to be assisted by legal counsel, which equally violates his right to </w:t>
      </w:r>
      <w:r w:rsidR="008F422D" w:rsidRPr="00B645F5">
        <w:rPr>
          <w:rFonts w:asciiTheme="majorHAnsi" w:eastAsia="Times New Roman" w:hAnsiTheme="majorHAnsi"/>
          <w:sz w:val="20"/>
          <w:szCs w:val="20"/>
          <w:bdr w:val="none" w:sz="0" w:space="0" w:color="auto"/>
        </w:rPr>
        <w:t>adequate means for the preparation of his defense which would be in violation of Article XVI</w:t>
      </w:r>
      <w:r w:rsidR="00A22C97" w:rsidRPr="00B645F5">
        <w:rPr>
          <w:rFonts w:asciiTheme="majorHAnsi" w:eastAsia="Times New Roman" w:hAnsiTheme="majorHAnsi"/>
          <w:sz w:val="20"/>
          <w:szCs w:val="20"/>
          <w:bdr w:val="none" w:sz="0" w:space="0" w:color="auto"/>
        </w:rPr>
        <w:t>II</w:t>
      </w:r>
      <w:r w:rsidR="008F422D" w:rsidRPr="00B645F5">
        <w:rPr>
          <w:rFonts w:asciiTheme="majorHAnsi" w:eastAsia="Times New Roman" w:hAnsiTheme="majorHAnsi"/>
          <w:sz w:val="20"/>
          <w:szCs w:val="20"/>
          <w:bdr w:val="none" w:sz="0" w:space="0" w:color="auto"/>
        </w:rPr>
        <w:t xml:space="preserve"> of the Declaration.</w:t>
      </w:r>
    </w:p>
    <w:p w14:paraId="5405A4B8" w14:textId="77777777" w:rsidR="003D3E91" w:rsidRPr="00B645F5" w:rsidRDefault="003D3E91" w:rsidP="003D3E9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778D0F84" w14:textId="4E2F0921" w:rsidR="00845515" w:rsidRPr="00B645F5" w:rsidRDefault="0002510E" w:rsidP="0002510E">
      <w:pPr>
        <w:pStyle w:val="Heading1"/>
        <w:numPr>
          <w:ilvl w:val="1"/>
          <w:numId w:val="53"/>
        </w:numPr>
        <w:tabs>
          <w:tab w:val="left" w:pos="360"/>
        </w:tabs>
        <w:spacing w:before="0"/>
        <w:ind w:left="0" w:firstLine="0"/>
        <w:jc w:val="both"/>
        <w:rPr>
          <w:color w:val="auto"/>
          <w:sz w:val="20"/>
          <w:szCs w:val="20"/>
        </w:rPr>
      </w:pPr>
      <w:bookmarkStart w:id="24" w:name="_Toc90115129"/>
      <w:r w:rsidRPr="00B645F5">
        <w:rPr>
          <w:color w:val="auto"/>
          <w:sz w:val="20"/>
          <w:szCs w:val="20"/>
        </w:rPr>
        <w:lastRenderedPageBreak/>
        <w:t xml:space="preserve">Right to </w:t>
      </w:r>
      <w:r w:rsidR="00984F4A" w:rsidRPr="00B645F5">
        <w:rPr>
          <w:color w:val="auto"/>
          <w:sz w:val="20"/>
          <w:szCs w:val="20"/>
        </w:rPr>
        <w:t xml:space="preserve">an effective remedy, to </w:t>
      </w:r>
      <w:r w:rsidRPr="00B645F5">
        <w:rPr>
          <w:color w:val="auto"/>
          <w:sz w:val="20"/>
          <w:szCs w:val="20"/>
        </w:rPr>
        <w:t>be tried by an impartial judge</w:t>
      </w:r>
      <w:r w:rsidR="00984F4A" w:rsidRPr="00B645F5">
        <w:rPr>
          <w:color w:val="auto"/>
          <w:sz w:val="20"/>
          <w:szCs w:val="20"/>
        </w:rPr>
        <w:t>,</w:t>
      </w:r>
      <w:r w:rsidRPr="00B645F5">
        <w:rPr>
          <w:color w:val="auto"/>
          <w:sz w:val="20"/>
          <w:szCs w:val="20"/>
        </w:rPr>
        <w:t xml:space="preserve"> and </w:t>
      </w:r>
      <w:r w:rsidRPr="00B645F5">
        <w:rPr>
          <w:color w:val="000000"/>
          <w:sz w:val="20"/>
        </w:rPr>
        <w:t>to equality before the law and non-discrimination</w:t>
      </w:r>
      <w:r w:rsidR="00576966" w:rsidRPr="00B645F5">
        <w:rPr>
          <w:rStyle w:val="FootnoteReference"/>
          <w:color w:val="auto"/>
          <w:sz w:val="20"/>
          <w:szCs w:val="20"/>
        </w:rPr>
        <w:footnoteReference w:id="62"/>
      </w:r>
      <w:bookmarkEnd w:id="24"/>
      <w:r w:rsidR="003D3E91" w:rsidRPr="00B645F5">
        <w:rPr>
          <w:color w:val="auto"/>
          <w:sz w:val="20"/>
          <w:szCs w:val="20"/>
        </w:rPr>
        <w:t xml:space="preserve"> </w:t>
      </w:r>
    </w:p>
    <w:p w14:paraId="799931A3" w14:textId="77777777" w:rsidR="00F41D05" w:rsidRPr="00B645F5" w:rsidRDefault="00F41D05" w:rsidP="00193281">
      <w:pPr>
        <w:pStyle w:val="NormalWeb"/>
        <w:tabs>
          <w:tab w:val="left" w:pos="360"/>
          <w:tab w:val="left" w:pos="720"/>
          <w:tab w:val="left" w:pos="1440"/>
        </w:tabs>
        <w:spacing w:beforeLines="1" w:before="2" w:beforeAutospacing="0" w:afterLines="1" w:after="2" w:afterAutospacing="0"/>
        <w:jc w:val="both"/>
        <w:rPr>
          <w:rFonts w:asciiTheme="majorHAnsi" w:hAnsiTheme="majorHAnsi"/>
          <w:sz w:val="20"/>
          <w:szCs w:val="20"/>
        </w:rPr>
      </w:pPr>
    </w:p>
    <w:p w14:paraId="05122FA2" w14:textId="77777777" w:rsidR="00693321" w:rsidRPr="00B645F5" w:rsidRDefault="00693321" w:rsidP="00693321">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Theme="majorHAnsi" w:hAnsiTheme="majorHAnsi"/>
          <w:sz w:val="20"/>
          <w:szCs w:val="20"/>
        </w:rPr>
        <w:t>The right to be tried by an impartial judge or court is a fundamental guarantee of due process. In other words, the person on trial must have the guarantee that the judge or court presiding over his case brings to it the utmost objectivity. This way, courts inspire the necessary trust and confidence in the parties to the case and in the citizens of a democratic society.</w:t>
      </w:r>
    </w:p>
    <w:p w14:paraId="25B9FF3E" w14:textId="77777777" w:rsidR="00693321" w:rsidRPr="00B645F5" w:rsidRDefault="00693321" w:rsidP="00693321">
      <w:pPr>
        <w:pStyle w:val="NormalWeb"/>
        <w:tabs>
          <w:tab w:val="left" w:pos="360"/>
          <w:tab w:val="left" w:pos="720"/>
          <w:tab w:val="left" w:pos="1440"/>
        </w:tabs>
        <w:spacing w:beforeLines="1" w:before="2" w:beforeAutospacing="0" w:afterLines="1" w:after="2" w:afterAutospacing="0"/>
        <w:jc w:val="both"/>
        <w:rPr>
          <w:rFonts w:asciiTheme="majorHAnsi" w:hAnsiTheme="majorHAnsi"/>
          <w:sz w:val="20"/>
          <w:szCs w:val="20"/>
        </w:rPr>
      </w:pPr>
    </w:p>
    <w:p w14:paraId="6B81B980" w14:textId="77777777" w:rsidR="008F48A5" w:rsidRPr="00B645F5" w:rsidRDefault="008F48A5" w:rsidP="008F48A5">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Theme="majorHAnsi" w:hAnsiTheme="majorHAnsi"/>
          <w:sz w:val="20"/>
          <w:szCs w:val="20"/>
        </w:rPr>
        <w:t>In the Case of Herrera Ulloa v. Costa Rica</w:t>
      </w:r>
      <w:r w:rsidRPr="00B645F5">
        <w:rPr>
          <w:rFonts w:asciiTheme="majorHAnsi" w:hAnsiTheme="majorHAnsi"/>
          <w:sz w:val="20"/>
          <w:szCs w:val="20"/>
          <w:lang w:val="en-GB"/>
        </w:rPr>
        <w:t>,</w:t>
      </w:r>
      <w:r w:rsidRPr="00B645F5">
        <w:rPr>
          <w:rStyle w:val="FootnoteReference"/>
          <w:rFonts w:asciiTheme="majorHAnsi" w:hAnsiTheme="majorHAnsi"/>
          <w:sz w:val="20"/>
          <w:szCs w:val="20"/>
          <w:lang w:val="en-GB"/>
        </w:rPr>
        <w:footnoteReference w:id="63"/>
      </w:r>
      <w:r w:rsidRPr="00B645F5">
        <w:rPr>
          <w:rFonts w:asciiTheme="majorHAnsi" w:hAnsiTheme="majorHAnsi"/>
          <w:sz w:val="20"/>
          <w:szCs w:val="20"/>
          <w:lang w:val="en-GB"/>
        </w:rPr>
        <w:t xml:space="preserve"> citing the European Court, the Inter-American Court stated that impartiality has both subjective and objective aspects. In terms of subjectivity, the court must lack personal bias (the judge or tribunal must have the utmost objectivity to face the trial), and in terms of the objective point of view, the courts must inspire the "necessary confidence in the parties to the case, as well as in the citizens in a democratic society." The Court specified that the "impartiality of the tribunal implies that its members do not have a direct interest, a position taken, or a preference for any of the parties and that they are not involved in the controversy". </w:t>
      </w:r>
      <w:r w:rsidRPr="00B645F5">
        <w:rPr>
          <w:rFonts w:asciiTheme="majorHAnsi" w:hAnsiTheme="majorHAnsi"/>
          <w:sz w:val="20"/>
          <w:szCs w:val="20"/>
        </w:rPr>
        <w:t>Specifically, it was noted that the European Court held in this regard that:</w:t>
      </w:r>
    </w:p>
    <w:p w14:paraId="6AB64461" w14:textId="77777777" w:rsidR="008F48A5" w:rsidRPr="00B645F5" w:rsidRDefault="008F48A5" w:rsidP="008F48A5">
      <w:pPr>
        <w:pStyle w:val="ListParagraph"/>
        <w:rPr>
          <w:rFonts w:asciiTheme="majorHAnsi" w:hAnsiTheme="majorHAnsi"/>
          <w:sz w:val="20"/>
          <w:szCs w:val="20"/>
        </w:rPr>
      </w:pPr>
    </w:p>
    <w:p w14:paraId="6D6A3831" w14:textId="77777777" w:rsidR="008F48A5" w:rsidRPr="00B645F5" w:rsidRDefault="008F48A5" w:rsidP="008F48A5">
      <w:pPr>
        <w:pStyle w:val="NormalWeb"/>
        <w:tabs>
          <w:tab w:val="left" w:pos="360"/>
          <w:tab w:val="left" w:pos="720"/>
          <w:tab w:val="left" w:pos="1440"/>
        </w:tabs>
        <w:spacing w:beforeLines="1" w:before="2" w:beforeAutospacing="0" w:afterLines="1" w:after="2" w:afterAutospacing="0"/>
        <w:ind w:left="540" w:right="360"/>
        <w:jc w:val="both"/>
        <w:rPr>
          <w:rFonts w:asciiTheme="majorHAnsi" w:hAnsiTheme="majorHAnsi"/>
          <w:sz w:val="18"/>
          <w:szCs w:val="18"/>
        </w:rPr>
      </w:pPr>
      <w:r w:rsidRPr="00B645F5">
        <w:rPr>
          <w:rFonts w:asciiTheme="majorHAnsi" w:hAnsiTheme="majorHAnsi"/>
          <w:sz w:val="18"/>
          <w:szCs w:val="18"/>
        </w:rPr>
        <w:t>“First, the tribunal must be subjectively free of personal prejudice or bias. Secondly, it must also be impartial from an objective viewpoint, that is, it must offer sufficient guarantees to exclude any legitimate doubt in this respect. Under the objective test, it must be determined whether, quite apart from the judges’ personal conduct, there are ascertainable facts which may raise doubts as to their impartiality. In this respect even appearances may be of a certain importance. What is at stake is the confidence which the courts in a democratic society must inspire in the public and above all in the parties to proceedings.</w:t>
      </w:r>
      <w:r w:rsidRPr="00B645F5">
        <w:rPr>
          <w:rStyle w:val="FootnoteReference"/>
          <w:rFonts w:asciiTheme="majorHAnsi" w:hAnsiTheme="majorHAnsi"/>
          <w:sz w:val="18"/>
          <w:szCs w:val="18"/>
        </w:rPr>
        <w:footnoteReference w:id="64"/>
      </w:r>
    </w:p>
    <w:p w14:paraId="1EFAB2C7" w14:textId="77777777" w:rsidR="0059724B" w:rsidRPr="00B645F5" w:rsidRDefault="0059724B" w:rsidP="0059724B">
      <w:pPr>
        <w:rPr>
          <w:rFonts w:asciiTheme="majorHAnsi" w:hAnsiTheme="majorHAnsi"/>
          <w:sz w:val="20"/>
          <w:szCs w:val="20"/>
        </w:rPr>
      </w:pPr>
    </w:p>
    <w:p w14:paraId="330F44A5" w14:textId="77777777" w:rsidR="009854EB" w:rsidRPr="00B645F5" w:rsidRDefault="0059724B" w:rsidP="009854EB">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Theme="majorHAnsi" w:hAnsiTheme="majorHAnsi"/>
          <w:sz w:val="20"/>
          <w:szCs w:val="20"/>
        </w:rPr>
        <w:t xml:space="preserve">In the case of </w:t>
      </w:r>
      <w:proofErr w:type="spellStart"/>
      <w:r w:rsidRPr="00B645F5">
        <w:rPr>
          <w:rFonts w:asciiTheme="majorHAnsi" w:hAnsiTheme="majorHAnsi"/>
          <w:sz w:val="20"/>
          <w:szCs w:val="20"/>
        </w:rPr>
        <w:t>Apitz</w:t>
      </w:r>
      <w:proofErr w:type="spellEnd"/>
      <w:r w:rsidRPr="00B645F5">
        <w:rPr>
          <w:rFonts w:asciiTheme="majorHAnsi" w:hAnsiTheme="majorHAnsi"/>
          <w:sz w:val="20"/>
          <w:szCs w:val="20"/>
        </w:rPr>
        <w:t xml:space="preserve"> Barbera </w:t>
      </w:r>
      <w:r w:rsidRPr="00B645F5">
        <w:rPr>
          <w:rFonts w:asciiTheme="majorHAnsi" w:hAnsiTheme="majorHAnsi"/>
          <w:i/>
          <w:sz w:val="20"/>
          <w:szCs w:val="20"/>
        </w:rPr>
        <w:t>et al.</w:t>
      </w:r>
      <w:r w:rsidR="00693321" w:rsidRPr="00B645F5">
        <w:rPr>
          <w:rFonts w:asciiTheme="majorHAnsi" w:hAnsiTheme="majorHAnsi"/>
          <w:sz w:val="20"/>
          <w:szCs w:val="20"/>
        </w:rPr>
        <w:t xml:space="preserve"> (“First Court of Administrative Disputes”</w:t>
      </w:r>
      <w:r w:rsidRPr="00B645F5">
        <w:rPr>
          <w:rFonts w:asciiTheme="majorHAnsi" w:hAnsiTheme="majorHAnsi"/>
          <w:sz w:val="20"/>
          <w:szCs w:val="20"/>
        </w:rPr>
        <w:t>) vs. Venezuela, the Court reiterated that "impartiality requires that the judge who intervenes in a particular dispute approach the facts of the case subjectively free of any prejudice and, likewise, offer sufficient guarantees of an objective nature to dispel any doubt that the defendant or the community may harbor regarding the absence of impartiality [...] The so-called objective test consists of determining whether the judge in question provided convincing elements to eliminate legitimate fears or well-founded suspicions of partiality</w:t>
      </w:r>
      <w:r w:rsidR="00F9299E" w:rsidRPr="00B645F5">
        <w:rPr>
          <w:rFonts w:asciiTheme="majorHAnsi" w:hAnsiTheme="majorHAnsi"/>
          <w:sz w:val="20"/>
          <w:szCs w:val="20"/>
        </w:rPr>
        <w:t>.</w:t>
      </w:r>
      <w:r w:rsidR="00693321" w:rsidRPr="00B645F5">
        <w:rPr>
          <w:rStyle w:val="FootnoteReference"/>
          <w:rFonts w:asciiTheme="majorHAnsi" w:hAnsiTheme="majorHAnsi"/>
          <w:sz w:val="20"/>
          <w:szCs w:val="20"/>
        </w:rPr>
        <w:footnoteReference w:id="65"/>
      </w:r>
      <w:r w:rsidRPr="00B645F5">
        <w:rPr>
          <w:rFonts w:asciiTheme="majorHAnsi" w:hAnsiTheme="majorHAnsi"/>
          <w:sz w:val="20"/>
          <w:szCs w:val="20"/>
        </w:rPr>
        <w:t xml:space="preserve">  </w:t>
      </w:r>
    </w:p>
    <w:p w14:paraId="64AF1A2A" w14:textId="77777777" w:rsidR="009854EB" w:rsidRPr="00B645F5" w:rsidRDefault="009854EB" w:rsidP="009854EB">
      <w:pPr>
        <w:pStyle w:val="NormalWeb"/>
        <w:tabs>
          <w:tab w:val="left" w:pos="360"/>
          <w:tab w:val="left" w:pos="720"/>
          <w:tab w:val="left" w:pos="1440"/>
        </w:tabs>
        <w:spacing w:beforeLines="1" w:before="2" w:beforeAutospacing="0" w:afterLines="1" w:after="2" w:afterAutospacing="0"/>
        <w:jc w:val="both"/>
        <w:rPr>
          <w:rFonts w:asciiTheme="majorHAnsi" w:hAnsiTheme="majorHAnsi"/>
          <w:sz w:val="20"/>
          <w:szCs w:val="20"/>
        </w:rPr>
      </w:pPr>
    </w:p>
    <w:p w14:paraId="3E953843" w14:textId="64371A40" w:rsidR="009854EB" w:rsidRPr="00B645F5" w:rsidRDefault="009854EB" w:rsidP="009854EB">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Cambria" w:hAnsi="Cambria"/>
          <w:sz w:val="20"/>
          <w:szCs w:val="20"/>
        </w:rPr>
        <w:t>The IACHR recalls that the State has a general obligation to provide effective judicial remedies to persons who allege that they are victims of human rights violations, which must be substantiated in accordance with the rules of due process of law. For a remedy to be effective, it is not enough that it be legally provided for; it must be truly adequate to establish whether a human rights violation has occurred and to provide the necessary remedy. In assessing the effectiveness of the remedies, it must be examined whether the decisions in the judicial proceedings have effectively contributed to putting an end to a situation that violates rights, to ensuring the non-repetition of the harmful acts, and to guaranteeing the free and full exercise of the rights protected by the Convention.</w:t>
      </w:r>
      <w:r w:rsidR="00F33468" w:rsidRPr="00B645F5">
        <w:rPr>
          <w:rStyle w:val="FootnoteReference"/>
          <w:rFonts w:ascii="Cambria" w:hAnsi="Cambria"/>
          <w:sz w:val="20"/>
          <w:szCs w:val="20"/>
        </w:rPr>
        <w:footnoteReference w:id="66"/>
      </w:r>
    </w:p>
    <w:p w14:paraId="0285C89E" w14:textId="1AAB45F5" w:rsidR="0059724B" w:rsidRPr="00B645F5" w:rsidRDefault="0059724B" w:rsidP="0059724B">
      <w:pPr>
        <w:rPr>
          <w:rFonts w:asciiTheme="majorHAnsi" w:hAnsiTheme="majorHAnsi"/>
          <w:sz w:val="20"/>
          <w:szCs w:val="20"/>
        </w:rPr>
      </w:pPr>
    </w:p>
    <w:p w14:paraId="616E0B1F" w14:textId="77777777" w:rsidR="00F9299E" w:rsidRPr="00B645F5" w:rsidRDefault="00F9299E" w:rsidP="00F9299E">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Theme="majorHAnsi" w:hAnsiTheme="majorHAnsi"/>
          <w:sz w:val="20"/>
          <w:szCs w:val="20"/>
        </w:rPr>
        <w:t xml:space="preserve">The principles of equality before the law, equal protection, and non-discrimination are among the most basic human rights, and are in fact recognized as jus cogens norms, “because the whole legal structure of </w:t>
      </w:r>
      <w:r w:rsidRPr="00B645F5">
        <w:rPr>
          <w:rFonts w:asciiTheme="majorHAnsi" w:hAnsiTheme="majorHAnsi"/>
          <w:sz w:val="20"/>
          <w:szCs w:val="20"/>
        </w:rPr>
        <w:lastRenderedPageBreak/>
        <w:t>national and international public order rests on it.”</w:t>
      </w:r>
      <w:r w:rsidRPr="00B645F5">
        <w:rPr>
          <w:rStyle w:val="FootnoteReference"/>
          <w:rFonts w:asciiTheme="majorHAnsi" w:hAnsiTheme="majorHAnsi"/>
          <w:sz w:val="20"/>
          <w:szCs w:val="20"/>
        </w:rPr>
        <w:footnoteReference w:id="67"/>
      </w:r>
      <w:r w:rsidRPr="00B645F5">
        <w:rPr>
          <w:rFonts w:asciiTheme="majorHAnsi" w:hAnsiTheme="majorHAnsi"/>
          <w:sz w:val="20"/>
          <w:szCs w:val="20"/>
        </w:rPr>
        <w:t xml:space="preserve"> In line with the Human Rights Committee, the Commission has further understood “discrimination” to mean “any distinction, exclusion, restriction, or preference which is based on any ground such as race, </w:t>
      </w:r>
      <w:proofErr w:type="spellStart"/>
      <w:r w:rsidRPr="00B645F5">
        <w:rPr>
          <w:rFonts w:asciiTheme="majorHAnsi" w:hAnsiTheme="majorHAnsi"/>
          <w:sz w:val="20"/>
          <w:szCs w:val="20"/>
        </w:rPr>
        <w:t>colour</w:t>
      </w:r>
      <w:proofErr w:type="spellEnd"/>
      <w:r w:rsidRPr="00B645F5">
        <w:rPr>
          <w:rFonts w:asciiTheme="majorHAnsi" w:hAnsiTheme="majorHAnsi"/>
          <w:sz w:val="20"/>
          <w:szCs w:val="20"/>
        </w:rPr>
        <w:t>,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B645F5">
        <w:rPr>
          <w:rStyle w:val="FootnoteReference"/>
          <w:rFonts w:asciiTheme="majorHAnsi" w:hAnsiTheme="majorHAnsi"/>
          <w:sz w:val="20"/>
          <w:szCs w:val="20"/>
        </w:rPr>
        <w:footnoteReference w:id="68"/>
      </w:r>
      <w:r w:rsidRPr="00B645F5">
        <w:rPr>
          <w:rFonts w:asciiTheme="majorHAnsi" w:hAnsiTheme="majorHAnsi"/>
          <w:sz w:val="20"/>
          <w:szCs w:val="20"/>
        </w:rPr>
        <w:t xml:space="preserve"> The Commission has also pointed out that discrimination can manifest itself either directly (intentional or “targeted”) or indirectly (involuntary or “by outcome”), and the latter can be de facto, when it manifests itself in practice, or de </w:t>
      </w:r>
      <w:proofErr w:type="spellStart"/>
      <w:r w:rsidRPr="00B645F5">
        <w:rPr>
          <w:rFonts w:asciiTheme="majorHAnsi" w:hAnsiTheme="majorHAnsi"/>
          <w:sz w:val="20"/>
          <w:szCs w:val="20"/>
        </w:rPr>
        <w:t>iure</w:t>
      </w:r>
      <w:proofErr w:type="spellEnd"/>
      <w:r w:rsidRPr="00B645F5">
        <w:rPr>
          <w:rFonts w:asciiTheme="majorHAnsi" w:hAnsiTheme="majorHAnsi"/>
          <w:sz w:val="20"/>
          <w:szCs w:val="20"/>
        </w:rPr>
        <w:t>, when it emanates from a law or provision.</w:t>
      </w:r>
      <w:r w:rsidRPr="00B645F5">
        <w:rPr>
          <w:rStyle w:val="FootnoteReference"/>
          <w:rFonts w:asciiTheme="majorHAnsi" w:hAnsiTheme="majorHAnsi"/>
          <w:sz w:val="20"/>
          <w:szCs w:val="20"/>
        </w:rPr>
        <w:footnoteReference w:id="69"/>
      </w:r>
    </w:p>
    <w:p w14:paraId="55AD872B" w14:textId="77777777" w:rsidR="004F770D" w:rsidRPr="00B645F5" w:rsidRDefault="004F770D" w:rsidP="004F770D">
      <w:pPr>
        <w:pStyle w:val="ListParagraph"/>
        <w:rPr>
          <w:rFonts w:asciiTheme="majorHAnsi" w:hAnsiTheme="majorHAnsi"/>
          <w:sz w:val="20"/>
          <w:szCs w:val="20"/>
        </w:rPr>
      </w:pPr>
    </w:p>
    <w:p w14:paraId="0EFB071E" w14:textId="02839C3A" w:rsidR="0033423A" w:rsidRPr="00B645F5" w:rsidRDefault="004F770D" w:rsidP="004F770D">
      <w:pPr>
        <w:pStyle w:val="NormalWeb"/>
        <w:numPr>
          <w:ilvl w:val="0"/>
          <w:numId w:val="55"/>
        </w:numPr>
        <w:tabs>
          <w:tab w:val="left" w:pos="360"/>
          <w:tab w:val="left" w:pos="720"/>
          <w:tab w:val="left" w:pos="1440"/>
        </w:tabs>
        <w:spacing w:beforeLines="1" w:before="2" w:beforeAutospacing="0" w:afterLines="1" w:after="2" w:afterAutospacing="0"/>
        <w:ind w:left="0" w:firstLine="0"/>
        <w:jc w:val="both"/>
        <w:rPr>
          <w:rFonts w:asciiTheme="majorHAnsi" w:hAnsiTheme="majorHAnsi"/>
          <w:sz w:val="20"/>
          <w:szCs w:val="20"/>
        </w:rPr>
      </w:pPr>
      <w:r w:rsidRPr="00B645F5">
        <w:rPr>
          <w:rFonts w:asciiTheme="majorHAnsi" w:hAnsiTheme="majorHAnsi"/>
          <w:sz w:val="20"/>
          <w:szCs w:val="20"/>
        </w:rPr>
        <w:t xml:space="preserve">The petitioners allege that the post-conviction review of Mr. Ibarra’s case was impermissibly tainted by racial, ethnic and national origin bias, in the form of public remarks made by </w:t>
      </w:r>
      <w:r w:rsidR="00991815" w:rsidRPr="00B645F5">
        <w:rPr>
          <w:rFonts w:asciiTheme="majorHAnsi" w:hAnsiTheme="majorHAnsi"/>
          <w:sz w:val="20"/>
          <w:szCs w:val="20"/>
        </w:rPr>
        <w:t xml:space="preserve">Judge Edith Jones, </w:t>
      </w:r>
      <w:r w:rsidRPr="00B645F5">
        <w:rPr>
          <w:rFonts w:asciiTheme="majorHAnsi" w:hAnsiTheme="majorHAnsi"/>
          <w:sz w:val="20"/>
          <w:szCs w:val="20"/>
        </w:rPr>
        <w:t>one of the senior federal judges assigned to review his case</w:t>
      </w:r>
      <w:r w:rsidR="001346A2" w:rsidRPr="00B645F5">
        <w:rPr>
          <w:rFonts w:asciiTheme="majorHAnsi" w:hAnsiTheme="majorHAnsi"/>
          <w:sz w:val="20"/>
          <w:szCs w:val="20"/>
        </w:rPr>
        <w:t>, at a lecture on the death penalty at the University of Pennsylvania Law School on February 20, 2013.</w:t>
      </w:r>
    </w:p>
    <w:p w14:paraId="0888EEA3" w14:textId="77777777" w:rsidR="0033423A" w:rsidRPr="00B645F5" w:rsidRDefault="0033423A" w:rsidP="0033423A">
      <w:pPr>
        <w:pStyle w:val="ListParagraph"/>
        <w:rPr>
          <w:rFonts w:asciiTheme="majorHAnsi" w:hAnsiTheme="majorHAnsi"/>
          <w:sz w:val="20"/>
          <w:szCs w:val="20"/>
        </w:rPr>
      </w:pPr>
    </w:p>
    <w:p w14:paraId="2DAF905D" w14:textId="4BE36FF2" w:rsidR="001346A2" w:rsidRPr="00B645F5" w:rsidRDefault="00D40C94" w:rsidP="001346A2">
      <w:pPr>
        <w:pStyle w:val="NormalWeb"/>
        <w:numPr>
          <w:ilvl w:val="0"/>
          <w:numId w:val="55"/>
        </w:numPr>
        <w:tabs>
          <w:tab w:val="left" w:pos="360"/>
          <w:tab w:val="left" w:pos="720"/>
          <w:tab w:val="left" w:pos="1440"/>
        </w:tabs>
        <w:spacing w:beforeLines="1" w:before="2" w:beforeAutospacing="0" w:afterLines="1" w:after="2" w:afterAutospacing="0"/>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According to the </w:t>
      </w:r>
      <w:r w:rsidR="0033423A" w:rsidRPr="00B645F5">
        <w:rPr>
          <w:rFonts w:asciiTheme="majorHAnsi" w:hAnsiTheme="majorHAnsi"/>
          <w:sz w:val="20"/>
          <w:szCs w:val="20"/>
        </w:rPr>
        <w:t xml:space="preserve">available information, </w:t>
      </w:r>
      <w:r w:rsidR="001346A2" w:rsidRPr="00B645F5">
        <w:rPr>
          <w:rFonts w:asciiTheme="majorHAnsi" w:hAnsiTheme="majorHAnsi"/>
          <w:sz w:val="20"/>
          <w:szCs w:val="20"/>
        </w:rPr>
        <w:t>o</w:t>
      </w:r>
      <w:r w:rsidR="002715EF" w:rsidRPr="00B645F5">
        <w:rPr>
          <w:rFonts w:asciiTheme="majorHAnsi" w:hAnsiTheme="majorHAnsi"/>
          <w:sz w:val="20"/>
          <w:szCs w:val="20"/>
        </w:rPr>
        <w:t xml:space="preserve">n June 5, 2013, Mr. Ibarra filed a motion to disqualify </w:t>
      </w:r>
      <w:r w:rsidR="001346A2" w:rsidRPr="00B645F5">
        <w:rPr>
          <w:rFonts w:asciiTheme="majorHAnsi" w:hAnsiTheme="majorHAnsi"/>
          <w:sz w:val="20"/>
          <w:szCs w:val="20"/>
        </w:rPr>
        <w:t>her</w:t>
      </w:r>
      <w:r w:rsidR="002715EF" w:rsidRPr="00B645F5">
        <w:rPr>
          <w:rFonts w:asciiTheme="majorHAnsi" w:hAnsiTheme="majorHAnsi"/>
          <w:sz w:val="20"/>
          <w:szCs w:val="20"/>
        </w:rPr>
        <w:t xml:space="preserve"> from any further participation in his case and to vacate the Fifth Circuit’s opinion denying his application for a certificate of appealability, which had been authored by Judge Jones. On 10 June 2013, </w:t>
      </w:r>
      <w:r w:rsidR="001346A2" w:rsidRPr="00B645F5">
        <w:rPr>
          <w:rFonts w:asciiTheme="majorHAnsi" w:hAnsiTheme="majorHAnsi"/>
          <w:sz w:val="20"/>
          <w:szCs w:val="20"/>
        </w:rPr>
        <w:t xml:space="preserve">the Court issued a one-sentence order, signed by Judge Jones, denying the motion. </w:t>
      </w:r>
    </w:p>
    <w:p w14:paraId="42AD2D4B" w14:textId="77777777" w:rsidR="001346A2" w:rsidRPr="00B645F5" w:rsidRDefault="001346A2" w:rsidP="001346A2">
      <w:pPr>
        <w:pStyle w:val="ListParagraph"/>
        <w:rPr>
          <w:rFonts w:asciiTheme="majorHAnsi" w:hAnsiTheme="majorHAnsi"/>
          <w:sz w:val="20"/>
          <w:szCs w:val="20"/>
        </w:rPr>
      </w:pPr>
    </w:p>
    <w:p w14:paraId="216B26C7" w14:textId="66CB84B0" w:rsidR="002715EF" w:rsidRPr="00B645F5" w:rsidRDefault="001346A2" w:rsidP="00DE0FBF">
      <w:pPr>
        <w:pStyle w:val="NormalWeb"/>
        <w:numPr>
          <w:ilvl w:val="0"/>
          <w:numId w:val="55"/>
        </w:numPr>
        <w:tabs>
          <w:tab w:val="left" w:pos="360"/>
          <w:tab w:val="left" w:pos="720"/>
          <w:tab w:val="left" w:pos="1440"/>
        </w:tabs>
        <w:spacing w:beforeLines="1" w:before="2" w:beforeAutospacing="0" w:afterLines="1" w:after="2" w:afterAutospacing="0"/>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Following a complaint of judicial misconduct against Judge Jones arising from her public remarks filed by legal aid and civil liberty groups, </w:t>
      </w:r>
      <w:r w:rsidR="002715EF" w:rsidRPr="00B645F5">
        <w:rPr>
          <w:rFonts w:asciiTheme="majorHAnsi" w:hAnsiTheme="majorHAnsi"/>
          <w:sz w:val="20"/>
          <w:szCs w:val="20"/>
          <w:lang w:val="en-GB"/>
        </w:rPr>
        <w:t>the Special Committee to the Judicial Council of the District of Columbia Circuit</w:t>
      </w:r>
      <w:r w:rsidR="002715EF" w:rsidRPr="00B645F5">
        <w:rPr>
          <w:rFonts w:asciiTheme="majorHAnsi" w:hAnsiTheme="majorHAnsi"/>
          <w:sz w:val="20"/>
          <w:szCs w:val="20"/>
        </w:rPr>
        <w:t xml:space="preserve"> </w:t>
      </w:r>
      <w:r w:rsidR="002715EF" w:rsidRPr="00B645F5">
        <w:rPr>
          <w:rFonts w:asciiTheme="majorHAnsi" w:hAnsiTheme="majorHAnsi"/>
          <w:sz w:val="20"/>
          <w:szCs w:val="20"/>
          <w:lang w:val="en-GB"/>
        </w:rPr>
        <w:t xml:space="preserve">issued </w:t>
      </w:r>
      <w:r w:rsidRPr="00B645F5">
        <w:rPr>
          <w:rFonts w:asciiTheme="majorHAnsi" w:hAnsiTheme="majorHAnsi"/>
          <w:sz w:val="20"/>
          <w:szCs w:val="20"/>
          <w:lang w:val="en-GB"/>
        </w:rPr>
        <w:t xml:space="preserve">a report </w:t>
      </w:r>
      <w:r w:rsidR="002715EF" w:rsidRPr="00B645F5">
        <w:rPr>
          <w:rFonts w:asciiTheme="majorHAnsi" w:hAnsiTheme="majorHAnsi"/>
          <w:sz w:val="20"/>
          <w:szCs w:val="20"/>
          <w:lang w:val="en-GB"/>
        </w:rPr>
        <w:t>in 2014</w:t>
      </w:r>
      <w:r w:rsidRPr="00B645F5">
        <w:rPr>
          <w:rFonts w:asciiTheme="majorHAnsi" w:hAnsiTheme="majorHAnsi"/>
          <w:sz w:val="20"/>
          <w:szCs w:val="20"/>
          <w:lang w:val="en-GB"/>
        </w:rPr>
        <w:t>.</w:t>
      </w:r>
      <w:r w:rsidR="003A6E98" w:rsidRPr="00B645F5">
        <w:rPr>
          <w:rFonts w:asciiTheme="majorHAnsi" w:hAnsiTheme="majorHAnsi"/>
          <w:sz w:val="20"/>
          <w:szCs w:val="20"/>
          <w:lang w:val="en-GB"/>
        </w:rPr>
        <w:t xml:space="preserve"> </w:t>
      </w:r>
      <w:r w:rsidR="00411847" w:rsidRPr="00B645F5">
        <w:rPr>
          <w:rFonts w:asciiTheme="majorHAnsi" w:hAnsiTheme="majorHAnsi"/>
          <w:sz w:val="20"/>
          <w:szCs w:val="20"/>
          <w:lang w:val="en-GB"/>
        </w:rPr>
        <w:t xml:space="preserve">The Committee </w:t>
      </w:r>
      <w:r w:rsidR="00411847" w:rsidRPr="00B645F5">
        <w:rPr>
          <w:rFonts w:asciiTheme="majorHAnsi" w:hAnsiTheme="majorHAnsi"/>
          <w:sz w:val="20"/>
          <w:szCs w:val="20"/>
        </w:rPr>
        <w:t>asserted</w:t>
      </w:r>
      <w:r w:rsidR="002715EF" w:rsidRPr="00B645F5">
        <w:rPr>
          <w:rFonts w:asciiTheme="majorHAnsi" w:hAnsiTheme="majorHAnsi"/>
          <w:sz w:val="20"/>
          <w:szCs w:val="20"/>
        </w:rPr>
        <w:t xml:space="preserve"> that</w:t>
      </w:r>
      <w:r w:rsidR="00411847" w:rsidRPr="00B645F5">
        <w:rPr>
          <w:rFonts w:asciiTheme="majorHAnsi" w:hAnsiTheme="majorHAnsi"/>
          <w:sz w:val="20"/>
          <w:szCs w:val="20"/>
        </w:rPr>
        <w:t>,</w:t>
      </w:r>
      <w:r w:rsidR="002715EF" w:rsidRPr="00B645F5">
        <w:rPr>
          <w:rFonts w:asciiTheme="majorHAnsi" w:hAnsiTheme="majorHAnsi"/>
          <w:sz w:val="20"/>
          <w:szCs w:val="20"/>
        </w:rPr>
        <w:t xml:space="preserve"> in the absence of a recording of the lecture, it was unable to make a finding based on a preponderance of the evidence</w:t>
      </w:r>
      <w:r w:rsidR="003A6E98" w:rsidRPr="00B645F5">
        <w:rPr>
          <w:rFonts w:asciiTheme="majorHAnsi" w:hAnsiTheme="majorHAnsi"/>
          <w:sz w:val="20"/>
          <w:szCs w:val="20"/>
        </w:rPr>
        <w:t xml:space="preserve">, and therefore its </w:t>
      </w:r>
      <w:r w:rsidR="002715EF" w:rsidRPr="00B645F5">
        <w:rPr>
          <w:rFonts w:asciiTheme="majorHAnsi" w:hAnsiTheme="majorHAnsi"/>
          <w:sz w:val="20"/>
          <w:szCs w:val="20"/>
        </w:rPr>
        <w:t xml:space="preserve">findings were based on the submission of the judge’s notes, affidavits of attendees of the lecture and other witness statements. </w:t>
      </w:r>
    </w:p>
    <w:p w14:paraId="26BB750A" w14:textId="77777777" w:rsidR="002715EF" w:rsidRPr="00B645F5" w:rsidRDefault="002715EF" w:rsidP="002715EF">
      <w:pPr>
        <w:pStyle w:val="ListParagraph"/>
        <w:rPr>
          <w:rFonts w:asciiTheme="majorHAnsi" w:hAnsiTheme="majorHAnsi"/>
          <w:sz w:val="20"/>
          <w:szCs w:val="20"/>
        </w:rPr>
      </w:pPr>
    </w:p>
    <w:p w14:paraId="7101E079" w14:textId="055FD9CC" w:rsidR="002715EF" w:rsidRPr="00B645F5" w:rsidRDefault="002715EF"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It was noted that at some point during the lecture, Judge Jones said that certain kinds of challenges to capital punishment are “red herrings” such as claims on intellectual disability and the right to consular notification.</w:t>
      </w:r>
      <w:r w:rsidR="00411847" w:rsidRPr="00B645F5">
        <w:rPr>
          <w:rFonts w:asciiTheme="majorHAnsi" w:hAnsiTheme="majorHAnsi"/>
          <w:sz w:val="20"/>
          <w:szCs w:val="20"/>
        </w:rPr>
        <w:t xml:space="preserve"> </w:t>
      </w:r>
      <w:r w:rsidRPr="00B645F5">
        <w:rPr>
          <w:rFonts w:asciiTheme="majorHAnsi" w:hAnsiTheme="majorHAnsi"/>
          <w:sz w:val="20"/>
          <w:szCs w:val="20"/>
        </w:rPr>
        <w:t>With respect to a claim that words spoken communicated racial bias, Judge Jones acknowledged that in her lecture she said that “sadly, African-Americans seem to be disproportionately on death row,” and that she “may have said” that “sadly some groups seem to commit more heinous crimes,” but</w:t>
      </w:r>
      <w:r w:rsidR="00411847" w:rsidRPr="00B645F5">
        <w:rPr>
          <w:rFonts w:asciiTheme="majorHAnsi" w:hAnsiTheme="majorHAnsi"/>
          <w:sz w:val="20"/>
          <w:szCs w:val="20"/>
        </w:rPr>
        <w:t xml:space="preserve"> said</w:t>
      </w:r>
      <w:r w:rsidRPr="00B645F5">
        <w:rPr>
          <w:rFonts w:asciiTheme="majorHAnsi" w:hAnsiTheme="majorHAnsi"/>
          <w:sz w:val="20"/>
          <w:szCs w:val="20"/>
        </w:rPr>
        <w:t xml:space="preserve"> that she “was talking about statistical facts… [and] not talking about propensities.” </w:t>
      </w:r>
      <w:r w:rsidR="00411847" w:rsidRPr="00B645F5">
        <w:rPr>
          <w:rFonts w:asciiTheme="majorHAnsi" w:hAnsiTheme="majorHAnsi"/>
          <w:sz w:val="20"/>
          <w:szCs w:val="20"/>
        </w:rPr>
        <w:t>T</w:t>
      </w:r>
      <w:r w:rsidRPr="00B645F5">
        <w:rPr>
          <w:rFonts w:asciiTheme="majorHAnsi" w:hAnsiTheme="majorHAnsi"/>
          <w:sz w:val="20"/>
          <w:szCs w:val="20"/>
        </w:rPr>
        <w:t xml:space="preserve">he Committee reasoned that, whether or not her statistical statements were accurate, or accurate only with caveats, they did not by themselves indicate racial bias or an inability to be impartial. </w:t>
      </w:r>
    </w:p>
    <w:p w14:paraId="700D88DD" w14:textId="77777777" w:rsidR="002715EF" w:rsidRPr="00B645F5" w:rsidRDefault="002715EF" w:rsidP="002715EF">
      <w:pPr>
        <w:pStyle w:val="ListParagraph"/>
        <w:rPr>
          <w:rFonts w:asciiTheme="majorHAnsi" w:hAnsiTheme="majorHAnsi"/>
          <w:sz w:val="20"/>
          <w:szCs w:val="20"/>
        </w:rPr>
      </w:pPr>
    </w:p>
    <w:p w14:paraId="378191C5" w14:textId="6445A6EB" w:rsidR="00257C12" w:rsidRPr="00B645F5" w:rsidRDefault="002715EF" w:rsidP="00411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The Committee concluded that although it found a number of matters involving individuals whose cases were pending or impending were addressed within the Judge’s lecture, and that some of the judge’s comments may have been on the merits of those matters, the comments did not violate the code on judicial conduct because the scholarly presentations exception applied. Moreover, it found that the comments did not denigrate public confidence in the judiciary’s integrity or impartiality, and thus did not violate the code on judicial conduct or constitute misconduct. </w:t>
      </w:r>
    </w:p>
    <w:p w14:paraId="5F217B28" w14:textId="15989DD4" w:rsidR="00B453EE" w:rsidRPr="00B645F5" w:rsidRDefault="00B453EE" w:rsidP="00B453E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5D99FBCD" w14:textId="2ABB4D43" w:rsidR="00BD75AE" w:rsidRPr="00B645F5" w:rsidRDefault="008C30AB"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pacing w:beforeLines="1" w:before="2" w:afterLines="1" w:after="2"/>
        <w:ind w:left="0" w:firstLine="0"/>
        <w:jc w:val="both"/>
        <w:textAlignment w:val="baseline"/>
        <w:rPr>
          <w:rFonts w:asciiTheme="majorHAnsi" w:hAnsiTheme="majorHAnsi"/>
          <w:color w:val="000000"/>
          <w:sz w:val="20"/>
        </w:rPr>
      </w:pPr>
      <w:r w:rsidRPr="00B645F5">
        <w:rPr>
          <w:rFonts w:asciiTheme="majorHAnsi" w:hAnsiTheme="majorHAnsi"/>
          <w:sz w:val="20"/>
          <w:szCs w:val="20"/>
        </w:rPr>
        <w:t xml:space="preserve">As stated above, the right to be tried by an impartial judge or court is a fundamental guarantee of due process. </w:t>
      </w:r>
      <w:r w:rsidR="00FD4B11" w:rsidRPr="00B645F5">
        <w:rPr>
          <w:rFonts w:asciiTheme="majorHAnsi" w:hAnsiTheme="majorHAnsi"/>
          <w:color w:val="000000"/>
          <w:sz w:val="20"/>
        </w:rPr>
        <w:t xml:space="preserve">In order to guarantee this right, States have the obligation to provide an effective remedy in case of doubts or complaints regarding the lack of impartiality of the judge. In the present case, the Commission notes that a </w:t>
      </w:r>
      <w:r w:rsidR="00A3519F" w:rsidRPr="00B645F5">
        <w:rPr>
          <w:rFonts w:asciiTheme="majorHAnsi" w:hAnsiTheme="majorHAnsi"/>
          <w:color w:val="000000"/>
          <w:sz w:val="20"/>
        </w:rPr>
        <w:t xml:space="preserve">senior </w:t>
      </w:r>
      <w:r w:rsidR="00FD4B11" w:rsidRPr="00B645F5">
        <w:rPr>
          <w:rFonts w:asciiTheme="majorHAnsi" w:hAnsiTheme="majorHAnsi"/>
          <w:color w:val="000000"/>
          <w:sz w:val="20"/>
        </w:rPr>
        <w:t xml:space="preserve">federal judge who was hearing Mr. Ibarra’s case issued public comments that could compromise her impartiality in the specific case. The judge not only referred to issues involved in the pending petition, such as allegations on disability and consular notification, </w:t>
      </w:r>
      <w:r w:rsidR="006961EC" w:rsidRPr="00B645F5">
        <w:rPr>
          <w:rFonts w:asciiTheme="majorHAnsi" w:hAnsiTheme="majorHAnsi"/>
          <w:color w:val="000000"/>
          <w:sz w:val="20"/>
        </w:rPr>
        <w:t>but also</w:t>
      </w:r>
      <w:r w:rsidR="00FD4B11" w:rsidRPr="00B645F5">
        <w:rPr>
          <w:rFonts w:asciiTheme="majorHAnsi" w:hAnsiTheme="majorHAnsi"/>
          <w:color w:val="000000"/>
          <w:sz w:val="20"/>
        </w:rPr>
        <w:t xml:space="preserve"> further referred specifically</w:t>
      </w:r>
      <w:r w:rsidR="00A3519F" w:rsidRPr="00B645F5">
        <w:rPr>
          <w:rFonts w:asciiTheme="majorHAnsi" w:hAnsiTheme="majorHAnsi"/>
          <w:color w:val="000000"/>
          <w:sz w:val="20"/>
        </w:rPr>
        <w:t xml:space="preserve"> to Mr. Ibarra's case and</w:t>
      </w:r>
      <w:r w:rsidR="00FD4B11" w:rsidRPr="00B645F5">
        <w:rPr>
          <w:rFonts w:asciiTheme="majorHAnsi" w:hAnsiTheme="majorHAnsi"/>
          <w:color w:val="000000"/>
          <w:sz w:val="20"/>
        </w:rPr>
        <w:t xml:space="preserve"> generally to issues related to his ethnicity. Such comments could be considered problematic from the perspective of </w:t>
      </w:r>
      <w:r w:rsidR="006961EC" w:rsidRPr="00B645F5">
        <w:rPr>
          <w:rFonts w:asciiTheme="majorHAnsi" w:hAnsiTheme="majorHAnsi"/>
          <w:color w:val="000000"/>
          <w:sz w:val="20"/>
        </w:rPr>
        <w:t>the right to a fair trial and specifically the right to be tried by an impartial judge</w:t>
      </w:r>
      <w:r w:rsidR="00FD4B11" w:rsidRPr="00B645F5">
        <w:rPr>
          <w:rFonts w:asciiTheme="majorHAnsi" w:hAnsiTheme="majorHAnsi"/>
          <w:color w:val="000000"/>
          <w:sz w:val="20"/>
        </w:rPr>
        <w:t>.</w:t>
      </w:r>
    </w:p>
    <w:p w14:paraId="7E57A0CA" w14:textId="77777777" w:rsidR="007E1876" w:rsidRPr="00B645F5" w:rsidRDefault="007E1876" w:rsidP="00B76659">
      <w:pPr>
        <w:pStyle w:val="ListParagraph"/>
        <w:rPr>
          <w:rFonts w:asciiTheme="majorHAnsi" w:hAnsiTheme="majorHAnsi"/>
          <w:sz w:val="20"/>
        </w:rPr>
      </w:pPr>
    </w:p>
    <w:p w14:paraId="74F280B6" w14:textId="6941F9EC" w:rsidR="00FD4B11" w:rsidRPr="00B645F5" w:rsidRDefault="00890F14" w:rsidP="007E18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pacing w:beforeLines="1" w:before="2" w:afterLines="1" w:after="2"/>
        <w:ind w:left="0" w:firstLine="0"/>
        <w:jc w:val="both"/>
        <w:textAlignment w:val="baseline"/>
        <w:rPr>
          <w:rFonts w:asciiTheme="majorHAnsi" w:hAnsiTheme="majorHAnsi"/>
          <w:color w:val="000000"/>
          <w:sz w:val="20"/>
        </w:rPr>
      </w:pPr>
      <w:r w:rsidRPr="00B645F5">
        <w:rPr>
          <w:rFonts w:asciiTheme="majorHAnsi" w:hAnsiTheme="majorHAnsi"/>
          <w:color w:val="000000"/>
          <w:sz w:val="20"/>
        </w:rPr>
        <w:lastRenderedPageBreak/>
        <w:t xml:space="preserve">In view of the </w:t>
      </w:r>
      <w:r w:rsidRPr="00B645F5">
        <w:rPr>
          <w:rFonts w:asciiTheme="majorHAnsi" w:hAnsiTheme="majorHAnsi"/>
          <w:sz w:val="20"/>
        </w:rPr>
        <w:t xml:space="preserve">judge’s </w:t>
      </w:r>
      <w:r w:rsidRPr="00B645F5">
        <w:rPr>
          <w:rFonts w:asciiTheme="majorHAnsi" w:hAnsiTheme="majorHAnsi"/>
          <w:color w:val="000000"/>
          <w:sz w:val="20"/>
        </w:rPr>
        <w:t xml:space="preserve">public </w:t>
      </w:r>
      <w:r w:rsidRPr="00B645F5">
        <w:rPr>
          <w:rFonts w:asciiTheme="majorHAnsi" w:hAnsiTheme="majorHAnsi"/>
          <w:sz w:val="20"/>
        </w:rPr>
        <w:t>remarks</w:t>
      </w:r>
      <w:r w:rsidRPr="00B645F5">
        <w:rPr>
          <w:rFonts w:asciiTheme="majorHAnsi" w:hAnsiTheme="majorHAnsi"/>
          <w:color w:val="000000"/>
          <w:sz w:val="20"/>
        </w:rPr>
        <w:t xml:space="preserve"> considered </w:t>
      </w:r>
      <w:r w:rsidRPr="00B645F5">
        <w:rPr>
          <w:rFonts w:asciiTheme="majorHAnsi" w:hAnsiTheme="majorHAnsi"/>
          <w:sz w:val="20"/>
        </w:rPr>
        <w:t>by</w:t>
      </w:r>
      <w:r w:rsidRPr="00B645F5">
        <w:rPr>
          <w:rFonts w:asciiTheme="majorHAnsi" w:hAnsiTheme="majorHAnsi"/>
          <w:color w:val="000000"/>
          <w:sz w:val="20"/>
        </w:rPr>
        <w:t xml:space="preserve"> Mr. Ibarra's defense</w:t>
      </w:r>
      <w:r w:rsidRPr="00B645F5">
        <w:rPr>
          <w:rFonts w:asciiTheme="majorHAnsi" w:hAnsiTheme="majorHAnsi"/>
          <w:sz w:val="20"/>
        </w:rPr>
        <w:t xml:space="preserve"> team impermissibly tainted</w:t>
      </w:r>
      <w:r w:rsidRPr="00B645F5">
        <w:rPr>
          <w:rFonts w:asciiTheme="majorHAnsi" w:hAnsiTheme="majorHAnsi"/>
          <w:color w:val="000000"/>
          <w:sz w:val="20"/>
        </w:rPr>
        <w:t xml:space="preserve"> by</w:t>
      </w:r>
      <w:r w:rsidRPr="00B645F5">
        <w:rPr>
          <w:rFonts w:asciiTheme="majorHAnsi" w:hAnsiTheme="majorHAnsi"/>
          <w:sz w:val="20"/>
        </w:rPr>
        <w:t xml:space="preserve"> ethnic and national origin bias</w:t>
      </w:r>
      <w:r w:rsidRPr="00B645F5">
        <w:rPr>
          <w:rFonts w:asciiTheme="majorHAnsi" w:hAnsiTheme="majorHAnsi"/>
          <w:color w:val="000000"/>
          <w:sz w:val="20"/>
        </w:rPr>
        <w:t xml:space="preserve">, a motion </w:t>
      </w:r>
      <w:r w:rsidR="00067065" w:rsidRPr="00B645F5">
        <w:rPr>
          <w:rFonts w:asciiTheme="majorHAnsi" w:hAnsiTheme="majorHAnsi"/>
          <w:sz w:val="20"/>
          <w:szCs w:val="20"/>
        </w:rPr>
        <w:t>to disqualify her from any further participation in the case and to vacate the opinion denying the application for a certificate of appealability</w:t>
      </w:r>
      <w:r w:rsidR="00067065" w:rsidRPr="00B645F5">
        <w:rPr>
          <w:rFonts w:asciiTheme="majorHAnsi" w:hAnsiTheme="majorHAnsi"/>
          <w:sz w:val="20"/>
        </w:rPr>
        <w:t xml:space="preserve"> </w:t>
      </w:r>
      <w:r w:rsidRPr="00B645F5">
        <w:rPr>
          <w:rFonts w:asciiTheme="majorHAnsi" w:hAnsiTheme="majorHAnsi"/>
          <w:sz w:val="20"/>
        </w:rPr>
        <w:t>was filed</w:t>
      </w:r>
      <w:r w:rsidRPr="00B645F5">
        <w:rPr>
          <w:rFonts w:asciiTheme="majorHAnsi" w:hAnsiTheme="majorHAnsi"/>
          <w:color w:val="000000"/>
          <w:sz w:val="20"/>
        </w:rPr>
        <w:t>. The</w:t>
      </w:r>
      <w:r w:rsidR="00660A18" w:rsidRPr="00B645F5">
        <w:rPr>
          <w:rFonts w:asciiTheme="majorHAnsi" w:hAnsiTheme="majorHAnsi"/>
          <w:color w:val="000000"/>
          <w:sz w:val="20"/>
        </w:rPr>
        <w:t xml:space="preserve"> Commission notes that the</w:t>
      </w:r>
      <w:r w:rsidRPr="00B645F5">
        <w:rPr>
          <w:rFonts w:asciiTheme="majorHAnsi" w:hAnsiTheme="majorHAnsi"/>
          <w:color w:val="000000"/>
          <w:sz w:val="20"/>
        </w:rPr>
        <w:t xml:space="preserve"> response from the federal court was a one-</w:t>
      </w:r>
      <w:r w:rsidR="00067065" w:rsidRPr="00B645F5">
        <w:rPr>
          <w:rFonts w:asciiTheme="majorHAnsi" w:hAnsiTheme="majorHAnsi"/>
          <w:sz w:val="20"/>
        </w:rPr>
        <w:t>sentence</w:t>
      </w:r>
      <w:r w:rsidRPr="00B645F5">
        <w:rPr>
          <w:rFonts w:asciiTheme="majorHAnsi" w:hAnsiTheme="majorHAnsi"/>
          <w:color w:val="000000"/>
          <w:sz w:val="20"/>
        </w:rPr>
        <w:t xml:space="preserve"> order denying the request</w:t>
      </w:r>
      <w:r w:rsidR="00660A18" w:rsidRPr="00B645F5">
        <w:rPr>
          <w:rFonts w:asciiTheme="majorHAnsi" w:hAnsiTheme="majorHAnsi"/>
          <w:color w:val="000000"/>
          <w:sz w:val="20"/>
        </w:rPr>
        <w:t>. It also notes that the order was</w:t>
      </w:r>
      <w:r w:rsidRPr="00B645F5">
        <w:rPr>
          <w:rFonts w:asciiTheme="majorHAnsi" w:hAnsiTheme="majorHAnsi"/>
          <w:color w:val="000000"/>
          <w:sz w:val="20"/>
        </w:rPr>
        <w:t xml:space="preserve"> signed by </w:t>
      </w:r>
      <w:r w:rsidR="00660A18" w:rsidRPr="00B645F5">
        <w:rPr>
          <w:rFonts w:asciiTheme="majorHAnsi" w:hAnsiTheme="majorHAnsi"/>
          <w:color w:val="000000"/>
          <w:sz w:val="20"/>
        </w:rPr>
        <w:t>J</w:t>
      </w:r>
      <w:r w:rsidRPr="00B645F5">
        <w:rPr>
          <w:rFonts w:asciiTheme="majorHAnsi" w:hAnsiTheme="majorHAnsi"/>
          <w:color w:val="000000"/>
          <w:sz w:val="20"/>
        </w:rPr>
        <w:t>udge</w:t>
      </w:r>
      <w:r w:rsidR="00660A18" w:rsidRPr="00B645F5">
        <w:rPr>
          <w:rFonts w:asciiTheme="majorHAnsi" w:hAnsiTheme="majorHAnsi"/>
          <w:color w:val="000000"/>
          <w:sz w:val="20"/>
        </w:rPr>
        <w:t xml:space="preserve"> Jones</w:t>
      </w:r>
      <w:r w:rsidRPr="00B645F5">
        <w:rPr>
          <w:rFonts w:asciiTheme="majorHAnsi" w:hAnsiTheme="majorHAnsi"/>
          <w:color w:val="000000"/>
          <w:sz w:val="20"/>
        </w:rPr>
        <w:t xml:space="preserve"> herself. Based on the inter-American standards referred to above, such judicial response cannot be considered effective, since it lacks a minimum motivation.</w:t>
      </w:r>
    </w:p>
    <w:p w14:paraId="24297FC2" w14:textId="77777777" w:rsidR="00B76659" w:rsidRPr="00B645F5" w:rsidRDefault="00B76659" w:rsidP="00B76659">
      <w:pPr>
        <w:pStyle w:val="ListParagraph"/>
        <w:rPr>
          <w:rFonts w:asciiTheme="majorHAnsi" w:hAnsiTheme="majorHAnsi"/>
          <w:sz w:val="20"/>
        </w:rPr>
      </w:pPr>
    </w:p>
    <w:p w14:paraId="5A003DDF" w14:textId="69FF1AEC" w:rsidR="00B76659" w:rsidRPr="00B645F5" w:rsidRDefault="00B76659"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pacing w:beforeLines="1" w:before="2" w:afterLines="1" w:after="2"/>
        <w:ind w:left="0" w:firstLine="0"/>
        <w:jc w:val="both"/>
        <w:textAlignment w:val="baseline"/>
        <w:rPr>
          <w:rFonts w:asciiTheme="majorHAnsi" w:hAnsiTheme="majorHAnsi"/>
          <w:color w:val="000000"/>
          <w:sz w:val="20"/>
        </w:rPr>
      </w:pPr>
      <w:r w:rsidRPr="00B645F5">
        <w:rPr>
          <w:rFonts w:asciiTheme="majorHAnsi" w:hAnsiTheme="majorHAnsi"/>
          <w:color w:val="000000"/>
          <w:sz w:val="20"/>
        </w:rPr>
        <w:t xml:space="preserve">Following the motion’s denial, a </w:t>
      </w:r>
      <w:r w:rsidRPr="00B645F5">
        <w:rPr>
          <w:rFonts w:asciiTheme="majorHAnsi" w:hAnsiTheme="majorHAnsi"/>
          <w:sz w:val="20"/>
          <w:szCs w:val="20"/>
        </w:rPr>
        <w:t>complaint of judicial misconduct against Judge Jones was filed by legal aid and civil liberty groups</w:t>
      </w:r>
      <w:r w:rsidR="008933AE" w:rsidRPr="00B645F5">
        <w:rPr>
          <w:rFonts w:asciiTheme="majorHAnsi" w:hAnsiTheme="majorHAnsi"/>
          <w:sz w:val="20"/>
          <w:szCs w:val="20"/>
        </w:rPr>
        <w:t xml:space="preserve">. </w:t>
      </w:r>
      <w:r w:rsidR="00660A18" w:rsidRPr="00B645F5">
        <w:rPr>
          <w:rFonts w:asciiTheme="majorHAnsi" w:hAnsiTheme="majorHAnsi"/>
          <w:sz w:val="20"/>
          <w:szCs w:val="20"/>
        </w:rPr>
        <w:t xml:space="preserve">The complaint referred to Mr. Ibarra’s case, among others. </w:t>
      </w:r>
      <w:r w:rsidR="008933AE" w:rsidRPr="00B645F5">
        <w:rPr>
          <w:rFonts w:asciiTheme="majorHAnsi" w:hAnsiTheme="majorHAnsi"/>
          <w:sz w:val="20"/>
          <w:szCs w:val="20"/>
        </w:rPr>
        <w:t>T</w:t>
      </w:r>
      <w:r w:rsidRPr="00B645F5">
        <w:rPr>
          <w:rFonts w:asciiTheme="majorHAnsi" w:hAnsiTheme="majorHAnsi"/>
          <w:sz w:val="20"/>
          <w:szCs w:val="20"/>
        </w:rPr>
        <w:t>he</w:t>
      </w:r>
      <w:r w:rsidRPr="00B645F5">
        <w:rPr>
          <w:rFonts w:asciiTheme="majorHAnsi" w:hAnsiTheme="majorHAnsi"/>
          <w:sz w:val="20"/>
          <w:szCs w:val="20"/>
          <w:lang w:val="en-GB"/>
        </w:rPr>
        <w:t xml:space="preserve"> Special Committee to the Judicial Council of the District of Columbia Circuit</w:t>
      </w:r>
      <w:r w:rsidRPr="00B645F5">
        <w:rPr>
          <w:rFonts w:asciiTheme="majorHAnsi" w:hAnsiTheme="majorHAnsi"/>
          <w:sz w:val="20"/>
          <w:szCs w:val="20"/>
        </w:rPr>
        <w:t xml:space="preserve"> was unable to make a finding based on a preponderance of the evidence</w:t>
      </w:r>
      <w:r w:rsidR="008933AE" w:rsidRPr="00B645F5">
        <w:rPr>
          <w:rFonts w:asciiTheme="majorHAnsi" w:hAnsiTheme="majorHAnsi"/>
          <w:sz w:val="20"/>
          <w:szCs w:val="20"/>
        </w:rPr>
        <w:t>. However, after reviewing the available evidence</w:t>
      </w:r>
      <w:r w:rsidR="00660A18" w:rsidRPr="00B645F5">
        <w:rPr>
          <w:rFonts w:asciiTheme="majorHAnsi" w:hAnsiTheme="majorHAnsi"/>
          <w:sz w:val="20"/>
          <w:szCs w:val="20"/>
        </w:rPr>
        <w:t>, it</w:t>
      </w:r>
      <w:r w:rsidR="008933AE" w:rsidRPr="00B645F5">
        <w:rPr>
          <w:rFonts w:asciiTheme="majorHAnsi" w:hAnsiTheme="majorHAnsi"/>
          <w:sz w:val="20"/>
          <w:szCs w:val="20"/>
        </w:rPr>
        <w:t xml:space="preserve"> concluded</w:t>
      </w:r>
      <w:r w:rsidRPr="00B645F5">
        <w:rPr>
          <w:rFonts w:asciiTheme="majorHAnsi" w:hAnsiTheme="majorHAnsi"/>
          <w:sz w:val="20"/>
          <w:szCs w:val="20"/>
        </w:rPr>
        <w:t xml:space="preserve"> that, whether or not </w:t>
      </w:r>
      <w:r w:rsidR="008933AE" w:rsidRPr="00B645F5">
        <w:rPr>
          <w:rFonts w:asciiTheme="majorHAnsi" w:hAnsiTheme="majorHAnsi"/>
          <w:sz w:val="20"/>
          <w:szCs w:val="20"/>
        </w:rPr>
        <w:t>Judge Jone</w:t>
      </w:r>
      <w:r w:rsidR="00660A18" w:rsidRPr="00B645F5">
        <w:rPr>
          <w:rFonts w:asciiTheme="majorHAnsi" w:hAnsiTheme="majorHAnsi"/>
          <w:sz w:val="20"/>
          <w:szCs w:val="20"/>
        </w:rPr>
        <w:t>s</w:t>
      </w:r>
      <w:r w:rsidR="008933AE" w:rsidRPr="00B645F5">
        <w:rPr>
          <w:rFonts w:asciiTheme="majorHAnsi" w:hAnsiTheme="majorHAnsi"/>
          <w:sz w:val="20"/>
          <w:szCs w:val="20"/>
        </w:rPr>
        <w:t>’</w:t>
      </w:r>
      <w:r w:rsidRPr="00B645F5">
        <w:rPr>
          <w:rFonts w:asciiTheme="majorHAnsi" w:hAnsiTheme="majorHAnsi"/>
          <w:sz w:val="20"/>
          <w:szCs w:val="20"/>
        </w:rPr>
        <w:t xml:space="preserve"> statistical statements were accurate, they did not by themselves indicate racial bias or an inability to be impartial. </w:t>
      </w:r>
      <w:r w:rsidR="008933AE" w:rsidRPr="00B645F5">
        <w:rPr>
          <w:rFonts w:asciiTheme="majorHAnsi" w:hAnsiTheme="majorHAnsi"/>
          <w:sz w:val="20"/>
          <w:szCs w:val="20"/>
        </w:rPr>
        <w:t xml:space="preserve">It also </w:t>
      </w:r>
      <w:r w:rsidRPr="00B645F5">
        <w:rPr>
          <w:rFonts w:asciiTheme="majorHAnsi" w:hAnsiTheme="majorHAnsi"/>
          <w:sz w:val="20"/>
          <w:szCs w:val="20"/>
        </w:rPr>
        <w:t xml:space="preserve">found that the comments did not constitute </w:t>
      </w:r>
      <w:r w:rsidR="00684DF1" w:rsidRPr="00B645F5">
        <w:rPr>
          <w:rFonts w:asciiTheme="majorHAnsi" w:hAnsiTheme="majorHAnsi"/>
          <w:sz w:val="20"/>
          <w:szCs w:val="20"/>
        </w:rPr>
        <w:t xml:space="preserve">judicial </w:t>
      </w:r>
      <w:r w:rsidRPr="00B645F5">
        <w:rPr>
          <w:rFonts w:asciiTheme="majorHAnsi" w:hAnsiTheme="majorHAnsi"/>
          <w:sz w:val="20"/>
          <w:szCs w:val="20"/>
        </w:rPr>
        <w:t>misconduct.</w:t>
      </w:r>
    </w:p>
    <w:p w14:paraId="41C163AB" w14:textId="77777777" w:rsidR="008933AE" w:rsidRPr="00B645F5" w:rsidRDefault="008933AE" w:rsidP="008933AE">
      <w:pPr>
        <w:pStyle w:val="ListParagraph"/>
        <w:rPr>
          <w:rFonts w:asciiTheme="majorHAnsi" w:hAnsiTheme="majorHAnsi"/>
          <w:sz w:val="20"/>
        </w:rPr>
      </w:pPr>
    </w:p>
    <w:p w14:paraId="79E337F3" w14:textId="77777777" w:rsidR="00C55D3E" w:rsidRPr="00B645F5" w:rsidRDefault="008933AE" w:rsidP="00C55D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pacing w:beforeLines="1" w:before="2" w:afterLines="1" w:after="2"/>
        <w:ind w:left="0" w:firstLine="0"/>
        <w:jc w:val="both"/>
        <w:textAlignment w:val="baseline"/>
        <w:rPr>
          <w:rFonts w:asciiTheme="majorHAnsi" w:hAnsiTheme="majorHAnsi"/>
          <w:sz w:val="20"/>
          <w:szCs w:val="20"/>
        </w:rPr>
      </w:pPr>
      <w:r w:rsidRPr="00B645F5">
        <w:rPr>
          <w:rFonts w:asciiTheme="majorHAnsi" w:hAnsiTheme="majorHAnsi"/>
          <w:color w:val="000000"/>
          <w:sz w:val="20"/>
        </w:rPr>
        <w:t>The Commission note</w:t>
      </w:r>
      <w:r w:rsidR="00684DF1" w:rsidRPr="00B645F5">
        <w:rPr>
          <w:rFonts w:asciiTheme="majorHAnsi" w:hAnsiTheme="majorHAnsi"/>
          <w:color w:val="000000"/>
          <w:sz w:val="20"/>
        </w:rPr>
        <w:t>s</w:t>
      </w:r>
      <w:r w:rsidRPr="00B645F5">
        <w:rPr>
          <w:rFonts w:asciiTheme="majorHAnsi" w:hAnsiTheme="majorHAnsi"/>
          <w:color w:val="000000"/>
          <w:sz w:val="20"/>
        </w:rPr>
        <w:t xml:space="preserve"> </w:t>
      </w:r>
      <w:r w:rsidR="00660A18" w:rsidRPr="00B645F5">
        <w:rPr>
          <w:rFonts w:asciiTheme="majorHAnsi" w:hAnsiTheme="majorHAnsi"/>
          <w:color w:val="000000"/>
          <w:sz w:val="20"/>
        </w:rPr>
        <w:t xml:space="preserve">the petitioners’ allegations that </w:t>
      </w:r>
      <w:r w:rsidR="00660A18" w:rsidRPr="00B645F5">
        <w:rPr>
          <w:rFonts w:asciiTheme="majorHAnsi" w:hAnsiTheme="majorHAnsi"/>
          <w:sz w:val="20"/>
          <w:szCs w:val="20"/>
        </w:rPr>
        <w:t>the complainants were denied access to the materials that the Special Committee relied on as more credible than the many sworn affidavits supporting their complaint; that they were not allowed to testify at or even attend the hearing into their complaint, nor could they question the judge, nor were they provided with the investigative report and supplemental reports prepared by Special Counsel for the Committee. The Commission also notes that the State does not refute these allegations.</w:t>
      </w:r>
    </w:p>
    <w:p w14:paraId="0BD67267" w14:textId="77777777" w:rsidR="00C55D3E" w:rsidRPr="00B645F5" w:rsidRDefault="00C55D3E" w:rsidP="00C55D3E">
      <w:pPr>
        <w:pStyle w:val="ListParagraph"/>
        <w:rPr>
          <w:rFonts w:asciiTheme="majorHAnsi" w:hAnsiTheme="majorHAnsi"/>
          <w:sz w:val="20"/>
          <w:szCs w:val="20"/>
        </w:rPr>
      </w:pPr>
    </w:p>
    <w:p w14:paraId="4BCA52DB" w14:textId="77777777" w:rsidR="00C55D3E" w:rsidRPr="00B645F5" w:rsidRDefault="00660A18" w:rsidP="00C55D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left" w:pos="1440"/>
        </w:tabs>
        <w:spacing w:beforeLines="1" w:before="2" w:afterLines="1" w:after="2"/>
        <w:ind w:left="0" w:firstLine="0"/>
        <w:jc w:val="both"/>
        <w:textAlignment w:val="baseline"/>
        <w:rPr>
          <w:rFonts w:asciiTheme="majorHAnsi" w:hAnsiTheme="majorHAnsi"/>
          <w:sz w:val="20"/>
          <w:szCs w:val="20"/>
        </w:rPr>
      </w:pPr>
      <w:r w:rsidRPr="00B645F5">
        <w:rPr>
          <w:rFonts w:asciiTheme="majorHAnsi" w:hAnsiTheme="majorHAnsi"/>
          <w:sz w:val="20"/>
          <w:szCs w:val="20"/>
        </w:rPr>
        <w:t xml:space="preserve">Based on these considerations, the IACHR </w:t>
      </w:r>
      <w:r w:rsidR="00C55D3E" w:rsidRPr="00B645F5">
        <w:rPr>
          <w:rFonts w:asciiTheme="majorHAnsi" w:hAnsiTheme="majorHAnsi"/>
          <w:sz w:val="20"/>
          <w:szCs w:val="20"/>
        </w:rPr>
        <w:t>asserts</w:t>
      </w:r>
      <w:r w:rsidRPr="00B645F5">
        <w:rPr>
          <w:rFonts w:asciiTheme="majorHAnsi" w:hAnsiTheme="majorHAnsi"/>
          <w:sz w:val="20"/>
          <w:szCs w:val="20"/>
        </w:rPr>
        <w:t xml:space="preserve"> that</w:t>
      </w:r>
      <w:r w:rsidR="008576F3" w:rsidRPr="00B645F5">
        <w:rPr>
          <w:rFonts w:asciiTheme="majorHAnsi" w:hAnsiTheme="majorHAnsi"/>
          <w:sz w:val="20"/>
          <w:szCs w:val="20"/>
        </w:rPr>
        <w:t xml:space="preserve"> neither of the two avenues attempted by Mr. Ibarra's defense to challenge Judge Jones’ alleged lack of impartiality were effective. </w:t>
      </w:r>
      <w:r w:rsidR="00C55D3E" w:rsidRPr="00B645F5">
        <w:rPr>
          <w:rFonts w:asciiTheme="majorHAnsi" w:hAnsiTheme="majorHAnsi"/>
          <w:sz w:val="20"/>
          <w:szCs w:val="20"/>
        </w:rPr>
        <w:t xml:space="preserve">As established above, </w:t>
      </w:r>
      <w:r w:rsidR="00C55D3E" w:rsidRPr="00B645F5">
        <w:rPr>
          <w:rFonts w:asciiTheme="majorHAnsi" w:hAnsiTheme="majorHAnsi"/>
          <w:color w:val="000000"/>
          <w:sz w:val="20"/>
        </w:rPr>
        <w:t xml:space="preserve">impartiality requires that sufficient objective guarantees be provided to remove any doubts that the defendant or the </w:t>
      </w:r>
      <w:r w:rsidR="00C55D3E" w:rsidRPr="00B645F5">
        <w:rPr>
          <w:rFonts w:asciiTheme="majorHAnsi" w:hAnsiTheme="majorHAnsi"/>
          <w:sz w:val="20"/>
          <w:szCs w:val="20"/>
        </w:rPr>
        <w:t xml:space="preserve">community may have as to the absence of impartiality. Further, the State has a reinforced duty to investigate allegations of discrimination based on prohibited categories such as race or ethnicity, or national origin. </w:t>
      </w:r>
      <w:r w:rsidR="008576F3" w:rsidRPr="00B645F5">
        <w:rPr>
          <w:rFonts w:asciiTheme="majorHAnsi" w:hAnsiTheme="majorHAnsi"/>
          <w:sz w:val="20"/>
          <w:szCs w:val="20"/>
        </w:rPr>
        <w:t xml:space="preserve">The Commission notes that, given the existence of reasonable doubts regarding the lack of objective impartiality, Mr. Ibarra </w:t>
      </w:r>
      <w:r w:rsidR="00C55D3E" w:rsidRPr="00B645F5">
        <w:rPr>
          <w:rFonts w:asciiTheme="majorHAnsi" w:hAnsiTheme="majorHAnsi"/>
          <w:sz w:val="20"/>
          <w:szCs w:val="20"/>
        </w:rPr>
        <w:t>did</w:t>
      </w:r>
      <w:r w:rsidR="008576F3" w:rsidRPr="00B645F5">
        <w:rPr>
          <w:rFonts w:asciiTheme="majorHAnsi" w:hAnsiTheme="majorHAnsi"/>
          <w:sz w:val="20"/>
          <w:szCs w:val="20"/>
        </w:rPr>
        <w:t xml:space="preserve"> not </w:t>
      </w:r>
      <w:r w:rsidR="00C55D3E" w:rsidRPr="00B645F5">
        <w:rPr>
          <w:rFonts w:asciiTheme="majorHAnsi" w:hAnsiTheme="majorHAnsi"/>
          <w:sz w:val="20"/>
          <w:szCs w:val="20"/>
        </w:rPr>
        <w:t xml:space="preserve">have </w:t>
      </w:r>
      <w:r w:rsidR="008576F3" w:rsidRPr="00B645F5">
        <w:rPr>
          <w:rFonts w:asciiTheme="majorHAnsi" w:hAnsiTheme="majorHAnsi"/>
          <w:sz w:val="20"/>
          <w:szCs w:val="20"/>
        </w:rPr>
        <w:t>an</w:t>
      </w:r>
      <w:r w:rsidR="00C55D3E" w:rsidRPr="00B645F5">
        <w:rPr>
          <w:rFonts w:asciiTheme="majorHAnsi" w:hAnsiTheme="majorHAnsi"/>
          <w:sz w:val="20"/>
          <w:szCs w:val="20"/>
        </w:rPr>
        <w:t xml:space="preserve"> adequate and</w:t>
      </w:r>
      <w:r w:rsidR="008576F3" w:rsidRPr="00B645F5">
        <w:rPr>
          <w:rFonts w:asciiTheme="majorHAnsi" w:hAnsiTheme="majorHAnsi"/>
          <w:sz w:val="20"/>
          <w:szCs w:val="20"/>
        </w:rPr>
        <w:t xml:space="preserve"> effective remedy.</w:t>
      </w:r>
    </w:p>
    <w:p w14:paraId="3F3C31E4" w14:textId="77777777" w:rsidR="00C55D3E" w:rsidRPr="00B645F5" w:rsidRDefault="00C55D3E" w:rsidP="00C55D3E">
      <w:pPr>
        <w:pStyle w:val="ListParagraph"/>
        <w:rPr>
          <w:rFonts w:asciiTheme="majorHAnsi" w:eastAsia="Times New Roman" w:hAnsiTheme="majorHAnsi"/>
          <w:sz w:val="20"/>
          <w:szCs w:val="20"/>
          <w:bdr w:val="none" w:sz="0" w:space="0" w:color="auto"/>
        </w:rPr>
      </w:pPr>
    </w:p>
    <w:p w14:paraId="3355FE40" w14:textId="766C4AF3" w:rsidR="00D719D2" w:rsidRPr="00B645F5" w:rsidRDefault="00C55D3E" w:rsidP="00C55D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left" w:pos="1440"/>
        </w:tabs>
        <w:spacing w:beforeLines="1" w:before="2" w:afterLines="1" w:after="2"/>
        <w:ind w:left="0" w:firstLine="0"/>
        <w:jc w:val="both"/>
        <w:textAlignment w:val="baseline"/>
        <w:rPr>
          <w:rFonts w:asciiTheme="majorHAnsi" w:hAnsiTheme="majorHAnsi"/>
          <w:sz w:val="20"/>
          <w:szCs w:val="20"/>
        </w:rPr>
      </w:pPr>
      <w:r w:rsidRPr="00B645F5">
        <w:rPr>
          <w:rFonts w:asciiTheme="majorHAnsi" w:eastAsia="Times New Roman" w:hAnsiTheme="majorHAnsi"/>
          <w:sz w:val="20"/>
          <w:szCs w:val="20"/>
          <w:bdr w:val="none" w:sz="0" w:space="0" w:color="auto"/>
        </w:rPr>
        <w:t xml:space="preserve">The </w:t>
      </w:r>
      <w:r w:rsidR="00D719D2" w:rsidRPr="00B645F5">
        <w:rPr>
          <w:rFonts w:asciiTheme="majorHAnsi" w:eastAsia="Times New Roman" w:hAnsiTheme="majorHAnsi"/>
          <w:sz w:val="20"/>
          <w:szCs w:val="20"/>
          <w:bdr w:val="none" w:sz="0" w:space="0" w:color="auto"/>
        </w:rPr>
        <w:t xml:space="preserve">Commission </w:t>
      </w:r>
      <w:r w:rsidRPr="00B645F5">
        <w:rPr>
          <w:rFonts w:asciiTheme="majorHAnsi" w:eastAsia="Times New Roman" w:hAnsiTheme="majorHAnsi"/>
          <w:sz w:val="20"/>
          <w:szCs w:val="20"/>
          <w:bdr w:val="none" w:sz="0" w:space="0" w:color="auto"/>
        </w:rPr>
        <w:t xml:space="preserve">therefore </w:t>
      </w:r>
      <w:r w:rsidR="00D719D2" w:rsidRPr="00B645F5">
        <w:rPr>
          <w:rFonts w:asciiTheme="majorHAnsi" w:eastAsia="Times New Roman" w:hAnsiTheme="majorHAnsi"/>
          <w:sz w:val="20"/>
          <w:szCs w:val="20"/>
          <w:bdr w:val="none" w:sz="0" w:space="0" w:color="auto"/>
        </w:rPr>
        <w:t xml:space="preserve">concludes that the failure to </w:t>
      </w:r>
      <w:r w:rsidRPr="00B645F5">
        <w:rPr>
          <w:rFonts w:asciiTheme="majorHAnsi" w:eastAsia="Times New Roman" w:hAnsiTheme="majorHAnsi"/>
          <w:sz w:val="20"/>
          <w:szCs w:val="20"/>
          <w:bdr w:val="none" w:sz="0" w:space="0" w:color="auto"/>
        </w:rPr>
        <w:t xml:space="preserve">provide an adequate remedy regarding </w:t>
      </w:r>
      <w:r w:rsidR="00D719D2" w:rsidRPr="00B645F5">
        <w:rPr>
          <w:rFonts w:asciiTheme="majorHAnsi" w:eastAsia="Times New Roman" w:hAnsiTheme="majorHAnsi"/>
          <w:sz w:val="20"/>
          <w:szCs w:val="20"/>
          <w:bdr w:val="none" w:sz="0" w:space="0" w:color="auto"/>
        </w:rPr>
        <w:t>allegations of lack of impartiality and discrimination</w:t>
      </w:r>
      <w:r w:rsidRPr="00B645F5">
        <w:rPr>
          <w:rFonts w:asciiTheme="majorHAnsi" w:eastAsia="Times New Roman" w:hAnsiTheme="majorHAnsi"/>
          <w:sz w:val="20"/>
          <w:szCs w:val="20"/>
          <w:bdr w:val="none" w:sz="0" w:space="0" w:color="auto"/>
        </w:rPr>
        <w:t>,</w:t>
      </w:r>
      <w:r w:rsidR="00D719D2" w:rsidRPr="00B645F5">
        <w:rPr>
          <w:rFonts w:asciiTheme="majorHAnsi" w:eastAsia="Times New Roman" w:hAnsiTheme="majorHAnsi"/>
          <w:sz w:val="20"/>
          <w:szCs w:val="20"/>
          <w:bdr w:val="none" w:sz="0" w:space="0" w:color="auto"/>
        </w:rPr>
        <w:t xml:space="preserve"> violated Mr. Ibarra's right to a fair trial</w:t>
      </w:r>
      <w:r w:rsidR="0002510E" w:rsidRPr="00B645F5">
        <w:rPr>
          <w:rFonts w:asciiTheme="majorHAnsi" w:eastAsia="Times New Roman" w:hAnsiTheme="majorHAnsi"/>
          <w:sz w:val="20"/>
          <w:szCs w:val="20"/>
          <w:bdr w:val="none" w:sz="0" w:space="0" w:color="auto"/>
        </w:rPr>
        <w:t xml:space="preserve"> and to due process of law</w:t>
      </w:r>
      <w:r w:rsidR="00D719D2" w:rsidRPr="00B645F5">
        <w:rPr>
          <w:rFonts w:asciiTheme="majorHAnsi" w:eastAsia="Times New Roman" w:hAnsiTheme="majorHAnsi"/>
          <w:sz w:val="20"/>
          <w:szCs w:val="20"/>
          <w:bdr w:val="none" w:sz="0" w:space="0" w:color="auto"/>
        </w:rPr>
        <w:t>, in connection with</w:t>
      </w:r>
      <w:r w:rsidR="00D719D2" w:rsidRPr="00B645F5">
        <w:rPr>
          <w:rFonts w:asciiTheme="majorHAnsi" w:hAnsiTheme="majorHAnsi"/>
          <w:color w:val="000000"/>
          <w:sz w:val="20"/>
        </w:rPr>
        <w:t xml:space="preserve"> his right to an impartial hearing </w:t>
      </w:r>
      <w:r w:rsidR="0002510E" w:rsidRPr="00B645F5">
        <w:rPr>
          <w:rFonts w:asciiTheme="majorHAnsi" w:hAnsiTheme="majorHAnsi"/>
          <w:color w:val="000000"/>
          <w:sz w:val="20"/>
        </w:rPr>
        <w:t>and</w:t>
      </w:r>
      <w:r w:rsidR="00D719D2" w:rsidRPr="00B645F5">
        <w:rPr>
          <w:rFonts w:asciiTheme="majorHAnsi" w:hAnsiTheme="majorHAnsi"/>
          <w:color w:val="000000"/>
          <w:sz w:val="20"/>
        </w:rPr>
        <w:t xml:space="preserve"> right to </w:t>
      </w:r>
      <w:r w:rsidR="0002510E" w:rsidRPr="00B645F5">
        <w:rPr>
          <w:rFonts w:asciiTheme="majorHAnsi" w:hAnsiTheme="majorHAnsi"/>
          <w:color w:val="000000"/>
          <w:sz w:val="20"/>
        </w:rPr>
        <w:t xml:space="preserve">equality before the law and non-discrimination </w:t>
      </w:r>
      <w:r w:rsidR="00D719D2" w:rsidRPr="00B645F5">
        <w:rPr>
          <w:rFonts w:asciiTheme="majorHAnsi" w:hAnsiTheme="majorHAnsi"/>
          <w:color w:val="000000"/>
          <w:sz w:val="20"/>
        </w:rPr>
        <w:t>as required by Articles XXVI and II of the American Declaration.</w:t>
      </w:r>
    </w:p>
    <w:p w14:paraId="0507BAD7" w14:textId="77777777" w:rsidR="00D719D2" w:rsidRPr="00B645F5" w:rsidRDefault="00D719D2" w:rsidP="005316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14977890" w14:textId="77777777" w:rsidR="005316DF" w:rsidRPr="00B645F5" w:rsidRDefault="005316DF" w:rsidP="005316DF">
      <w:pPr>
        <w:keepNext/>
        <w:keepLines/>
        <w:numPr>
          <w:ilvl w:val="0"/>
          <w:numId w:val="61"/>
        </w:numPr>
        <w:tabs>
          <w:tab w:val="left" w:pos="360"/>
        </w:tabs>
        <w:ind w:left="0" w:firstLine="0"/>
        <w:jc w:val="both"/>
        <w:outlineLvl w:val="1"/>
        <w:rPr>
          <w:rFonts w:asciiTheme="majorHAnsi" w:eastAsiaTheme="majorEastAsia" w:hAnsiTheme="majorHAnsi" w:cstheme="majorBidi"/>
          <w:b/>
          <w:bCs/>
          <w:sz w:val="20"/>
          <w:szCs w:val="20"/>
        </w:rPr>
      </w:pPr>
      <w:bookmarkStart w:id="25" w:name="_Toc462574158"/>
      <w:bookmarkStart w:id="26" w:name="_Toc90115130"/>
      <w:r w:rsidRPr="00B645F5">
        <w:rPr>
          <w:rFonts w:asciiTheme="majorHAnsi" w:eastAsiaTheme="majorEastAsia" w:hAnsiTheme="majorHAnsi" w:cstheme="majorBidi"/>
          <w:b/>
          <w:bCs/>
          <w:sz w:val="20"/>
          <w:szCs w:val="20"/>
        </w:rPr>
        <w:t>Right of every person with mental or intellectual disabilities not to be subjected to the death penalty</w:t>
      </w:r>
      <w:bookmarkEnd w:id="25"/>
      <w:bookmarkEnd w:id="26"/>
    </w:p>
    <w:p w14:paraId="11F8F778" w14:textId="77777777" w:rsidR="005316DF" w:rsidRPr="00B645F5" w:rsidRDefault="005316DF" w:rsidP="005316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b/>
          <w:sz w:val="20"/>
          <w:szCs w:val="20"/>
          <w:bdr w:val="none" w:sz="0" w:space="0" w:color="auto"/>
        </w:rPr>
      </w:pPr>
    </w:p>
    <w:p w14:paraId="173A7131" w14:textId="77777777" w:rsidR="005316DF" w:rsidRPr="00B645F5" w:rsidRDefault="005316DF" w:rsidP="005316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The IACHR has established that, while the American Declaration does not expressly prohibit the imposition of the death penalty in the case of persons with mental and intellectual disabilities, such a practice is in violation of the rights and basic principles recognized in Articles I and XXVI of the American Declaration.</w:t>
      </w:r>
      <w:r w:rsidRPr="00B645F5">
        <w:rPr>
          <w:rFonts w:asciiTheme="majorHAnsi" w:eastAsia="Cambria" w:hAnsiTheme="majorHAnsi"/>
          <w:bCs/>
          <w:color w:val="000000"/>
          <w:sz w:val="20"/>
          <w:szCs w:val="20"/>
          <w:u w:color="000000"/>
          <w:vertAlign w:val="superscript"/>
          <w:lang w:eastAsia="es-ES"/>
        </w:rPr>
        <w:footnoteReference w:id="70"/>
      </w:r>
      <w:r w:rsidRPr="00B645F5">
        <w:rPr>
          <w:rFonts w:eastAsia="Cambria"/>
          <w:bCs/>
          <w:color w:val="000000"/>
          <w:u w:color="000000"/>
          <w:vertAlign w:val="superscript"/>
          <w:lang w:eastAsia="es-ES"/>
        </w:rPr>
        <w:t xml:space="preserve"> </w:t>
      </w:r>
      <w:r w:rsidRPr="00B645F5">
        <w:rPr>
          <w:rFonts w:asciiTheme="majorHAnsi" w:eastAsia="Times New Roman" w:hAnsiTheme="majorHAnsi"/>
          <w:sz w:val="20"/>
          <w:szCs w:val="20"/>
          <w:bdr w:val="none" w:sz="0" w:space="0" w:color="auto"/>
        </w:rPr>
        <w:t>The IACHR has also ruled that:</w:t>
      </w:r>
    </w:p>
    <w:p w14:paraId="381519ED" w14:textId="77777777" w:rsidR="005316DF" w:rsidRPr="00B645F5" w:rsidRDefault="005316DF" w:rsidP="005316DF">
      <w:pPr>
        <w:shd w:val="clear" w:color="auto" w:fill="FFFFFF"/>
        <w:jc w:val="both"/>
        <w:rPr>
          <w:rFonts w:asciiTheme="majorHAnsi" w:eastAsia="Cambria" w:hAnsiTheme="majorHAnsi" w:cs="Cambria"/>
          <w:bCs/>
          <w:color w:val="000000"/>
          <w:sz w:val="20"/>
          <w:szCs w:val="20"/>
          <w:u w:color="000000"/>
          <w:lang w:eastAsia="es-ES"/>
        </w:rPr>
      </w:pPr>
    </w:p>
    <w:p w14:paraId="1C906A9F" w14:textId="77777777" w:rsidR="005316DF" w:rsidRPr="00B645F5" w:rsidRDefault="005316DF" w:rsidP="005316DF">
      <w:pPr>
        <w:shd w:val="clear" w:color="auto" w:fill="FFFFFF"/>
        <w:ind w:left="360" w:right="360"/>
        <w:jc w:val="both"/>
        <w:rPr>
          <w:rFonts w:asciiTheme="majorHAnsi" w:eastAsia="Cambria" w:hAnsiTheme="majorHAnsi" w:cs="Cambria"/>
          <w:bCs/>
          <w:color w:val="000000"/>
          <w:sz w:val="18"/>
          <w:szCs w:val="18"/>
          <w:u w:color="000000"/>
          <w:lang w:eastAsia="es-ES"/>
        </w:rPr>
      </w:pPr>
      <w:r w:rsidRPr="00B645F5">
        <w:rPr>
          <w:rFonts w:ascii="Cambria" w:eastAsia="Times New Roman" w:hAnsi="Cambria" w:cs="Cambria"/>
          <w:color w:val="000000"/>
          <w:sz w:val="18"/>
          <w:szCs w:val="18"/>
          <w:u w:color="000000"/>
          <w:bdr w:val="none" w:sz="0" w:space="0" w:color="auto" w:frame="1"/>
          <w:lang w:eastAsia="es-ES"/>
        </w:rPr>
        <w:t>States have a special duty to protect persons with mental and intellectual disabilities, a duty that is reinforced in the case of persons under State custody.  Moreover, it is a principle of international law that persons with mental and intellectual disabilities, either at the time of the commission of the crime or during trial, cannot be sentenced to the death penalty.  Likewise, international law also prohibits the execution of a person sentenced to death if that person has a mental or intellectual disability at the time of the execution.</w:t>
      </w:r>
      <w:r w:rsidRPr="00B645F5">
        <w:rPr>
          <w:rFonts w:ascii="Cambria" w:eastAsia="Times New Roman" w:hAnsi="Cambria" w:cs="Cambria"/>
          <w:color w:val="000000"/>
          <w:sz w:val="18"/>
          <w:szCs w:val="18"/>
          <w:u w:color="000000"/>
          <w:bdr w:val="none" w:sz="0" w:space="0" w:color="auto" w:frame="1"/>
          <w:vertAlign w:val="superscript"/>
          <w:lang w:eastAsia="es-ES"/>
        </w:rPr>
        <w:footnoteReference w:id="71"/>
      </w:r>
    </w:p>
    <w:p w14:paraId="6B572136" w14:textId="77777777" w:rsidR="005316DF" w:rsidRPr="00B645F5" w:rsidRDefault="005316DF" w:rsidP="005316DF">
      <w:pPr>
        <w:tabs>
          <w:tab w:val="left" w:pos="0"/>
        </w:tabs>
        <w:ind w:left="360" w:right="360"/>
        <w:jc w:val="both"/>
        <w:rPr>
          <w:rFonts w:ascii="Cambria" w:eastAsia="Times New Roman" w:hAnsi="Cambria"/>
          <w:bCs/>
          <w:sz w:val="20"/>
          <w:szCs w:val="20"/>
          <w:bdr w:val="none" w:sz="0" w:space="0" w:color="auto" w:frame="1"/>
        </w:rPr>
      </w:pPr>
    </w:p>
    <w:p w14:paraId="51B33743" w14:textId="77777777" w:rsidR="0044287C" w:rsidRPr="00B645F5" w:rsidRDefault="0044287C" w:rsidP="004428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Theme="majorHAnsi" w:eastAsiaTheme="minorHAnsi" w:hAnsiTheme="majorHAnsi"/>
          <w:sz w:val="20"/>
          <w:szCs w:val="20"/>
          <w:bdr w:val="none" w:sz="0" w:space="0" w:color="auto"/>
        </w:rPr>
        <w:t xml:space="preserve">States have a special duty to protect persons with mental and intellectual disabilities, a duty that is reinforced in the case of persons under State custody. Moreover, it is a principle of international law that persons with mental and intellectual disabilities, either at the time of the commission of the crime or during </w:t>
      </w:r>
      <w:r w:rsidRPr="00B645F5">
        <w:rPr>
          <w:rFonts w:asciiTheme="majorHAnsi" w:eastAsiaTheme="minorHAnsi" w:hAnsiTheme="majorHAnsi"/>
          <w:sz w:val="20"/>
          <w:szCs w:val="20"/>
          <w:bdr w:val="none" w:sz="0" w:space="0" w:color="auto"/>
        </w:rPr>
        <w:lastRenderedPageBreak/>
        <w:t>trial, cannot be sentenced to the death penalty. Likewise, international law also proh</w:t>
      </w:r>
      <w:r w:rsidRPr="00B645F5">
        <w:rPr>
          <w:rFonts w:ascii="Cambria" w:eastAsiaTheme="minorHAnsi" w:hAnsi="Cambria"/>
          <w:sz w:val="20"/>
          <w:szCs w:val="20"/>
          <w:bdr w:val="none" w:sz="0" w:space="0" w:color="auto"/>
        </w:rPr>
        <w:t>ibits the execution of a person sentenced to death if that personal has a mental or intellectual disability at the time of the execution.</w:t>
      </w:r>
      <w:r w:rsidRPr="00B645F5">
        <w:rPr>
          <w:rFonts w:ascii="Cambria" w:eastAsiaTheme="minorHAnsi" w:hAnsi="Cambria"/>
          <w:sz w:val="20"/>
          <w:szCs w:val="20"/>
          <w:bdr w:val="none" w:sz="0" w:space="0" w:color="auto"/>
          <w:vertAlign w:val="superscript"/>
        </w:rPr>
        <w:footnoteReference w:id="72"/>
      </w:r>
    </w:p>
    <w:p w14:paraId="635BE76B" w14:textId="77777777" w:rsidR="0044287C" w:rsidRPr="00B645F5" w:rsidRDefault="0044287C" w:rsidP="0044287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eastAsiaTheme="minorHAnsi" w:hAnsi="Cambria"/>
          <w:sz w:val="20"/>
          <w:szCs w:val="20"/>
          <w:bdr w:val="none" w:sz="0" w:space="0" w:color="auto"/>
        </w:rPr>
      </w:pPr>
    </w:p>
    <w:p w14:paraId="57C9EB28" w14:textId="77777777" w:rsidR="0044287C" w:rsidRPr="00B645F5" w:rsidRDefault="0044287C" w:rsidP="004428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bdr w:val="none" w:sz="0" w:space="0" w:color="auto"/>
        </w:rPr>
      </w:pPr>
      <w:r w:rsidRPr="00B645F5">
        <w:rPr>
          <w:rFonts w:ascii="Cambria" w:eastAsiaTheme="minorHAnsi" w:hAnsi="Cambria"/>
          <w:sz w:val="20"/>
          <w:szCs w:val="20"/>
          <w:bdr w:val="none" w:sz="0" w:space="0" w:color="auto"/>
        </w:rPr>
        <w:t>Given its special duty to protect persons with mental and intellectual disabilities, in death penalty cases the State has the obligation to have procedures in place to identify those accused or convicted persons who have a mental or intellectual disability. In this regard, the State has two main obligations. First, it has the duty to survey all records and information in its possession concerning the mental health of a person accused of a capital offense. Second, the State must provide any indigent person with the means necessary to have an independent mental health evaluation done in a timely manner.</w:t>
      </w:r>
      <w:r w:rsidRPr="00B645F5">
        <w:rPr>
          <w:rFonts w:ascii="Cambria" w:eastAsiaTheme="minorHAnsi" w:hAnsi="Cambria"/>
          <w:sz w:val="20"/>
          <w:szCs w:val="20"/>
          <w:bdr w:val="none" w:sz="0" w:space="0" w:color="auto"/>
          <w:vertAlign w:val="superscript"/>
        </w:rPr>
        <w:footnoteReference w:id="73"/>
      </w:r>
      <w:r w:rsidRPr="00B645F5">
        <w:rPr>
          <w:rFonts w:ascii="Cambria" w:eastAsiaTheme="minorHAnsi" w:hAnsi="Cambria"/>
          <w:sz w:val="20"/>
          <w:szCs w:val="20"/>
          <w:bdr w:val="none" w:sz="0" w:space="0" w:color="auto"/>
        </w:rPr>
        <w:t xml:space="preserve"> Moreover, when there is an indication that an accused or convicted person in a death penalty case might have a mental or intellectual disability, the State has the obligation, at any time of the proceedings, to address the claim on the merits.</w:t>
      </w:r>
    </w:p>
    <w:p w14:paraId="1E47F09B" w14:textId="77777777" w:rsidR="0044287C" w:rsidRPr="00B645F5" w:rsidRDefault="0044287C" w:rsidP="0044287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08A21174" w14:textId="10F83CFA" w:rsidR="005316DF" w:rsidRPr="00B645F5" w:rsidRDefault="005316DF" w:rsidP="00000D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In a case involving Trinidad and Tobago, the Human Rights Committee held that the reading of a death warrant to a person with a mental disability, even if that person had been competent at the time of his or her conviction, is a violation of the right not to be subjected to torture or to cruel, inhuman or degrading treatment or punishment.</w:t>
      </w:r>
      <w:r w:rsidRPr="00B645F5">
        <w:rPr>
          <w:rFonts w:asciiTheme="majorHAnsi" w:eastAsia="Cambria" w:hAnsiTheme="majorHAnsi"/>
          <w:bCs/>
          <w:color w:val="000000"/>
          <w:sz w:val="20"/>
          <w:szCs w:val="20"/>
          <w:u w:color="000000"/>
          <w:vertAlign w:val="superscript"/>
          <w:lang w:eastAsia="es-ES"/>
        </w:rPr>
        <w:footnoteReference w:id="74"/>
      </w:r>
      <w:r w:rsidRPr="00B645F5">
        <w:rPr>
          <w:rFonts w:asciiTheme="majorHAnsi" w:eastAsia="Times New Roman" w:hAnsiTheme="majorHAnsi"/>
          <w:sz w:val="20"/>
          <w:szCs w:val="20"/>
          <w:bdr w:val="none" w:sz="0" w:space="0" w:color="auto"/>
        </w:rPr>
        <w:t xml:space="preserve"> The United Nations “Safeguards Guaranteeing Protection of the Rights of Those Facing the Death Penalty” provide that a death sentence shall not be carried out on […] “persons who have become insane.”</w:t>
      </w:r>
      <w:r w:rsidRPr="00B645F5">
        <w:rPr>
          <w:rFonts w:asciiTheme="majorHAnsi" w:eastAsia="Cambria" w:hAnsiTheme="majorHAnsi"/>
          <w:bCs/>
          <w:color w:val="000000"/>
          <w:sz w:val="20"/>
          <w:szCs w:val="20"/>
          <w:u w:color="000000"/>
          <w:vertAlign w:val="superscript"/>
          <w:lang w:eastAsia="es-ES"/>
        </w:rPr>
        <w:footnoteReference w:id="75"/>
      </w:r>
      <w:r w:rsidRPr="00B645F5">
        <w:rPr>
          <w:rFonts w:asciiTheme="majorHAnsi" w:eastAsia="Times New Roman" w:hAnsiTheme="majorHAnsi"/>
          <w:sz w:val="20"/>
          <w:szCs w:val="20"/>
          <w:bdr w:val="none" w:sz="0" w:space="0" w:color="auto"/>
        </w:rPr>
        <w:t xml:space="preserve"> The United Nations Commission on Human Rights called upon all States that still have the death penalty “[n]</w:t>
      </w:r>
      <w:proofErr w:type="spellStart"/>
      <w:r w:rsidRPr="00B645F5">
        <w:rPr>
          <w:rFonts w:asciiTheme="majorHAnsi" w:eastAsia="Times New Roman" w:hAnsiTheme="majorHAnsi"/>
          <w:sz w:val="20"/>
          <w:szCs w:val="20"/>
          <w:bdr w:val="none" w:sz="0" w:space="0" w:color="auto"/>
        </w:rPr>
        <w:t>ot</w:t>
      </w:r>
      <w:proofErr w:type="spellEnd"/>
      <w:r w:rsidRPr="00B645F5">
        <w:rPr>
          <w:rFonts w:asciiTheme="majorHAnsi" w:eastAsia="Times New Roman" w:hAnsiTheme="majorHAnsi"/>
          <w:sz w:val="20"/>
          <w:szCs w:val="20"/>
          <w:bdr w:val="none" w:sz="0" w:space="0" w:color="auto"/>
        </w:rPr>
        <w:t xml:space="preserve"> to impose the death penalty on a person suffering from any mental or intellectual disabilities or to execute any such person.”</w:t>
      </w:r>
      <w:r w:rsidRPr="00B645F5">
        <w:rPr>
          <w:rFonts w:asciiTheme="majorHAnsi" w:eastAsia="Cambria" w:hAnsiTheme="majorHAnsi"/>
          <w:bCs/>
          <w:color w:val="000000"/>
          <w:sz w:val="20"/>
          <w:szCs w:val="20"/>
          <w:u w:color="000000"/>
          <w:vertAlign w:val="superscript"/>
          <w:lang w:eastAsia="es-ES"/>
        </w:rPr>
        <w:footnoteReference w:id="76"/>
      </w:r>
    </w:p>
    <w:p w14:paraId="4C8433EE" w14:textId="77777777" w:rsidR="005316DF" w:rsidRPr="00B645F5" w:rsidRDefault="005316DF" w:rsidP="005316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06C9126C" w14:textId="77777777" w:rsidR="005316DF" w:rsidRPr="00B645F5" w:rsidRDefault="005316DF" w:rsidP="00000D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frame="1"/>
        </w:rPr>
        <w:t>Also, the U.N. Special Rapporteur on torture and other cruel, inhuman or degrading treatment or punishment indicated that international law considers the imposition and enforcement of the death penalty in the case of persons with mental disabilities as particularly cruel, inhuman and degrading, and in violation of Article 7 of the International Covenant on Civil and Political Rights and Articles 1 and 16 of the Convention against Torture.</w:t>
      </w:r>
      <w:r w:rsidRPr="00B645F5">
        <w:rPr>
          <w:rFonts w:asciiTheme="majorHAnsi" w:eastAsia="Times New Roman" w:hAnsiTheme="majorHAnsi"/>
          <w:bCs/>
          <w:sz w:val="20"/>
          <w:szCs w:val="20"/>
          <w:bdr w:val="none" w:sz="0" w:space="0" w:color="auto"/>
          <w:vertAlign w:val="superscript"/>
        </w:rPr>
        <w:footnoteReference w:id="77"/>
      </w:r>
      <w:r w:rsidRPr="00B645F5">
        <w:rPr>
          <w:rFonts w:asciiTheme="majorHAnsi" w:eastAsia="Times New Roman" w:hAnsiTheme="majorHAnsi"/>
          <w:sz w:val="20"/>
          <w:szCs w:val="20"/>
          <w:bdr w:val="none" w:sz="0" w:space="0" w:color="auto" w:frame="1"/>
        </w:rPr>
        <w:t xml:space="preserve"> Likewise, the U.N. Special Rapporteur on arbitrary executions stated that “[</w:t>
      </w:r>
      <w:proofErr w:type="spellStart"/>
      <w:r w:rsidRPr="00B645F5">
        <w:rPr>
          <w:rFonts w:asciiTheme="majorHAnsi" w:eastAsia="Times New Roman" w:hAnsiTheme="majorHAnsi"/>
          <w:sz w:val="20"/>
          <w:szCs w:val="20"/>
          <w:bdr w:val="none" w:sz="0" w:space="0" w:color="auto" w:frame="1"/>
        </w:rPr>
        <w:t>i</w:t>
      </w:r>
      <w:proofErr w:type="spellEnd"/>
      <w:r w:rsidRPr="00B645F5">
        <w:rPr>
          <w:rFonts w:asciiTheme="majorHAnsi" w:eastAsia="Times New Roman" w:hAnsiTheme="majorHAnsi"/>
          <w:sz w:val="20"/>
          <w:szCs w:val="20"/>
          <w:bdr w:val="none" w:sz="0" w:space="0" w:color="auto" w:frame="1"/>
        </w:rPr>
        <w:t>]</w:t>
      </w:r>
      <w:r w:rsidRPr="00B645F5">
        <w:rPr>
          <w:rFonts w:asciiTheme="majorHAnsi" w:eastAsia="Times New Roman" w:hAnsiTheme="majorHAnsi"/>
          <w:sz w:val="20"/>
          <w:szCs w:val="20"/>
          <w:bdr w:val="none" w:sz="0" w:space="0" w:color="auto" w:frame="1"/>
          <w:shd w:val="clear" w:color="auto" w:fill="FFFFFF"/>
        </w:rPr>
        <w:t>t is a violation of death penalty safeguards to impose capital punishment on individuals suffering from psychosocial disabilities.”</w:t>
      </w:r>
      <w:r w:rsidRPr="00B645F5">
        <w:rPr>
          <w:rFonts w:asciiTheme="majorHAnsi" w:eastAsia="Times New Roman" w:hAnsiTheme="majorHAnsi"/>
          <w:bCs/>
          <w:sz w:val="20"/>
          <w:szCs w:val="20"/>
          <w:bdr w:val="none" w:sz="0" w:space="0" w:color="auto"/>
          <w:vertAlign w:val="superscript"/>
        </w:rPr>
        <w:footnoteReference w:id="78"/>
      </w:r>
    </w:p>
    <w:p w14:paraId="6AD46E5B" w14:textId="77777777" w:rsidR="005316DF" w:rsidRPr="00B645F5" w:rsidRDefault="005316DF" w:rsidP="005316DF">
      <w:pPr>
        <w:ind w:left="720"/>
        <w:rPr>
          <w:rFonts w:asciiTheme="majorHAnsi" w:eastAsia="Cambria" w:hAnsiTheme="majorHAnsi" w:cs="Cambria"/>
          <w:color w:val="000000"/>
          <w:sz w:val="20"/>
          <w:szCs w:val="20"/>
          <w:u w:color="000000"/>
          <w:bdr w:val="none" w:sz="0" w:space="0" w:color="auto" w:frame="1"/>
          <w:lang w:eastAsia="es-ES"/>
        </w:rPr>
      </w:pPr>
    </w:p>
    <w:p w14:paraId="61C3C35F" w14:textId="77777777" w:rsidR="0039011D" w:rsidRPr="00B645F5" w:rsidRDefault="005316DF" w:rsidP="00BB2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frame="1"/>
        </w:rPr>
        <w:t xml:space="preserve">In </w:t>
      </w:r>
      <w:r w:rsidRPr="00B645F5">
        <w:rPr>
          <w:rFonts w:asciiTheme="majorHAnsi" w:eastAsia="Times New Roman" w:hAnsiTheme="majorHAnsi"/>
          <w:i/>
          <w:sz w:val="20"/>
          <w:szCs w:val="20"/>
          <w:bdr w:val="none" w:sz="0" w:space="0" w:color="auto" w:frame="1"/>
        </w:rPr>
        <w:t>Atkins v. Virginia</w:t>
      </w:r>
      <w:r w:rsidRPr="00B645F5">
        <w:rPr>
          <w:rFonts w:asciiTheme="majorHAnsi" w:eastAsia="Times New Roman" w:hAnsiTheme="majorHAnsi"/>
          <w:sz w:val="20"/>
          <w:szCs w:val="20"/>
          <w:bdr w:val="none" w:sz="0" w:space="0" w:color="auto" w:frame="1"/>
        </w:rPr>
        <w:t>,</w:t>
      </w:r>
      <w:r w:rsidRPr="00B645F5">
        <w:rPr>
          <w:rFonts w:asciiTheme="majorHAnsi" w:eastAsia="Times New Roman" w:hAnsiTheme="majorHAnsi"/>
          <w:bCs/>
          <w:sz w:val="20"/>
          <w:szCs w:val="20"/>
          <w:bdr w:val="none" w:sz="0" w:space="0" w:color="auto"/>
          <w:vertAlign w:val="superscript"/>
        </w:rPr>
        <w:footnoteReference w:id="79"/>
      </w:r>
      <w:r w:rsidRPr="00B645F5">
        <w:rPr>
          <w:rFonts w:asciiTheme="majorHAnsi" w:eastAsia="Times New Roman" w:hAnsiTheme="majorHAnsi"/>
          <w:sz w:val="20"/>
          <w:szCs w:val="20"/>
          <w:bdr w:val="none" w:sz="0" w:space="0" w:color="auto" w:frame="1"/>
        </w:rPr>
        <w:t xml:space="preserve"> the United States Supreme Court held that “</w:t>
      </w:r>
      <w:r w:rsidRPr="00B645F5">
        <w:rPr>
          <w:rFonts w:asciiTheme="majorHAnsi" w:eastAsia="Times New Roman" w:hAnsiTheme="majorHAnsi"/>
          <w:sz w:val="20"/>
          <w:szCs w:val="20"/>
          <w:bdr w:val="none" w:sz="0" w:space="0" w:color="auto" w:frame="1"/>
          <w:shd w:val="clear" w:color="auto" w:fill="FFFFFF"/>
        </w:rPr>
        <w:t>executions of mentally retarded criminals are cruel and unusual punishments prohibited by the Eighth Amendment” of the U.S. Constitution.  In its ruling, the Supreme Court traced the history of the concept of “excessive” sanctions and underscored the fact that the consensus today unquestionably reflects widespread judgment about the relative culpability of “mentally retarded offenders.”</w:t>
      </w:r>
      <w:r w:rsidRPr="00B645F5">
        <w:rPr>
          <w:rFonts w:asciiTheme="majorHAnsi" w:eastAsia="Times New Roman" w:hAnsiTheme="majorHAnsi"/>
          <w:bCs/>
          <w:sz w:val="20"/>
          <w:szCs w:val="20"/>
          <w:bdr w:val="none" w:sz="0" w:space="0" w:color="auto"/>
          <w:vertAlign w:val="superscript"/>
        </w:rPr>
        <w:footnoteReference w:id="80"/>
      </w:r>
      <w:r w:rsidRPr="00B645F5">
        <w:rPr>
          <w:rFonts w:asciiTheme="majorHAnsi" w:eastAsia="Times New Roman" w:hAnsiTheme="majorHAnsi"/>
          <w:sz w:val="20"/>
          <w:szCs w:val="20"/>
          <w:bdr w:val="none" w:sz="0" w:space="0" w:color="auto" w:frame="1"/>
        </w:rPr>
        <w:t xml:space="preserve"> </w:t>
      </w:r>
    </w:p>
    <w:p w14:paraId="5D99912F" w14:textId="77777777" w:rsidR="0039011D" w:rsidRPr="00B645F5" w:rsidRDefault="0039011D" w:rsidP="0039011D">
      <w:pPr>
        <w:pStyle w:val="ListParagraph"/>
        <w:rPr>
          <w:rFonts w:asciiTheme="majorHAnsi" w:eastAsia="Times New Roman" w:hAnsiTheme="majorHAnsi"/>
          <w:sz w:val="20"/>
          <w:szCs w:val="20"/>
          <w:bdr w:val="none" w:sz="0" w:space="0" w:color="auto"/>
        </w:rPr>
      </w:pPr>
    </w:p>
    <w:p w14:paraId="46CE502F" w14:textId="09CAE0E6" w:rsidR="00E431AD" w:rsidRPr="00B645F5" w:rsidRDefault="0039011D" w:rsidP="00BB2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According to the available information, after the Supreme Court of Justice issued its decision on Atkins, Mr. Ibarra filed an application for a writ of habeas corpus. The Texas Court of Criminal Appeals remanded the Atkins claim to the trial court for an evidentiary hearing</w:t>
      </w:r>
      <w:r w:rsidR="0018183E" w:rsidRPr="00B645F5">
        <w:rPr>
          <w:rFonts w:asciiTheme="majorHAnsi" w:eastAsia="Times New Roman" w:hAnsiTheme="majorHAnsi"/>
          <w:sz w:val="20"/>
          <w:szCs w:val="20"/>
          <w:bdr w:val="none" w:sz="0" w:space="0" w:color="auto"/>
        </w:rPr>
        <w:t xml:space="preserve"> that was scheduled for September 2006</w:t>
      </w:r>
      <w:r w:rsidRPr="00B645F5">
        <w:rPr>
          <w:rFonts w:asciiTheme="majorHAnsi" w:eastAsia="Times New Roman" w:hAnsiTheme="majorHAnsi"/>
          <w:sz w:val="20"/>
          <w:szCs w:val="20"/>
          <w:bdr w:val="none" w:sz="0" w:space="0" w:color="auto"/>
        </w:rPr>
        <w:t xml:space="preserve">. The trial court determined that Mr. Ibarra did not have a mental disability, and this holding was adopted on appeal. </w:t>
      </w:r>
    </w:p>
    <w:p w14:paraId="0D7681B1" w14:textId="77777777" w:rsidR="00E431AD" w:rsidRPr="00B645F5" w:rsidRDefault="00E431AD" w:rsidP="00E431AD">
      <w:pPr>
        <w:pStyle w:val="ListParagraph"/>
        <w:rPr>
          <w:rFonts w:asciiTheme="majorHAnsi" w:hAnsiTheme="majorHAnsi"/>
          <w:sz w:val="20"/>
          <w:szCs w:val="20"/>
        </w:rPr>
      </w:pPr>
    </w:p>
    <w:p w14:paraId="24677C0E" w14:textId="3A7F7593" w:rsidR="00C542C0" w:rsidRPr="00B645F5" w:rsidRDefault="00C542C0" w:rsidP="00BB2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Style w:val="s1"/>
          <w:rFonts w:asciiTheme="majorHAnsi" w:eastAsia="Times New Roman" w:hAnsiTheme="majorHAnsi"/>
          <w:sz w:val="20"/>
          <w:szCs w:val="20"/>
          <w:bdr w:val="none" w:sz="0" w:space="0" w:color="auto"/>
        </w:rPr>
      </w:pPr>
      <w:r w:rsidRPr="00B645F5">
        <w:rPr>
          <w:rFonts w:asciiTheme="majorHAnsi" w:hAnsiTheme="majorHAnsi"/>
          <w:sz w:val="20"/>
          <w:szCs w:val="20"/>
        </w:rPr>
        <w:lastRenderedPageBreak/>
        <w:t>The Commission notes the State’s claim that Dr. Stephen Mark evaluated Mr. Ibarra on two occasions, finding that he was competent to stand trial and that he was not “mentally retarded”</w:t>
      </w:r>
      <w:r w:rsidR="00E431AD" w:rsidRPr="00B645F5">
        <w:rPr>
          <w:rFonts w:asciiTheme="majorHAnsi" w:hAnsiTheme="majorHAnsi"/>
          <w:sz w:val="20"/>
          <w:szCs w:val="20"/>
        </w:rPr>
        <w:t xml:space="preserve"> and that the expert opinion was completed after the Atkins decision.</w:t>
      </w:r>
      <w:r w:rsidRPr="00B645F5">
        <w:rPr>
          <w:rFonts w:asciiTheme="majorHAnsi" w:hAnsiTheme="majorHAnsi"/>
          <w:sz w:val="20"/>
          <w:szCs w:val="20"/>
        </w:rPr>
        <w:t xml:space="preserve"> The Commission also notes</w:t>
      </w:r>
      <w:r w:rsidR="00E431AD" w:rsidRPr="00B645F5">
        <w:rPr>
          <w:rFonts w:asciiTheme="majorHAnsi" w:hAnsiTheme="majorHAnsi"/>
          <w:sz w:val="20"/>
          <w:szCs w:val="20"/>
        </w:rPr>
        <w:t>,</w:t>
      </w:r>
      <w:r w:rsidRPr="00B645F5">
        <w:rPr>
          <w:rFonts w:asciiTheme="majorHAnsi" w:hAnsiTheme="majorHAnsi"/>
          <w:sz w:val="20"/>
          <w:szCs w:val="20"/>
        </w:rPr>
        <w:t xml:space="preserve"> however, that according to the information provided by the petitioners</w:t>
      </w:r>
      <w:r w:rsidR="00E431AD" w:rsidRPr="00B645F5">
        <w:rPr>
          <w:rFonts w:asciiTheme="majorHAnsi" w:hAnsiTheme="majorHAnsi"/>
          <w:sz w:val="20"/>
          <w:szCs w:val="20"/>
        </w:rPr>
        <w:t>,</w:t>
      </w:r>
      <w:r w:rsidRPr="00B645F5">
        <w:rPr>
          <w:rFonts w:asciiTheme="majorHAnsi" w:hAnsiTheme="majorHAnsi"/>
          <w:sz w:val="20"/>
          <w:szCs w:val="20"/>
        </w:rPr>
        <w:t xml:space="preserve"> not controverted by the State</w:t>
      </w:r>
      <w:r w:rsidR="00217B9F" w:rsidRPr="00B645F5">
        <w:rPr>
          <w:rFonts w:asciiTheme="majorHAnsi" w:hAnsiTheme="majorHAnsi"/>
          <w:sz w:val="20"/>
          <w:szCs w:val="20"/>
        </w:rPr>
        <w:t>, although</w:t>
      </w:r>
      <w:r w:rsidR="00217B9F" w:rsidRPr="00B645F5">
        <w:rPr>
          <w:rStyle w:val="s1"/>
          <w:rFonts w:asciiTheme="majorHAnsi" w:hAnsiTheme="majorHAnsi"/>
          <w:sz w:val="20"/>
          <w:szCs w:val="20"/>
        </w:rPr>
        <w:t xml:space="preserve"> </w:t>
      </w:r>
      <w:r w:rsidRPr="00B645F5">
        <w:rPr>
          <w:rFonts w:asciiTheme="majorHAnsi" w:hAnsiTheme="majorHAnsi"/>
          <w:sz w:val="20"/>
          <w:szCs w:val="20"/>
        </w:rPr>
        <w:t>the opinion was completed in 2003</w:t>
      </w:r>
      <w:r w:rsidR="00E431AD" w:rsidRPr="00B645F5">
        <w:rPr>
          <w:rFonts w:asciiTheme="majorHAnsi" w:hAnsiTheme="majorHAnsi"/>
          <w:sz w:val="20"/>
          <w:szCs w:val="20"/>
        </w:rPr>
        <w:t>,</w:t>
      </w:r>
      <w:r w:rsidRPr="00B645F5">
        <w:rPr>
          <w:rFonts w:asciiTheme="majorHAnsi" w:hAnsiTheme="majorHAnsi"/>
          <w:sz w:val="20"/>
          <w:szCs w:val="20"/>
        </w:rPr>
        <w:t xml:space="preserve"> </w:t>
      </w:r>
      <w:r w:rsidR="00217B9F" w:rsidRPr="00B645F5">
        <w:rPr>
          <w:rStyle w:val="s1"/>
          <w:rFonts w:asciiTheme="majorHAnsi" w:hAnsiTheme="majorHAnsi"/>
          <w:sz w:val="20"/>
          <w:szCs w:val="20"/>
        </w:rPr>
        <w:t xml:space="preserve">it relied on evaluations done before Atkins. </w:t>
      </w:r>
    </w:p>
    <w:p w14:paraId="0F49186A" w14:textId="1D5DAB1E" w:rsidR="00997473" w:rsidRPr="00B645F5" w:rsidRDefault="00997473" w:rsidP="00E431AD">
      <w:pPr>
        <w:rPr>
          <w:rFonts w:asciiTheme="majorHAnsi" w:eastAsia="Times New Roman" w:hAnsiTheme="majorHAnsi"/>
          <w:sz w:val="20"/>
          <w:szCs w:val="20"/>
          <w:bdr w:val="none" w:sz="0" w:space="0" w:color="auto"/>
        </w:rPr>
      </w:pPr>
    </w:p>
    <w:p w14:paraId="3EB95DC0" w14:textId="476E9C74" w:rsidR="00AE0D4A" w:rsidRPr="00B645F5" w:rsidRDefault="00AE0D4A" w:rsidP="007770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left" w:pos="1440"/>
        </w:tabs>
        <w:ind w:left="0" w:firstLine="0"/>
        <w:jc w:val="both"/>
        <w:textAlignment w:val="baseline"/>
        <w:rPr>
          <w:rFonts w:asciiTheme="majorHAnsi" w:eastAsia="Times New Roman" w:hAnsiTheme="majorHAnsi"/>
          <w:sz w:val="18"/>
          <w:szCs w:val="18"/>
          <w:bdr w:val="none" w:sz="0" w:space="0" w:color="auto"/>
        </w:rPr>
      </w:pPr>
      <w:r w:rsidRPr="00B645F5">
        <w:rPr>
          <w:rFonts w:asciiTheme="majorHAnsi" w:eastAsia="Times New Roman" w:hAnsiTheme="majorHAnsi"/>
          <w:sz w:val="20"/>
          <w:bdr w:val="none" w:sz="0" w:space="0" w:color="auto"/>
        </w:rPr>
        <w:t xml:space="preserve">The Commission notes the opinion of </w:t>
      </w:r>
      <w:r w:rsidR="00000DF4" w:rsidRPr="00B645F5">
        <w:rPr>
          <w:rFonts w:asciiTheme="majorHAnsi" w:eastAsia="Times New Roman" w:hAnsiTheme="majorHAnsi"/>
          <w:sz w:val="20"/>
          <w:bdr w:val="none" w:sz="0" w:space="0" w:color="auto"/>
        </w:rPr>
        <w:t xml:space="preserve">Dr. </w:t>
      </w:r>
      <w:r w:rsidRPr="00B645F5">
        <w:rPr>
          <w:rFonts w:asciiTheme="majorHAnsi" w:eastAsia="Times New Roman" w:hAnsiTheme="majorHAnsi"/>
          <w:sz w:val="20"/>
          <w:bdr w:val="none" w:sz="0" w:space="0" w:color="auto"/>
        </w:rPr>
        <w:t xml:space="preserve">Carol M. Romney, </w:t>
      </w:r>
      <w:r w:rsidRPr="00B645F5">
        <w:rPr>
          <w:rFonts w:asciiTheme="majorHAnsi" w:eastAsia="Times New Roman" w:hAnsiTheme="majorHAnsi"/>
          <w:sz w:val="20"/>
          <w:szCs w:val="20"/>
          <w:bdr w:val="none" w:sz="0" w:space="0" w:color="auto"/>
        </w:rPr>
        <w:t>a licensed clinical psychologist,</w:t>
      </w:r>
      <w:r w:rsidRPr="00B645F5">
        <w:rPr>
          <w:rFonts w:asciiTheme="majorHAnsi" w:eastAsia="Times New Roman" w:hAnsiTheme="majorHAnsi"/>
          <w:sz w:val="20"/>
          <w:bdr w:val="none" w:sz="0" w:space="0" w:color="auto"/>
        </w:rPr>
        <w:t xml:space="preserve"> which concluded that Mr. Ibarra “has mental retardation” after two psychological examinations were done on June 9 and 10, 2003. A measure of intellectual functioning revealed a full scale IQ score of 65, that Mr. Ibarra exhibited a “uniform and diffuse level of cognitive deficits”, his problem solving skills were “confused” and he showed an “impaired ability for sequencing”.</w:t>
      </w:r>
      <w:r w:rsidRPr="00B645F5">
        <w:rPr>
          <w:rFonts w:asciiTheme="majorHAnsi" w:eastAsia="Times New Roman" w:hAnsiTheme="majorHAnsi"/>
          <w:sz w:val="20"/>
          <w:szCs w:val="20"/>
          <w:bdr w:val="none" w:sz="0" w:space="0" w:color="auto"/>
          <w:vertAlign w:val="superscript"/>
        </w:rPr>
        <w:footnoteReference w:id="81"/>
      </w:r>
      <w:r w:rsidRPr="00B645F5">
        <w:rPr>
          <w:rFonts w:asciiTheme="majorHAnsi" w:eastAsia="Times New Roman" w:hAnsiTheme="majorHAnsi"/>
          <w:sz w:val="20"/>
          <w:bdr w:val="none" w:sz="0" w:space="0" w:color="auto"/>
        </w:rPr>
        <w:t xml:space="preserve"> According to the available information, however, </w:t>
      </w:r>
      <w:r w:rsidR="0086700B" w:rsidRPr="00B645F5">
        <w:rPr>
          <w:rFonts w:asciiTheme="majorHAnsi" w:eastAsia="Times New Roman" w:hAnsiTheme="majorHAnsi"/>
          <w:sz w:val="20"/>
          <w:bdr w:val="none" w:sz="0" w:space="0" w:color="auto"/>
        </w:rPr>
        <w:t>the affidavit was declared inadmissible because it was not sworn before a notary.</w:t>
      </w:r>
      <w:r w:rsidR="00000DF4" w:rsidRPr="00B645F5">
        <w:rPr>
          <w:rFonts w:asciiTheme="majorHAnsi" w:eastAsia="Times New Roman" w:hAnsiTheme="majorHAnsi"/>
          <w:sz w:val="20"/>
          <w:bdr w:val="none" w:sz="0" w:space="0" w:color="auto"/>
        </w:rPr>
        <w:t xml:space="preserve"> In this regard, the Commission notes that Dr. Romney expressly stated that</w:t>
      </w:r>
      <w:r w:rsidR="007770B4" w:rsidRPr="00B645F5">
        <w:rPr>
          <w:rFonts w:asciiTheme="majorHAnsi" w:eastAsia="Times New Roman" w:hAnsiTheme="majorHAnsi"/>
          <w:sz w:val="20"/>
          <w:bdr w:val="none" w:sz="0" w:space="0" w:color="auto"/>
        </w:rPr>
        <w:t xml:space="preserve"> the affidavit</w:t>
      </w:r>
      <w:r w:rsidR="00000DF4" w:rsidRPr="00B645F5">
        <w:rPr>
          <w:rFonts w:asciiTheme="majorHAnsi" w:eastAsia="Times New Roman" w:hAnsiTheme="majorHAnsi"/>
          <w:sz w:val="20"/>
          <w:bdr w:val="none" w:sz="0" w:space="0" w:color="auto"/>
        </w:rPr>
        <w:t xml:space="preserve"> was not notarized because counsel for Mr. Ibarra requested </w:t>
      </w:r>
      <w:r w:rsidR="007770B4" w:rsidRPr="00B645F5">
        <w:rPr>
          <w:rFonts w:asciiTheme="majorHAnsi" w:eastAsia="Times New Roman" w:hAnsiTheme="majorHAnsi"/>
          <w:sz w:val="20"/>
          <w:bdr w:val="none" w:sz="0" w:space="0" w:color="auto"/>
        </w:rPr>
        <w:t>it</w:t>
      </w:r>
      <w:r w:rsidR="00000DF4" w:rsidRPr="00B645F5">
        <w:rPr>
          <w:rFonts w:asciiTheme="majorHAnsi" w:eastAsia="Times New Roman" w:hAnsiTheme="majorHAnsi"/>
          <w:sz w:val="20"/>
          <w:bdr w:val="none" w:sz="0" w:space="0" w:color="auto"/>
        </w:rPr>
        <w:t xml:space="preserve"> on a Friday and she was unable to reach a notary public during the weekend. </w:t>
      </w:r>
      <w:r w:rsidR="007770B4" w:rsidRPr="00B645F5">
        <w:rPr>
          <w:rFonts w:asciiTheme="majorHAnsi" w:eastAsia="Times New Roman" w:hAnsiTheme="majorHAnsi"/>
          <w:sz w:val="20"/>
          <w:bdr w:val="none" w:sz="0" w:space="0" w:color="auto"/>
        </w:rPr>
        <w:t>However, she indicated that a</w:t>
      </w:r>
      <w:r w:rsidR="00000DF4" w:rsidRPr="00B645F5">
        <w:rPr>
          <w:rFonts w:asciiTheme="majorHAnsi" w:eastAsia="Times New Roman" w:hAnsiTheme="majorHAnsi"/>
          <w:sz w:val="20"/>
          <w:bdr w:val="none" w:sz="0" w:space="0" w:color="auto"/>
        </w:rPr>
        <w:t xml:space="preserve"> sworn affidavit w</w:t>
      </w:r>
      <w:r w:rsidR="007770B4" w:rsidRPr="00B645F5">
        <w:rPr>
          <w:rFonts w:asciiTheme="majorHAnsi" w:eastAsia="Times New Roman" w:hAnsiTheme="majorHAnsi"/>
          <w:sz w:val="20"/>
          <w:bdr w:val="none" w:sz="0" w:space="0" w:color="auto"/>
        </w:rPr>
        <w:t xml:space="preserve">ould </w:t>
      </w:r>
      <w:r w:rsidR="00000DF4" w:rsidRPr="00B645F5">
        <w:rPr>
          <w:rFonts w:asciiTheme="majorHAnsi" w:eastAsia="Times New Roman" w:hAnsiTheme="majorHAnsi"/>
          <w:sz w:val="20"/>
          <w:bdr w:val="none" w:sz="0" w:space="0" w:color="auto"/>
        </w:rPr>
        <w:t xml:space="preserve">be </w:t>
      </w:r>
      <w:r w:rsidR="007770B4" w:rsidRPr="00B645F5">
        <w:rPr>
          <w:rFonts w:asciiTheme="majorHAnsi" w:eastAsia="Times New Roman" w:hAnsiTheme="majorHAnsi"/>
          <w:sz w:val="20"/>
          <w:bdr w:val="none" w:sz="0" w:space="0" w:color="auto"/>
        </w:rPr>
        <w:t>submitted</w:t>
      </w:r>
      <w:r w:rsidR="00000DF4" w:rsidRPr="00B645F5">
        <w:rPr>
          <w:rFonts w:asciiTheme="majorHAnsi" w:eastAsia="Times New Roman" w:hAnsiTheme="majorHAnsi"/>
          <w:sz w:val="20"/>
          <w:bdr w:val="none" w:sz="0" w:space="0" w:color="auto"/>
        </w:rPr>
        <w:t xml:space="preserve"> at the first available opportunity.</w:t>
      </w:r>
      <w:r w:rsidR="00000DF4" w:rsidRPr="00B645F5">
        <w:rPr>
          <w:rFonts w:asciiTheme="majorHAnsi" w:eastAsia="Times New Roman" w:hAnsiTheme="majorHAnsi"/>
          <w:sz w:val="18"/>
          <w:szCs w:val="18"/>
          <w:bdr w:val="none" w:sz="0" w:space="0" w:color="auto"/>
        </w:rPr>
        <w:t xml:space="preserve"> </w:t>
      </w:r>
    </w:p>
    <w:p w14:paraId="7B676138" w14:textId="61C2AE7E" w:rsidR="00AE0D4A" w:rsidRPr="00B645F5" w:rsidRDefault="00AE0D4A" w:rsidP="00AE0D4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bdr w:val="none" w:sz="0" w:space="0" w:color="auto"/>
        </w:rPr>
      </w:pPr>
    </w:p>
    <w:p w14:paraId="05A22608" w14:textId="523DEA76" w:rsidR="0013269A" w:rsidRPr="00B645F5" w:rsidRDefault="0039011D" w:rsidP="00BB2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Mr. Ibarra later filed a federal habeas petition and</w:t>
      </w:r>
      <w:r w:rsidR="002817CA" w:rsidRPr="00B645F5">
        <w:rPr>
          <w:rFonts w:asciiTheme="majorHAnsi" w:eastAsia="Times New Roman" w:hAnsiTheme="majorHAnsi"/>
          <w:sz w:val="20"/>
          <w:szCs w:val="20"/>
          <w:bdr w:val="none" w:sz="0" w:space="0" w:color="auto"/>
        </w:rPr>
        <w:t xml:space="preserve"> </w:t>
      </w:r>
      <w:r w:rsidRPr="00B645F5">
        <w:rPr>
          <w:rFonts w:asciiTheme="majorHAnsi" w:eastAsia="Times New Roman" w:hAnsiTheme="majorHAnsi"/>
          <w:sz w:val="20"/>
          <w:szCs w:val="20"/>
          <w:bdr w:val="none" w:sz="0" w:space="0" w:color="auto"/>
        </w:rPr>
        <w:t xml:space="preserve">the U.S. Court of Appeal denied </w:t>
      </w:r>
      <w:r w:rsidR="002817CA" w:rsidRPr="00B645F5">
        <w:rPr>
          <w:rFonts w:asciiTheme="majorHAnsi" w:eastAsia="Times New Roman" w:hAnsiTheme="majorHAnsi"/>
          <w:sz w:val="20"/>
          <w:szCs w:val="20"/>
          <w:bdr w:val="none" w:sz="0" w:space="0" w:color="auto"/>
        </w:rPr>
        <w:t xml:space="preserve">in 2019 </w:t>
      </w:r>
      <w:r w:rsidRPr="00B645F5">
        <w:rPr>
          <w:rFonts w:asciiTheme="majorHAnsi" w:eastAsia="Times New Roman" w:hAnsiTheme="majorHAnsi"/>
          <w:sz w:val="20"/>
          <w:szCs w:val="20"/>
          <w:bdr w:val="none" w:sz="0" w:space="0" w:color="auto"/>
        </w:rPr>
        <w:t xml:space="preserve">a certificate of appealability regarding the Atkins claim on alternative grounds of procedural bar, non-exhaustion, and </w:t>
      </w:r>
      <w:proofErr w:type="spellStart"/>
      <w:r w:rsidRPr="00B645F5">
        <w:rPr>
          <w:rFonts w:asciiTheme="majorHAnsi" w:eastAsia="Times New Roman" w:hAnsiTheme="majorHAnsi"/>
          <w:sz w:val="20"/>
          <w:szCs w:val="20"/>
          <w:bdr w:val="none" w:sz="0" w:space="0" w:color="auto"/>
        </w:rPr>
        <w:t>meritlessness</w:t>
      </w:r>
      <w:proofErr w:type="spellEnd"/>
      <w:r w:rsidRPr="00B645F5">
        <w:rPr>
          <w:rFonts w:asciiTheme="majorHAnsi" w:eastAsia="Times New Roman" w:hAnsiTheme="majorHAnsi"/>
          <w:sz w:val="20"/>
          <w:szCs w:val="20"/>
          <w:bdr w:val="none" w:sz="0" w:space="0" w:color="auto"/>
        </w:rPr>
        <w:t xml:space="preserve">. </w:t>
      </w:r>
      <w:r w:rsidR="0013269A" w:rsidRPr="00B645F5">
        <w:rPr>
          <w:rFonts w:asciiTheme="majorHAnsi" w:hAnsiTheme="majorHAnsi"/>
          <w:sz w:val="20"/>
          <w:szCs w:val="20"/>
        </w:rPr>
        <w:t>The Court found that the Texas Court of Criminal Appeals had rejected this claim on the merits and Mr. Ibarra now offered material new evidence, which rendered his claim unexhausted and procedurally barred. It</w:t>
      </w:r>
      <w:r w:rsidRPr="00B645F5">
        <w:rPr>
          <w:rFonts w:asciiTheme="majorHAnsi" w:eastAsia="Times New Roman" w:hAnsiTheme="majorHAnsi"/>
          <w:sz w:val="20"/>
          <w:szCs w:val="20"/>
          <w:bdr w:val="none" w:sz="0" w:space="0" w:color="auto"/>
        </w:rPr>
        <w:t xml:space="preserve"> </w:t>
      </w:r>
      <w:r w:rsidR="0013269A" w:rsidRPr="00B645F5">
        <w:rPr>
          <w:rFonts w:asciiTheme="majorHAnsi" w:eastAsia="Times New Roman" w:hAnsiTheme="majorHAnsi"/>
          <w:sz w:val="20"/>
          <w:szCs w:val="20"/>
          <w:bdr w:val="none" w:sz="0" w:space="0" w:color="auto"/>
        </w:rPr>
        <w:t>further</w:t>
      </w:r>
      <w:r w:rsidR="0013269A" w:rsidRPr="00B645F5">
        <w:rPr>
          <w:rFonts w:asciiTheme="majorHAnsi" w:hAnsiTheme="majorHAnsi"/>
          <w:sz w:val="20"/>
          <w:szCs w:val="20"/>
        </w:rPr>
        <w:t xml:space="preserve"> noted that to establish that he falls under Atkins, petitioner must demonstrate that he possesses significantly subaverage intellectual functioning and impaired adaptive functioning, both of which manifested before the age of 18. </w:t>
      </w:r>
    </w:p>
    <w:p w14:paraId="6313AB45" w14:textId="11B35882" w:rsidR="005316DF" w:rsidRPr="00B645F5" w:rsidRDefault="005316DF" w:rsidP="005316D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heme="minorHAnsi" w:hAnsiTheme="majorHAnsi"/>
          <w:sz w:val="20"/>
          <w:szCs w:val="20"/>
          <w:bdr w:val="none" w:sz="0" w:space="0" w:color="auto"/>
        </w:rPr>
      </w:pPr>
    </w:p>
    <w:p w14:paraId="4F437E6E" w14:textId="77777777" w:rsidR="00937B6F" w:rsidRPr="00B645F5" w:rsidRDefault="0044287C" w:rsidP="00BB2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bdr w:val="none" w:sz="0" w:space="0" w:color="auto"/>
        </w:rPr>
      </w:pPr>
      <w:r w:rsidRPr="00B645F5">
        <w:rPr>
          <w:rFonts w:asciiTheme="majorHAnsi" w:eastAsia="Times New Roman" w:hAnsiTheme="majorHAnsi"/>
          <w:sz w:val="20"/>
          <w:szCs w:val="20"/>
          <w:bdr w:val="none" w:sz="0" w:space="0" w:color="auto"/>
        </w:rPr>
        <w:t xml:space="preserve">Therefore, the Commission finds that </w:t>
      </w:r>
      <w:r w:rsidR="00833359" w:rsidRPr="00B645F5">
        <w:rPr>
          <w:rFonts w:asciiTheme="majorHAnsi" w:eastAsia="Times New Roman" w:hAnsiTheme="majorHAnsi"/>
          <w:sz w:val="20"/>
          <w:szCs w:val="20"/>
          <w:bdr w:val="none" w:sz="0" w:space="0" w:color="auto"/>
        </w:rPr>
        <w:t>the State did not offer Mr. Ibarra an opportunity to present new evidence regarding his intellectual disability, since the only analysis on the merits was made based on evaluations that did not provide a complete diagnosis of his mental health.</w:t>
      </w:r>
      <w:r w:rsidR="00401287" w:rsidRPr="00B645F5">
        <w:rPr>
          <w:rFonts w:asciiTheme="majorHAnsi" w:eastAsia="Times New Roman" w:hAnsiTheme="majorHAnsi"/>
          <w:sz w:val="20"/>
          <w:szCs w:val="20"/>
          <w:bdr w:val="none" w:sz="0" w:space="0" w:color="auto"/>
        </w:rPr>
        <w:t xml:space="preserve"> Based on the above-mentioned international and inter-American standards,</w:t>
      </w:r>
      <w:r w:rsidR="00833359" w:rsidRPr="00B645F5">
        <w:rPr>
          <w:rFonts w:asciiTheme="majorHAnsi" w:eastAsia="Times New Roman" w:hAnsiTheme="majorHAnsi"/>
          <w:sz w:val="20"/>
          <w:szCs w:val="20"/>
          <w:bdr w:val="none" w:sz="0" w:space="0" w:color="auto"/>
        </w:rPr>
        <w:t xml:space="preserve"> </w:t>
      </w:r>
      <w:r w:rsidR="00401287" w:rsidRPr="00B645F5">
        <w:rPr>
          <w:rFonts w:asciiTheme="majorHAnsi" w:eastAsia="Times New Roman" w:hAnsiTheme="majorHAnsi"/>
          <w:sz w:val="20"/>
          <w:szCs w:val="20"/>
          <w:bdr w:val="none" w:sz="0" w:space="0" w:color="auto"/>
        </w:rPr>
        <w:t>when there is an indication that an accused or convicted person in a death penalty case might have a mental or intellectual disability, the State has the obligation, at any time of the proceedings, to address the claim on the merits.</w:t>
      </w:r>
    </w:p>
    <w:p w14:paraId="2001EDC6" w14:textId="2160D153" w:rsidR="00546E01" w:rsidRPr="00B645F5" w:rsidRDefault="00546E01" w:rsidP="00A54AE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eastAsiaTheme="minorHAnsi" w:hAnsi="Cambria"/>
          <w:sz w:val="20"/>
          <w:szCs w:val="20"/>
          <w:bdr w:val="none" w:sz="0" w:space="0" w:color="auto"/>
        </w:rPr>
      </w:pPr>
    </w:p>
    <w:p w14:paraId="42ADCC28" w14:textId="5EF965DE" w:rsidR="005316DF" w:rsidRPr="00B645F5" w:rsidRDefault="005316DF" w:rsidP="002003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imes" w:eastAsiaTheme="minorHAnsi" w:hAnsi="Times"/>
          <w:sz w:val="20"/>
          <w:szCs w:val="20"/>
          <w:bdr w:val="none" w:sz="0" w:space="0" w:color="auto"/>
        </w:rPr>
      </w:pPr>
      <w:r w:rsidRPr="00B645F5">
        <w:rPr>
          <w:rFonts w:ascii="Cambria" w:eastAsiaTheme="minorHAnsi" w:hAnsi="Cambria"/>
          <w:sz w:val="20"/>
          <w:szCs w:val="20"/>
          <w:bdr w:val="none" w:sz="0" w:space="0" w:color="auto"/>
        </w:rPr>
        <w:t>Based on the above considerations, and given the heightened degree of scrutiny that it has applied in death penalty cases,</w:t>
      </w:r>
      <w:r w:rsidRPr="00B645F5">
        <w:rPr>
          <w:rFonts w:ascii="Cambria" w:eastAsiaTheme="minorHAnsi" w:hAnsi="Cambria"/>
          <w:sz w:val="20"/>
          <w:szCs w:val="20"/>
          <w:bdr w:val="none" w:sz="0" w:space="0" w:color="auto"/>
          <w:vertAlign w:val="superscript"/>
        </w:rPr>
        <w:footnoteReference w:id="82"/>
      </w:r>
      <w:r w:rsidRPr="00B645F5">
        <w:rPr>
          <w:rFonts w:ascii="Cambria" w:eastAsiaTheme="minorHAnsi" w:hAnsi="Cambria"/>
          <w:sz w:val="20"/>
          <w:szCs w:val="20"/>
          <w:bdr w:val="none" w:sz="0" w:space="0" w:color="auto"/>
        </w:rPr>
        <w:t xml:space="preserve"> the Inter-American Commission concludes that the United States violate</w:t>
      </w:r>
      <w:r w:rsidR="006A0014" w:rsidRPr="00B645F5">
        <w:rPr>
          <w:rFonts w:ascii="Cambria" w:eastAsiaTheme="minorHAnsi" w:hAnsi="Cambria"/>
          <w:sz w:val="20"/>
          <w:szCs w:val="20"/>
          <w:bdr w:val="none" w:sz="0" w:space="0" w:color="auto"/>
        </w:rPr>
        <w:t>d</w:t>
      </w:r>
      <w:r w:rsidRPr="00B645F5">
        <w:rPr>
          <w:rFonts w:ascii="Cambria" w:eastAsiaTheme="minorHAnsi" w:hAnsi="Cambria"/>
          <w:sz w:val="20"/>
          <w:szCs w:val="20"/>
          <w:bdr w:val="none" w:sz="0" w:space="0" w:color="auto"/>
        </w:rPr>
        <w:t xml:space="preserve"> Articles I and XXVI of the American Declaration to the detriment of Mr. Ibarra by denying any opportunity to present evidence regarding his mental and intellectual disability and be heard </w:t>
      </w:r>
      <w:r w:rsidR="00937B6F" w:rsidRPr="00B645F5">
        <w:rPr>
          <w:rFonts w:ascii="Cambria" w:eastAsiaTheme="minorHAnsi" w:hAnsi="Cambria"/>
          <w:sz w:val="20"/>
          <w:szCs w:val="20"/>
          <w:bdr w:val="none" w:sz="0" w:space="0" w:color="auto"/>
        </w:rPr>
        <w:t xml:space="preserve">on the merits of that evidence </w:t>
      </w:r>
      <w:r w:rsidR="000968A5" w:rsidRPr="00B645F5">
        <w:rPr>
          <w:rFonts w:ascii="Cambria" w:eastAsiaTheme="minorHAnsi" w:hAnsi="Cambria"/>
          <w:sz w:val="20"/>
          <w:szCs w:val="20"/>
          <w:bdr w:val="none" w:sz="0" w:space="0" w:color="auto"/>
        </w:rPr>
        <w:t>according to</w:t>
      </w:r>
      <w:r w:rsidR="00937B6F" w:rsidRPr="00B645F5">
        <w:rPr>
          <w:rFonts w:ascii="Cambria" w:eastAsiaTheme="minorHAnsi" w:hAnsi="Cambria"/>
          <w:sz w:val="20"/>
          <w:szCs w:val="20"/>
          <w:bdr w:val="none" w:sz="0" w:space="0" w:color="auto"/>
        </w:rPr>
        <w:t xml:space="preserve"> the Atkins decision.</w:t>
      </w:r>
    </w:p>
    <w:p w14:paraId="22D35F69" w14:textId="20C5F002" w:rsidR="00984F4A" w:rsidRPr="00B645F5" w:rsidRDefault="00984F4A" w:rsidP="00193281">
      <w:pPr>
        <w:pStyle w:val="NormalWeb"/>
        <w:tabs>
          <w:tab w:val="left" w:pos="360"/>
        </w:tabs>
        <w:spacing w:beforeLines="1" w:before="2" w:beforeAutospacing="0" w:afterLines="1" w:after="2" w:afterAutospacing="0"/>
        <w:jc w:val="both"/>
        <w:rPr>
          <w:rFonts w:asciiTheme="majorHAnsi" w:hAnsiTheme="majorHAnsi"/>
          <w:sz w:val="20"/>
          <w:szCs w:val="20"/>
        </w:rPr>
      </w:pPr>
    </w:p>
    <w:p w14:paraId="1B680E70" w14:textId="77777777" w:rsidR="00BA58CF" w:rsidRPr="00B645F5" w:rsidRDefault="00BA58CF" w:rsidP="00BA58CF">
      <w:pPr>
        <w:pStyle w:val="Heading2"/>
        <w:numPr>
          <w:ilvl w:val="0"/>
          <w:numId w:val="61"/>
        </w:numPr>
        <w:tabs>
          <w:tab w:val="left" w:pos="360"/>
        </w:tabs>
        <w:spacing w:before="0"/>
        <w:ind w:left="0" w:firstLine="0"/>
        <w:jc w:val="both"/>
        <w:rPr>
          <w:color w:val="auto"/>
          <w:sz w:val="20"/>
          <w:szCs w:val="20"/>
        </w:rPr>
      </w:pPr>
      <w:bookmarkStart w:id="27" w:name="_Toc450856019"/>
      <w:bookmarkStart w:id="28" w:name="_Toc90115131"/>
      <w:r w:rsidRPr="00B645F5">
        <w:rPr>
          <w:color w:val="auto"/>
          <w:sz w:val="20"/>
          <w:szCs w:val="20"/>
        </w:rPr>
        <w:t xml:space="preserve">The deprivation of liberty on death row and the right of protection against cruel, </w:t>
      </w:r>
      <w:proofErr w:type="gramStart"/>
      <w:r w:rsidRPr="00B645F5">
        <w:rPr>
          <w:color w:val="auto"/>
          <w:sz w:val="20"/>
          <w:szCs w:val="20"/>
        </w:rPr>
        <w:t>infamous</w:t>
      </w:r>
      <w:proofErr w:type="gramEnd"/>
      <w:r w:rsidRPr="00B645F5">
        <w:rPr>
          <w:color w:val="auto"/>
          <w:sz w:val="20"/>
          <w:szCs w:val="20"/>
        </w:rPr>
        <w:t xml:space="preserve"> or unusual punishment</w:t>
      </w:r>
      <w:bookmarkEnd w:id="27"/>
      <w:bookmarkEnd w:id="28"/>
    </w:p>
    <w:p w14:paraId="01FE8D4C" w14:textId="77777777" w:rsidR="00BA58CF" w:rsidRPr="00B645F5"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1D7F4F57" w14:textId="77777777" w:rsidR="00BA58CF" w:rsidRPr="00B645F5" w:rsidRDefault="00BA58CF" w:rsidP="00BA58CF">
      <w:pPr>
        <w:pStyle w:val="Heading2"/>
        <w:numPr>
          <w:ilvl w:val="1"/>
          <w:numId w:val="63"/>
        </w:numPr>
        <w:spacing w:before="0"/>
        <w:ind w:left="360" w:hanging="360"/>
        <w:rPr>
          <w:rFonts w:eastAsia="Arial Unicode MS"/>
          <w:color w:val="auto"/>
          <w:sz w:val="20"/>
          <w:szCs w:val="20"/>
        </w:rPr>
      </w:pPr>
      <w:bookmarkStart w:id="29" w:name="_Toc31968749"/>
      <w:bookmarkStart w:id="30" w:name="_Toc450856020"/>
      <w:bookmarkStart w:id="31" w:name="_Toc90115132"/>
      <w:r w:rsidRPr="00B645F5">
        <w:rPr>
          <w:color w:val="auto"/>
          <w:sz w:val="20"/>
          <w:szCs w:val="20"/>
        </w:rPr>
        <w:t>Death row phenomenon</w:t>
      </w:r>
      <w:r w:rsidRPr="00B645F5">
        <w:rPr>
          <w:rStyle w:val="FootnoteReference"/>
          <w:rFonts w:eastAsia="Arial Unicode MS"/>
          <w:color w:val="auto"/>
          <w:sz w:val="20"/>
          <w:szCs w:val="20"/>
        </w:rPr>
        <w:footnoteReference w:id="83"/>
      </w:r>
      <w:bookmarkEnd w:id="29"/>
      <w:bookmarkEnd w:id="30"/>
      <w:bookmarkEnd w:id="31"/>
      <w:r w:rsidRPr="00B645F5">
        <w:rPr>
          <w:rFonts w:eastAsia="Arial Unicode MS"/>
          <w:color w:val="auto"/>
          <w:sz w:val="20"/>
          <w:szCs w:val="20"/>
        </w:rPr>
        <w:t xml:space="preserve">  </w:t>
      </w:r>
    </w:p>
    <w:p w14:paraId="38136EF6" w14:textId="77777777" w:rsidR="00BA58CF" w:rsidRPr="00B645F5" w:rsidDel="00416F46"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5C94A03E" w14:textId="02E1B399" w:rsidR="00BA58CF" w:rsidRPr="00B645F5" w:rsidRDefault="00BA58CF" w:rsidP="002003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ind w:left="0" w:firstLine="0"/>
        <w:jc w:val="both"/>
        <w:rPr>
          <w:rFonts w:asciiTheme="majorHAnsi" w:eastAsia="Times New Roman" w:hAnsiTheme="majorHAnsi"/>
          <w:sz w:val="20"/>
          <w:szCs w:val="20"/>
        </w:rPr>
      </w:pPr>
      <w:r w:rsidRPr="00B645F5">
        <w:rPr>
          <w:rFonts w:ascii="Cambria" w:eastAsiaTheme="minorHAnsi" w:hAnsi="Cambria"/>
          <w:sz w:val="20"/>
          <w:szCs w:val="20"/>
          <w:bdr w:val="none" w:sz="0" w:space="0" w:color="auto"/>
        </w:rPr>
        <w:t>The</w:t>
      </w:r>
      <w:r w:rsidRPr="00B645F5">
        <w:rPr>
          <w:rFonts w:asciiTheme="majorHAnsi" w:eastAsia="Times New Roman" w:hAnsiTheme="majorHAnsi"/>
          <w:sz w:val="20"/>
          <w:szCs w:val="20"/>
        </w:rPr>
        <w:t xml:space="preserve"> long</w:t>
      </w:r>
      <w:r w:rsidR="002003C1" w:rsidRPr="00B645F5">
        <w:rPr>
          <w:rFonts w:asciiTheme="majorHAnsi" w:eastAsia="Times New Roman" w:hAnsiTheme="majorHAnsi"/>
          <w:sz w:val="20"/>
          <w:szCs w:val="20"/>
        </w:rPr>
        <w:t>-</w:t>
      </w:r>
      <w:r w:rsidRPr="00B645F5">
        <w:rPr>
          <w:rFonts w:asciiTheme="majorHAnsi" w:eastAsia="Times New Roman" w:hAnsiTheme="majorHAnsi"/>
          <w:sz w:val="20"/>
          <w:szCs w:val="20"/>
        </w:rPr>
        <w:t xml:space="preserve">term deprivation of liberty on death row is referred to within both international human rights and comparative law as the “death row phenomenon”, and infringes on a person’s freedom from cruel, inhuman or degrading punishment. Such treatment violates the prohibition of cruel, inhuman or degrading punishment </w:t>
      </w:r>
      <w:r w:rsidRPr="00B645F5">
        <w:rPr>
          <w:rFonts w:asciiTheme="majorHAnsi" w:eastAsia="Times New Roman" w:hAnsiTheme="majorHAnsi"/>
          <w:sz w:val="20"/>
          <w:szCs w:val="20"/>
        </w:rPr>
        <w:lastRenderedPageBreak/>
        <w:t>in Constitutions and in multiple international treaties, including the American Declaration (Articles XXV and XXVI).</w:t>
      </w:r>
      <w:r w:rsidRPr="00B645F5">
        <w:rPr>
          <w:rStyle w:val="FootnoteReference"/>
          <w:rFonts w:asciiTheme="majorHAnsi" w:hAnsiTheme="majorHAnsi"/>
          <w:sz w:val="20"/>
          <w:szCs w:val="20"/>
        </w:rPr>
        <w:footnoteReference w:id="84"/>
      </w:r>
    </w:p>
    <w:p w14:paraId="4CD4524C" w14:textId="77777777" w:rsidR="00BA58CF" w:rsidRPr="00B645F5" w:rsidDel="00152A34"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08661D68" w14:textId="77777777"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 xml:space="preserve">The Commission takes note of the concept of the death row phenomenon of the United Nations Special Rapporteur on torture and other cruel, inhuman or degrading treatment or punishment that: </w:t>
      </w:r>
    </w:p>
    <w:p w14:paraId="5082D28E" w14:textId="77777777" w:rsidR="00BA58CF" w:rsidRPr="00B645F5" w:rsidRDefault="00BA58CF" w:rsidP="00BA58CF">
      <w:pPr>
        <w:pStyle w:val="ListParagraph"/>
        <w:rPr>
          <w:sz w:val="20"/>
          <w:szCs w:val="20"/>
        </w:rPr>
      </w:pPr>
    </w:p>
    <w:p w14:paraId="45D47F22"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rPr>
      </w:pPr>
      <w:r w:rsidRPr="00B645F5">
        <w:rPr>
          <w:rFonts w:ascii="Cambria" w:hAnsi="Cambria"/>
          <w:sz w:val="18"/>
          <w:szCs w:val="18"/>
        </w:rPr>
        <w:t>(…) it consists of a combination of circumstances that produce severe mental trauma and physical deterioration in prisoners under sentence of death.</w:t>
      </w:r>
      <w:r w:rsidRPr="00B645F5">
        <w:rPr>
          <w:rFonts w:ascii="Cambria" w:hAnsi="Cambria"/>
          <w:sz w:val="18"/>
          <w:szCs w:val="18"/>
          <w:vertAlign w:val="superscript"/>
        </w:rPr>
        <w:footnoteReference w:id="85"/>
      </w:r>
      <w:r w:rsidRPr="00B645F5">
        <w:rPr>
          <w:rFonts w:ascii="Cambria" w:hAnsi="Cambria"/>
          <w:sz w:val="18"/>
          <w:szCs w:val="18"/>
        </w:rPr>
        <w:t xml:space="preserve"> Those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B645F5">
        <w:rPr>
          <w:rFonts w:ascii="Cambria" w:hAnsi="Cambria"/>
          <w:sz w:val="18"/>
          <w:szCs w:val="18"/>
          <w:vertAlign w:val="superscript"/>
        </w:rPr>
        <w:footnoteReference w:id="86"/>
      </w:r>
    </w:p>
    <w:p w14:paraId="041E0443"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rPr>
      </w:pPr>
    </w:p>
    <w:p w14:paraId="0E9627B4" w14:textId="77777777"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 xml:space="preserve">In the case of </w:t>
      </w:r>
      <w:r w:rsidRPr="00B645F5">
        <w:rPr>
          <w:rFonts w:asciiTheme="majorHAnsi" w:eastAsia="Times New Roman" w:hAnsiTheme="majorHAnsi"/>
          <w:i/>
          <w:iCs/>
          <w:sz w:val="20"/>
          <w:szCs w:val="20"/>
        </w:rPr>
        <w:t>Soering vs. The United Kingdom</w:t>
      </w:r>
      <w:r w:rsidRPr="00B645F5">
        <w:rPr>
          <w:rFonts w:asciiTheme="majorHAnsi" w:eastAsia="Times New Roman" w:hAnsiTheme="majorHAnsi"/>
          <w:sz w:val="20"/>
          <w:szCs w:val="20"/>
        </w:rPr>
        <w:t>, the European Court of Human Rights, in its interpretation of the norm banning cruel, inhuman, and unusual punishment and in reference to the death penalty, pointed out that:</w:t>
      </w:r>
      <w:r w:rsidRPr="00B645F5">
        <w:rPr>
          <w:rFonts w:asciiTheme="majorHAnsi" w:eastAsia="Times New Roman" w:hAnsiTheme="majorHAnsi"/>
          <w:szCs w:val="20"/>
        </w:rPr>
        <w:t xml:space="preserve"> </w:t>
      </w:r>
    </w:p>
    <w:p w14:paraId="317DE20F"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Pr>
      </w:pPr>
    </w:p>
    <w:p w14:paraId="45561FBB" w14:textId="77777777" w:rsidR="00BA58CF" w:rsidRPr="00B645F5" w:rsidRDefault="00BA58CF" w:rsidP="00BA58CF">
      <w:pPr>
        <w:pStyle w:val="ListParagraph"/>
        <w:ind w:left="360" w:right="360"/>
        <w:jc w:val="both"/>
        <w:rPr>
          <w:rStyle w:val="sb8d990e2"/>
          <w:rFonts w:ascii="Times New Roman" w:eastAsia="Arial Unicode MS" w:hAnsi="Times New Roman" w:cs="Times New Roman"/>
          <w:color w:val="auto"/>
          <w:lang w:eastAsia="en-US"/>
        </w:rPr>
      </w:pPr>
      <w:r w:rsidRPr="00B645F5">
        <w:rPr>
          <w:rStyle w:val="sb8d990e2"/>
          <w:sz w:val="18"/>
          <w:szCs w:val="18"/>
        </w:rPr>
        <w:t>The manner in which it is imposed or executed, the personal circumstances of the condemned person and a disproportionality to the gravity of the crime committed, as well as the conditions of detention awaiting execution, are examples of factors capable of bringing the treatment or punishment received by the condemned person within the proscription under Article 3.</w:t>
      </w:r>
      <w:r w:rsidRPr="00B645F5">
        <w:rPr>
          <w:rStyle w:val="FootnoteReference"/>
          <w:sz w:val="18"/>
          <w:szCs w:val="18"/>
        </w:rPr>
        <w:t xml:space="preserve"> </w:t>
      </w:r>
      <w:r w:rsidRPr="00B645F5">
        <w:rPr>
          <w:rStyle w:val="FootnoteReference"/>
          <w:sz w:val="18"/>
          <w:szCs w:val="18"/>
        </w:rPr>
        <w:footnoteReference w:id="87"/>
      </w:r>
      <w:r w:rsidRPr="00B645F5">
        <w:rPr>
          <w:rStyle w:val="sb8d990e2"/>
          <w:sz w:val="18"/>
          <w:szCs w:val="18"/>
        </w:rPr>
        <w:t xml:space="preserve"> </w:t>
      </w:r>
    </w:p>
    <w:p w14:paraId="6A1E471F" w14:textId="77777777" w:rsidR="00BA58CF" w:rsidRPr="00B645F5"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47DAABB7" w14:textId="7B7979DD" w:rsidR="002003C1" w:rsidRPr="00B645F5" w:rsidRDefault="002003C1"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The European Court found that the death row phenomenon: is a cruel, inhuman and degrading treatment, and is characterized by a prolonged period of detention while awaiting execution, during which prisoners sentenced to death suffer severe mental anxiety, extreme psychological tension and trauma.</w:t>
      </w:r>
      <w:r w:rsidRPr="00B645F5">
        <w:rPr>
          <w:rStyle w:val="FootnoteReference"/>
          <w:rFonts w:asciiTheme="majorHAnsi" w:hAnsiTheme="majorHAnsi"/>
          <w:sz w:val="20"/>
          <w:szCs w:val="20"/>
        </w:rPr>
        <w:footnoteReference w:id="88"/>
      </w:r>
    </w:p>
    <w:p w14:paraId="2AFA779B" w14:textId="77777777" w:rsidR="002003C1" w:rsidRPr="00B645F5" w:rsidRDefault="002003C1" w:rsidP="002003C1">
      <w:pPr>
        <w:pStyle w:val="ListParagraph"/>
        <w:rPr>
          <w:rFonts w:asciiTheme="majorHAnsi" w:eastAsia="Times New Roman" w:hAnsiTheme="majorHAnsi"/>
          <w:sz w:val="20"/>
          <w:szCs w:val="20"/>
        </w:rPr>
      </w:pPr>
    </w:p>
    <w:p w14:paraId="269B60CE" w14:textId="7EB383F8"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The European Court was referring to an average of six to eight years on death row from imposition of the penalty to execution and it mentioned how proceedings and appeals subsequent to the imposition of the death penalty themselves have a bearing on the aforementioned wait time on death row. The court referenced the lapse of time between sentence and execution is inevitable however, the consequence is that the condemned prisoner has to endure for many years the conditions on death row and the anguish and mounting tension of living in the ever-present shadow of death.</w:t>
      </w:r>
      <w:r w:rsidRPr="00B645F5">
        <w:rPr>
          <w:rFonts w:ascii="Cambria" w:hAnsi="Cambria"/>
          <w:sz w:val="20"/>
          <w:vertAlign w:val="superscript"/>
        </w:rPr>
        <w:footnoteReference w:id="89"/>
      </w:r>
    </w:p>
    <w:p w14:paraId="31DD91EF" w14:textId="77777777" w:rsidR="00BA58CF" w:rsidRPr="00B645F5" w:rsidRDefault="00BA58CF" w:rsidP="00BA58CF">
      <w:pPr>
        <w:pStyle w:val="ListParagraph"/>
        <w:tabs>
          <w:tab w:val="left" w:pos="360"/>
        </w:tabs>
        <w:rPr>
          <w:sz w:val="20"/>
        </w:rPr>
      </w:pPr>
    </w:p>
    <w:p w14:paraId="1C344229" w14:textId="77777777"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The court further recognized that some element of delay between imposition and execution of the sentence and the experience of severe stress in conditions necessary for strict incarceration are inevitable and considered elements like, the very long period of time spent on death row in such extreme conditions, with the ever present and mounting anguish of awaiting execution of the death penalty, which brought the delay into the realm of exposed real risk of treatment going beyond the threshold set by Article 3.</w:t>
      </w:r>
      <w:r w:rsidRPr="00B645F5">
        <w:rPr>
          <w:rFonts w:ascii="Cambria" w:hAnsi="Cambria"/>
          <w:sz w:val="20"/>
          <w:vertAlign w:val="superscript"/>
        </w:rPr>
        <w:footnoteReference w:id="90"/>
      </w:r>
    </w:p>
    <w:p w14:paraId="1BDAEB8C" w14:textId="77777777" w:rsidR="00BA58CF" w:rsidRPr="00B645F5" w:rsidRDefault="00BA58CF" w:rsidP="00BA58CF">
      <w:pPr>
        <w:pStyle w:val="ListParagraph"/>
        <w:tabs>
          <w:tab w:val="left" w:pos="360"/>
        </w:tabs>
        <w:rPr>
          <w:sz w:val="20"/>
        </w:rPr>
      </w:pPr>
    </w:p>
    <w:p w14:paraId="388B2CBB" w14:textId="77777777"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 xml:space="preserve">Furthermore, in a comparative law context, the Commission notes that in the </w:t>
      </w:r>
      <w:r w:rsidRPr="00B645F5">
        <w:rPr>
          <w:rFonts w:asciiTheme="majorHAnsi" w:eastAsia="Times New Roman" w:hAnsiTheme="majorHAnsi"/>
          <w:i/>
          <w:iCs/>
          <w:sz w:val="20"/>
          <w:szCs w:val="20"/>
        </w:rPr>
        <w:t>Pratt and Morgan v. Jamaica</w:t>
      </w:r>
      <w:r w:rsidRPr="00B645F5">
        <w:rPr>
          <w:rFonts w:asciiTheme="majorHAnsi" w:eastAsia="Times New Roman" w:hAnsiTheme="majorHAnsi"/>
          <w:sz w:val="20"/>
          <w:szCs w:val="20"/>
        </w:rPr>
        <w:t xml:space="preserve"> case cited above the Privy Council considered the issue of the death row phenomenon, and held that:</w:t>
      </w:r>
    </w:p>
    <w:p w14:paraId="4E3FD7BA"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rPr>
      </w:pPr>
    </w:p>
    <w:p w14:paraId="0243D397"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B645F5">
        <w:rPr>
          <w:rFonts w:ascii="Cambria" w:eastAsia="Calibri" w:hAnsi="Cambria"/>
          <w:sz w:val="18"/>
          <w:szCs w:val="18"/>
          <w:bdr w:val="none" w:sz="0" w:space="0" w:color="auto"/>
        </w:rPr>
        <w:t xml:space="preserve">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w:t>
      </w:r>
      <w:r w:rsidRPr="00B645F5">
        <w:rPr>
          <w:rFonts w:ascii="Cambria" w:eastAsia="Calibri" w:hAnsi="Cambria"/>
          <w:sz w:val="18"/>
          <w:szCs w:val="18"/>
          <w:bdr w:val="none" w:sz="0" w:space="0" w:color="auto"/>
        </w:rPr>
        <w:lastRenderedPageBreak/>
        <w:t>save his life through use of the appellate procedure. If the appellate procedure enables the prisoner to prolong the appellate hearings over a period of years, the fault is to be attributed to the appellate system that permits such delay and not to the prisoner who takes advantage of it. Appellate procedures that echo down the years are not compatible with capital punishment. The death row phenomenon must not become established as a part of our jurisprudence.</w:t>
      </w:r>
    </w:p>
    <w:p w14:paraId="7F18F33C" w14:textId="77777777" w:rsidR="00BA58CF" w:rsidRPr="00B645F5" w:rsidRDefault="00BA58CF" w:rsidP="00BA58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B645F5">
        <w:rPr>
          <w:rFonts w:ascii="Cambria" w:eastAsia="Calibri" w:hAnsi="Cambria"/>
          <w:sz w:val="18"/>
          <w:szCs w:val="18"/>
          <w:bdr w:val="none" w:sz="0" w:space="0" w:color="auto"/>
        </w:rPr>
        <w:t>(…)</w:t>
      </w:r>
    </w:p>
    <w:p w14:paraId="7B384B84" w14:textId="77777777" w:rsidR="00BA58CF" w:rsidRPr="00B645F5"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libri" w:hAnsi="Cambria"/>
          <w:sz w:val="18"/>
          <w:szCs w:val="18"/>
          <w:bdr w:val="none" w:sz="0" w:space="0" w:color="auto"/>
        </w:rPr>
      </w:pPr>
      <w:r w:rsidRPr="00B645F5">
        <w:rPr>
          <w:rFonts w:ascii="Cambria" w:eastAsia="Calibri" w:hAnsi="Cambria"/>
          <w:sz w:val="18"/>
          <w:szCs w:val="18"/>
          <w:bdr w:val="none" w:sz="0" w:space="0" w:color="auto"/>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B645F5">
        <w:rPr>
          <w:rFonts w:ascii="Cambria" w:eastAsia="Calibri" w:hAnsi="Cambria"/>
          <w:sz w:val="18"/>
          <w:szCs w:val="18"/>
          <w:bdr w:val="none" w:sz="0" w:space="0" w:color="auto"/>
          <w:vertAlign w:val="superscript"/>
        </w:rPr>
        <w:footnoteReference w:id="91"/>
      </w:r>
    </w:p>
    <w:p w14:paraId="39B60E80" w14:textId="77777777" w:rsidR="00BA58CF" w:rsidRPr="00B645F5" w:rsidRDefault="00BA58CF" w:rsidP="00BA58C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2"/>
          <w:bdr w:val="none" w:sz="0" w:space="0" w:color="auto"/>
        </w:rPr>
      </w:pPr>
    </w:p>
    <w:p w14:paraId="18570E9B" w14:textId="77777777" w:rsidR="00BA58CF" w:rsidRPr="00B645F5" w:rsidRDefault="00BA58CF" w:rsidP="00BA5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B645F5">
        <w:rPr>
          <w:rFonts w:asciiTheme="majorHAnsi" w:eastAsia="Times New Roman" w:hAnsiTheme="majorHAnsi"/>
          <w:sz w:val="20"/>
          <w:szCs w:val="20"/>
        </w:rPr>
        <w:t>In the same vein, the Supreme Court of Uganda considered in 2009 that "to execute a person after a delay of three years in conditions that were not acceptable by Ugandan standards would amount to cruel, inhuman punishment.”</w:t>
      </w:r>
      <w:r w:rsidRPr="00B645F5">
        <w:rPr>
          <w:rFonts w:ascii="Cambria" w:hAnsi="Cambria"/>
          <w:sz w:val="20"/>
          <w:vertAlign w:val="superscript"/>
        </w:rPr>
        <w:footnoteReference w:id="92"/>
      </w:r>
      <w:r w:rsidRPr="00B645F5">
        <w:rPr>
          <w:rFonts w:ascii="Cambria" w:hAnsi="Cambria"/>
          <w:sz w:val="20"/>
          <w:vertAlign w:val="superscript"/>
        </w:rPr>
        <w:t xml:space="preserve"> </w:t>
      </w:r>
      <w:r w:rsidRPr="00B645F5">
        <w:rPr>
          <w:rFonts w:asciiTheme="majorHAnsi" w:eastAsia="Times New Roman" w:hAnsiTheme="majorHAnsi"/>
          <w:sz w:val="20"/>
          <w:szCs w:val="20"/>
        </w:rPr>
        <w:t>For its part, the Supreme Court of Zimbabwe has pointed out since 1993 that “having regard to judicial and academic consensus concerning the death row phenomenon, the prolonged delays and the harsh conditions of incarceration, a sufficient degree of seriousness had been attained to entitle the applicant to invoke the protection concerning the prohibition of torture and inhuman or degrading punishment.” That Supreme Court maintained that “52 and 72 months, respectively, on death row constituted a violation of the prohibition of torture and would render an actual execution unconstitutional.”</w:t>
      </w:r>
      <w:r w:rsidRPr="00B645F5">
        <w:rPr>
          <w:rFonts w:ascii="Cambria" w:hAnsi="Cambria"/>
          <w:sz w:val="20"/>
          <w:vertAlign w:val="superscript"/>
        </w:rPr>
        <w:footnoteReference w:id="93"/>
      </w:r>
      <w:r w:rsidRPr="00B645F5">
        <w:rPr>
          <w:rFonts w:ascii="Cambria" w:hAnsi="Cambria"/>
          <w:sz w:val="20"/>
          <w:vertAlign w:val="superscript"/>
        </w:rPr>
        <w:t xml:space="preserve"> </w:t>
      </w:r>
    </w:p>
    <w:p w14:paraId="5ED81C6F" w14:textId="77777777" w:rsidR="003A5E9B" w:rsidRPr="00B645F5" w:rsidRDefault="003A5E9B"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23C7BD25" w14:textId="77777777" w:rsidR="003A5E9B" w:rsidRPr="00B645F5" w:rsidRDefault="003A5E9B" w:rsidP="00F36552">
      <w:pPr>
        <w:pStyle w:val="NormalWeb"/>
        <w:numPr>
          <w:ilvl w:val="0"/>
          <w:numId w:val="55"/>
        </w:numPr>
        <w:tabs>
          <w:tab w:val="left" w:pos="360"/>
        </w:tabs>
        <w:spacing w:before="0" w:beforeAutospacing="0" w:after="0" w:afterAutospacing="0"/>
        <w:ind w:left="0" w:firstLine="0"/>
        <w:jc w:val="both"/>
        <w:rPr>
          <w:rFonts w:ascii="Cambria" w:hAnsi="Cambria"/>
          <w:sz w:val="20"/>
        </w:rPr>
      </w:pPr>
      <w:r w:rsidRPr="00B645F5">
        <w:rPr>
          <w:rFonts w:ascii="Cambria" w:hAnsi="Cambria"/>
          <w:sz w:val="20"/>
        </w:rPr>
        <w:t xml:space="preserve">As established in this report, </w:t>
      </w:r>
      <w:r w:rsidR="001B795D" w:rsidRPr="00B645F5">
        <w:rPr>
          <w:rFonts w:ascii="Cambria" w:hAnsi="Cambria"/>
          <w:sz w:val="20"/>
        </w:rPr>
        <w:t xml:space="preserve">Mr. </w:t>
      </w:r>
      <w:r w:rsidR="00AC5329" w:rsidRPr="00B645F5">
        <w:rPr>
          <w:rFonts w:ascii="Cambria" w:hAnsi="Cambria"/>
          <w:sz w:val="20"/>
        </w:rPr>
        <w:t>Ibarra</w:t>
      </w:r>
      <w:r w:rsidR="004023A0" w:rsidRPr="00B645F5">
        <w:rPr>
          <w:rFonts w:ascii="Cambria" w:hAnsi="Cambria"/>
          <w:sz w:val="20"/>
        </w:rPr>
        <w:t xml:space="preserve"> </w:t>
      </w:r>
      <w:r w:rsidR="00E8483F" w:rsidRPr="00B645F5">
        <w:rPr>
          <w:rFonts w:ascii="Cambria" w:hAnsi="Cambria"/>
          <w:sz w:val="20"/>
        </w:rPr>
        <w:t>has been deprived of</w:t>
      </w:r>
      <w:r w:rsidR="00D73D78" w:rsidRPr="00B645F5">
        <w:rPr>
          <w:rFonts w:ascii="Cambria" w:hAnsi="Cambria"/>
          <w:sz w:val="20"/>
        </w:rPr>
        <w:t xml:space="preserve"> liberty on death row </w:t>
      </w:r>
      <w:r w:rsidR="0075776E" w:rsidRPr="00B645F5">
        <w:rPr>
          <w:rFonts w:ascii="Cambria" w:hAnsi="Cambria"/>
          <w:sz w:val="20"/>
        </w:rPr>
        <w:t xml:space="preserve">since </w:t>
      </w:r>
      <w:r w:rsidR="001F0E31" w:rsidRPr="00B645F5">
        <w:rPr>
          <w:rFonts w:ascii="Cambria" w:hAnsi="Cambria"/>
          <w:sz w:val="20"/>
        </w:rPr>
        <w:t>September 22, 1997</w:t>
      </w:r>
      <w:r w:rsidR="0075776E" w:rsidRPr="00B645F5">
        <w:rPr>
          <w:rFonts w:ascii="Cambria" w:hAnsi="Cambria"/>
          <w:sz w:val="20"/>
        </w:rPr>
        <w:t xml:space="preserve">, </w:t>
      </w:r>
      <w:r w:rsidR="00D73D78" w:rsidRPr="00B645F5">
        <w:rPr>
          <w:rFonts w:ascii="Cambria" w:hAnsi="Cambria"/>
          <w:sz w:val="20"/>
        </w:rPr>
        <w:t>for</w:t>
      </w:r>
      <w:r w:rsidRPr="00B645F5">
        <w:rPr>
          <w:rFonts w:ascii="Cambria" w:hAnsi="Cambria"/>
          <w:sz w:val="20"/>
        </w:rPr>
        <w:t xml:space="preserve"> </w:t>
      </w:r>
      <w:r w:rsidR="001F0E31" w:rsidRPr="00B645F5">
        <w:rPr>
          <w:rFonts w:ascii="Cambria" w:hAnsi="Cambria"/>
          <w:sz w:val="20"/>
        </w:rPr>
        <w:t>23</w:t>
      </w:r>
      <w:r w:rsidR="00A02FFE" w:rsidRPr="00B645F5">
        <w:rPr>
          <w:rFonts w:ascii="Cambria" w:hAnsi="Cambria"/>
          <w:sz w:val="20"/>
        </w:rPr>
        <w:t xml:space="preserve"> </w:t>
      </w:r>
      <w:r w:rsidRPr="00B645F5">
        <w:rPr>
          <w:rFonts w:ascii="Cambria" w:hAnsi="Cambria"/>
          <w:sz w:val="20"/>
        </w:rPr>
        <w:t>years</w:t>
      </w:r>
      <w:r w:rsidR="00E8483F" w:rsidRPr="00B645F5">
        <w:rPr>
          <w:rFonts w:ascii="Cambria" w:hAnsi="Cambria"/>
          <w:sz w:val="20"/>
        </w:rPr>
        <w:t>.</w:t>
      </w:r>
      <w:r w:rsidRPr="00B645F5">
        <w:rPr>
          <w:rFonts w:ascii="Cambria" w:hAnsi="Cambria"/>
          <w:sz w:val="20"/>
        </w:rPr>
        <w:t xml:space="preserve"> The Commission notes that the very fact of spending </w:t>
      </w:r>
      <w:r w:rsidR="001F0E31" w:rsidRPr="00B645F5">
        <w:rPr>
          <w:rFonts w:ascii="Cambria" w:hAnsi="Cambria"/>
          <w:sz w:val="20"/>
        </w:rPr>
        <w:t>23</w:t>
      </w:r>
      <w:r w:rsidRPr="00B645F5">
        <w:rPr>
          <w:rFonts w:ascii="Cambria" w:hAnsi="Cambria"/>
          <w:sz w:val="20"/>
        </w:rPr>
        <w:t xml:space="preserve"> years</w:t>
      </w:r>
      <w:r w:rsidR="00A02FFE" w:rsidRPr="00B645F5">
        <w:rPr>
          <w:rFonts w:ascii="Cambria" w:hAnsi="Cambria"/>
          <w:sz w:val="20"/>
        </w:rPr>
        <w:t xml:space="preserve"> </w:t>
      </w:r>
      <w:r w:rsidRPr="00B645F5">
        <w:rPr>
          <w:rFonts w:ascii="Cambria" w:hAnsi="Cambria"/>
          <w:sz w:val="20"/>
        </w:rPr>
        <w:t>on death row is, by any account, excessive and inhuman, and is aggravated by the prolonged expectation that the death sentence could be executed</w:t>
      </w:r>
      <w:r w:rsidR="003B2732" w:rsidRPr="00B645F5">
        <w:rPr>
          <w:rFonts w:ascii="Cambria" w:hAnsi="Cambria"/>
          <w:sz w:val="20"/>
        </w:rPr>
        <w:t xml:space="preserve">; and further exacerbated by the conditions under which Mr. </w:t>
      </w:r>
      <w:r w:rsidR="00AC5329" w:rsidRPr="00B645F5">
        <w:rPr>
          <w:rFonts w:ascii="Cambria" w:hAnsi="Cambria"/>
          <w:sz w:val="20"/>
        </w:rPr>
        <w:t>Ibarra</w:t>
      </w:r>
      <w:r w:rsidR="003B2732" w:rsidRPr="00B645F5">
        <w:rPr>
          <w:rFonts w:ascii="Cambria" w:hAnsi="Cambria"/>
          <w:sz w:val="20"/>
        </w:rPr>
        <w:t xml:space="preserve"> is detained</w:t>
      </w:r>
      <w:r w:rsidRPr="00B645F5">
        <w:rPr>
          <w:rFonts w:ascii="Cambria" w:hAnsi="Cambria"/>
          <w:sz w:val="20"/>
        </w:rPr>
        <w:t>.</w:t>
      </w:r>
      <w:r w:rsidR="003B2732" w:rsidRPr="00B645F5">
        <w:rPr>
          <w:rFonts w:ascii="Cambria" w:hAnsi="Cambria"/>
          <w:sz w:val="20"/>
        </w:rPr>
        <w:t xml:space="preserve"> Mr. </w:t>
      </w:r>
      <w:r w:rsidR="00AC5329" w:rsidRPr="00B645F5">
        <w:rPr>
          <w:rFonts w:ascii="Cambria" w:hAnsi="Cambria"/>
          <w:sz w:val="20"/>
        </w:rPr>
        <w:t>Ibarra</w:t>
      </w:r>
      <w:r w:rsidR="003B2732" w:rsidRPr="00B645F5">
        <w:rPr>
          <w:rFonts w:ascii="Cambria" w:hAnsi="Cambria"/>
          <w:sz w:val="20"/>
        </w:rPr>
        <w:t xml:space="preserve"> is detained at the Polunsky Unit in Texas, </w:t>
      </w:r>
      <w:r w:rsidR="003B2732" w:rsidRPr="00B645F5">
        <w:rPr>
          <w:rFonts w:asciiTheme="majorHAnsi" w:hAnsiTheme="majorHAnsi"/>
          <w:sz w:val="20"/>
          <w:szCs w:val="20"/>
        </w:rPr>
        <w:t xml:space="preserve">under the same conditions, as previous petitioners </w:t>
      </w:r>
      <w:r w:rsidR="003B2732" w:rsidRPr="00B645F5">
        <w:rPr>
          <w:rFonts w:ascii="Cambria" w:hAnsi="Cambria"/>
          <w:sz w:val="20"/>
        </w:rPr>
        <w:t xml:space="preserve">whose subjection to solitary confinement and lack of social interaction has been condemned by the Commission. </w:t>
      </w:r>
      <w:r w:rsidRPr="00B645F5">
        <w:rPr>
          <w:rFonts w:ascii="Cambria" w:hAnsi="Cambria"/>
          <w:sz w:val="20"/>
        </w:rPr>
        <w:t xml:space="preserve">Consequently, the United States is responsible for violating, to the detriment of </w:t>
      </w:r>
      <w:r w:rsidR="00190941" w:rsidRPr="00B645F5">
        <w:rPr>
          <w:rFonts w:ascii="Cambria" w:hAnsi="Cambria"/>
          <w:sz w:val="20"/>
        </w:rPr>
        <w:t>the alleged victim</w:t>
      </w:r>
      <w:r w:rsidRPr="00B645F5">
        <w:rPr>
          <w:rFonts w:ascii="Cambria" w:hAnsi="Cambria"/>
          <w:sz w:val="20"/>
        </w:rPr>
        <w:t xml:space="preserve">, the right to humane treatment, and not to receive cruel, infamous or unusual punishment established in </w:t>
      </w:r>
      <w:r w:rsidR="00970813" w:rsidRPr="00B645F5">
        <w:rPr>
          <w:rFonts w:ascii="Cambria" w:hAnsi="Cambria"/>
          <w:sz w:val="20"/>
        </w:rPr>
        <w:t xml:space="preserve">Articles XXV and XXVI of </w:t>
      </w:r>
      <w:r w:rsidRPr="00B645F5">
        <w:rPr>
          <w:rFonts w:ascii="Cambria" w:hAnsi="Cambria"/>
          <w:sz w:val="20"/>
        </w:rPr>
        <w:t xml:space="preserve">the American Declaration.  </w:t>
      </w:r>
    </w:p>
    <w:p w14:paraId="40B000B8" w14:textId="77777777" w:rsidR="001F0E31" w:rsidRPr="00B645F5" w:rsidRDefault="001F0E31" w:rsidP="003B2732">
      <w:pPr>
        <w:pStyle w:val="NormalWeb"/>
        <w:tabs>
          <w:tab w:val="left" w:pos="360"/>
        </w:tabs>
        <w:spacing w:before="0" w:beforeAutospacing="0" w:after="0" w:afterAutospacing="0"/>
        <w:jc w:val="both"/>
        <w:rPr>
          <w:rFonts w:ascii="Cambria" w:hAnsi="Cambria"/>
          <w:sz w:val="20"/>
        </w:rPr>
      </w:pPr>
    </w:p>
    <w:p w14:paraId="3B18693D" w14:textId="77777777" w:rsidR="001F0E31" w:rsidRPr="00B645F5" w:rsidRDefault="001F0E31" w:rsidP="001F0E31">
      <w:pPr>
        <w:pStyle w:val="Heading2"/>
        <w:numPr>
          <w:ilvl w:val="1"/>
          <w:numId w:val="63"/>
        </w:numPr>
        <w:spacing w:before="0"/>
        <w:ind w:left="360" w:hanging="360"/>
        <w:rPr>
          <w:rFonts w:eastAsia="Arial Unicode MS"/>
          <w:color w:val="auto"/>
          <w:sz w:val="20"/>
          <w:szCs w:val="20"/>
        </w:rPr>
      </w:pPr>
      <w:bookmarkStart w:id="32" w:name="_Toc450856021"/>
      <w:bookmarkStart w:id="33" w:name="_Toc90115133"/>
      <w:r w:rsidRPr="00B645F5">
        <w:rPr>
          <w:color w:val="auto"/>
          <w:sz w:val="20"/>
          <w:szCs w:val="20"/>
        </w:rPr>
        <w:t>Method of Execution</w:t>
      </w:r>
      <w:bookmarkEnd w:id="32"/>
      <w:bookmarkEnd w:id="33"/>
    </w:p>
    <w:p w14:paraId="328A0D32" w14:textId="77777777" w:rsidR="001F0E31" w:rsidRPr="00B645F5" w:rsidRDefault="001F0E31" w:rsidP="001F0E31">
      <w:pPr>
        <w:rPr>
          <w:rFonts w:asciiTheme="majorHAnsi" w:hAnsiTheme="majorHAnsi"/>
          <w:sz w:val="20"/>
          <w:szCs w:val="20"/>
        </w:rPr>
      </w:pPr>
    </w:p>
    <w:p w14:paraId="75290E4E"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 xml:space="preserve">The Commission </w:t>
      </w:r>
      <w:r w:rsidRPr="00B645F5">
        <w:rPr>
          <w:rFonts w:ascii="Cambria" w:hAnsi="Cambria"/>
          <w:color w:val="1E1E1E"/>
          <w:sz w:val="20"/>
          <w:szCs w:val="20"/>
          <w:bdr w:val="none" w:sz="0" w:space="0" w:color="auto"/>
        </w:rPr>
        <w:t xml:space="preserve">notes that even though the American Declaration does not prohibit the death penalty, </w:t>
      </w:r>
      <w:r w:rsidRPr="00B645F5">
        <w:rPr>
          <w:rFonts w:ascii="Cambria" w:hAnsi="Cambria"/>
          <w:sz w:val="20"/>
          <w:szCs w:val="20"/>
          <w:bdr w:val="none" w:sz="0" w:space="0" w:color="auto"/>
        </w:rPr>
        <w:t>various organs have considered that an execution method is incompatible with the right to humane treatment and the prohibition of torture when it is not designed to inflict the least possible suffering.</w:t>
      </w:r>
      <w:r w:rsidRPr="00B645F5">
        <w:rPr>
          <w:rStyle w:val="FootnoteReference"/>
          <w:rFonts w:ascii="Cambria" w:hAnsi="Cambria"/>
          <w:sz w:val="20"/>
          <w:szCs w:val="20"/>
          <w:bdr w:val="none" w:sz="0" w:space="0" w:color="auto"/>
        </w:rPr>
        <w:footnoteReference w:id="94"/>
      </w:r>
      <w:r w:rsidRPr="00B645F5">
        <w:rPr>
          <w:rFonts w:ascii="Cambria" w:hAnsi="Cambria"/>
          <w:sz w:val="20"/>
          <w:szCs w:val="20"/>
          <w:bdr w:val="none" w:sz="0" w:space="0" w:color="auto"/>
        </w:rPr>
        <w:t xml:space="preserve"> </w:t>
      </w:r>
    </w:p>
    <w:p w14:paraId="4316A9B1"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5778BFBE"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United Nations Safeguards guaranteeing protection of the rights of those facing the death penalty establish that “when the death penalty may be carried out it must be done in a way to keep to a minimum the suffering of prisoners.”</w:t>
      </w:r>
      <w:r w:rsidRPr="00B645F5">
        <w:rPr>
          <w:rStyle w:val="FootnoteReference"/>
          <w:rFonts w:ascii="Cambria" w:hAnsi="Cambria"/>
          <w:sz w:val="20"/>
          <w:szCs w:val="20"/>
          <w:bdr w:val="none" w:sz="0" w:space="0" w:color="auto"/>
        </w:rPr>
        <w:footnoteReference w:id="95"/>
      </w:r>
      <w:r w:rsidRPr="00B645F5">
        <w:rPr>
          <w:rFonts w:ascii="Cambria" w:hAnsi="Cambria"/>
          <w:sz w:val="20"/>
          <w:szCs w:val="20"/>
          <w:bdr w:val="none" w:sz="0" w:space="0" w:color="auto"/>
        </w:rPr>
        <w:t xml:space="preserve"> The Special Rapporteur on Torture, referring to the Safeguards, has indicated that there is no categorical evidence to show that any of the execution methods currently used to implement the death penalty comply with the prohibition of torture and cruel, inhumane and degrading treatment and added even if the safeguards were observed, all currently used methods of execution can inflict pain and excessive suffering.</w:t>
      </w:r>
      <w:r w:rsidRPr="00B645F5">
        <w:rPr>
          <w:rStyle w:val="FootnoteReference"/>
          <w:rFonts w:ascii="Cambria" w:hAnsi="Cambria"/>
          <w:sz w:val="20"/>
          <w:szCs w:val="20"/>
          <w:bdr w:val="none" w:sz="0" w:space="0" w:color="auto"/>
        </w:rPr>
        <w:footnoteReference w:id="96"/>
      </w:r>
    </w:p>
    <w:p w14:paraId="4E60D110"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73412202"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 xml:space="preserve">The Special Rapporteur on Extrajudicial, Summary or Arbitrary Executions has indicated with respect to the methods for the execution of the death penalty that “the extraordinary power conferred on the State to </w:t>
      </w:r>
      <w:r w:rsidRPr="00B645F5">
        <w:rPr>
          <w:rFonts w:ascii="Cambria" w:hAnsi="Cambria"/>
          <w:sz w:val="20"/>
          <w:szCs w:val="20"/>
          <w:bdr w:val="none" w:sz="0" w:space="0" w:color="auto"/>
        </w:rPr>
        <w:lastRenderedPageBreak/>
        <w:t>end a person’s life through a firing squad, hanging, lethal injection or other means to kill, poses a dangerous risk of abuse. This power can be kept under control only through the public supervision of the public punishment. It is a commonplace that due process serves to protect the accused. However, due process is also a mechanism through which society ensures that the punishments inflicted on their behalf are fair.”</w:t>
      </w:r>
      <w:r w:rsidRPr="00B645F5">
        <w:rPr>
          <w:rStyle w:val="FootnoteReference"/>
          <w:rFonts w:ascii="Cambria" w:hAnsi="Cambria"/>
          <w:sz w:val="20"/>
          <w:szCs w:val="20"/>
          <w:bdr w:val="none" w:sz="0" w:space="0" w:color="auto"/>
        </w:rPr>
        <w:footnoteReference w:id="97"/>
      </w:r>
    </w:p>
    <w:p w14:paraId="24C2A6B5"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5A822A85"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States have a reinforced special duty to ensure that the method of execution does not constitute cruel, infamous or unusual punishment. In this regard, the drugs and doses to be used in case of executions by lethal injection, as well as the composition of the execution team and the training of its members should be subjected to the highest quality control standards. In particular, the drugs used should be subject to government approval and regulation, the execution team should have appropriate medical training and lethal injection protocols should be available to the public to guarantee public scrutiny.</w:t>
      </w:r>
      <w:r w:rsidRPr="00B645F5">
        <w:rPr>
          <w:rStyle w:val="FootnoteReference"/>
          <w:rFonts w:ascii="Cambria" w:hAnsi="Cambria"/>
          <w:sz w:val="20"/>
          <w:szCs w:val="20"/>
          <w:bdr w:val="none" w:sz="0" w:space="0" w:color="auto"/>
        </w:rPr>
        <w:footnoteReference w:id="98"/>
      </w:r>
      <w:r w:rsidRPr="00B645F5">
        <w:rPr>
          <w:rFonts w:ascii="Cambria" w:hAnsi="Cambria"/>
          <w:sz w:val="20"/>
          <w:szCs w:val="20"/>
          <w:bdr w:val="none" w:sz="0" w:space="0" w:color="auto"/>
        </w:rPr>
        <w:t xml:space="preserve"> </w:t>
      </w:r>
    </w:p>
    <w:p w14:paraId="4EA61612"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54A97DA4" w14:textId="77777777" w:rsidR="001F0E31" w:rsidRPr="00B645F5" w:rsidRDefault="001F0E31" w:rsidP="001C1E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The Inter-American Commission notes in this regard that the due process requirement is not limited to the conviction and post-conviction proceedings.</w:t>
      </w:r>
      <w:r w:rsidRPr="00B645F5">
        <w:rPr>
          <w:rStyle w:val="FootnoteReference"/>
          <w:rFonts w:ascii="Cambria" w:hAnsi="Cambria"/>
          <w:sz w:val="20"/>
          <w:szCs w:val="20"/>
          <w:bdr w:val="none" w:sz="0" w:space="0" w:color="auto"/>
        </w:rPr>
        <w:footnoteReference w:id="99"/>
      </w:r>
      <w:r w:rsidRPr="00B645F5">
        <w:rPr>
          <w:rFonts w:ascii="Cambria" w:hAnsi="Cambria"/>
          <w:sz w:val="20"/>
          <w:szCs w:val="20"/>
          <w:bdr w:val="none" w:sz="0" w:space="0" w:color="auto"/>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r w:rsidR="001C1ED6" w:rsidRPr="00B645F5">
        <w:rPr>
          <w:rFonts w:asciiTheme="majorHAnsi" w:hAnsiTheme="majorHAnsi"/>
          <w:sz w:val="20"/>
          <w:szCs w:val="20"/>
        </w:rPr>
        <w:t xml:space="preserve">Moreover that </w:t>
      </w:r>
      <w:r w:rsidRPr="00B645F5">
        <w:rPr>
          <w:rFonts w:asciiTheme="majorHAnsi" w:hAnsiTheme="majorHAnsi"/>
          <w:sz w:val="20"/>
          <w:szCs w:val="20"/>
        </w:rPr>
        <w:t>conducting executions wit</w:t>
      </w:r>
      <w:r w:rsidR="001C1ED6" w:rsidRPr="00B645F5">
        <w:rPr>
          <w:rFonts w:asciiTheme="majorHAnsi" w:hAnsiTheme="majorHAnsi"/>
          <w:sz w:val="20"/>
          <w:szCs w:val="20"/>
        </w:rPr>
        <w:t xml:space="preserve">hout first providing prisoners </w:t>
      </w:r>
      <w:r w:rsidRPr="00B645F5">
        <w:rPr>
          <w:rFonts w:asciiTheme="majorHAnsi" w:hAnsiTheme="majorHAnsi"/>
          <w:sz w:val="20"/>
          <w:szCs w:val="20"/>
        </w:rPr>
        <w:t>access to information related to the precise procedures to be followed, the drugs and doses to be used in case of executions by lethal injection, and the composition of the execution team as well</w:t>
      </w:r>
      <w:r w:rsidR="001C1ED6" w:rsidRPr="00B645F5">
        <w:rPr>
          <w:rFonts w:asciiTheme="majorHAnsi" w:hAnsiTheme="majorHAnsi"/>
          <w:sz w:val="20"/>
          <w:szCs w:val="20"/>
        </w:rPr>
        <w:t xml:space="preserve"> as the training of its members deprives a victim </w:t>
      </w:r>
      <w:r w:rsidRPr="00B645F5">
        <w:rPr>
          <w:rFonts w:asciiTheme="majorHAnsi" w:hAnsiTheme="majorHAnsi"/>
          <w:sz w:val="20"/>
          <w:szCs w:val="20"/>
        </w:rPr>
        <w:t>of his right to challenge the manner in which he is planned to be executed, in violation of his rights to petition authorities and to due process under Articles XXIV and XXVI of the American Declaration.</w:t>
      </w:r>
      <w:r w:rsidRPr="00B645F5">
        <w:rPr>
          <w:rStyle w:val="FootnoteReference"/>
          <w:rFonts w:asciiTheme="majorHAnsi" w:hAnsiTheme="majorHAnsi"/>
          <w:sz w:val="20"/>
          <w:szCs w:val="20"/>
        </w:rPr>
        <w:footnoteReference w:id="100"/>
      </w:r>
      <w:r w:rsidRPr="00B645F5">
        <w:rPr>
          <w:rFonts w:asciiTheme="majorHAnsi" w:hAnsiTheme="majorHAnsi"/>
          <w:sz w:val="20"/>
          <w:szCs w:val="20"/>
        </w:rPr>
        <w:t xml:space="preserve"> </w:t>
      </w:r>
    </w:p>
    <w:p w14:paraId="0545D2E6"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62B87E9F"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B645F5">
        <w:rPr>
          <w:rStyle w:val="FootnoteReference"/>
          <w:rFonts w:ascii="Cambria" w:hAnsi="Cambria"/>
          <w:sz w:val="20"/>
          <w:szCs w:val="20"/>
          <w:bdr w:val="none" w:sz="0" w:space="0" w:color="auto"/>
        </w:rPr>
        <w:footnoteReference w:id="101"/>
      </w:r>
    </w:p>
    <w:p w14:paraId="5ADE7506" w14:textId="77777777" w:rsidR="001F0E31" w:rsidRPr="00B645F5" w:rsidRDefault="001F0E31" w:rsidP="001F0E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rPr>
      </w:pPr>
    </w:p>
    <w:p w14:paraId="233C4A29" w14:textId="77777777" w:rsidR="001C1ED6"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T</w:t>
      </w:r>
      <w:r w:rsidR="001C1ED6" w:rsidRPr="00B645F5">
        <w:rPr>
          <w:rFonts w:ascii="Cambria" w:hAnsi="Cambria"/>
          <w:sz w:val="20"/>
          <w:szCs w:val="20"/>
          <w:bdr w:val="none" w:sz="0" w:space="0" w:color="auto"/>
        </w:rPr>
        <w:t xml:space="preserve">he petitioners argue that the </w:t>
      </w:r>
      <w:r w:rsidRPr="00B645F5">
        <w:rPr>
          <w:rFonts w:asciiTheme="majorHAnsi" w:hAnsiTheme="majorHAnsi"/>
          <w:sz w:val="20"/>
          <w:szCs w:val="20"/>
        </w:rPr>
        <w:t>Texas Supreme Court explicitly approved the Texas Department of Criminal Justice’s policy to keep the source of its drugs a secret, even from the people on whom the drugs will be used</w:t>
      </w:r>
      <w:r w:rsidR="001C1ED6" w:rsidRPr="00B645F5">
        <w:rPr>
          <w:rFonts w:asciiTheme="majorHAnsi" w:hAnsiTheme="majorHAnsi"/>
          <w:sz w:val="20"/>
          <w:szCs w:val="20"/>
        </w:rPr>
        <w:t>.</w:t>
      </w:r>
      <w:r w:rsidR="001C1ED6" w:rsidRPr="00B645F5">
        <w:rPr>
          <w:rStyle w:val="FootnoteReference"/>
          <w:rFonts w:asciiTheme="majorHAnsi" w:hAnsiTheme="majorHAnsi"/>
          <w:sz w:val="20"/>
          <w:szCs w:val="20"/>
        </w:rPr>
        <w:footnoteReference w:id="102"/>
      </w:r>
      <w:r w:rsidRPr="00B645F5">
        <w:rPr>
          <w:rFonts w:asciiTheme="majorHAnsi" w:hAnsiTheme="majorHAnsi"/>
          <w:sz w:val="20"/>
          <w:szCs w:val="20"/>
        </w:rPr>
        <w:t xml:space="preserve"> </w:t>
      </w:r>
    </w:p>
    <w:p w14:paraId="5AF5DEB6" w14:textId="77777777" w:rsidR="001F0E31" w:rsidRPr="00B645F5" w:rsidRDefault="001F0E31" w:rsidP="001C1ED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256DC176" w14:textId="77777777" w:rsidR="001F0E31" w:rsidRPr="00B645F5" w:rsidRDefault="001F0E31" w:rsidP="001F0E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bdr w:val="none" w:sz="0" w:space="0" w:color="auto"/>
        </w:rPr>
        <w:t xml:space="preserve">Given the State’s reinforced special duty to ensure that the method of execution does not constitute cruel, infamous or unusual punishment, and in particular, to subject the drugs used to government approval and regulation, the IACHR finds that in Mr. </w:t>
      </w:r>
      <w:r w:rsidR="00AC5329" w:rsidRPr="00B645F5">
        <w:rPr>
          <w:rFonts w:ascii="Cambria" w:hAnsi="Cambria"/>
          <w:sz w:val="20"/>
          <w:szCs w:val="20"/>
          <w:bdr w:val="none" w:sz="0" w:space="0" w:color="auto"/>
        </w:rPr>
        <w:t>Ibarra</w:t>
      </w:r>
      <w:r w:rsidRPr="00B645F5">
        <w:rPr>
          <w:rFonts w:ascii="Cambria" w:hAnsi="Cambria"/>
          <w:sz w:val="20"/>
          <w:szCs w:val="20"/>
          <w:bdr w:val="none" w:sz="0" w:space="0" w:color="auto"/>
        </w:rPr>
        <w:t xml:space="preserve">’s case it violated Article XXVI of the American Declaration. </w:t>
      </w:r>
    </w:p>
    <w:p w14:paraId="7EA3A16F" w14:textId="77777777" w:rsidR="00BB22C0" w:rsidRPr="00B645F5" w:rsidRDefault="00BB22C0" w:rsidP="00BB22C0">
      <w:pPr>
        <w:pStyle w:val="NormalWeb"/>
        <w:tabs>
          <w:tab w:val="left" w:pos="360"/>
        </w:tabs>
        <w:spacing w:before="0" w:beforeAutospacing="0" w:after="0" w:afterAutospacing="0"/>
        <w:jc w:val="both"/>
        <w:rPr>
          <w:rFonts w:ascii="Cambria" w:hAnsi="Cambria"/>
          <w:sz w:val="20"/>
        </w:rPr>
      </w:pPr>
    </w:p>
    <w:p w14:paraId="667509CC" w14:textId="77777777" w:rsidR="00801C7F" w:rsidRPr="00B645F5" w:rsidRDefault="00375D88" w:rsidP="00EC55EA">
      <w:pPr>
        <w:pStyle w:val="Heading2"/>
        <w:numPr>
          <w:ilvl w:val="0"/>
          <w:numId w:val="61"/>
        </w:numPr>
        <w:tabs>
          <w:tab w:val="left" w:pos="360"/>
        </w:tabs>
        <w:spacing w:before="0"/>
        <w:ind w:left="0" w:firstLine="0"/>
        <w:jc w:val="both"/>
        <w:rPr>
          <w:color w:val="auto"/>
          <w:sz w:val="20"/>
          <w:szCs w:val="20"/>
        </w:rPr>
      </w:pPr>
      <w:bookmarkStart w:id="34" w:name="_Toc90115134"/>
      <w:r w:rsidRPr="00B645F5">
        <w:rPr>
          <w:color w:val="auto"/>
          <w:sz w:val="20"/>
          <w:szCs w:val="20"/>
        </w:rPr>
        <w:t>R</w:t>
      </w:r>
      <w:r w:rsidR="002B4417" w:rsidRPr="00B645F5">
        <w:rPr>
          <w:color w:val="auto"/>
          <w:sz w:val="20"/>
          <w:szCs w:val="20"/>
        </w:rPr>
        <w:t>ight to life</w:t>
      </w:r>
      <w:r w:rsidR="00C535F1" w:rsidRPr="00B645F5">
        <w:rPr>
          <w:rStyle w:val="FootnoteReference"/>
          <w:color w:val="auto"/>
          <w:sz w:val="20"/>
          <w:szCs w:val="20"/>
        </w:rPr>
        <w:footnoteReference w:id="103"/>
      </w:r>
      <w:r w:rsidR="00DD5501" w:rsidRPr="00B645F5">
        <w:rPr>
          <w:color w:val="auto"/>
          <w:sz w:val="20"/>
          <w:szCs w:val="20"/>
        </w:rPr>
        <w:t xml:space="preserve"> and to protection against cruel, infamous o</w:t>
      </w:r>
      <w:r w:rsidR="00224AA7" w:rsidRPr="00B645F5">
        <w:rPr>
          <w:color w:val="auto"/>
          <w:sz w:val="20"/>
          <w:szCs w:val="20"/>
        </w:rPr>
        <w:t>r</w:t>
      </w:r>
      <w:r w:rsidR="00DD5501" w:rsidRPr="00B645F5">
        <w:rPr>
          <w:color w:val="auto"/>
          <w:sz w:val="20"/>
          <w:szCs w:val="20"/>
        </w:rPr>
        <w:t xml:space="preserve"> unusual punishment with respect to the eventual execution of </w:t>
      </w:r>
      <w:r w:rsidR="001B795D" w:rsidRPr="00B645F5">
        <w:rPr>
          <w:color w:val="auto"/>
          <w:sz w:val="20"/>
          <w:szCs w:val="20"/>
        </w:rPr>
        <w:t>Ramiro</w:t>
      </w:r>
      <w:r w:rsidR="004F288B" w:rsidRPr="00B645F5">
        <w:rPr>
          <w:color w:val="auto"/>
          <w:sz w:val="20"/>
          <w:szCs w:val="20"/>
        </w:rPr>
        <w:t xml:space="preserve"> Ibarra</w:t>
      </w:r>
      <w:r w:rsidR="001B795D" w:rsidRPr="00B645F5">
        <w:rPr>
          <w:color w:val="auto"/>
          <w:sz w:val="20"/>
          <w:szCs w:val="20"/>
        </w:rPr>
        <w:t xml:space="preserve"> </w:t>
      </w:r>
      <w:proofErr w:type="spellStart"/>
      <w:r w:rsidR="00334BDA" w:rsidRPr="00B645F5">
        <w:rPr>
          <w:color w:val="auto"/>
          <w:sz w:val="20"/>
          <w:szCs w:val="20"/>
        </w:rPr>
        <w:t>Rubí</w:t>
      </w:r>
      <w:bookmarkEnd w:id="34"/>
      <w:proofErr w:type="spellEnd"/>
      <w:r w:rsidR="001B795D" w:rsidRPr="00B645F5">
        <w:rPr>
          <w:color w:val="auto"/>
          <w:sz w:val="20"/>
          <w:szCs w:val="20"/>
        </w:rPr>
        <w:t xml:space="preserve"> </w:t>
      </w:r>
    </w:p>
    <w:p w14:paraId="3305B54C" w14:textId="77777777" w:rsidR="00867DA3" w:rsidRPr="00B645F5" w:rsidRDefault="00867DA3" w:rsidP="00EC55EA"/>
    <w:p w14:paraId="7D08E472" w14:textId="77777777" w:rsidR="00BE3560" w:rsidRPr="00B645F5" w:rsidRDefault="00BE356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B645F5">
        <w:rPr>
          <w:rStyle w:val="FootnoteReference"/>
          <w:rFonts w:ascii="Cambria" w:hAnsi="Cambria"/>
          <w:sz w:val="20"/>
          <w:szCs w:val="20"/>
        </w:rPr>
        <w:footnoteReference w:id="104"/>
      </w:r>
    </w:p>
    <w:p w14:paraId="5930E053" w14:textId="77777777" w:rsidR="00BE3560" w:rsidRPr="00B645F5" w:rsidRDefault="00BE3560" w:rsidP="00EC55EA">
      <w:pPr>
        <w:rPr>
          <w:sz w:val="20"/>
          <w:szCs w:val="20"/>
        </w:rPr>
      </w:pPr>
    </w:p>
    <w:p w14:paraId="431AB42F" w14:textId="77777777" w:rsidR="00FF19E2" w:rsidRPr="00B645F5" w:rsidRDefault="00BE3560"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B645F5">
        <w:rPr>
          <w:rFonts w:ascii="Cambria" w:hAnsi="Cambria"/>
          <w:sz w:val="20"/>
          <w:szCs w:val="20"/>
        </w:rPr>
        <w:t>Under these circumstances, the IACHR has maintained that executing a person</w:t>
      </w:r>
      <w:r w:rsidR="002D5D4E" w:rsidRPr="00B645F5">
        <w:rPr>
          <w:rFonts w:ascii="Cambria" w:hAnsi="Cambria"/>
          <w:sz w:val="20"/>
          <w:szCs w:val="20"/>
        </w:rPr>
        <w:t>,</w:t>
      </w:r>
      <w:r w:rsidRPr="00B645F5">
        <w:rPr>
          <w:rFonts w:ascii="Cambria" w:hAnsi="Cambria"/>
          <w:sz w:val="20"/>
          <w:szCs w:val="20"/>
        </w:rPr>
        <w:t xml:space="preserve"> after proceedings that were conducted in violation of his rights</w:t>
      </w:r>
      <w:r w:rsidR="002D5D4E" w:rsidRPr="00B645F5">
        <w:rPr>
          <w:rFonts w:ascii="Cambria" w:hAnsi="Cambria"/>
          <w:sz w:val="20"/>
          <w:szCs w:val="20"/>
        </w:rPr>
        <w:t>,</w:t>
      </w:r>
      <w:r w:rsidRPr="00B645F5">
        <w:rPr>
          <w:rFonts w:ascii="Cambria" w:hAnsi="Cambria"/>
          <w:sz w:val="20"/>
          <w:szCs w:val="20"/>
        </w:rPr>
        <w:t xml:space="preserve"> would be extremely grave and constitute a deliberate violation of the </w:t>
      </w:r>
      <w:r w:rsidRPr="00B645F5">
        <w:rPr>
          <w:rFonts w:ascii="Cambria" w:hAnsi="Cambria"/>
          <w:sz w:val="20"/>
          <w:szCs w:val="20"/>
        </w:rPr>
        <w:lastRenderedPageBreak/>
        <w:t>right to life established in Article I of the American Declaration.</w:t>
      </w:r>
      <w:r w:rsidRPr="00B645F5">
        <w:rPr>
          <w:rStyle w:val="FootnoteReference"/>
          <w:rFonts w:ascii="Cambria" w:hAnsi="Cambria"/>
          <w:sz w:val="20"/>
          <w:szCs w:val="20"/>
        </w:rPr>
        <w:footnoteReference w:id="105"/>
      </w:r>
      <w:r w:rsidRPr="00B645F5">
        <w:rPr>
          <w:rFonts w:ascii="Cambria" w:hAnsi="Cambria"/>
          <w:sz w:val="20"/>
          <w:szCs w:val="20"/>
        </w:rPr>
        <w:t xml:space="preserve"> Further, based on the conclusions regarding the deprivation of liberty on death row, the eventual execution of </w:t>
      </w:r>
      <w:r w:rsidR="009729C9" w:rsidRPr="00B645F5">
        <w:rPr>
          <w:rFonts w:ascii="Cambria" w:hAnsi="Cambria"/>
          <w:sz w:val="20"/>
          <w:szCs w:val="20"/>
        </w:rPr>
        <w:t>the alleged victims</w:t>
      </w:r>
      <w:r w:rsidRPr="00B645F5">
        <w:rPr>
          <w:rFonts w:ascii="Cambria" w:hAnsi="Cambria"/>
          <w:sz w:val="20"/>
          <w:szCs w:val="20"/>
        </w:rPr>
        <w:t xml:space="preserve"> would constitute, by any account, a violation of the right to protection against cruel, infamous or unusual punishment. In light of the foregoing and taking into account the determinations made throughout this report, the IACHR </w:t>
      </w:r>
      <w:r w:rsidR="001F0E31" w:rsidRPr="00B645F5">
        <w:rPr>
          <w:rFonts w:ascii="Cambria" w:hAnsi="Cambria"/>
          <w:sz w:val="20"/>
          <w:szCs w:val="20"/>
        </w:rPr>
        <w:t xml:space="preserve">concludes that the execution of Ramiro </w:t>
      </w:r>
      <w:r w:rsidR="004F288B" w:rsidRPr="00B645F5">
        <w:rPr>
          <w:rFonts w:ascii="Cambria" w:hAnsi="Cambria"/>
          <w:sz w:val="20"/>
          <w:szCs w:val="20"/>
        </w:rPr>
        <w:t xml:space="preserve">Ibarra </w:t>
      </w:r>
      <w:proofErr w:type="spellStart"/>
      <w:r w:rsidR="00334BDA" w:rsidRPr="00B645F5">
        <w:rPr>
          <w:rFonts w:ascii="Cambria" w:hAnsi="Cambria"/>
          <w:sz w:val="20"/>
          <w:szCs w:val="20"/>
        </w:rPr>
        <w:t>Rubí</w:t>
      </w:r>
      <w:proofErr w:type="spellEnd"/>
      <w:r w:rsidR="001F0E31" w:rsidRPr="00B645F5">
        <w:rPr>
          <w:rFonts w:ascii="Cambria" w:hAnsi="Cambria"/>
          <w:sz w:val="20"/>
          <w:szCs w:val="20"/>
        </w:rPr>
        <w:t xml:space="preserve"> </w:t>
      </w:r>
      <w:r w:rsidRPr="00B645F5">
        <w:rPr>
          <w:rFonts w:ascii="Cambria" w:hAnsi="Cambria"/>
          <w:sz w:val="20"/>
          <w:szCs w:val="20"/>
        </w:rPr>
        <w:t>would const</w:t>
      </w:r>
      <w:r w:rsidR="001F0E31" w:rsidRPr="00B645F5">
        <w:rPr>
          <w:rFonts w:ascii="Cambria" w:hAnsi="Cambria"/>
          <w:sz w:val="20"/>
          <w:szCs w:val="20"/>
        </w:rPr>
        <w:t>itute a serious violation of his</w:t>
      </w:r>
      <w:r w:rsidRPr="00B645F5">
        <w:rPr>
          <w:rFonts w:ascii="Cambria" w:hAnsi="Cambria"/>
          <w:sz w:val="20"/>
          <w:szCs w:val="20"/>
        </w:rPr>
        <w:t xml:space="preserve"> right to life established in Articles I of the American Declaration.</w:t>
      </w:r>
    </w:p>
    <w:p w14:paraId="0A9B2A37" w14:textId="77777777" w:rsidR="004246BA" w:rsidRPr="00B645F5" w:rsidRDefault="004246BA" w:rsidP="004246BA">
      <w:pPr>
        <w:rPr>
          <w:rFonts w:asciiTheme="majorHAnsi" w:eastAsiaTheme="majorEastAsia" w:hAnsiTheme="majorHAnsi" w:cstheme="majorBidi"/>
          <w:b/>
          <w:bCs/>
          <w:sz w:val="20"/>
          <w:szCs w:val="20"/>
        </w:rPr>
      </w:pPr>
    </w:p>
    <w:p w14:paraId="7DAF316E" w14:textId="6FA8F654" w:rsidR="004246BA" w:rsidRPr="00B645F5" w:rsidRDefault="004246BA" w:rsidP="004246BA">
      <w:pPr>
        <w:pStyle w:val="Heading1"/>
        <w:tabs>
          <w:tab w:val="left" w:pos="360"/>
        </w:tabs>
        <w:spacing w:before="0"/>
        <w:ind w:hanging="720"/>
        <w:rPr>
          <w:color w:val="auto"/>
          <w:sz w:val="20"/>
          <w:szCs w:val="20"/>
        </w:rPr>
      </w:pPr>
      <w:bookmarkStart w:id="35" w:name="_Toc45105400"/>
      <w:bookmarkStart w:id="36" w:name="_Toc47714178"/>
      <w:bookmarkStart w:id="37" w:name="_Toc90115135"/>
      <w:r w:rsidRPr="00B645F5">
        <w:rPr>
          <w:color w:val="auto"/>
          <w:sz w:val="20"/>
          <w:szCs w:val="20"/>
        </w:rPr>
        <w:t>REPORT No. 9/21 AND INFORMATION ABOUT COMPLIANCE</w:t>
      </w:r>
      <w:bookmarkEnd w:id="35"/>
      <w:bookmarkEnd w:id="36"/>
      <w:bookmarkEnd w:id="37"/>
    </w:p>
    <w:p w14:paraId="450844AB" w14:textId="77777777" w:rsidR="004246BA" w:rsidRPr="00B645F5" w:rsidRDefault="004246BA" w:rsidP="004246BA">
      <w:pPr>
        <w:rPr>
          <w:rFonts w:asciiTheme="majorHAnsi" w:hAnsiTheme="majorHAnsi"/>
          <w:sz w:val="20"/>
          <w:szCs w:val="20"/>
        </w:rPr>
      </w:pPr>
    </w:p>
    <w:p w14:paraId="693F29C3" w14:textId="69C80D2B" w:rsidR="004246BA" w:rsidRPr="00B645F5" w:rsidRDefault="004246BA" w:rsidP="004246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B645F5">
        <w:rPr>
          <w:rFonts w:asciiTheme="majorHAnsi" w:hAnsiTheme="majorHAnsi"/>
          <w:sz w:val="20"/>
          <w:szCs w:val="20"/>
        </w:rPr>
        <w:t>On February 25, 202</w:t>
      </w:r>
      <w:r w:rsidR="00DE0FBF" w:rsidRPr="00B645F5">
        <w:rPr>
          <w:rFonts w:asciiTheme="majorHAnsi" w:hAnsiTheme="majorHAnsi"/>
          <w:sz w:val="20"/>
          <w:szCs w:val="20"/>
        </w:rPr>
        <w:t>1</w:t>
      </w:r>
      <w:r w:rsidRPr="00B645F5">
        <w:rPr>
          <w:rFonts w:asciiTheme="majorHAnsi" w:hAnsiTheme="majorHAnsi"/>
          <w:sz w:val="20"/>
          <w:szCs w:val="20"/>
        </w:rPr>
        <w:t>, the Commission approved Report No. 9/21 on the merits of the instant case, which encompasses paragraphs 1 to 13</w:t>
      </w:r>
      <w:r w:rsidR="00AE6D6B" w:rsidRPr="00B645F5">
        <w:rPr>
          <w:rFonts w:asciiTheme="majorHAnsi" w:hAnsiTheme="majorHAnsi"/>
          <w:sz w:val="20"/>
          <w:szCs w:val="20"/>
        </w:rPr>
        <w:t>2</w:t>
      </w:r>
      <w:r w:rsidRPr="00B645F5">
        <w:rPr>
          <w:rFonts w:asciiTheme="majorHAnsi" w:hAnsiTheme="majorHAnsi"/>
          <w:sz w:val="20"/>
          <w:szCs w:val="20"/>
        </w:rPr>
        <w:t xml:space="preserve"> supra, and issued the following recommendations to the State: </w:t>
      </w:r>
    </w:p>
    <w:p w14:paraId="37320F48" w14:textId="77777777" w:rsidR="004246BA" w:rsidRPr="00B645F5" w:rsidRDefault="004246BA" w:rsidP="004246BA"/>
    <w:p w14:paraId="7218CC3C" w14:textId="77777777" w:rsidR="004246BA" w:rsidRPr="00B645F5" w:rsidRDefault="004246BA" w:rsidP="004246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B645F5">
        <w:rPr>
          <w:rFonts w:eastAsia="Times New Roman" w:cs="Tahoma"/>
          <w:sz w:val="20"/>
          <w:szCs w:val="20"/>
          <w:bdr w:val="none" w:sz="0" w:space="0" w:color="auto" w:frame="1"/>
        </w:rPr>
        <w:t xml:space="preserve">Grant </w:t>
      </w:r>
      <w:r w:rsidRPr="00B645F5">
        <w:rPr>
          <w:sz w:val="20"/>
          <w:szCs w:val="20"/>
        </w:rPr>
        <w:t xml:space="preserve">Ramiro Ibarra Rubi </w:t>
      </w:r>
      <w:r w:rsidRPr="00B645F5">
        <w:rPr>
          <w:rFonts w:eastAsia="Times New Roman" w:cs="Tahoma"/>
          <w:sz w:val="20"/>
          <w:szCs w:val="20"/>
          <w:bdr w:val="none" w:sz="0" w:space="0" w:color="auto" w:frame="1"/>
        </w:rPr>
        <w:t xml:space="preserve">effective relief, including the review of her trial and sentences in accordance with the guarantees of fair trial and due process set forth in Articles </w:t>
      </w:r>
      <w:r w:rsidRPr="00B645F5">
        <w:rPr>
          <w:rFonts w:asciiTheme="majorHAnsi" w:hAnsiTheme="majorHAnsi"/>
          <w:color w:val="000000" w:themeColor="text1"/>
          <w:sz w:val="20"/>
          <w:szCs w:val="20"/>
        </w:rPr>
        <w:t xml:space="preserve">XVIII, and XXVI </w:t>
      </w:r>
      <w:r w:rsidRPr="00B645F5">
        <w:rPr>
          <w:rFonts w:eastAsia="Times New Roman" w:cs="Tahoma"/>
          <w:sz w:val="20"/>
          <w:szCs w:val="20"/>
          <w:bdr w:val="none" w:sz="0" w:space="0" w:color="auto" w:frame="1"/>
        </w:rPr>
        <w:t xml:space="preserve">of the American Declaration, and the payment of pecuniary compensation. </w:t>
      </w:r>
      <w:r w:rsidRPr="00B645F5">
        <w:rPr>
          <w:rFonts w:cs="Arial"/>
          <w:color w:val="auto"/>
          <w:sz w:val="20"/>
          <w:szCs w:val="20"/>
        </w:rPr>
        <w:t xml:space="preserve">Taking into account the conclusion of the IACHR on the time </w:t>
      </w:r>
      <w:r w:rsidRPr="00B645F5">
        <w:rPr>
          <w:rFonts w:asciiTheme="majorHAnsi" w:hAnsiTheme="majorHAnsi"/>
          <w:color w:val="auto"/>
          <w:sz w:val="20"/>
          <w:szCs w:val="20"/>
        </w:rPr>
        <w:t>the alleged victim has</w:t>
      </w:r>
      <w:r w:rsidRPr="00B645F5">
        <w:rPr>
          <w:rFonts w:cs="Arial"/>
          <w:color w:val="auto"/>
          <w:sz w:val="20"/>
          <w:szCs w:val="20"/>
        </w:rPr>
        <w:t xml:space="preserve"> been held on death row, the Commission recommends that her sentence be commuted</w:t>
      </w:r>
      <w:r w:rsidRPr="00B645F5">
        <w:rPr>
          <w:rFonts w:eastAsia="Times New Roman" w:cs="Tahoma"/>
          <w:sz w:val="20"/>
          <w:szCs w:val="20"/>
          <w:bdr w:val="none" w:sz="0" w:space="0" w:color="auto" w:frame="1"/>
        </w:rPr>
        <w:t>.</w:t>
      </w:r>
    </w:p>
    <w:p w14:paraId="3C60217E" w14:textId="77777777" w:rsidR="004246BA" w:rsidRPr="00B645F5" w:rsidRDefault="004246BA" w:rsidP="004246B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4EF1B6D0" w14:textId="77777777" w:rsidR="004246BA" w:rsidRPr="00B645F5" w:rsidRDefault="004246BA" w:rsidP="004246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B645F5">
        <w:rPr>
          <w:sz w:val="20"/>
        </w:rPr>
        <w:t>Review its laws, procedures, and practices at the state and federal level to ensure that persons accused of capital crimes are tried and, if convicted, sentenced in accordance with the rights established in the American Declaration, including Articles I, II, XVIII, XXV and XXVI thereof</w:t>
      </w:r>
      <w:bookmarkStart w:id="38" w:name="_ftn34"/>
      <w:bookmarkEnd w:id="38"/>
      <w:r w:rsidRPr="00B645F5">
        <w:rPr>
          <w:sz w:val="20"/>
        </w:rPr>
        <w:t>, and, in particular:</w:t>
      </w:r>
    </w:p>
    <w:p w14:paraId="29FF33D0" w14:textId="77777777" w:rsidR="004246BA" w:rsidRPr="00B645F5" w:rsidRDefault="004246BA" w:rsidP="004246BA">
      <w:pPr>
        <w:pStyle w:val="ListParagraph"/>
        <w:ind w:left="1080"/>
        <w:rPr>
          <w:sz w:val="20"/>
          <w:szCs w:val="20"/>
          <w:bdr w:val="none" w:sz="0" w:space="0" w:color="auto" w:frame="1"/>
        </w:rPr>
      </w:pPr>
    </w:p>
    <w:p w14:paraId="3E737BC5"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rFonts w:asciiTheme="majorHAnsi" w:eastAsia="Times New Roman" w:hAnsiTheme="majorHAnsi" w:cs="Tahoma"/>
          <w:sz w:val="20"/>
          <w:szCs w:val="20"/>
          <w:bdr w:val="none" w:sz="0" w:space="0" w:color="auto"/>
        </w:rPr>
        <w:t xml:space="preserve">Ensure that </w:t>
      </w:r>
      <w:r w:rsidRPr="00B645F5">
        <w:rPr>
          <w:rFonts w:asciiTheme="majorHAnsi" w:hAnsiTheme="majorHAnsi"/>
          <w:sz w:val="20"/>
          <w:szCs w:val="20"/>
        </w:rPr>
        <w:t>every foreign national deprived of his or her liberty is informed, without delay and prior to his or her first instance of questioning by State authorities, of the right to request that consular authorities be immediately notified of his or her arrest or detention;</w:t>
      </w:r>
    </w:p>
    <w:p w14:paraId="6F5FF9CC"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rFonts w:eastAsia="Times New Roman" w:cs="Tahoma"/>
          <w:sz w:val="20"/>
          <w:szCs w:val="20"/>
          <w:bdr w:val="none" w:sz="0" w:space="0" w:color="auto" w:frame="1"/>
        </w:rPr>
        <w:t xml:space="preserve">To grant the </w:t>
      </w:r>
      <w:r w:rsidRPr="00B645F5">
        <w:rPr>
          <w:rFonts w:eastAsiaTheme="minorHAnsi"/>
          <w:sz w:val="20"/>
          <w:szCs w:val="20"/>
          <w:bdr w:val="none" w:sz="0" w:space="0" w:color="auto"/>
        </w:rPr>
        <w:t xml:space="preserve">opportunity to present evidence regarding mental and intellectual disability and be heard on the merits of that evidence, where such disability is alleged and to conduct a re-sentencing hearing to determine the appropriate sentence suitable where such disability exists; and </w:t>
      </w:r>
    </w:p>
    <w:p w14:paraId="4FFF0104"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sz w:val="20"/>
          <w:szCs w:val="20"/>
          <w:bdr w:val="none" w:sz="0" w:space="0" w:color="auto"/>
        </w:rPr>
        <w:t>Ensure that the method of execution does not constitute cruel, infamous or unusual punishment, and in particular,</w:t>
      </w:r>
      <w:r w:rsidRPr="00B645F5">
        <w:rPr>
          <w:rFonts w:asciiTheme="majorHAnsi" w:hAnsiTheme="majorHAnsi"/>
          <w:sz w:val="20"/>
          <w:szCs w:val="20"/>
        </w:rPr>
        <w:t xml:space="preserve"> to make available to a person subject to pending execution, the details regarding the source, substance and/or administrative procedure in the execution method.</w:t>
      </w:r>
    </w:p>
    <w:p w14:paraId="04D6E4AD" w14:textId="77777777" w:rsidR="004246BA" w:rsidRPr="00B645F5" w:rsidRDefault="004246BA" w:rsidP="004246BA">
      <w:pPr>
        <w:rPr>
          <w:rFonts w:asciiTheme="majorHAnsi" w:eastAsia="Times New Roman" w:hAnsiTheme="majorHAnsi" w:cs="Tahoma"/>
          <w:sz w:val="20"/>
          <w:szCs w:val="20"/>
          <w:bdr w:val="none" w:sz="0" w:space="0" w:color="auto"/>
        </w:rPr>
      </w:pPr>
    </w:p>
    <w:p w14:paraId="7BDFF289" w14:textId="6263DC8F" w:rsidR="004246BA" w:rsidRPr="00B645F5" w:rsidRDefault="004246BA" w:rsidP="004246B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B645F5">
        <w:rPr>
          <w:rFonts w:asciiTheme="majorHAnsi" w:hAnsiTheme="majorHAnsi"/>
          <w:sz w:val="20"/>
        </w:rPr>
        <w:t>Given the violations of the American Declaration, the IACHR has established in the present</w:t>
      </w:r>
      <w:r w:rsidRPr="00B645F5">
        <w:rPr>
          <w:sz w:val="20"/>
        </w:rPr>
        <w:t xml:space="preserve"> case and in others involving application of the death penalty, the Inter-American Commission also recommends to the United States that it abolishes the death penalty.</w:t>
      </w:r>
      <w:r w:rsidRPr="00B645F5">
        <w:rPr>
          <w:rStyle w:val="FootnoteReference"/>
          <w:sz w:val="20"/>
        </w:rPr>
        <w:footnoteReference w:id="106"/>
      </w:r>
    </w:p>
    <w:p w14:paraId="16CF5072" w14:textId="77777777" w:rsidR="004246BA" w:rsidRPr="00B645F5" w:rsidRDefault="004246BA" w:rsidP="004246BA">
      <w:pPr>
        <w:rPr>
          <w:sz w:val="20"/>
          <w:szCs w:val="20"/>
        </w:rPr>
      </w:pPr>
    </w:p>
    <w:p w14:paraId="61FFBEA9" w14:textId="39946FBD" w:rsidR="00355870" w:rsidRPr="00B645F5" w:rsidRDefault="004246BA"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color w:val="000000" w:themeColor="text1"/>
          <w:sz w:val="20"/>
          <w:szCs w:val="20"/>
        </w:rPr>
      </w:pPr>
      <w:r w:rsidRPr="00B645F5">
        <w:rPr>
          <w:rFonts w:asciiTheme="majorHAnsi" w:hAnsiTheme="majorHAnsi"/>
          <w:color w:val="000000" w:themeColor="text1"/>
          <w:sz w:val="20"/>
          <w:szCs w:val="20"/>
        </w:rPr>
        <w:t xml:space="preserve">On </w:t>
      </w:r>
      <w:r w:rsidR="00DE0FBF" w:rsidRPr="00B645F5">
        <w:rPr>
          <w:rFonts w:asciiTheme="majorHAnsi" w:hAnsiTheme="majorHAnsi"/>
          <w:color w:val="000000" w:themeColor="text1"/>
          <w:sz w:val="20"/>
          <w:szCs w:val="20"/>
        </w:rPr>
        <w:t>February 26</w:t>
      </w:r>
      <w:r w:rsidRPr="00B645F5">
        <w:rPr>
          <w:rFonts w:asciiTheme="majorHAnsi" w:hAnsiTheme="majorHAnsi"/>
          <w:color w:val="000000" w:themeColor="text1"/>
          <w:sz w:val="20"/>
          <w:szCs w:val="20"/>
        </w:rPr>
        <w:t xml:space="preserve">, 2021 the IACHR transmitted the report to the State </w:t>
      </w:r>
      <w:r w:rsidR="00DE0FBF" w:rsidRPr="00B645F5">
        <w:rPr>
          <w:rFonts w:asciiTheme="majorHAnsi" w:hAnsiTheme="majorHAnsi"/>
          <w:color w:val="000000" w:themeColor="text1"/>
          <w:sz w:val="20"/>
          <w:szCs w:val="20"/>
        </w:rPr>
        <w:t>in order for it to report to the Commission until March 1, 2021 on the measures it has adopted to comply with the Commission’s recommendations and resolve the situation</w:t>
      </w:r>
      <w:r w:rsidRPr="00B645F5">
        <w:rPr>
          <w:rFonts w:asciiTheme="majorHAnsi" w:hAnsiTheme="majorHAnsi"/>
          <w:color w:val="000000" w:themeColor="text1"/>
          <w:sz w:val="20"/>
          <w:szCs w:val="20"/>
        </w:rPr>
        <w:t xml:space="preserve">. </w:t>
      </w:r>
    </w:p>
    <w:p w14:paraId="0E8F765C" w14:textId="77777777" w:rsidR="00355870" w:rsidRPr="00B645F5" w:rsidRDefault="00355870" w:rsidP="0035587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2AEA1A77" w14:textId="4B39D263" w:rsidR="00355870" w:rsidRPr="00B645F5" w:rsidRDefault="00355870" w:rsidP="003558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color w:val="000000" w:themeColor="text1"/>
          <w:sz w:val="20"/>
          <w:szCs w:val="20"/>
        </w:rPr>
      </w:pPr>
      <w:r w:rsidRPr="00B645F5">
        <w:rPr>
          <w:rFonts w:asciiTheme="majorHAnsi" w:hAnsiTheme="majorHAnsi"/>
          <w:color w:val="000000" w:themeColor="text1"/>
          <w:sz w:val="20"/>
          <w:szCs w:val="20"/>
        </w:rPr>
        <w:t xml:space="preserve">On February 26, 2021 petitioners informed the Commission that the Texas Court of Criminal Appeals stayed Mr. Ibarra’s scheduled execution to allow consideration of two of the claims raised in his subsequent petition for writ of habeas corpus he filed in the Texas courts on February 11, 2021. They informed that the Court agreed to consider Mr. Ibarra’s claim that he has intellectual disability and his claim that his conviction was tainted by unreliable DNA evidence. They </w:t>
      </w:r>
      <w:r w:rsidR="00BD6E89" w:rsidRPr="00B645F5">
        <w:rPr>
          <w:rFonts w:asciiTheme="majorHAnsi" w:hAnsiTheme="majorHAnsi"/>
          <w:color w:val="000000" w:themeColor="text1"/>
          <w:sz w:val="20"/>
          <w:szCs w:val="20"/>
        </w:rPr>
        <w:t>informed</w:t>
      </w:r>
      <w:r w:rsidRPr="00B645F5">
        <w:rPr>
          <w:rFonts w:asciiTheme="majorHAnsi" w:hAnsiTheme="majorHAnsi"/>
          <w:color w:val="000000" w:themeColor="text1"/>
          <w:sz w:val="20"/>
          <w:szCs w:val="20"/>
        </w:rPr>
        <w:t xml:space="preserve"> that the Court has not declared Mr. Ibarra ineligible for execution; </w:t>
      </w:r>
      <w:r w:rsidR="00CA00FA" w:rsidRPr="00B645F5">
        <w:rPr>
          <w:rFonts w:asciiTheme="majorHAnsi" w:hAnsiTheme="majorHAnsi"/>
          <w:color w:val="000000" w:themeColor="text1"/>
          <w:sz w:val="20"/>
          <w:szCs w:val="20"/>
        </w:rPr>
        <w:t xml:space="preserve">and </w:t>
      </w:r>
      <w:r w:rsidRPr="00B645F5">
        <w:rPr>
          <w:rFonts w:asciiTheme="majorHAnsi" w:hAnsiTheme="majorHAnsi"/>
          <w:color w:val="000000" w:themeColor="text1"/>
          <w:sz w:val="20"/>
          <w:szCs w:val="20"/>
        </w:rPr>
        <w:t>should it ultimately reject these claims, Texas will be able once again to seek his execution. This information was transmitted to the State on March 6, 2021.</w:t>
      </w:r>
    </w:p>
    <w:p w14:paraId="40786567" w14:textId="77777777" w:rsidR="00355870" w:rsidRPr="00B645F5" w:rsidRDefault="00355870" w:rsidP="0035587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2A4DE51B" w14:textId="74DCE3C2" w:rsidR="004246BA" w:rsidRDefault="004246BA" w:rsidP="00DE0F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color w:val="000000" w:themeColor="text1"/>
          <w:sz w:val="20"/>
          <w:szCs w:val="20"/>
        </w:rPr>
      </w:pPr>
      <w:r w:rsidRPr="00B645F5">
        <w:rPr>
          <w:rFonts w:asciiTheme="majorHAnsi" w:hAnsiTheme="majorHAnsi"/>
          <w:color w:val="000000" w:themeColor="text1"/>
          <w:sz w:val="20"/>
          <w:szCs w:val="20"/>
        </w:rPr>
        <w:t>To date, the Commission has not received any response from the United States regarding report No. 9/21.</w:t>
      </w:r>
    </w:p>
    <w:p w14:paraId="591A7ED0" w14:textId="77777777" w:rsidR="00A17B4D" w:rsidRPr="00B645F5" w:rsidRDefault="00A17B4D" w:rsidP="00A17B4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652E0DED" w14:textId="6B562364" w:rsidR="00A17B4D" w:rsidRPr="00ED639B" w:rsidRDefault="00A17B4D" w:rsidP="00A17B4D">
      <w:pPr>
        <w:pStyle w:val="Heading1"/>
        <w:spacing w:before="0"/>
        <w:ind w:hanging="720"/>
        <w:rPr>
          <w:color w:val="auto"/>
          <w:sz w:val="20"/>
          <w:szCs w:val="20"/>
        </w:rPr>
      </w:pPr>
      <w:bookmarkStart w:id="39" w:name="_Toc26550943"/>
      <w:bookmarkStart w:id="40" w:name="_Toc87522016"/>
      <w:bookmarkStart w:id="41" w:name="_Toc90115136"/>
      <w:r w:rsidRPr="00ED639B">
        <w:rPr>
          <w:color w:val="auto"/>
          <w:sz w:val="20"/>
          <w:szCs w:val="20"/>
        </w:rPr>
        <w:t>ACTIONS SUBSEQUENT TO REPORT No. 325/</w:t>
      </w:r>
      <w:bookmarkEnd w:id="39"/>
      <w:r w:rsidRPr="00ED639B">
        <w:rPr>
          <w:color w:val="auto"/>
          <w:sz w:val="20"/>
          <w:szCs w:val="20"/>
        </w:rPr>
        <w:t>2</w:t>
      </w:r>
      <w:bookmarkEnd w:id="40"/>
      <w:r w:rsidRPr="00ED639B">
        <w:rPr>
          <w:color w:val="auto"/>
          <w:sz w:val="20"/>
          <w:szCs w:val="20"/>
        </w:rPr>
        <w:t>1</w:t>
      </w:r>
      <w:bookmarkEnd w:id="41"/>
    </w:p>
    <w:p w14:paraId="32D9216E" w14:textId="77777777" w:rsidR="00A17B4D" w:rsidRPr="00ED639B" w:rsidRDefault="00A17B4D" w:rsidP="00A17B4D">
      <w:pPr>
        <w:rPr>
          <w:sz w:val="20"/>
          <w:szCs w:val="20"/>
        </w:rPr>
      </w:pPr>
    </w:p>
    <w:p w14:paraId="4EE434C1" w14:textId="0DC95BCB" w:rsidR="00A17B4D" w:rsidRPr="00ED639B" w:rsidRDefault="00A17B4D" w:rsidP="00403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sz w:val="20"/>
          <w:szCs w:val="20"/>
        </w:rPr>
      </w:pPr>
      <w:r w:rsidRPr="00ED639B">
        <w:rPr>
          <w:rFonts w:asciiTheme="majorHAnsi" w:hAnsiTheme="majorHAnsi"/>
          <w:color w:val="000000" w:themeColor="text1"/>
          <w:sz w:val="20"/>
          <w:szCs w:val="20"/>
        </w:rPr>
        <w:t>On</w:t>
      </w:r>
      <w:r w:rsidRPr="00ED639B">
        <w:rPr>
          <w:rFonts w:ascii="Cambria" w:hAnsi="Cambria"/>
          <w:sz w:val="20"/>
          <w:szCs w:val="20"/>
        </w:rPr>
        <w:t xml:space="preserve"> November 19, 2021, the Commission approved Final Merits Report No. 325/21, which encompasses paragraphs 1 to 136 </w:t>
      </w:r>
      <w:r w:rsidRPr="00ED639B">
        <w:rPr>
          <w:rFonts w:ascii="Cambria" w:hAnsi="Cambria"/>
          <w:i/>
          <w:sz w:val="20"/>
          <w:szCs w:val="20"/>
        </w:rPr>
        <w:t>supra</w:t>
      </w:r>
      <w:r w:rsidRPr="00ED639B">
        <w:rPr>
          <w:rFonts w:ascii="Cambria" w:hAnsi="Cambria"/>
          <w:sz w:val="20"/>
          <w:szCs w:val="20"/>
        </w:rPr>
        <w:t>, and issued its final conclusions and recommendations to the State. On November 23,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32</w:t>
      </w:r>
      <w:r w:rsidR="00402B25" w:rsidRPr="00ED639B">
        <w:rPr>
          <w:rFonts w:ascii="Cambria" w:hAnsi="Cambria"/>
          <w:sz w:val="20"/>
          <w:szCs w:val="20"/>
        </w:rPr>
        <w:t>5</w:t>
      </w:r>
      <w:r w:rsidRPr="00ED639B">
        <w:rPr>
          <w:rFonts w:ascii="Cambria" w:hAnsi="Cambria"/>
          <w:sz w:val="20"/>
          <w:szCs w:val="20"/>
        </w:rPr>
        <w:t>/2</w:t>
      </w:r>
      <w:r w:rsidR="00402B25" w:rsidRPr="00ED639B">
        <w:rPr>
          <w:rFonts w:ascii="Cambria" w:hAnsi="Cambria"/>
          <w:sz w:val="20"/>
          <w:szCs w:val="20"/>
        </w:rPr>
        <w:t>1</w:t>
      </w:r>
      <w:r w:rsidRPr="00ED639B">
        <w:rPr>
          <w:rFonts w:ascii="Cambria" w:hAnsi="Cambria"/>
          <w:sz w:val="20"/>
          <w:szCs w:val="20"/>
        </w:rPr>
        <w:t>.</w:t>
      </w:r>
    </w:p>
    <w:p w14:paraId="095AFF6C" w14:textId="77777777" w:rsidR="004246BA" w:rsidRPr="00B645F5" w:rsidRDefault="004246BA" w:rsidP="004246BA"/>
    <w:p w14:paraId="03059812" w14:textId="0FDCF7E8" w:rsidR="004246BA" w:rsidRPr="00B645F5" w:rsidRDefault="00AE6D6B" w:rsidP="004246BA">
      <w:pPr>
        <w:pStyle w:val="Heading1"/>
        <w:tabs>
          <w:tab w:val="left" w:pos="360"/>
        </w:tabs>
        <w:spacing w:before="0"/>
        <w:ind w:hanging="720"/>
        <w:rPr>
          <w:color w:val="auto"/>
          <w:sz w:val="20"/>
          <w:szCs w:val="20"/>
        </w:rPr>
      </w:pPr>
      <w:bookmarkStart w:id="42" w:name="_Toc47714179"/>
      <w:bookmarkStart w:id="43" w:name="_Toc90115137"/>
      <w:r w:rsidRPr="00B645F5">
        <w:rPr>
          <w:color w:val="auto"/>
          <w:sz w:val="20"/>
          <w:szCs w:val="20"/>
        </w:rPr>
        <w:t xml:space="preserve">FINAL </w:t>
      </w:r>
      <w:r w:rsidR="004246BA" w:rsidRPr="00B645F5">
        <w:rPr>
          <w:color w:val="auto"/>
          <w:sz w:val="20"/>
          <w:szCs w:val="20"/>
        </w:rPr>
        <w:t>CONCLUSIONS AND RECOMMENDATIONS</w:t>
      </w:r>
      <w:bookmarkEnd w:id="42"/>
      <w:bookmarkEnd w:id="43"/>
    </w:p>
    <w:p w14:paraId="63954F29" w14:textId="77777777" w:rsidR="004246BA" w:rsidRPr="00B645F5" w:rsidRDefault="004246BA" w:rsidP="004246BA"/>
    <w:p w14:paraId="720AD0FA" w14:textId="77777777" w:rsidR="004246BA" w:rsidRPr="00B645F5" w:rsidRDefault="004246BA" w:rsidP="004246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rPr>
      </w:pPr>
      <w:r w:rsidRPr="00B645F5">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XVIII (fair trial), XXV (protection from arbitrary arrest) and XXVI (due process) of the American Declaration, in connection with Article II of the Declaration. </w:t>
      </w:r>
    </w:p>
    <w:p w14:paraId="1AC9E0D4" w14:textId="77777777" w:rsidR="004246BA" w:rsidRPr="00B645F5" w:rsidRDefault="004246BA" w:rsidP="004246B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sz w:val="20"/>
          <w:szCs w:val="20"/>
        </w:rPr>
      </w:pPr>
    </w:p>
    <w:p w14:paraId="4DC2EC02" w14:textId="77777777" w:rsidR="004246BA" w:rsidRPr="00B645F5" w:rsidRDefault="004246BA" w:rsidP="004246BA">
      <w:pPr>
        <w:tabs>
          <w:tab w:val="left" w:pos="360"/>
        </w:tabs>
        <w:jc w:val="both"/>
        <w:rPr>
          <w:rFonts w:ascii="Cambria" w:hAnsi="Cambria"/>
          <w:b/>
          <w:sz w:val="20"/>
          <w:szCs w:val="20"/>
        </w:rPr>
      </w:pPr>
      <w:r w:rsidRPr="00B645F5">
        <w:rPr>
          <w:rFonts w:ascii="Cambria" w:hAnsi="Cambria"/>
          <w:b/>
          <w:sz w:val="20"/>
          <w:szCs w:val="20"/>
        </w:rPr>
        <w:t>THE INTER-AMERICAN COMMISSION ON HUMAN RIGHTS REITERATES THAT THE UNITED STATES OF AMERICA,</w:t>
      </w:r>
    </w:p>
    <w:p w14:paraId="298A364E" w14:textId="77777777" w:rsidR="00AA3C9F" w:rsidRPr="00B645F5" w:rsidRDefault="00AA3C9F" w:rsidP="00EC55EA"/>
    <w:p w14:paraId="6759001B" w14:textId="49062D36" w:rsidR="004246BA" w:rsidRPr="00B645F5" w:rsidRDefault="004246BA" w:rsidP="002A344A">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B645F5">
        <w:rPr>
          <w:rFonts w:eastAsia="Times New Roman" w:cs="Tahoma"/>
          <w:sz w:val="20"/>
          <w:szCs w:val="20"/>
          <w:bdr w:val="none" w:sz="0" w:space="0" w:color="auto" w:frame="1"/>
        </w:rPr>
        <w:t xml:space="preserve">Grant </w:t>
      </w:r>
      <w:r w:rsidRPr="00B645F5">
        <w:rPr>
          <w:sz w:val="20"/>
          <w:szCs w:val="20"/>
        </w:rPr>
        <w:t xml:space="preserve">Ramiro Ibarra Rubi </w:t>
      </w:r>
      <w:r w:rsidRPr="00B645F5">
        <w:rPr>
          <w:rFonts w:eastAsia="Times New Roman" w:cs="Tahoma"/>
          <w:sz w:val="20"/>
          <w:szCs w:val="20"/>
          <w:bdr w:val="none" w:sz="0" w:space="0" w:color="auto" w:frame="1"/>
        </w:rPr>
        <w:t xml:space="preserve">effective relief, including the review of her trial and sentences in accordance with the guarantees of fair trial and due process set forth in Articles </w:t>
      </w:r>
      <w:r w:rsidRPr="00B645F5">
        <w:rPr>
          <w:rFonts w:asciiTheme="majorHAnsi" w:hAnsiTheme="majorHAnsi"/>
          <w:color w:val="000000" w:themeColor="text1"/>
          <w:sz w:val="20"/>
          <w:szCs w:val="20"/>
        </w:rPr>
        <w:t xml:space="preserve">XVIII, and XXVI </w:t>
      </w:r>
      <w:r w:rsidRPr="00B645F5">
        <w:rPr>
          <w:rFonts w:eastAsia="Times New Roman" w:cs="Tahoma"/>
          <w:sz w:val="20"/>
          <w:szCs w:val="20"/>
          <w:bdr w:val="none" w:sz="0" w:space="0" w:color="auto" w:frame="1"/>
        </w:rPr>
        <w:t xml:space="preserve">of the American Declaration, and the payment of pecuniary compensation. </w:t>
      </w:r>
      <w:r w:rsidRPr="00B645F5">
        <w:rPr>
          <w:rFonts w:cs="Arial"/>
          <w:color w:val="auto"/>
          <w:sz w:val="20"/>
          <w:szCs w:val="20"/>
        </w:rPr>
        <w:t xml:space="preserve">Taking into account the conclusion of the IACHR on the time </w:t>
      </w:r>
      <w:r w:rsidRPr="00B645F5">
        <w:rPr>
          <w:rFonts w:asciiTheme="majorHAnsi" w:hAnsiTheme="majorHAnsi"/>
          <w:color w:val="auto"/>
          <w:sz w:val="20"/>
          <w:szCs w:val="20"/>
        </w:rPr>
        <w:t>the alleged victim has</w:t>
      </w:r>
      <w:r w:rsidRPr="00B645F5">
        <w:rPr>
          <w:rFonts w:cs="Arial"/>
          <w:color w:val="auto"/>
          <w:sz w:val="20"/>
          <w:szCs w:val="20"/>
        </w:rPr>
        <w:t xml:space="preserve"> been held on death row, the Commission recommends that her sentence be commuted</w:t>
      </w:r>
      <w:r w:rsidRPr="00B645F5">
        <w:rPr>
          <w:rFonts w:eastAsia="Times New Roman" w:cs="Tahoma"/>
          <w:sz w:val="20"/>
          <w:szCs w:val="20"/>
          <w:bdr w:val="none" w:sz="0" w:space="0" w:color="auto" w:frame="1"/>
        </w:rPr>
        <w:t>.</w:t>
      </w:r>
    </w:p>
    <w:p w14:paraId="5C660770" w14:textId="77777777" w:rsidR="004246BA" w:rsidRPr="00B645F5" w:rsidRDefault="004246BA" w:rsidP="004246B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513848A6" w14:textId="77777777" w:rsidR="004246BA" w:rsidRPr="00B645F5" w:rsidRDefault="004246BA" w:rsidP="002A344A">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2A344A">
        <w:rPr>
          <w:rFonts w:eastAsia="Times New Roman" w:cs="Tahoma"/>
          <w:sz w:val="20"/>
          <w:szCs w:val="20"/>
          <w:bdr w:val="none" w:sz="0" w:space="0" w:color="auto" w:frame="1"/>
        </w:rPr>
        <w:t>Review</w:t>
      </w:r>
      <w:r w:rsidRPr="00B645F5">
        <w:rPr>
          <w:sz w:val="20"/>
        </w:rPr>
        <w:t xml:space="preserve"> its laws, procedures, and practices at the state and federal level to ensure that persons accused of capital crimes are tried and, if convicted, sentenced in accordance with the rights established in the American Declaration, including Articles I, II, XVIII, XXV and XXVI thereof, and, in particular:</w:t>
      </w:r>
    </w:p>
    <w:p w14:paraId="7747F6E5" w14:textId="77777777" w:rsidR="004246BA" w:rsidRPr="00B645F5" w:rsidRDefault="004246BA" w:rsidP="004246BA">
      <w:pPr>
        <w:pStyle w:val="ListParagraph"/>
        <w:ind w:left="1080"/>
        <w:rPr>
          <w:sz w:val="20"/>
          <w:szCs w:val="20"/>
          <w:bdr w:val="none" w:sz="0" w:space="0" w:color="auto" w:frame="1"/>
        </w:rPr>
      </w:pPr>
    </w:p>
    <w:p w14:paraId="1ED7B34B"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rFonts w:asciiTheme="majorHAnsi" w:eastAsia="Times New Roman" w:hAnsiTheme="majorHAnsi" w:cs="Tahoma"/>
          <w:sz w:val="20"/>
          <w:szCs w:val="20"/>
          <w:bdr w:val="none" w:sz="0" w:space="0" w:color="auto"/>
        </w:rPr>
        <w:t xml:space="preserve">Ensure that </w:t>
      </w:r>
      <w:r w:rsidRPr="00B645F5">
        <w:rPr>
          <w:rFonts w:asciiTheme="majorHAnsi" w:hAnsiTheme="majorHAnsi"/>
          <w:sz w:val="20"/>
          <w:szCs w:val="20"/>
        </w:rPr>
        <w:t>every foreign national deprived of his or her liberty is informed, without delay and prior to his or her first instance of questioning by State authorities, of the right to request that consular authorities be immediately notified of his or her arrest or detention;</w:t>
      </w:r>
    </w:p>
    <w:p w14:paraId="540600B6"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rFonts w:eastAsia="Times New Roman" w:cs="Tahoma"/>
          <w:sz w:val="20"/>
          <w:szCs w:val="20"/>
          <w:bdr w:val="none" w:sz="0" w:space="0" w:color="auto" w:frame="1"/>
        </w:rPr>
        <w:t xml:space="preserve">To grant the </w:t>
      </w:r>
      <w:r w:rsidRPr="00B645F5">
        <w:rPr>
          <w:rFonts w:eastAsiaTheme="minorHAnsi"/>
          <w:sz w:val="20"/>
          <w:szCs w:val="20"/>
          <w:bdr w:val="none" w:sz="0" w:space="0" w:color="auto"/>
        </w:rPr>
        <w:t xml:space="preserve">opportunity to present evidence regarding mental and intellectual disability and be heard on the merits of that evidence, where such disability is alleged and to conduct a re-sentencing hearing to determine the appropriate sentence suitable where such disability exists; and </w:t>
      </w:r>
    </w:p>
    <w:p w14:paraId="0556365D" w14:textId="77777777" w:rsidR="004246BA" w:rsidRPr="00B645F5" w:rsidRDefault="004246BA" w:rsidP="004246B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B645F5">
        <w:rPr>
          <w:sz w:val="20"/>
          <w:szCs w:val="20"/>
          <w:bdr w:val="none" w:sz="0" w:space="0" w:color="auto"/>
        </w:rPr>
        <w:t>Ensure that the method of execution does not constitute cruel, infamous or unusual punishment, and in particular,</w:t>
      </w:r>
      <w:r w:rsidRPr="00B645F5">
        <w:rPr>
          <w:rFonts w:asciiTheme="majorHAnsi" w:hAnsiTheme="majorHAnsi"/>
          <w:sz w:val="20"/>
          <w:szCs w:val="20"/>
        </w:rPr>
        <w:t xml:space="preserve"> to make available to a person subject to pending execution, the details regarding the source, substance and/or administrative procedure in the execution method.</w:t>
      </w:r>
    </w:p>
    <w:p w14:paraId="57704502" w14:textId="77777777" w:rsidR="004246BA" w:rsidRPr="00B645F5" w:rsidRDefault="004246BA" w:rsidP="004246BA">
      <w:pPr>
        <w:rPr>
          <w:rFonts w:asciiTheme="majorHAnsi" w:eastAsia="Times New Roman" w:hAnsiTheme="majorHAnsi" w:cs="Tahoma"/>
          <w:sz w:val="20"/>
          <w:szCs w:val="20"/>
          <w:bdr w:val="none" w:sz="0" w:space="0" w:color="auto"/>
        </w:rPr>
      </w:pPr>
    </w:p>
    <w:p w14:paraId="48C78C84" w14:textId="1E73088E" w:rsidR="00172BD5" w:rsidRPr="00B645F5" w:rsidRDefault="004246BA" w:rsidP="002A344A">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A344A">
        <w:rPr>
          <w:rFonts w:eastAsia="Times New Roman" w:cs="Tahoma"/>
          <w:sz w:val="20"/>
          <w:szCs w:val="20"/>
          <w:bdr w:val="none" w:sz="0" w:space="0" w:color="auto" w:frame="1"/>
        </w:rPr>
        <w:t>Given</w:t>
      </w:r>
      <w:r w:rsidRPr="00B645F5">
        <w:rPr>
          <w:rFonts w:asciiTheme="majorHAnsi" w:hAnsiTheme="majorHAnsi"/>
          <w:sz w:val="20"/>
        </w:rPr>
        <w:t xml:space="preserve"> the violations of the American Declaration, the IACHR has established in the present</w:t>
      </w:r>
      <w:r w:rsidRPr="00B645F5">
        <w:rPr>
          <w:sz w:val="20"/>
        </w:rPr>
        <w:t xml:space="preserve"> case and in others involving application of the death penalty, the Inter-American Commission also recommends to the United States that it abolishes the death penalty.</w:t>
      </w:r>
      <w:r w:rsidRPr="00B645F5">
        <w:rPr>
          <w:rStyle w:val="FootnoteReference"/>
          <w:sz w:val="20"/>
        </w:rPr>
        <w:footnoteReference w:id="107"/>
      </w:r>
    </w:p>
    <w:p w14:paraId="106ECB6C" w14:textId="77777777" w:rsidR="002710C3" w:rsidRPr="00D2222C" w:rsidRDefault="002710C3" w:rsidP="002710C3">
      <w:pPr>
        <w:pStyle w:val="Heading1"/>
        <w:numPr>
          <w:ilvl w:val="0"/>
          <w:numId w:val="0"/>
        </w:numPr>
        <w:spacing w:before="0"/>
        <w:rPr>
          <w:color w:val="auto"/>
          <w:sz w:val="20"/>
          <w:szCs w:val="20"/>
        </w:rPr>
      </w:pPr>
    </w:p>
    <w:p w14:paraId="057EB3EC" w14:textId="77777777" w:rsidR="002710C3" w:rsidRPr="00ED639B" w:rsidRDefault="002710C3" w:rsidP="002710C3">
      <w:pPr>
        <w:pStyle w:val="Heading1"/>
        <w:spacing w:before="0"/>
        <w:ind w:hanging="720"/>
        <w:rPr>
          <w:color w:val="auto"/>
          <w:sz w:val="20"/>
          <w:szCs w:val="20"/>
        </w:rPr>
      </w:pPr>
      <w:bookmarkStart w:id="44" w:name="_Toc26550945"/>
      <w:bookmarkStart w:id="45" w:name="_Toc87522018"/>
      <w:bookmarkStart w:id="46" w:name="_Toc90115138"/>
      <w:r w:rsidRPr="00ED639B">
        <w:rPr>
          <w:color w:val="auto"/>
          <w:sz w:val="20"/>
          <w:szCs w:val="20"/>
        </w:rPr>
        <w:t>PUBLICATION</w:t>
      </w:r>
      <w:bookmarkEnd w:id="44"/>
      <w:bookmarkEnd w:id="45"/>
      <w:bookmarkEnd w:id="46"/>
    </w:p>
    <w:p w14:paraId="68C9155C" w14:textId="77777777" w:rsidR="002710C3" w:rsidRPr="00ED639B" w:rsidRDefault="002710C3" w:rsidP="002710C3">
      <w:pPr>
        <w:rPr>
          <w:rFonts w:asciiTheme="majorHAnsi" w:hAnsiTheme="majorHAnsi"/>
          <w:sz w:val="20"/>
          <w:szCs w:val="20"/>
        </w:rPr>
      </w:pPr>
    </w:p>
    <w:p w14:paraId="05456635" w14:textId="77777777" w:rsidR="002710C3" w:rsidRPr="00ED639B" w:rsidRDefault="002710C3" w:rsidP="00403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eastAsia="Times New Roman" w:hAnsi="Cambria"/>
          <w:sz w:val="20"/>
          <w:szCs w:val="20"/>
        </w:rPr>
      </w:pPr>
      <w:r w:rsidRPr="00ED639B">
        <w:rPr>
          <w:rFonts w:asciiTheme="majorHAnsi" w:hAnsiTheme="majorHAnsi"/>
          <w:color w:val="000000" w:themeColor="text1"/>
          <w:sz w:val="20"/>
          <w:szCs w:val="20"/>
        </w:rPr>
        <w:t>In</w:t>
      </w:r>
      <w:r w:rsidRPr="00ED639B">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17806E0" w14:textId="1E9D7FA2" w:rsidR="00B645F5" w:rsidRDefault="00B645F5" w:rsidP="00EC55EA">
      <w:pPr>
        <w:rPr>
          <w:rFonts w:asciiTheme="majorHAnsi" w:hAnsiTheme="majorHAnsi"/>
          <w:sz w:val="20"/>
          <w:szCs w:val="20"/>
        </w:rPr>
      </w:pPr>
    </w:p>
    <w:p w14:paraId="07746128" w14:textId="77777777" w:rsidR="00DC0772" w:rsidRPr="00A525CC" w:rsidRDefault="00DC0772" w:rsidP="006B6E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 xml:space="preserve">Antonia Urrejola </w:t>
      </w:r>
      <w:proofErr w:type="spellStart"/>
      <w:r w:rsidRPr="00A525CC">
        <w:rPr>
          <w:rFonts w:asciiTheme="majorHAnsi" w:eastAsia="Times New Roman" w:hAnsiTheme="majorHAnsi"/>
          <w:sz w:val="20"/>
          <w:szCs w:val="20"/>
        </w:rPr>
        <w:t>Noguera</w:t>
      </w:r>
      <w:proofErr w:type="spellEnd"/>
      <w:r w:rsidRPr="00A525CC">
        <w:rPr>
          <w:rFonts w:asciiTheme="majorHAnsi" w:eastAsia="Times New Roman" w:hAnsiTheme="majorHAnsi"/>
          <w:sz w:val="20"/>
          <w:szCs w:val="20"/>
        </w:rPr>
        <w:t>,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proofErr w:type="spellStart"/>
      <w:r w:rsidRPr="00A525CC">
        <w:rPr>
          <w:rFonts w:asciiTheme="majorHAnsi" w:eastAsia="Times New Roman" w:hAnsiTheme="majorHAnsi"/>
          <w:sz w:val="20"/>
          <w:szCs w:val="20"/>
        </w:rPr>
        <w:t>Flávia</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Piovesan</w:t>
      </w:r>
      <w:proofErr w:type="spellEnd"/>
      <w:r w:rsidRPr="00A525CC">
        <w:rPr>
          <w:rFonts w:asciiTheme="majorHAnsi" w:eastAsia="Times New Roman" w:hAnsiTheme="majorHAnsi"/>
          <w:sz w:val="20"/>
          <w:szCs w:val="20"/>
        </w:rPr>
        <w:t>,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 xml:space="preserve">Esmeralda E. </w:t>
      </w:r>
      <w:proofErr w:type="spellStart"/>
      <w:r w:rsidRPr="00A525CC">
        <w:rPr>
          <w:rFonts w:asciiTheme="majorHAnsi" w:eastAsia="Times New Roman" w:hAnsiTheme="majorHAnsi"/>
          <w:sz w:val="20"/>
          <w:szCs w:val="20"/>
        </w:rPr>
        <w:t>Arosemena</w:t>
      </w:r>
      <w:proofErr w:type="spellEnd"/>
      <w:r w:rsidRPr="00A525CC">
        <w:rPr>
          <w:rFonts w:asciiTheme="majorHAnsi" w:eastAsia="Times New Roman" w:hAnsiTheme="majorHAnsi"/>
          <w:sz w:val="20"/>
          <w:szCs w:val="20"/>
        </w:rPr>
        <w:t xml:space="preserve"> Bernal de </w:t>
      </w:r>
      <w:proofErr w:type="spellStart"/>
      <w:r w:rsidRPr="00A525CC">
        <w:rPr>
          <w:rFonts w:asciiTheme="majorHAnsi" w:eastAsia="Times New Roman" w:hAnsiTheme="majorHAnsi"/>
          <w:sz w:val="20"/>
          <w:szCs w:val="20"/>
        </w:rPr>
        <w:t>Troitiño</w:t>
      </w:r>
      <w:proofErr w:type="spellEnd"/>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 xml:space="preserve">Edgar </w:t>
      </w:r>
      <w:proofErr w:type="spellStart"/>
      <w:r w:rsidRPr="00A525CC">
        <w:rPr>
          <w:rFonts w:asciiTheme="majorHAnsi" w:eastAsia="Times New Roman" w:hAnsiTheme="majorHAnsi"/>
          <w:sz w:val="20"/>
          <w:szCs w:val="20"/>
        </w:rPr>
        <w:t>Stuardo</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Ralón</w:t>
      </w:r>
      <w:proofErr w:type="spellEnd"/>
      <w:r w:rsidRPr="00A525CC">
        <w:rPr>
          <w:rFonts w:asciiTheme="majorHAnsi" w:eastAsia="Times New Roman" w:hAnsiTheme="majorHAnsi"/>
          <w:sz w:val="20"/>
          <w:szCs w:val="20"/>
        </w:rPr>
        <w:t xml:space="preserve"> Orellana, Commissioners.</w:t>
      </w:r>
    </w:p>
    <w:p w14:paraId="16BFE246" w14:textId="77777777" w:rsidR="00DC0772" w:rsidRPr="00A525CC" w:rsidRDefault="00DC0772" w:rsidP="00DC0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sectPr w:rsidR="00DC0772" w:rsidRPr="00A525CC"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05C6" w14:textId="77777777" w:rsidR="00995254" w:rsidRDefault="00995254" w:rsidP="00036A8A">
      <w:r>
        <w:separator/>
      </w:r>
    </w:p>
  </w:endnote>
  <w:endnote w:type="continuationSeparator" w:id="0">
    <w:p w14:paraId="5373F8DE" w14:textId="77777777" w:rsidR="00995254" w:rsidRDefault="0099525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7CA0E8t00">
    <w:charset w:val="00"/>
    <w:family w:val="auto"/>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39F3EF3" w14:textId="5CB9EF26" w:rsidR="006E0105" w:rsidRPr="006311DA" w:rsidRDefault="006E0105">
        <w:pPr>
          <w:pStyle w:val="Footer"/>
          <w:jc w:val="center"/>
          <w:rPr>
            <w:sz w:val="16"/>
          </w:rPr>
        </w:pPr>
        <w:r>
          <w:fldChar w:fldCharType="begin"/>
        </w:r>
        <w:r>
          <w:instrText xml:space="preserve"> PAGE   \* MERGEFORMAT </w:instrText>
        </w:r>
        <w:r>
          <w:fldChar w:fldCharType="separate"/>
        </w:r>
        <w:r w:rsidRPr="00F442D8">
          <w:rPr>
            <w:noProof/>
            <w:sz w:val="16"/>
          </w:rPr>
          <w:t>26</w:t>
        </w:r>
        <w:r>
          <w:rPr>
            <w:noProof/>
            <w:sz w:val="16"/>
          </w:rPr>
          <w:fldChar w:fldCharType="end"/>
        </w:r>
      </w:p>
    </w:sdtContent>
  </w:sdt>
  <w:p w14:paraId="7F3EBAD4" w14:textId="77777777" w:rsidR="006E0105" w:rsidRDefault="006E0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02E3" w14:textId="77777777" w:rsidR="006E0105" w:rsidRDefault="006E0105">
    <w:pPr>
      <w:pStyle w:val="Footer"/>
      <w:jc w:val="center"/>
    </w:pPr>
  </w:p>
  <w:p w14:paraId="3E3E7490" w14:textId="77777777" w:rsidR="006E0105" w:rsidRDefault="006E0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A6A6A46" w14:textId="77777777" w:rsidR="006E0105" w:rsidRDefault="006E0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7BB467" w14:textId="77777777" w:rsidR="006E0105" w:rsidRDefault="006E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CB41" w14:textId="77777777" w:rsidR="00995254" w:rsidRPr="00036A8A" w:rsidRDefault="0099525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19E8799" w14:textId="77777777" w:rsidR="00995254" w:rsidRPr="00036A8A" w:rsidRDefault="00995254" w:rsidP="00036A8A">
      <w:pPr>
        <w:rPr>
          <w:rFonts w:asciiTheme="majorHAnsi" w:hAnsiTheme="majorHAnsi"/>
          <w:sz w:val="16"/>
          <w:szCs w:val="16"/>
        </w:rPr>
      </w:pPr>
      <w:r w:rsidRPr="00036A8A">
        <w:rPr>
          <w:rFonts w:asciiTheme="majorHAnsi" w:hAnsiTheme="majorHAnsi"/>
          <w:sz w:val="16"/>
          <w:szCs w:val="16"/>
        </w:rPr>
        <w:separator/>
      </w:r>
    </w:p>
    <w:p w14:paraId="09C4BF51" w14:textId="77777777" w:rsidR="00995254" w:rsidRPr="00036A8A" w:rsidRDefault="0099525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328058E" w14:textId="77777777" w:rsidR="00995254" w:rsidRPr="0093441A" w:rsidRDefault="0099525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5F091F5" w14:textId="66DD40A9" w:rsidR="006E0105" w:rsidRPr="006248E3" w:rsidRDefault="006E0105" w:rsidP="006248E3">
      <w:pPr>
        <w:pStyle w:val="FootnoteText"/>
        <w:jc w:val="both"/>
        <w:rPr>
          <w:lang w:val="en-GB"/>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hAnsiTheme="majorHAnsi"/>
          <w:color w:val="auto"/>
          <w:sz w:val="16"/>
          <w:szCs w:val="16"/>
        </w:rPr>
        <w:t>On October 1, 2018, the IACHR granted precautionary measures on behalf of Mr. Ibarra</w:t>
      </w:r>
      <w:r w:rsidRPr="006248E3">
        <w:rPr>
          <w:rFonts w:asciiTheme="majorHAnsi" w:hAnsiTheme="majorHAnsi" w:cs="Arial"/>
          <w:color w:val="auto"/>
          <w:sz w:val="16"/>
        </w:rPr>
        <w:t xml:space="preserve"> </w:t>
      </w:r>
      <w:r w:rsidRPr="006248E3">
        <w:rPr>
          <w:rFonts w:asciiTheme="majorHAnsi" w:hAnsiTheme="majorHAnsi"/>
          <w:color w:val="auto"/>
          <w:sz w:val="16"/>
          <w:szCs w:val="16"/>
        </w:rPr>
        <w:t>pursuant to Article 25(1) of its Rules of Procedure and requested the United States to take the measures necessary to preserve the life and physical integrity of the alleged victim so as not to hinder the processing of his case before the Inter-American system.</w:t>
      </w:r>
    </w:p>
  </w:footnote>
  <w:footnote w:id="3">
    <w:p w14:paraId="05517AB7" w14:textId="77777777" w:rsidR="006E0105" w:rsidRPr="006248E3" w:rsidRDefault="006E0105" w:rsidP="00BA78A0">
      <w:pPr>
        <w:pStyle w:val="FootnoteText"/>
        <w:jc w:val="both"/>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 xml:space="preserve">Atkins v. Virginia, 536 U.S. 304, 122 S. Ct. 2242, 153 L.Ed.2d 335 (2002). In </w:t>
      </w:r>
      <w:r w:rsidRPr="006248E3">
        <w:rPr>
          <w:rFonts w:asciiTheme="majorHAnsi" w:hAnsiTheme="majorHAnsi"/>
          <w:i/>
          <w:sz w:val="16"/>
          <w:szCs w:val="20"/>
        </w:rPr>
        <w:t>Atkins</w:t>
      </w:r>
      <w:r w:rsidRPr="006248E3">
        <w:rPr>
          <w:rFonts w:asciiTheme="majorHAnsi" w:hAnsiTheme="majorHAnsi"/>
          <w:sz w:val="16"/>
          <w:szCs w:val="20"/>
        </w:rPr>
        <w:t xml:space="preserve"> the United States Supreme Court ruled that executing people with intellectual disabilities violates the Eighth Amendment's ban on cruel and unusual punishment.</w:t>
      </w:r>
    </w:p>
  </w:footnote>
  <w:footnote w:id="4">
    <w:p w14:paraId="21DD7C99" w14:textId="77777777" w:rsidR="006E0105" w:rsidRPr="006248E3" w:rsidRDefault="006E0105" w:rsidP="006560CC">
      <w:pPr>
        <w:pStyle w:val="FootnoteText"/>
        <w:jc w:val="both"/>
        <w:rPr>
          <w:rFonts w:asciiTheme="majorHAnsi" w:hAnsiTheme="majorHAnsi"/>
          <w:sz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State of Texas v Ramiro Ibarra Rubí, Case Number 1996-634-C, Order Setting Date for Execution.</w:t>
      </w:r>
    </w:p>
  </w:footnote>
  <w:footnote w:id="5">
    <w:p w14:paraId="4901C350"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State, 11 S.W.3D 189 (Tex. Crim. App. 1999).</w:t>
      </w:r>
    </w:p>
  </w:footnote>
  <w:footnote w:id="6">
    <w:p w14:paraId="63AEA3B6"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Texas, 531 U.S. 828 (2000).</w:t>
      </w:r>
    </w:p>
  </w:footnote>
  <w:footnote w:id="7">
    <w:p w14:paraId="3DCB5A2E" w14:textId="77777777" w:rsidR="006E0105" w:rsidRPr="00F442D8" w:rsidRDefault="006E0105">
      <w:pPr>
        <w:pStyle w:val="FootnoteText"/>
        <w:rPr>
          <w:rFonts w:asciiTheme="majorHAnsi" w:hAnsiTheme="majorHAnsi"/>
          <w:sz w:val="16"/>
          <w:lang w:val="es-US"/>
        </w:rPr>
      </w:pPr>
      <w:r w:rsidRPr="006248E3">
        <w:rPr>
          <w:rStyle w:val="FootnoteReference"/>
          <w:rFonts w:asciiTheme="majorHAnsi" w:hAnsiTheme="majorHAnsi"/>
          <w:sz w:val="16"/>
        </w:rPr>
        <w:footnoteRef/>
      </w:r>
      <w:r w:rsidRPr="00172BD5">
        <w:rPr>
          <w:rFonts w:asciiTheme="majorHAnsi" w:hAnsiTheme="majorHAnsi"/>
          <w:sz w:val="16"/>
          <w:lang w:val="es-US"/>
        </w:rPr>
        <w:t xml:space="preserve"> Ex parte Ibarra, No. WR-48, 832-01 (Tex. </w:t>
      </w:r>
      <w:r w:rsidRPr="00F442D8">
        <w:rPr>
          <w:rFonts w:asciiTheme="majorHAnsi" w:hAnsiTheme="majorHAnsi"/>
          <w:sz w:val="16"/>
          <w:lang w:val="es-US"/>
        </w:rPr>
        <w:t>Crim. App. April 4, 2001).</w:t>
      </w:r>
    </w:p>
  </w:footnote>
  <w:footnote w:id="8">
    <w:p w14:paraId="3D4F611D" w14:textId="77777777" w:rsidR="006E0105" w:rsidRPr="006B6E2E"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172BD5">
        <w:rPr>
          <w:rFonts w:asciiTheme="majorHAnsi" w:hAnsiTheme="majorHAnsi"/>
          <w:sz w:val="16"/>
          <w:lang w:val="es-US"/>
        </w:rPr>
        <w:t xml:space="preserve"> Ex parte Ibarra, WR-48, 832-02, WR-48, 832-03, 2007 WL 2790587 (Tex. </w:t>
      </w:r>
      <w:r w:rsidRPr="006B6E2E">
        <w:rPr>
          <w:rFonts w:asciiTheme="majorHAnsi" w:hAnsiTheme="majorHAnsi"/>
          <w:sz w:val="16"/>
        </w:rPr>
        <w:t>Crim. App. September 26, 2007).</w:t>
      </w:r>
    </w:p>
  </w:footnote>
  <w:footnote w:id="9">
    <w:p w14:paraId="294D7D8A" w14:textId="77777777" w:rsidR="006E0105" w:rsidRPr="006B6E2E"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6B6E2E">
        <w:rPr>
          <w:rFonts w:asciiTheme="majorHAnsi" w:hAnsiTheme="majorHAnsi"/>
          <w:sz w:val="16"/>
        </w:rPr>
        <w:t xml:space="preserve"> Ibarra v Texas, 553 U.S. 1055 (2008).</w:t>
      </w:r>
    </w:p>
  </w:footnote>
  <w:footnote w:id="10">
    <w:p w14:paraId="1CD5CF1B" w14:textId="77777777" w:rsidR="006E0105" w:rsidRPr="006B6E2E"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6B6E2E">
        <w:rPr>
          <w:rFonts w:asciiTheme="majorHAnsi" w:hAnsiTheme="majorHAnsi"/>
          <w:sz w:val="16"/>
        </w:rPr>
        <w:t xml:space="preserve"> Ex </w:t>
      </w:r>
      <w:proofErr w:type="spellStart"/>
      <w:r w:rsidRPr="006B6E2E">
        <w:rPr>
          <w:rFonts w:asciiTheme="majorHAnsi" w:hAnsiTheme="majorHAnsi"/>
          <w:sz w:val="16"/>
        </w:rPr>
        <w:t>parte</w:t>
      </w:r>
      <w:proofErr w:type="spellEnd"/>
      <w:r w:rsidRPr="006B6E2E">
        <w:rPr>
          <w:rFonts w:asciiTheme="majorHAnsi" w:hAnsiTheme="majorHAnsi"/>
          <w:sz w:val="16"/>
        </w:rPr>
        <w:t xml:space="preserve"> Ibarra, WR-48, 832-04, 2008 WL 4417283 (Tex. Crim. App. October 1, 2008).</w:t>
      </w:r>
    </w:p>
  </w:footnote>
  <w:footnote w:id="11">
    <w:p w14:paraId="51770C95"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B6E2E">
        <w:rPr>
          <w:rFonts w:asciiTheme="majorHAnsi" w:hAnsiTheme="majorHAnsi"/>
          <w:sz w:val="16"/>
        </w:rPr>
        <w:t xml:space="preserve"> Ibarra v Thaler, W-02-CA-052, 2011 WL 13177743 (W.D. Tex. </w:t>
      </w:r>
      <w:r w:rsidRPr="006248E3">
        <w:rPr>
          <w:rFonts w:asciiTheme="majorHAnsi" w:hAnsiTheme="majorHAnsi"/>
          <w:sz w:val="16"/>
          <w:lang w:val="en-GB"/>
        </w:rPr>
        <w:t>March 31, 2011).</w:t>
      </w:r>
    </w:p>
  </w:footnote>
  <w:footnote w:id="12">
    <w:p w14:paraId="5F2A9ECC"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Stephens, 723 F. 3d 599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 2013).</w:t>
      </w:r>
    </w:p>
  </w:footnote>
  <w:footnote w:id="13">
    <w:p w14:paraId="011ADCD1"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786 Fed. Appx. 420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 2019).</w:t>
      </w:r>
    </w:p>
  </w:footnote>
  <w:footnote w:id="14">
    <w:p w14:paraId="7E95F632"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19-8103, S. Ct. 2020 WL 3038333. (US June 8, 2020).</w:t>
      </w:r>
    </w:p>
  </w:footnote>
  <w:footnote w:id="15">
    <w:p w14:paraId="5A12C5D0"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16"/>
        </w:rPr>
        <w:t>State of Texas v Ramiro Ibarra Rubí, Case Number 1996-634-C, Order Setting Date for Execution</w:t>
      </w:r>
    </w:p>
  </w:footnote>
  <w:footnote w:id="16">
    <w:p w14:paraId="1D3BA64A" w14:textId="77777777" w:rsidR="006E0105" w:rsidRPr="006248E3" w:rsidRDefault="006E0105" w:rsidP="00844459">
      <w:pPr>
        <w:pStyle w:val="Default"/>
        <w:rPr>
          <w:rFonts w:ascii="Cambria" w:eastAsia="Arial Unicode MS" w:hAnsi="Cambria" w:cs="Cambria"/>
          <w:bdr w:val="nil"/>
          <w:lang w:val="en-US" w:eastAsia="es-ES"/>
        </w:rPr>
      </w:pPr>
      <w:r w:rsidRPr="006248E3">
        <w:rPr>
          <w:rStyle w:val="FootnoteReference"/>
          <w:rFonts w:asciiTheme="majorHAnsi" w:hAnsiTheme="majorHAnsi"/>
          <w:sz w:val="16"/>
        </w:rPr>
        <w:footnoteRef/>
      </w:r>
      <w:r w:rsidRPr="006248E3">
        <w:rPr>
          <w:rStyle w:val="FootnoteReference"/>
          <w:rFonts w:asciiTheme="majorHAnsi" w:hAnsiTheme="majorHAnsi"/>
          <w:sz w:val="16"/>
          <w:lang w:val="en-US"/>
        </w:rPr>
        <w:t xml:space="preserve"> </w:t>
      </w:r>
      <w:r w:rsidRPr="006248E3">
        <w:rPr>
          <w:rFonts w:asciiTheme="majorHAnsi" w:hAnsiTheme="majorHAnsi"/>
          <w:sz w:val="16"/>
          <w:lang w:val="en-US"/>
        </w:rPr>
        <w:t xml:space="preserve"> </w:t>
      </w:r>
      <w:r w:rsidRPr="006248E3">
        <w:rPr>
          <w:rFonts w:asciiTheme="majorHAnsi" w:eastAsia="Calibri" w:hAnsiTheme="majorHAnsi" w:cs="Calibri"/>
          <w:sz w:val="16"/>
          <w:szCs w:val="16"/>
          <w:u w:color="000000"/>
        </w:rPr>
        <w:t xml:space="preserve">IACHR, Report No. 219/19, Petition 459-08. Admissibility. Anant Kumar Tripati. United States of America. October 24, 2019 </w:t>
      </w:r>
      <w:r w:rsidRPr="006248E3">
        <w:rPr>
          <w:rFonts w:asciiTheme="majorHAnsi" w:hAnsiTheme="majorHAnsi"/>
          <w:sz w:val="16"/>
          <w:szCs w:val="16"/>
        </w:rPr>
        <w:t>pa</w:t>
      </w:r>
      <w:r w:rsidRPr="006248E3">
        <w:rPr>
          <w:rFonts w:asciiTheme="majorHAnsi" w:hAnsiTheme="majorHAnsi" w:cs="Calibri"/>
          <w:sz w:val="16"/>
          <w:szCs w:val="16"/>
          <w:lang w:eastAsia="es-ES"/>
        </w:rPr>
        <w:t>r</w:t>
      </w:r>
      <w:r w:rsidRPr="006248E3">
        <w:rPr>
          <w:rFonts w:asciiTheme="majorHAnsi" w:hAnsiTheme="majorHAnsi"/>
          <w:sz w:val="16"/>
          <w:szCs w:val="16"/>
        </w:rPr>
        <w:t>a. 1</w:t>
      </w:r>
      <w:r w:rsidRPr="006248E3">
        <w:rPr>
          <w:rFonts w:asciiTheme="majorHAnsi" w:hAnsiTheme="majorHAnsi" w:cs="Calibri"/>
          <w:sz w:val="16"/>
          <w:szCs w:val="16"/>
          <w:lang w:eastAsia="es-ES"/>
        </w:rPr>
        <w:t>3.</w:t>
      </w:r>
    </w:p>
  </w:footnote>
  <w:footnote w:id="17">
    <w:p w14:paraId="146723AD" w14:textId="77777777" w:rsidR="006E0105" w:rsidRPr="006248E3" w:rsidRDefault="006E0105" w:rsidP="007F5FAE">
      <w:pPr>
        <w:pStyle w:val="FootnoteText"/>
        <w:jc w:val="both"/>
        <w:rPr>
          <w:rFonts w:asciiTheme="majorHAnsi" w:hAnsiTheme="majorHAnsi"/>
          <w:sz w:val="16"/>
          <w:szCs w:val="16"/>
        </w:rPr>
      </w:pPr>
      <w:r w:rsidRPr="006248E3">
        <w:rPr>
          <w:rStyle w:val="FootnoteReference"/>
          <w:rFonts w:asciiTheme="majorHAnsi" w:hAnsiTheme="majorHAnsi"/>
          <w:color w:val="auto"/>
          <w:sz w:val="16"/>
          <w:szCs w:val="16"/>
        </w:rPr>
        <w:footnoteRef/>
      </w:r>
      <w:r w:rsidRPr="006248E3">
        <w:rPr>
          <w:rStyle w:val="FootnoteReference"/>
          <w:rFonts w:asciiTheme="majorHAnsi" w:hAnsiTheme="majorHAnsi"/>
          <w:color w:val="auto"/>
          <w:sz w:val="16"/>
          <w:szCs w:val="16"/>
        </w:rPr>
        <w:t xml:space="preserve"> </w:t>
      </w:r>
      <w:r w:rsidRPr="006248E3">
        <w:rPr>
          <w:rFonts w:asciiTheme="majorHAnsi" w:hAnsiTheme="majorHAnsi"/>
          <w:color w:val="auto"/>
          <w:sz w:val="16"/>
          <w:szCs w:val="16"/>
        </w:rPr>
        <w:t>IACHR, Report No. 54/14, Petition 684-14. Admissibility. Russel Bucklew and Charles Warner. United States. July 21, 2014, para. 28.</w:t>
      </w:r>
    </w:p>
  </w:footnote>
  <w:footnote w:id="18">
    <w:p w14:paraId="53D05F91" w14:textId="77777777" w:rsidR="006E0105" w:rsidRPr="006248E3" w:rsidRDefault="006E0105" w:rsidP="00950980">
      <w:pPr>
        <w:rPr>
          <w:rFonts w:asciiTheme="majorHAnsi" w:hAnsiTheme="majorHAnsi"/>
          <w:sz w:val="16"/>
          <w:szCs w:val="20"/>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Ibarra v. Thaler, No. W-02-CA-052, 2011 WL 13177743 (W.D. Tex. Mar. 31, 2011).</w:t>
      </w:r>
    </w:p>
  </w:footnote>
  <w:footnote w:id="19">
    <w:p w14:paraId="7BEF0E98" w14:textId="77777777" w:rsidR="006E0105" w:rsidRPr="006B6E2E" w:rsidRDefault="006E0105" w:rsidP="00950980">
      <w:pPr>
        <w:rPr>
          <w:rFonts w:asciiTheme="majorHAnsi" w:hAnsiTheme="majorHAnsi"/>
          <w:sz w:val="16"/>
          <w:szCs w:val="20"/>
          <w:lang w:val="es-US"/>
        </w:rPr>
      </w:pPr>
      <w:r w:rsidRPr="006248E3">
        <w:rPr>
          <w:rStyle w:val="FootnoteReference"/>
          <w:rFonts w:asciiTheme="majorHAnsi" w:hAnsiTheme="majorHAnsi"/>
          <w:sz w:val="16"/>
        </w:rPr>
        <w:footnoteRef/>
      </w:r>
      <w:r w:rsidRPr="006B6E2E">
        <w:rPr>
          <w:rFonts w:asciiTheme="majorHAnsi" w:hAnsiTheme="majorHAnsi"/>
          <w:sz w:val="16"/>
          <w:lang w:val="es-US"/>
        </w:rPr>
        <w:t xml:space="preserve"> </w:t>
      </w:r>
      <w:r w:rsidRPr="006B6E2E">
        <w:rPr>
          <w:rFonts w:asciiTheme="majorHAnsi" w:hAnsiTheme="majorHAnsi"/>
          <w:sz w:val="16"/>
          <w:szCs w:val="20"/>
          <w:lang w:val="es-US"/>
        </w:rPr>
        <w:t xml:space="preserve">Ibarra v. </w:t>
      </w:r>
      <w:proofErr w:type="spellStart"/>
      <w:r w:rsidRPr="006B6E2E">
        <w:rPr>
          <w:rFonts w:asciiTheme="majorHAnsi" w:hAnsiTheme="majorHAnsi"/>
          <w:sz w:val="16"/>
          <w:szCs w:val="20"/>
          <w:lang w:val="es-US"/>
        </w:rPr>
        <w:t>Thaler</w:t>
      </w:r>
      <w:proofErr w:type="spellEnd"/>
      <w:r w:rsidRPr="006B6E2E">
        <w:rPr>
          <w:rFonts w:asciiTheme="majorHAnsi" w:hAnsiTheme="majorHAnsi"/>
          <w:sz w:val="16"/>
          <w:szCs w:val="20"/>
          <w:lang w:val="es-US"/>
        </w:rPr>
        <w:t>, No. W-02-CA-052, 2011 WL 13177743 (W.D. Tex. Mar. 31, 2011).</w:t>
      </w:r>
    </w:p>
  </w:footnote>
  <w:footnote w:id="20">
    <w:p w14:paraId="1D0FE404"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 xml:space="preserve">Petition and request for precautionary measures on behalf of Ramiro Ibarra </w:t>
      </w:r>
      <w:proofErr w:type="spellStart"/>
      <w:r w:rsidRPr="006248E3">
        <w:rPr>
          <w:rFonts w:asciiTheme="majorHAnsi" w:hAnsiTheme="majorHAnsi"/>
          <w:sz w:val="16"/>
          <w:szCs w:val="16"/>
        </w:rPr>
        <w:t>Rubí</w:t>
      </w:r>
      <w:proofErr w:type="spellEnd"/>
      <w:r w:rsidRPr="006248E3">
        <w:rPr>
          <w:rFonts w:asciiTheme="majorHAnsi" w:hAnsiTheme="majorHAnsi"/>
          <w:sz w:val="16"/>
          <w:lang w:val="en-GB"/>
        </w:rPr>
        <w:t xml:space="preserve"> to the Commission dated February 2, 2018</w:t>
      </w:r>
    </w:p>
  </w:footnote>
  <w:footnote w:id="21">
    <w:p w14:paraId="05AB3E9B" w14:textId="77777777" w:rsidR="006E0105" w:rsidRPr="006248E3" w:rsidRDefault="006E0105" w:rsidP="00EF3FC7">
      <w:pPr>
        <w:pStyle w:val="FootnoteText"/>
        <w:jc w:val="both"/>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Ibarra v. Quarterman, Amended Petition for Writ of Habeas Corpus (“Amended Habeas Petition”) (W.D. Tex., 5 Jan. 2009), at 132 &amp; n. 35.</w:t>
      </w:r>
    </w:p>
  </w:footnote>
  <w:footnote w:id="22">
    <w:p w14:paraId="158D68EC"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16"/>
        </w:rPr>
        <w:t>State of Texas v Ramiro Ibarra Rubí, Case Number 1996-634-C, Order Setting Date for Execution</w:t>
      </w:r>
    </w:p>
  </w:footnote>
  <w:footnote w:id="23">
    <w:p w14:paraId="6CFEEA71"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Director, No. 17-70014 (U.S. Court of Appeal for the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Circuit, filed August 26, 2019).</w:t>
      </w:r>
    </w:p>
  </w:footnote>
  <w:footnote w:id="24">
    <w:p w14:paraId="0A74E08C"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State, 11 S.W.3D 189 (Tex. Crim. App. 1999).</w:t>
      </w:r>
    </w:p>
  </w:footnote>
  <w:footnote w:id="25">
    <w:p w14:paraId="40D71920"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Texas, 531 U.S. 828 (2000).</w:t>
      </w:r>
    </w:p>
  </w:footnote>
  <w:footnote w:id="26">
    <w:p w14:paraId="16EBB84B" w14:textId="77777777" w:rsidR="006E0105" w:rsidRPr="006B6E2E"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2B706D">
        <w:rPr>
          <w:rFonts w:asciiTheme="majorHAnsi" w:hAnsiTheme="majorHAnsi"/>
          <w:sz w:val="16"/>
          <w:lang w:val="es-US"/>
        </w:rPr>
        <w:t xml:space="preserve"> Ex parte Ibarra, No. WR-48, 832-01 (Tex. </w:t>
      </w:r>
      <w:r w:rsidRPr="006B6E2E">
        <w:rPr>
          <w:rFonts w:asciiTheme="majorHAnsi" w:hAnsiTheme="majorHAnsi"/>
          <w:sz w:val="16"/>
        </w:rPr>
        <w:t>Crim. App. April 4, 2001).</w:t>
      </w:r>
    </w:p>
  </w:footnote>
  <w:footnote w:id="27">
    <w:p w14:paraId="6C09DCA7" w14:textId="77777777" w:rsidR="006E0105" w:rsidRPr="006B6E2E"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6B6E2E">
        <w:rPr>
          <w:rFonts w:asciiTheme="majorHAnsi" w:hAnsiTheme="majorHAnsi"/>
          <w:sz w:val="16"/>
        </w:rPr>
        <w:t xml:space="preserve"> </w:t>
      </w:r>
      <w:r w:rsidRPr="006B6E2E">
        <w:rPr>
          <w:rFonts w:asciiTheme="majorHAnsi" w:hAnsiTheme="majorHAnsi"/>
          <w:sz w:val="16"/>
          <w:szCs w:val="20"/>
        </w:rPr>
        <w:t>Atkins v. Virginia, 536 U.S. 304, 122 S. Ct. 2242, 153 L.Ed.2d 335 (2002).</w:t>
      </w:r>
    </w:p>
  </w:footnote>
  <w:footnote w:id="28">
    <w:p w14:paraId="5162D07A"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proofErr w:type="spellStart"/>
      <w:r w:rsidRPr="006248E3">
        <w:rPr>
          <w:rFonts w:asciiTheme="majorHAnsi" w:hAnsiTheme="majorHAnsi"/>
          <w:sz w:val="16"/>
          <w:szCs w:val="20"/>
        </w:rPr>
        <w:t>Avena</w:t>
      </w:r>
      <w:proofErr w:type="spellEnd"/>
      <w:r w:rsidRPr="006248E3">
        <w:rPr>
          <w:rFonts w:asciiTheme="majorHAnsi" w:hAnsiTheme="majorHAnsi"/>
          <w:sz w:val="16"/>
          <w:szCs w:val="20"/>
        </w:rPr>
        <w:t xml:space="preserve"> and Other Mexican Nationals (Mex. v. U.S.) (“Avena”), 2004 I.C.J. 12 (Judgment of Mar. 31). Medellin v. Texas, 552 U.S. 491, 128 S. Ct. 1346, 170 L.Ed.2d 190 (2008).</w:t>
      </w:r>
    </w:p>
  </w:footnote>
  <w:footnote w:id="29">
    <w:p w14:paraId="56E4C20B" w14:textId="6BA1C8B0" w:rsidR="006E0105" w:rsidRPr="006B6E2E" w:rsidRDefault="006E0105" w:rsidP="00950980">
      <w:pPr>
        <w:rPr>
          <w:rFonts w:asciiTheme="majorHAnsi" w:hAnsiTheme="majorHAnsi"/>
          <w:sz w:val="16"/>
          <w:szCs w:val="20"/>
          <w:lang w:val="es-US"/>
        </w:rPr>
      </w:pPr>
      <w:r w:rsidRPr="006248E3">
        <w:rPr>
          <w:rStyle w:val="FootnoteReference"/>
          <w:rFonts w:asciiTheme="majorHAnsi" w:hAnsiTheme="majorHAnsi"/>
          <w:sz w:val="16"/>
        </w:rPr>
        <w:footnoteRef/>
      </w:r>
      <w:r w:rsidRPr="006B6E2E">
        <w:rPr>
          <w:rFonts w:asciiTheme="majorHAnsi" w:hAnsiTheme="majorHAnsi"/>
          <w:sz w:val="16"/>
          <w:lang w:val="es-US"/>
        </w:rPr>
        <w:t xml:space="preserve"> </w:t>
      </w:r>
      <w:r w:rsidRPr="006B6E2E">
        <w:rPr>
          <w:rFonts w:asciiTheme="majorHAnsi" w:hAnsiTheme="majorHAnsi"/>
          <w:sz w:val="16"/>
          <w:szCs w:val="20"/>
          <w:lang w:val="es-US"/>
        </w:rPr>
        <w:t xml:space="preserve">Ibarra v. </w:t>
      </w:r>
      <w:proofErr w:type="spellStart"/>
      <w:r w:rsidRPr="006B6E2E">
        <w:rPr>
          <w:rFonts w:asciiTheme="majorHAnsi" w:hAnsiTheme="majorHAnsi"/>
          <w:sz w:val="16"/>
          <w:szCs w:val="20"/>
          <w:lang w:val="es-US"/>
        </w:rPr>
        <w:t>Thaler</w:t>
      </w:r>
      <w:proofErr w:type="spellEnd"/>
      <w:r w:rsidRPr="006B6E2E">
        <w:rPr>
          <w:rFonts w:asciiTheme="majorHAnsi" w:hAnsiTheme="majorHAnsi"/>
          <w:sz w:val="16"/>
          <w:szCs w:val="20"/>
          <w:lang w:val="es-US"/>
        </w:rPr>
        <w:t>, No. W-02-CA-052, 2011 WL 13177743 (W.D. Tex. Mar. 31, 2011).</w:t>
      </w:r>
    </w:p>
  </w:footnote>
  <w:footnote w:id="30">
    <w:p w14:paraId="5710747F" w14:textId="77777777" w:rsidR="006E0105" w:rsidRPr="006248E3" w:rsidRDefault="006E0105" w:rsidP="006C2519">
      <w:pPr>
        <w:pStyle w:val="FootnoteText"/>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Carol M. Romney, Ph. D., </w:t>
      </w:r>
      <w:proofErr w:type="gramStart"/>
      <w:r w:rsidRPr="006248E3">
        <w:rPr>
          <w:rFonts w:asciiTheme="majorHAnsi" w:hAnsiTheme="majorHAnsi"/>
          <w:sz w:val="16"/>
        </w:rPr>
        <w:t>sworn affidavit</w:t>
      </w:r>
      <w:proofErr w:type="gramEnd"/>
      <w:r w:rsidRPr="006248E3">
        <w:rPr>
          <w:rFonts w:asciiTheme="majorHAnsi" w:hAnsiTheme="majorHAnsi"/>
          <w:sz w:val="16"/>
        </w:rPr>
        <w:t xml:space="preserve"> dated September 18, 2006</w:t>
      </w:r>
      <w:r>
        <w:rPr>
          <w:rFonts w:asciiTheme="majorHAnsi" w:hAnsiTheme="majorHAnsi"/>
          <w:sz w:val="16"/>
        </w:rPr>
        <w:t>.</w:t>
      </w:r>
    </w:p>
  </w:footnote>
  <w:footnote w:id="31">
    <w:p w14:paraId="0566A883" w14:textId="2D182FE1" w:rsidR="006E0105" w:rsidRPr="006B6E2E" w:rsidRDefault="006E0105" w:rsidP="001E03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US"/>
        </w:rPr>
      </w:pPr>
      <w:r w:rsidRPr="001E03FF">
        <w:rPr>
          <w:rStyle w:val="FootnoteReference"/>
          <w:rFonts w:asciiTheme="majorHAnsi" w:eastAsia="Calibri" w:hAnsiTheme="majorHAnsi"/>
          <w:color w:val="000000"/>
          <w:sz w:val="16"/>
          <w:u w:color="000000"/>
          <w:lang w:eastAsia="es-ES"/>
        </w:rPr>
        <w:footnoteRef/>
      </w:r>
      <w:r w:rsidRPr="001E03FF">
        <w:rPr>
          <w:rStyle w:val="FootnoteReference"/>
          <w:rFonts w:asciiTheme="majorHAnsi" w:eastAsia="Calibri" w:hAnsiTheme="majorHAnsi"/>
          <w:color w:val="000000"/>
          <w:sz w:val="16"/>
          <w:u w:color="000000"/>
          <w:lang w:eastAsia="es-ES"/>
        </w:rPr>
        <w:t xml:space="preserve"> </w:t>
      </w:r>
      <w:r w:rsidRPr="00F52787">
        <w:rPr>
          <w:rFonts w:asciiTheme="majorHAnsi" w:hAnsiTheme="majorHAnsi"/>
          <w:sz w:val="16"/>
          <w:lang w:val="en-GB"/>
        </w:rPr>
        <w:t xml:space="preserve">Initial </w:t>
      </w:r>
      <w:r w:rsidRPr="001E03FF">
        <w:rPr>
          <w:rFonts w:asciiTheme="majorHAnsi" w:eastAsia="Calibri" w:hAnsiTheme="majorHAnsi" w:cs="Calibri"/>
          <w:color w:val="000000"/>
          <w:sz w:val="16"/>
          <w:u w:color="000000"/>
          <w:lang w:eastAsia="es-ES"/>
        </w:rPr>
        <w:t xml:space="preserve">petition filed by the petitioners before the IACHR on February 2, 2018. Exhibit 5: Dr. Romey Affidavit, Ex. 19 to Amended Petition for Writ of Habeas Corpus, Ibarra v. Quarterman (W.D. Tex., Jan. 5. </w:t>
      </w:r>
      <w:r w:rsidRPr="006B6E2E">
        <w:rPr>
          <w:rFonts w:asciiTheme="majorHAnsi" w:eastAsia="Calibri" w:hAnsiTheme="majorHAnsi" w:cs="Calibri"/>
          <w:color w:val="000000"/>
          <w:sz w:val="16"/>
          <w:u w:color="000000"/>
          <w:lang w:val="es-US" w:eastAsia="es-ES"/>
        </w:rPr>
        <w:t>2009).</w:t>
      </w:r>
    </w:p>
  </w:footnote>
  <w:footnote w:id="32">
    <w:p w14:paraId="20F50527" w14:textId="61C753D6" w:rsidR="006E0105" w:rsidRPr="006B6E2E" w:rsidRDefault="006E0105">
      <w:pPr>
        <w:pStyle w:val="FootnoteText"/>
        <w:rPr>
          <w:rFonts w:asciiTheme="majorHAnsi" w:hAnsiTheme="majorHAnsi"/>
          <w:sz w:val="16"/>
          <w:lang w:val="es-US"/>
        </w:rPr>
      </w:pPr>
      <w:r w:rsidRPr="006248E3">
        <w:rPr>
          <w:rStyle w:val="FootnoteReference"/>
          <w:rFonts w:asciiTheme="majorHAnsi" w:hAnsiTheme="majorHAnsi"/>
          <w:sz w:val="16"/>
        </w:rPr>
        <w:footnoteRef/>
      </w:r>
      <w:r w:rsidRPr="006B6E2E">
        <w:rPr>
          <w:rFonts w:asciiTheme="majorHAnsi" w:hAnsiTheme="majorHAnsi"/>
          <w:sz w:val="16"/>
          <w:lang w:val="es-US"/>
        </w:rPr>
        <w:t xml:space="preserve"> Ex parte Ibarra, WR-48, 832-02, WR-48, 832-03, 2007 WL 2790587 (Tex. </w:t>
      </w:r>
      <w:proofErr w:type="spellStart"/>
      <w:r w:rsidRPr="006B6E2E">
        <w:rPr>
          <w:rFonts w:asciiTheme="majorHAnsi" w:hAnsiTheme="majorHAnsi"/>
          <w:sz w:val="16"/>
          <w:lang w:val="es-US"/>
        </w:rPr>
        <w:t>Crim</w:t>
      </w:r>
      <w:proofErr w:type="spellEnd"/>
      <w:r w:rsidRPr="006B6E2E">
        <w:rPr>
          <w:rFonts w:asciiTheme="majorHAnsi" w:hAnsiTheme="majorHAnsi"/>
          <w:sz w:val="16"/>
          <w:lang w:val="es-US"/>
        </w:rPr>
        <w:t xml:space="preserve">. App. </w:t>
      </w:r>
      <w:proofErr w:type="spellStart"/>
      <w:r w:rsidRPr="006B6E2E">
        <w:rPr>
          <w:rFonts w:asciiTheme="majorHAnsi" w:hAnsiTheme="majorHAnsi"/>
          <w:sz w:val="16"/>
          <w:lang w:val="es-US"/>
        </w:rPr>
        <w:t>September</w:t>
      </w:r>
      <w:proofErr w:type="spellEnd"/>
      <w:r w:rsidRPr="006B6E2E">
        <w:rPr>
          <w:rFonts w:asciiTheme="majorHAnsi" w:hAnsiTheme="majorHAnsi"/>
          <w:sz w:val="16"/>
          <w:lang w:val="es-US"/>
        </w:rPr>
        <w:t xml:space="preserve"> 26, 2007).</w:t>
      </w:r>
    </w:p>
  </w:footnote>
  <w:footnote w:id="33">
    <w:p w14:paraId="72D364E2" w14:textId="61D422A0" w:rsidR="006E0105" w:rsidRPr="002B706D" w:rsidRDefault="006E0105" w:rsidP="00950980">
      <w:pPr>
        <w:rPr>
          <w:rFonts w:asciiTheme="majorHAnsi" w:hAnsiTheme="majorHAnsi"/>
          <w:sz w:val="16"/>
          <w:szCs w:val="20"/>
          <w:lang w:val="en-GB"/>
        </w:rPr>
      </w:pPr>
      <w:r w:rsidRPr="006248E3">
        <w:rPr>
          <w:rStyle w:val="FootnoteReference"/>
          <w:rFonts w:asciiTheme="majorHAnsi" w:hAnsiTheme="majorHAnsi"/>
          <w:sz w:val="16"/>
        </w:rPr>
        <w:footnoteRef/>
      </w:r>
      <w:r w:rsidRPr="006B6E2E">
        <w:rPr>
          <w:rFonts w:asciiTheme="majorHAnsi" w:hAnsiTheme="majorHAnsi"/>
          <w:sz w:val="16"/>
          <w:lang w:val="es-US"/>
        </w:rPr>
        <w:t xml:space="preserve"> </w:t>
      </w:r>
      <w:r w:rsidRPr="006B6E2E">
        <w:rPr>
          <w:rFonts w:asciiTheme="majorHAnsi" w:hAnsiTheme="majorHAnsi"/>
          <w:sz w:val="16"/>
          <w:szCs w:val="20"/>
          <w:lang w:val="es-US"/>
        </w:rPr>
        <w:t xml:space="preserve">Ibarra v. </w:t>
      </w:r>
      <w:proofErr w:type="spellStart"/>
      <w:r w:rsidRPr="006B6E2E">
        <w:rPr>
          <w:rFonts w:asciiTheme="majorHAnsi" w:hAnsiTheme="majorHAnsi"/>
          <w:sz w:val="16"/>
          <w:szCs w:val="20"/>
          <w:lang w:val="es-US"/>
        </w:rPr>
        <w:t>Thaler</w:t>
      </w:r>
      <w:proofErr w:type="spellEnd"/>
      <w:r w:rsidRPr="006B6E2E">
        <w:rPr>
          <w:rFonts w:asciiTheme="majorHAnsi" w:hAnsiTheme="majorHAnsi"/>
          <w:sz w:val="16"/>
          <w:szCs w:val="20"/>
          <w:lang w:val="es-US"/>
        </w:rPr>
        <w:t xml:space="preserve">, No. </w:t>
      </w:r>
      <w:r w:rsidRPr="002B706D">
        <w:rPr>
          <w:rFonts w:asciiTheme="majorHAnsi" w:hAnsiTheme="majorHAnsi"/>
          <w:sz w:val="16"/>
          <w:szCs w:val="20"/>
          <w:lang w:val="en-GB"/>
        </w:rPr>
        <w:t>W-02-CA-052, 2011 WL 13177743 (W.D. Tex. Mar. 31, 2011).</w:t>
      </w:r>
    </w:p>
  </w:footnote>
  <w:footnote w:id="34">
    <w:p w14:paraId="32D22963" w14:textId="245E8905"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Wiggins v. Smith, 539 U.S. 510, 123 S. Ct. 2527, 156 L.Ed.2d 471 (2003)</w:t>
      </w:r>
      <w:r>
        <w:rPr>
          <w:rFonts w:asciiTheme="majorHAnsi" w:hAnsiTheme="majorHAnsi"/>
          <w:sz w:val="16"/>
          <w:szCs w:val="20"/>
        </w:rPr>
        <w:t>.</w:t>
      </w:r>
    </w:p>
  </w:footnote>
  <w:footnote w:id="35">
    <w:p w14:paraId="438A9B66" w14:textId="17322B3F"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Director, No. 17-70014 (U.S. Court of Appeal for the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Circuit, filed August 26, 2019)</w:t>
      </w:r>
      <w:r>
        <w:rPr>
          <w:rFonts w:asciiTheme="majorHAnsi" w:hAnsiTheme="majorHAnsi"/>
          <w:sz w:val="16"/>
          <w:lang w:val="en-GB"/>
        </w:rPr>
        <w:t>.</w:t>
      </w:r>
    </w:p>
  </w:footnote>
  <w:footnote w:id="36">
    <w:p w14:paraId="37786921" w14:textId="3AA55F54"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Thaler, W-02-CA-052, 2011 WL 13177743 (W.D. Tex. March 31, 2011)</w:t>
      </w:r>
      <w:r>
        <w:rPr>
          <w:rFonts w:asciiTheme="majorHAnsi" w:hAnsiTheme="majorHAnsi"/>
          <w:sz w:val="16"/>
          <w:lang w:val="en-GB"/>
        </w:rPr>
        <w:t>.</w:t>
      </w:r>
    </w:p>
  </w:footnote>
  <w:footnote w:id="37">
    <w:p w14:paraId="2165DEFF" w14:textId="542FEA24"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Director, No. 17-70014 (U.S. Court of Appeal for the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Circuit, filed August 26, 2019)</w:t>
      </w:r>
      <w:r>
        <w:rPr>
          <w:rFonts w:asciiTheme="majorHAnsi" w:hAnsiTheme="majorHAnsi"/>
          <w:sz w:val="16"/>
          <w:lang w:val="en-GB"/>
        </w:rPr>
        <w:t>.</w:t>
      </w:r>
    </w:p>
  </w:footnote>
  <w:footnote w:id="38">
    <w:p w14:paraId="5C28A577"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786 Fed. Appx. 420 (5</w:t>
      </w:r>
      <w:r w:rsidRPr="006248E3">
        <w:rPr>
          <w:rFonts w:asciiTheme="majorHAnsi" w:hAnsiTheme="majorHAnsi"/>
          <w:sz w:val="16"/>
          <w:vertAlign w:val="superscript"/>
          <w:lang w:val="en-GB"/>
        </w:rPr>
        <w:t>th</w:t>
      </w:r>
      <w:r w:rsidRPr="006248E3">
        <w:rPr>
          <w:rFonts w:asciiTheme="majorHAnsi" w:hAnsiTheme="majorHAnsi"/>
          <w:sz w:val="16"/>
          <w:lang w:val="en-GB"/>
        </w:rPr>
        <w:t xml:space="preserve"> Cir. 2019)</w:t>
      </w:r>
    </w:p>
  </w:footnote>
  <w:footnote w:id="39">
    <w:p w14:paraId="1E60B55A"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Ibarra v Davis 19-8103, S. Ct. 2020 WL 3038333. (US June 8, 2020)</w:t>
      </w:r>
    </w:p>
  </w:footnote>
  <w:footnote w:id="40">
    <w:p w14:paraId="7F19FF7B" w14:textId="77777777" w:rsidR="006E0105" w:rsidRPr="006248E3" w:rsidRDefault="006E0105">
      <w:pPr>
        <w:pStyle w:val="FootnoteText"/>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16"/>
        </w:rPr>
        <w:t>State of Texas v Ramiro Ibarra Rubí, Case Number 1996-634-C, Order Setting Date for Execution</w:t>
      </w:r>
    </w:p>
  </w:footnote>
  <w:footnote w:id="41">
    <w:p w14:paraId="6350080F" w14:textId="1C3C769F" w:rsidR="006E0105" w:rsidRPr="006248E3" w:rsidRDefault="006E0105" w:rsidP="00734261">
      <w:pPr>
        <w:pStyle w:val="FootnoteText"/>
        <w:jc w:val="both"/>
        <w:rPr>
          <w:rFonts w:asciiTheme="majorHAnsi" w:hAnsiTheme="majorHAnsi"/>
          <w:sz w:val="16"/>
          <w:lang w:val="en-GB"/>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lang w:val="en-GB"/>
        </w:rPr>
        <w:t>In re: Complaint of Judicial Misconduct, Report of the Special Committee to the Judicial</w:t>
      </w:r>
      <w:r>
        <w:rPr>
          <w:rFonts w:asciiTheme="majorHAnsi" w:hAnsiTheme="majorHAnsi"/>
          <w:sz w:val="16"/>
          <w:lang w:val="en-GB"/>
        </w:rPr>
        <w:t xml:space="preserve"> </w:t>
      </w:r>
      <w:r w:rsidRPr="006248E3">
        <w:rPr>
          <w:rFonts w:asciiTheme="majorHAnsi" w:hAnsiTheme="majorHAnsi"/>
          <w:sz w:val="16"/>
          <w:lang w:val="en-GB"/>
        </w:rPr>
        <w:t>Council of the District of Columbia Circuit, Judicial Complaint No. DC-13-90021, at 64</w:t>
      </w:r>
      <w:r>
        <w:rPr>
          <w:rFonts w:asciiTheme="majorHAnsi" w:hAnsiTheme="majorHAnsi"/>
          <w:sz w:val="16"/>
          <w:lang w:val="en-GB"/>
        </w:rPr>
        <w:t xml:space="preserve"> </w:t>
      </w:r>
      <w:r w:rsidRPr="006248E3">
        <w:rPr>
          <w:rFonts w:asciiTheme="majorHAnsi" w:hAnsiTheme="majorHAnsi"/>
          <w:sz w:val="16"/>
          <w:lang w:val="en-GB"/>
        </w:rPr>
        <w:t>(August 12, 2014)</w:t>
      </w:r>
      <w:r>
        <w:rPr>
          <w:rFonts w:asciiTheme="majorHAnsi" w:hAnsiTheme="majorHAnsi"/>
          <w:sz w:val="16"/>
          <w:lang w:val="en-GB"/>
        </w:rPr>
        <w:t>.</w:t>
      </w:r>
    </w:p>
  </w:footnote>
  <w:footnote w:id="42">
    <w:p w14:paraId="5310BB6E" w14:textId="446EB783" w:rsidR="006E0105" w:rsidRDefault="006E0105">
      <w:pPr>
        <w:pStyle w:val="FootnoteText"/>
      </w:pPr>
      <w:r w:rsidRPr="00F52787">
        <w:rPr>
          <w:rStyle w:val="FootnoteReference"/>
          <w:rFonts w:asciiTheme="majorHAnsi" w:hAnsiTheme="majorHAnsi"/>
          <w:sz w:val="16"/>
        </w:rPr>
        <w:footnoteRef/>
      </w:r>
      <w:r w:rsidRPr="00F52787">
        <w:rPr>
          <w:rStyle w:val="FootnoteReference"/>
          <w:rFonts w:asciiTheme="majorHAnsi" w:hAnsiTheme="majorHAnsi"/>
          <w:sz w:val="16"/>
        </w:rPr>
        <w:t xml:space="preserve"> </w:t>
      </w:r>
      <w:r w:rsidRPr="00F52787">
        <w:rPr>
          <w:rFonts w:asciiTheme="majorHAnsi" w:hAnsiTheme="majorHAnsi"/>
          <w:sz w:val="16"/>
          <w:lang w:val="en-GB"/>
        </w:rPr>
        <w:t xml:space="preserve">Initial petition filed </w:t>
      </w:r>
      <w:r>
        <w:rPr>
          <w:rFonts w:asciiTheme="majorHAnsi" w:hAnsiTheme="majorHAnsi"/>
          <w:sz w:val="16"/>
          <w:lang w:val="en-GB"/>
        </w:rPr>
        <w:t>by the petitioners before the IACHR</w:t>
      </w:r>
      <w:r w:rsidRPr="00F52787">
        <w:rPr>
          <w:rFonts w:asciiTheme="majorHAnsi" w:hAnsiTheme="majorHAnsi"/>
          <w:sz w:val="16"/>
          <w:lang w:val="en-GB"/>
        </w:rPr>
        <w:t xml:space="preserve"> on February 2, 2018. Exhibit 10: Order Denying Motion to Disqualify.</w:t>
      </w:r>
    </w:p>
  </w:footnote>
  <w:footnote w:id="43">
    <w:p w14:paraId="105200FE" w14:textId="77777777" w:rsidR="006E0105" w:rsidRPr="006248E3" w:rsidRDefault="006E0105" w:rsidP="00E57AC6">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See, for example: I/A Court H. R., Advisory Opinion OC-16/99 (October 1, 1999), </w:t>
      </w:r>
      <w:r w:rsidRPr="006248E3">
        <w:rPr>
          <w:rFonts w:asciiTheme="majorHAnsi" w:hAnsiTheme="majorHAnsi"/>
          <w:iCs/>
          <w:color w:val="auto"/>
          <w:sz w:val="16"/>
          <w:szCs w:val="16"/>
        </w:rPr>
        <w:t>The Right to Information on Consular Assistance in the Framework of the Guarantees of the Due Process of Law</w:t>
      </w:r>
      <w:r w:rsidRPr="006248E3">
        <w:rPr>
          <w:rFonts w:asciiTheme="majorHAnsi" w:hAnsiTheme="majorHAnsi"/>
          <w:color w:val="auto"/>
          <w:sz w:val="16"/>
          <w:szCs w:val="16"/>
        </w:rPr>
        <w:t xml:space="preserve">, para. 136; United Nations Human Rights Committee, </w:t>
      </w:r>
      <w:r w:rsidRPr="006248E3">
        <w:rPr>
          <w:rFonts w:asciiTheme="majorHAnsi" w:hAnsiTheme="majorHAnsi"/>
          <w:iCs/>
          <w:color w:val="auto"/>
          <w:sz w:val="16"/>
          <w:szCs w:val="16"/>
        </w:rPr>
        <w:t>Baboheram-Adhin et al. v. Suriname</w:t>
      </w:r>
      <w:r w:rsidRPr="006248E3">
        <w:rPr>
          <w:rFonts w:asciiTheme="majorHAnsi" w:hAnsiTheme="majorHAnsi"/>
          <w:color w:val="auto"/>
          <w:sz w:val="16"/>
          <w:szCs w:val="16"/>
        </w:rPr>
        <w:t>,</w:t>
      </w:r>
      <w:r w:rsidRPr="006248E3">
        <w:rPr>
          <w:rFonts w:asciiTheme="majorHAnsi" w:hAnsiTheme="majorHAnsi"/>
          <w:iCs/>
          <w:color w:val="auto"/>
          <w:sz w:val="16"/>
          <w:szCs w:val="16"/>
        </w:rPr>
        <w:t xml:space="preserve"> </w:t>
      </w:r>
      <w:r w:rsidRPr="006248E3">
        <w:rPr>
          <w:rFonts w:asciiTheme="majorHAnsi" w:hAnsiTheme="majorHAnsi"/>
          <w:color w:val="auto"/>
          <w:sz w:val="16"/>
          <w:szCs w:val="16"/>
        </w:rPr>
        <w:t xml:space="preserve">Communications Nos. 148-154/1983, adopted on April 4, 1985, para. 14.3; </w:t>
      </w:r>
      <w:r w:rsidRPr="006248E3">
        <w:rPr>
          <w:rFonts w:asciiTheme="majorHAnsi" w:hAnsiTheme="majorHAnsi"/>
          <w:iCs/>
          <w:color w:val="auto"/>
          <w:sz w:val="16"/>
          <w:szCs w:val="16"/>
        </w:rPr>
        <w:t>Report of the United Nations Special Rapporteur on Extrajudicial Executions</w:t>
      </w:r>
      <w:r w:rsidRPr="006248E3">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44">
    <w:p w14:paraId="34FCC613" w14:textId="77777777" w:rsidR="006E0105" w:rsidRPr="006248E3" w:rsidRDefault="006E0105" w:rsidP="00E57AC6">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w:t>
      </w:r>
      <w:r w:rsidRPr="006248E3">
        <w:rPr>
          <w:rFonts w:asciiTheme="majorHAnsi" w:hAnsiTheme="majorHAnsi"/>
          <w:iCs/>
          <w:color w:val="auto"/>
          <w:sz w:val="16"/>
          <w:szCs w:val="16"/>
        </w:rPr>
        <w:t xml:space="preserve"> </w:t>
      </w:r>
      <w:r w:rsidRPr="006248E3">
        <w:rPr>
          <w:rFonts w:asciiTheme="majorHAnsi" w:hAnsiTheme="majorHAnsi"/>
          <w:color w:val="auto"/>
          <w:sz w:val="16"/>
          <w:szCs w:val="16"/>
        </w:rPr>
        <w:t xml:space="preserve">Report No. 57/96, </w:t>
      </w:r>
      <w:r w:rsidRPr="006248E3">
        <w:rPr>
          <w:rFonts w:asciiTheme="majorHAnsi" w:hAnsiTheme="majorHAnsi"/>
          <w:iCs/>
          <w:color w:val="auto"/>
          <w:sz w:val="16"/>
          <w:szCs w:val="16"/>
        </w:rPr>
        <w:t>Andrews, United States</w:t>
      </w:r>
      <w:r w:rsidRPr="006248E3">
        <w:rPr>
          <w:rFonts w:asciiTheme="majorHAnsi" w:hAnsiTheme="majorHAnsi"/>
          <w:color w:val="auto"/>
          <w:sz w:val="16"/>
          <w:szCs w:val="16"/>
        </w:rPr>
        <w:t xml:space="preserve">, IACHR Annual Report 1997, para. 170-171; Report No. 38/00 Baptiste, Grenada, IACHR Annual Report 1999, paras. 64-66; Report No. 41/00, McKenzie </w:t>
      </w:r>
      <w:r w:rsidRPr="006248E3">
        <w:rPr>
          <w:rFonts w:asciiTheme="majorHAnsi" w:hAnsiTheme="majorHAnsi"/>
          <w:iCs/>
          <w:color w:val="auto"/>
          <w:sz w:val="16"/>
          <w:szCs w:val="16"/>
        </w:rPr>
        <w:t>et al.,</w:t>
      </w:r>
      <w:r w:rsidRPr="006248E3">
        <w:rPr>
          <w:rFonts w:asciiTheme="majorHAnsi" w:hAnsiTheme="majorHAnsi"/>
          <w:color w:val="auto"/>
          <w:sz w:val="16"/>
          <w:szCs w:val="16"/>
        </w:rPr>
        <w:t xml:space="preserve"> Jamaica, IACHR Annual Report 1999, paras. 169-171.</w:t>
      </w:r>
    </w:p>
  </w:footnote>
  <w:footnote w:id="45">
    <w:p w14:paraId="60478A69" w14:textId="77777777" w:rsidR="006E0105" w:rsidRPr="006248E3" w:rsidRDefault="006E0105" w:rsidP="00E57AC6">
      <w:pPr>
        <w:autoSpaceDE w:val="0"/>
        <w:autoSpaceDN w:val="0"/>
        <w:adjustRightInd w:val="0"/>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IACHR, The death penalty in the Inter-American System of Human Rights: From restrictions to abolition, </w:t>
      </w:r>
      <w:r w:rsidRPr="006248E3">
        <w:rPr>
          <w:rFonts w:asciiTheme="majorHAnsi" w:hAnsiTheme="majorHAnsi" w:cs="Calibri"/>
          <w:sz w:val="16"/>
          <w:szCs w:val="16"/>
        </w:rPr>
        <w:t xml:space="preserve">OEA/Ser.L/V/II.Doc. 68, December 31, 2011, </w:t>
      </w:r>
      <w:r w:rsidRPr="006248E3">
        <w:rPr>
          <w:rFonts w:asciiTheme="majorHAnsi" w:hAnsiTheme="majorHAnsi"/>
          <w:sz w:val="16"/>
          <w:szCs w:val="16"/>
        </w:rPr>
        <w:t>para. 41.</w:t>
      </w:r>
    </w:p>
  </w:footnote>
  <w:footnote w:id="46">
    <w:p w14:paraId="3395D13C" w14:textId="77777777" w:rsidR="006E0105" w:rsidRPr="006248E3" w:rsidRDefault="006E0105" w:rsidP="00E57AC6">
      <w:pPr>
        <w:autoSpaceDE w:val="0"/>
        <w:autoSpaceDN w:val="0"/>
        <w:adjustRightInd w:val="0"/>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IACHR, Report No. 78/07, Case 12.265, Merits (Publication), Chad Roger Goodman, The Bahamas, October 15, 2007, para. 34.</w:t>
      </w:r>
    </w:p>
  </w:footnote>
  <w:footnote w:id="47">
    <w:p w14:paraId="1588C4A4" w14:textId="77777777" w:rsidR="006E0105" w:rsidRPr="006248E3" w:rsidRDefault="006E0105" w:rsidP="00E57AC6">
      <w:pPr>
        <w:pStyle w:val="FootnoteText"/>
        <w:jc w:val="both"/>
        <w:rPr>
          <w:rFonts w:asciiTheme="majorHAnsi" w:hAnsiTheme="majorHAnsi" w:cs="Times New Roman"/>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 Report No. 44/14, Case 12,873, Report on Merits (Publication), Edgar Tamayo Arias, United States, July 17, 2014, para. 214.</w:t>
      </w:r>
    </w:p>
  </w:footnote>
  <w:footnote w:id="48">
    <w:p w14:paraId="3AEC72E3" w14:textId="77777777" w:rsidR="006E0105" w:rsidRPr="006248E3" w:rsidRDefault="006E0105" w:rsidP="00D12883">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eastAsia="Arial Unicode MS" w:hAnsiTheme="majorHAnsi" w:cs="Times New Roman"/>
          <w:color w:val="auto"/>
          <w:sz w:val="16"/>
          <w:szCs w:val="16"/>
          <w:lang w:eastAsia="en-US"/>
        </w:rPr>
        <w:t xml:space="preserve">Article XVIII of the American Declaration establishes: </w:t>
      </w:r>
      <w:r w:rsidRPr="006248E3">
        <w:rPr>
          <w:rFonts w:asciiTheme="majorHAnsi" w:hAnsiTheme="majorHAnsi"/>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49">
    <w:p w14:paraId="1C0047DB" w14:textId="77777777" w:rsidR="006E0105" w:rsidRPr="006248E3" w:rsidRDefault="006E0105" w:rsidP="00D12883">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eastAsia="Arial Unicode MS" w:hAnsiTheme="majorHAnsi" w:cs="Times New Roman"/>
          <w:color w:val="auto"/>
          <w:sz w:val="16"/>
          <w:szCs w:val="16"/>
          <w:lang w:eastAsia="en-US"/>
        </w:rPr>
        <w:t>Article XXVI of the American Declaration establishes:</w:t>
      </w:r>
      <w:r w:rsidRPr="006248E3">
        <w:rPr>
          <w:rStyle w:val="FootnoteReference"/>
          <w:rFonts w:asciiTheme="majorHAnsi" w:hAnsiTheme="majorHAnsi"/>
          <w:sz w:val="16"/>
          <w:szCs w:val="16"/>
        </w:rPr>
        <w:t xml:space="preserve"> </w:t>
      </w:r>
      <w:r w:rsidRPr="006248E3">
        <w:rPr>
          <w:rFonts w:asciiTheme="majorHAnsi" w:hAnsiTheme="majorHAnsi"/>
          <w:sz w:val="16"/>
          <w:szCs w:val="16"/>
        </w:rPr>
        <w:t>Every accused person is presumed to be innocent until proved guilty.</w:t>
      </w:r>
    </w:p>
    <w:p w14:paraId="51D16AC8" w14:textId="77777777" w:rsidR="006E0105" w:rsidRPr="006248E3" w:rsidRDefault="006E0105" w:rsidP="00D12883">
      <w:pPr>
        <w:pStyle w:val="FootnoteText"/>
        <w:jc w:val="both"/>
        <w:rPr>
          <w:rFonts w:asciiTheme="majorHAnsi" w:hAnsiTheme="majorHAnsi"/>
          <w:sz w:val="16"/>
        </w:rPr>
      </w:pPr>
      <w:r w:rsidRPr="006248E3">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50">
    <w:p w14:paraId="69FA6CC5" w14:textId="77777777" w:rsidR="006E0105" w:rsidRPr="006248E3" w:rsidRDefault="006E0105" w:rsidP="00FD3996">
      <w:pPr>
        <w:pStyle w:val="FootnoteText"/>
        <w:jc w:val="both"/>
        <w:rPr>
          <w:rFonts w:asciiTheme="majorHAnsi" w:hAnsiTheme="majorHAnsi"/>
          <w:sz w:val="16"/>
          <w:szCs w:val="16"/>
        </w:rPr>
      </w:pPr>
      <w:r w:rsidRPr="006248E3">
        <w:rPr>
          <w:rStyle w:val="FootnoteReference"/>
          <w:rFonts w:asciiTheme="majorHAnsi" w:hAnsiTheme="majorHAnsi" w:cs="Arial"/>
          <w:sz w:val="16"/>
          <w:szCs w:val="16"/>
        </w:rPr>
        <w:footnoteRef/>
      </w:r>
      <w:r w:rsidRPr="006248E3">
        <w:rPr>
          <w:rFonts w:asciiTheme="majorHAnsi" w:hAnsiTheme="majorHAnsi" w:cs="Arial"/>
          <w:sz w:val="16"/>
          <w:szCs w:val="16"/>
        </w:rPr>
        <w:t xml:space="preserve"> IACHR, </w:t>
      </w:r>
      <w:r w:rsidRPr="006248E3">
        <w:rPr>
          <w:rFonts w:asciiTheme="majorHAnsi" w:hAnsiTheme="majorHAnsi" w:cs="Arial"/>
          <w:bCs/>
          <w:sz w:val="16"/>
          <w:szCs w:val="16"/>
        </w:rPr>
        <w:t>Report No. 90/09</w:t>
      </w:r>
      <w:r w:rsidRPr="006248E3">
        <w:rPr>
          <w:rFonts w:asciiTheme="majorHAnsi" w:hAnsiTheme="majorHAnsi" w:cs="Arial"/>
          <w:sz w:val="16"/>
          <w:szCs w:val="16"/>
        </w:rPr>
        <w:t xml:space="preserve">, Case 12.644, Admissibility and Merits (Publication), Medellín, Ramírez Cardenas and Leal García, United States, August 7, 2009, paras 124-132.  See also, IACHR, </w:t>
      </w:r>
      <w:r w:rsidRPr="006248E3">
        <w:rPr>
          <w:rFonts w:asciiTheme="majorHAnsi" w:hAnsiTheme="majorHAnsi" w:cs="Arial"/>
          <w:sz w:val="16"/>
          <w:szCs w:val="16"/>
          <w:lang w:val="en-GB"/>
        </w:rPr>
        <w:t>Report No. 91/05 (Javier Suarez Medina), United States, Annual Report of the IACHR 2005; Report No. 1/05 (Roberto Moreno Ramos), United States, Annual Report of the IACHR 2005; and Report 52/02, Case 11.753 (Ramón Martinez Villarreal), United States, Annual Report of the IACHR 2002.</w:t>
      </w:r>
    </w:p>
  </w:footnote>
  <w:footnote w:id="51">
    <w:p w14:paraId="472BB3E8" w14:textId="77777777" w:rsidR="006E0105" w:rsidRPr="006248E3" w:rsidRDefault="006E0105" w:rsidP="00F36552">
      <w:pPr>
        <w:jc w:val="both"/>
        <w:rPr>
          <w:rFonts w:asciiTheme="majorHAnsi" w:eastAsia="Times New Roman" w:hAnsiTheme="majorHAnsi" w:cs="Tahoma"/>
          <w:color w:val="000000"/>
          <w:sz w:val="16"/>
          <w:szCs w:val="20"/>
        </w:rPr>
      </w:pPr>
      <w:r w:rsidRPr="006248E3">
        <w:rPr>
          <w:rStyle w:val="FootnoteReference"/>
          <w:rFonts w:asciiTheme="majorHAnsi" w:eastAsia="Calibri" w:hAnsiTheme="majorHAnsi" w:cs="Arial"/>
          <w:color w:val="000000"/>
          <w:sz w:val="16"/>
          <w:szCs w:val="16"/>
          <w:u w:color="000000"/>
          <w:lang w:eastAsia="es-ES"/>
        </w:rPr>
        <w:footnoteRef/>
      </w:r>
      <w:r w:rsidRPr="006248E3">
        <w:rPr>
          <w:rStyle w:val="FootnoteReference"/>
          <w:rFonts w:asciiTheme="majorHAnsi" w:eastAsia="Calibri" w:hAnsiTheme="majorHAnsi" w:cs="Arial"/>
          <w:color w:val="000000"/>
          <w:sz w:val="16"/>
          <w:szCs w:val="16"/>
          <w:u w:color="000000"/>
          <w:lang w:eastAsia="es-ES"/>
        </w:rPr>
        <w:t xml:space="preserve"> </w:t>
      </w:r>
      <w:r w:rsidRPr="006248E3">
        <w:rPr>
          <w:rFonts w:asciiTheme="majorHAnsi" w:eastAsia="Calibri" w:hAnsiTheme="majorHAnsi" w:cs="Arial"/>
          <w:bCs/>
          <w:sz w:val="16"/>
          <w:szCs w:val="16"/>
          <w:u w:color="000000"/>
          <w:lang w:val="en-GB" w:eastAsia="es-ES"/>
        </w:rPr>
        <w:t>I/A Court H.R., The Right to Information on Consular Assistance in the Framework of the Guarantees of the due Process of Law. Advisory Opinion OC-16/99 of October 1, 1999. Series A No.16, para. 102.</w:t>
      </w:r>
    </w:p>
  </w:footnote>
  <w:footnote w:id="52">
    <w:p w14:paraId="72A1AC29" w14:textId="77777777" w:rsidR="006E0105" w:rsidRPr="006248E3" w:rsidRDefault="006E0105" w:rsidP="003339C8">
      <w:pPr>
        <w:jc w:val="both"/>
        <w:rPr>
          <w:rFonts w:asciiTheme="majorHAnsi" w:eastAsia="Times New Roman" w:hAnsiTheme="majorHAnsi" w:cs="Tahoma"/>
          <w:color w:val="000000"/>
          <w:sz w:val="16"/>
          <w:szCs w:val="20"/>
        </w:rPr>
      </w:pPr>
      <w:r w:rsidRPr="006248E3">
        <w:rPr>
          <w:rStyle w:val="FootnoteReference"/>
          <w:rFonts w:asciiTheme="majorHAnsi" w:eastAsia="Calibri" w:hAnsiTheme="majorHAnsi" w:cs="Arial"/>
          <w:color w:val="000000"/>
          <w:sz w:val="16"/>
          <w:szCs w:val="16"/>
          <w:u w:color="000000"/>
          <w:lang w:eastAsia="es-ES"/>
        </w:rPr>
        <w:footnoteRef/>
      </w:r>
      <w:r w:rsidRPr="006248E3">
        <w:rPr>
          <w:rStyle w:val="FootnoteReference"/>
          <w:rFonts w:asciiTheme="majorHAnsi" w:eastAsia="Calibri" w:hAnsiTheme="majorHAnsi" w:cs="Arial"/>
          <w:color w:val="000000"/>
          <w:sz w:val="16"/>
          <w:szCs w:val="16"/>
          <w:u w:color="000000"/>
          <w:lang w:eastAsia="es-ES"/>
        </w:rPr>
        <w:t xml:space="preserve"> </w:t>
      </w:r>
      <w:r w:rsidRPr="006248E3">
        <w:rPr>
          <w:rFonts w:asciiTheme="majorHAnsi" w:eastAsia="Calibri" w:hAnsiTheme="majorHAnsi" w:cs="Arial"/>
          <w:bCs/>
          <w:sz w:val="16"/>
          <w:szCs w:val="16"/>
          <w:u w:color="000000"/>
          <w:lang w:val="en-GB" w:eastAsia="es-ES"/>
        </w:rPr>
        <w:t>I/A Court H.R., The Right to Information on Consular Assistance in the Framework of the Guarantees of the due Process of Law. Advisory Opinion OC-16/99 of October 1, 1999. Series A No.16, para. 81.</w:t>
      </w:r>
    </w:p>
  </w:footnote>
  <w:footnote w:id="53">
    <w:p w14:paraId="3F569BC7" w14:textId="77777777" w:rsidR="006E0105" w:rsidRPr="006248E3" w:rsidRDefault="006E0105" w:rsidP="00FD3996">
      <w:pPr>
        <w:pStyle w:val="FootnoteText"/>
        <w:jc w:val="both"/>
        <w:rPr>
          <w:rFonts w:asciiTheme="majorHAnsi" w:hAnsiTheme="majorHAnsi"/>
          <w:sz w:val="16"/>
          <w:szCs w:val="16"/>
        </w:rPr>
      </w:pPr>
      <w:r w:rsidRPr="006248E3">
        <w:rPr>
          <w:rStyle w:val="FootnoteReference"/>
          <w:rFonts w:asciiTheme="majorHAnsi" w:hAnsiTheme="majorHAnsi" w:cs="Arial"/>
          <w:sz w:val="16"/>
          <w:szCs w:val="16"/>
        </w:rPr>
        <w:footnoteRef/>
      </w:r>
      <w:r w:rsidRPr="006248E3">
        <w:rPr>
          <w:rFonts w:asciiTheme="majorHAnsi" w:hAnsiTheme="majorHAnsi" w:cs="Arial"/>
          <w:sz w:val="16"/>
          <w:szCs w:val="16"/>
        </w:rPr>
        <w:t xml:space="preserve"> American Bar Association, </w:t>
      </w:r>
      <w:r w:rsidRPr="006248E3">
        <w:rPr>
          <w:rFonts w:asciiTheme="majorHAnsi" w:hAnsiTheme="majorHAnsi" w:cs="Arial"/>
          <w:i/>
          <w:iCs/>
          <w:sz w:val="16"/>
          <w:szCs w:val="16"/>
        </w:rPr>
        <w:t>Guidelines for the Appointment and Performance of Defense Counsel in Death Penalty Cases</w:t>
      </w:r>
      <w:r w:rsidRPr="006248E3">
        <w:rPr>
          <w:rFonts w:asciiTheme="majorHAnsi" w:hAnsiTheme="majorHAnsi" w:cs="Arial"/>
          <w:sz w:val="16"/>
          <w:szCs w:val="16"/>
        </w:rPr>
        <w:t xml:space="preserve"> (Revised Edition) (February 2003), Guideline 10.6B “Additional Obligations of Counsel Representing a Foreign National.”</w:t>
      </w:r>
    </w:p>
  </w:footnote>
  <w:footnote w:id="54">
    <w:p w14:paraId="78A2F6EF" w14:textId="77777777" w:rsidR="006E0105" w:rsidRPr="006248E3" w:rsidRDefault="006E0105" w:rsidP="00893298">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55">
    <w:p w14:paraId="1EE82045" w14:textId="77777777" w:rsidR="006E0105" w:rsidRPr="006248E3" w:rsidRDefault="006E0105" w:rsidP="00CB2303">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56">
    <w:p w14:paraId="4A2AAAD7" w14:textId="77777777" w:rsidR="006E0105" w:rsidRPr="006248E3" w:rsidRDefault="006E0105" w:rsidP="00F36552">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cs="Times New Roman"/>
          <w:sz w:val="16"/>
          <w:szCs w:val="16"/>
        </w:rPr>
        <w:t>IACHR, Report No. 79/15, Case 12.994. Merits (Publication). Bernardo Aban Tercero. United States. October 28, 2015, para. 111.</w:t>
      </w:r>
    </w:p>
  </w:footnote>
  <w:footnote w:id="57">
    <w:p w14:paraId="61E8E7A6" w14:textId="77777777" w:rsidR="006E0105" w:rsidRPr="006248E3" w:rsidRDefault="006E0105" w:rsidP="00CB2303">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cs="Times New Roman"/>
          <w:sz w:val="16"/>
          <w:szCs w:val="16"/>
        </w:rPr>
        <w:t>IACHR, Report No. 90/09, Case 12.644, Admissibility and Merits (Publication), Medellín, Ramírez Cárdenas and Leal García, United States, August 7, 2009, para. 134.</w:t>
      </w:r>
    </w:p>
  </w:footnote>
  <w:footnote w:id="58">
    <w:p w14:paraId="3F0BBA93" w14:textId="34153CD3" w:rsidR="006E0105" w:rsidRPr="006248E3" w:rsidRDefault="006E0105" w:rsidP="00CB2303">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cs="Times New Roman"/>
          <w:sz w:val="16"/>
          <w:szCs w:val="16"/>
        </w:rPr>
        <w:t>IACHR, Report No. 90/09, Case 12.644, Admissibility and Merits (Publication), Medellín, Ramírez Cárdenas and Leal García, United States, August 7, 2009, para. 134.</w:t>
      </w:r>
    </w:p>
  </w:footnote>
  <w:footnote w:id="59">
    <w:p w14:paraId="40016920" w14:textId="77777777" w:rsidR="006E0105" w:rsidRPr="006248E3" w:rsidRDefault="006E0105" w:rsidP="00F36552">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cs="Times New Roman"/>
          <w:sz w:val="16"/>
          <w:szCs w:val="16"/>
        </w:rPr>
        <w:t>American Bar Association, Guidelines for the Appointment and Performance of Defense Counsel in Death Penalty Cases (Revised editions) (February 2003), Guideline 10.7 – Investigation. Available at: http://www.abanet.org/legalservices/downloads/ sclaid/deathpenaltyguidelines.pdf.</w:t>
      </w:r>
    </w:p>
  </w:footnote>
  <w:footnote w:id="60">
    <w:p w14:paraId="112AD4A8" w14:textId="77777777" w:rsidR="006E0105" w:rsidRPr="006248E3" w:rsidRDefault="006E0105" w:rsidP="00865CB3">
      <w:pPr>
        <w:spacing w:beforeLines="1" w:before="2" w:afterLines="1" w:after="2"/>
        <w:jc w:val="both"/>
        <w:rPr>
          <w:rFonts w:asciiTheme="majorHAnsi" w:hAnsiTheme="majorHAnsi"/>
          <w:sz w:val="16"/>
          <w:szCs w:val="20"/>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16"/>
        </w:rPr>
        <w:t xml:space="preserve">American Bar Association, Guidelines for the Appointment and Performance of Defense Counsel in Death Penalty Cases (Revised editions) (February 2003), Guideline 10.7 – Investigation, at 82. </w:t>
      </w:r>
    </w:p>
  </w:footnote>
  <w:footnote w:id="61">
    <w:p w14:paraId="332CF751" w14:textId="77777777" w:rsidR="006E0105" w:rsidRPr="006248E3" w:rsidRDefault="006E0105" w:rsidP="00F36552">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cs="Times New Roman"/>
          <w:sz w:val="16"/>
          <w:szCs w:val="16"/>
        </w:rPr>
        <w:t xml:space="preserve">American Bar Association, Guidelines for the Appointment and Performance of Defense Counsel in Death Penalty Cases (Revised editions) (February 2003), Guideline 10.7 – Investigation, at 83. </w:t>
      </w:r>
    </w:p>
  </w:footnote>
  <w:footnote w:id="62">
    <w:p w14:paraId="5F18A070" w14:textId="77777777" w:rsidR="006E0105" w:rsidRPr="006248E3" w:rsidRDefault="006E0105" w:rsidP="0002510E">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jc w:val="both"/>
        <w:rPr>
          <w:rFonts w:asciiTheme="majorHAnsi" w:hAnsiTheme="majorHAnsi"/>
          <w:sz w:val="16"/>
          <w:szCs w:val="20"/>
          <w:bdr w:val="none" w:sz="0" w:space="0" w:color="auto"/>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bdr w:val="none" w:sz="0" w:space="0" w:color="auto"/>
        </w:rPr>
        <w:t xml:space="preserve">Article XVIII of the Declaration provides: </w:t>
      </w:r>
      <w:r w:rsidRPr="006248E3">
        <w:rPr>
          <w:rFonts w:asciiTheme="majorHAnsi" w:hAnsiTheme="majorHAnsi"/>
          <w:sz w:val="16"/>
          <w:szCs w:val="18"/>
          <w:bdr w:val="none" w:sz="0" w:space="0" w:color="auto"/>
        </w:rPr>
        <w:t xml:space="preserve">Every person may resort to the courts to ensure respect for his legal rights. There should likewise be available to him a simple, brief procedure whereby the courts will protect him from acts of authority that, to his prejudice, violate any fundamental constitutional rights. </w:t>
      </w:r>
    </w:p>
    <w:p w14:paraId="4ECFC380" w14:textId="77777777" w:rsidR="006E0105" w:rsidRPr="006248E3" w:rsidRDefault="006E0105" w:rsidP="0002510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20"/>
          <w:bdr w:val="none" w:sz="0" w:space="0" w:color="auto"/>
        </w:rPr>
      </w:pPr>
      <w:r w:rsidRPr="006248E3">
        <w:rPr>
          <w:rFonts w:asciiTheme="majorHAnsi" w:hAnsiTheme="majorHAnsi"/>
          <w:sz w:val="16"/>
          <w:szCs w:val="20"/>
          <w:bdr w:val="none" w:sz="0" w:space="0" w:color="auto"/>
        </w:rPr>
        <w:t xml:space="preserve">Article XXVI of the Declaration provides: </w:t>
      </w:r>
      <w:r w:rsidRPr="006248E3">
        <w:rPr>
          <w:rFonts w:asciiTheme="majorHAnsi" w:hAnsiTheme="majorHAnsi"/>
          <w:sz w:val="16"/>
          <w:szCs w:val="18"/>
          <w:bdr w:val="none" w:sz="0" w:space="0" w:color="auto"/>
        </w:rPr>
        <w:t xml:space="preserve">Every accused person is presumed to be innocent until proved guilty. </w:t>
      </w:r>
    </w:p>
    <w:p w14:paraId="138BE509" w14:textId="77777777" w:rsidR="006E0105" w:rsidRPr="006248E3" w:rsidRDefault="006E0105" w:rsidP="0002510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20"/>
          <w:bdr w:val="none" w:sz="0" w:space="0" w:color="auto"/>
        </w:rPr>
      </w:pPr>
      <w:r w:rsidRPr="006248E3">
        <w:rPr>
          <w:rFonts w:asciiTheme="majorHAnsi" w:hAnsiTheme="majorHAnsi"/>
          <w:sz w:val="16"/>
          <w:szCs w:val="18"/>
          <w:bdr w:val="none" w:sz="0" w:space="0" w:color="auto"/>
        </w:rPr>
        <w:t xml:space="preserve">Every person accused of an offense has the right to be given an impartial and public hearing, and to be tried by courts previously established in accordance with pre-existing laws, and not to receive, cruel, infamous or unusual punishment. </w:t>
      </w:r>
    </w:p>
    <w:p w14:paraId="78DE5472" w14:textId="77777777" w:rsidR="006E0105" w:rsidRPr="006248E3" w:rsidRDefault="006E0105" w:rsidP="00FA5163">
      <w:pPr>
        <w:pStyle w:val="FootnoteText"/>
        <w:jc w:val="both"/>
        <w:rPr>
          <w:rFonts w:asciiTheme="majorHAnsi" w:hAnsiTheme="majorHAnsi"/>
          <w:sz w:val="16"/>
        </w:rPr>
      </w:pPr>
      <w:r w:rsidRPr="006248E3">
        <w:rPr>
          <w:rFonts w:asciiTheme="majorHAnsi" w:hAnsiTheme="majorHAnsi"/>
          <w:sz w:val="16"/>
        </w:rPr>
        <w:t xml:space="preserve">Article II of the Declaration provides: All </w:t>
      </w:r>
      <w:r w:rsidRPr="006248E3">
        <w:rPr>
          <w:rFonts w:asciiTheme="majorHAnsi" w:hAnsiTheme="majorHAnsi"/>
          <w:sz w:val="16"/>
          <w:szCs w:val="20"/>
          <w:bdr w:val="none" w:sz="0" w:space="0" w:color="auto"/>
        </w:rPr>
        <w:t xml:space="preserve">persons are equal before the law and have the rights and duties established in this Declaration, without distinction as to race, sex, language, creed or any other factor. </w:t>
      </w:r>
    </w:p>
  </w:footnote>
  <w:footnote w:id="63">
    <w:p w14:paraId="045A92E0" w14:textId="3E57A7F0" w:rsidR="006E0105" w:rsidRPr="006B6E2E" w:rsidRDefault="006E0105" w:rsidP="006A0014">
      <w:pPr>
        <w:jc w:val="both"/>
        <w:outlineLvl w:val="0"/>
        <w:rPr>
          <w:rFonts w:ascii="Cambria" w:eastAsia="Times New Roman" w:hAnsi="Cambria" w:cs="Arial"/>
          <w:color w:val="000000"/>
          <w:kern w:val="36"/>
          <w:sz w:val="16"/>
          <w:szCs w:val="16"/>
          <w:lang w:eastAsia="en-GB"/>
        </w:rPr>
      </w:pPr>
      <w:r w:rsidRPr="006248E3">
        <w:rPr>
          <w:rStyle w:val="FootnoteReference"/>
          <w:rFonts w:asciiTheme="majorHAnsi" w:hAnsiTheme="majorHAnsi"/>
          <w:sz w:val="16"/>
          <w:szCs w:val="16"/>
        </w:rPr>
        <w:footnoteRef/>
      </w:r>
      <w:r w:rsidRPr="006248E3">
        <w:rPr>
          <w:rFonts w:asciiTheme="majorHAnsi" w:hAnsiTheme="majorHAnsi"/>
          <w:sz w:val="16"/>
          <w:szCs w:val="16"/>
          <w:lang w:val="en-GB"/>
        </w:rPr>
        <w:t xml:space="preserve"> </w:t>
      </w:r>
      <w:r w:rsidRPr="006248E3">
        <w:rPr>
          <w:rFonts w:asciiTheme="majorHAnsi" w:eastAsia="Times New Roman" w:hAnsiTheme="majorHAnsi" w:cs="Arial"/>
          <w:color w:val="000000" w:themeColor="text1"/>
          <w:kern w:val="36"/>
          <w:sz w:val="16"/>
          <w:szCs w:val="16"/>
          <w:bdr w:val="none" w:sz="0" w:space="0" w:color="auto"/>
          <w:lang w:eastAsia="en-GB"/>
        </w:rPr>
        <w:t>Case of Herrera Ulloa v Costa Rica, Herrera Ulloa v Costa Rica, Preliminary Objections, Merits, Reparations and Costs. Series C No 107, 2nd July 2004, paras. 170 and 171.</w:t>
      </w:r>
      <w:r w:rsidRPr="006B6E2E">
        <w:rPr>
          <w:rFonts w:ascii="Cambria" w:hAnsi="Cambria"/>
          <w:sz w:val="16"/>
          <w:szCs w:val="16"/>
        </w:rPr>
        <w:t xml:space="preserve"> Case of </w:t>
      </w:r>
      <w:proofErr w:type="spellStart"/>
      <w:r w:rsidRPr="006B6E2E">
        <w:rPr>
          <w:rFonts w:ascii="Cambria" w:hAnsi="Cambria"/>
          <w:sz w:val="16"/>
          <w:szCs w:val="16"/>
        </w:rPr>
        <w:t>Palamara</w:t>
      </w:r>
      <w:proofErr w:type="spellEnd"/>
      <w:r w:rsidRPr="006B6E2E">
        <w:rPr>
          <w:rFonts w:ascii="Cambria" w:hAnsi="Cambria"/>
          <w:sz w:val="16"/>
          <w:szCs w:val="16"/>
        </w:rPr>
        <w:t xml:space="preserve"> Iribarne v. Chile. Merits, Reparations y Costs. Judgment of November 22, 2005. Series C No. 135. </w:t>
      </w:r>
    </w:p>
  </w:footnote>
  <w:footnote w:id="64">
    <w:p w14:paraId="21C15FC9" w14:textId="77777777" w:rsidR="006E0105" w:rsidRPr="006248E3" w:rsidRDefault="006E0105" w:rsidP="00F9299E">
      <w:pPr>
        <w:pStyle w:val="FootnoteText"/>
        <w:jc w:val="both"/>
        <w:rPr>
          <w:rFonts w:asciiTheme="majorHAnsi" w:hAnsiTheme="majorHAnsi"/>
          <w:sz w:val="16"/>
          <w:szCs w:val="16"/>
          <w:lang w:val="en-GB"/>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hAnsiTheme="majorHAnsi"/>
          <w:sz w:val="16"/>
          <w:szCs w:val="16"/>
          <w:lang w:val="en-GB"/>
        </w:rPr>
        <w:t>Cf. Eur. Court. H. R., Case of Pabla KY v. Finland, Judgment of June 26, 2004, para. 27; and Eur.Court. H. R., Case of Morris v. the United Kingdom, Judgment of February 26, 2002, para. 58.</w:t>
      </w:r>
    </w:p>
  </w:footnote>
  <w:footnote w:id="65">
    <w:p w14:paraId="128475A5" w14:textId="77777777" w:rsidR="006E0105" w:rsidRPr="006B6E2E" w:rsidRDefault="006E0105" w:rsidP="00F9299E">
      <w:pPr>
        <w:pStyle w:val="FootnoteText"/>
        <w:jc w:val="both"/>
        <w:rPr>
          <w:lang w:val="es-US"/>
        </w:rPr>
      </w:pPr>
      <w:r w:rsidRPr="006248E3">
        <w:rPr>
          <w:rStyle w:val="FootnoteReference"/>
          <w:rFonts w:asciiTheme="majorHAnsi" w:hAnsiTheme="majorHAnsi"/>
          <w:sz w:val="16"/>
          <w:szCs w:val="16"/>
        </w:rPr>
        <w:footnoteRef/>
      </w:r>
      <w:r w:rsidRPr="006248E3">
        <w:rPr>
          <w:rStyle w:val="FootnoteReference"/>
          <w:rFonts w:asciiTheme="majorHAnsi" w:hAnsiTheme="majorHAnsi"/>
          <w:sz w:val="16"/>
          <w:szCs w:val="16"/>
        </w:rPr>
        <w:t xml:space="preserve"> </w:t>
      </w:r>
      <w:r w:rsidRPr="006248E3">
        <w:rPr>
          <w:rFonts w:asciiTheme="majorHAnsi" w:hAnsiTheme="majorHAnsi"/>
          <w:sz w:val="16"/>
          <w:szCs w:val="16"/>
          <w:lang w:val="en-GB"/>
        </w:rPr>
        <w:t xml:space="preserve">I/A Court H.R., Case of Apitz Barbera et al. (“First Court of Administrative Disputes”) v. Venezuela. Preliminary Objection, Merits, Reparations and Costs. Judgment of August 5, 2008. Series C No. 182, para. </w:t>
      </w:r>
      <w:r w:rsidRPr="006B6E2E">
        <w:rPr>
          <w:rFonts w:asciiTheme="majorHAnsi" w:hAnsiTheme="majorHAnsi"/>
          <w:sz w:val="16"/>
          <w:szCs w:val="16"/>
          <w:lang w:val="es-US"/>
        </w:rPr>
        <w:t>56.</w:t>
      </w:r>
    </w:p>
  </w:footnote>
  <w:footnote w:id="66">
    <w:p w14:paraId="30F6E7F6" w14:textId="44E782B9" w:rsidR="006E0105" w:rsidRPr="00F33468" w:rsidRDefault="006E0105">
      <w:pPr>
        <w:pStyle w:val="FootnoteText"/>
        <w:rPr>
          <w:rFonts w:asciiTheme="majorHAnsi" w:hAnsiTheme="majorHAnsi"/>
          <w:sz w:val="16"/>
          <w:szCs w:val="16"/>
          <w:lang w:val="en-GB"/>
        </w:rPr>
      </w:pPr>
      <w:r w:rsidRPr="00F33468">
        <w:rPr>
          <w:rStyle w:val="FootnoteReference"/>
          <w:rFonts w:asciiTheme="majorHAnsi" w:hAnsiTheme="majorHAnsi"/>
          <w:sz w:val="16"/>
          <w:szCs w:val="16"/>
        </w:rPr>
        <w:footnoteRef/>
      </w:r>
      <w:r w:rsidRPr="006B6E2E">
        <w:rPr>
          <w:rStyle w:val="FootnoteReference"/>
          <w:rFonts w:asciiTheme="majorHAnsi" w:hAnsiTheme="majorHAnsi"/>
          <w:sz w:val="16"/>
          <w:szCs w:val="16"/>
          <w:lang w:val="es-US"/>
        </w:rPr>
        <w:t xml:space="preserve"> </w:t>
      </w:r>
      <w:r w:rsidRPr="006B6E2E">
        <w:rPr>
          <w:rFonts w:asciiTheme="majorHAnsi" w:hAnsiTheme="majorHAnsi"/>
          <w:sz w:val="16"/>
          <w:szCs w:val="16"/>
          <w:lang w:val="es-US"/>
        </w:rPr>
        <w:t xml:space="preserve">IACHR, </w:t>
      </w:r>
      <w:proofErr w:type="spellStart"/>
      <w:r w:rsidRPr="006B6E2E">
        <w:rPr>
          <w:rFonts w:asciiTheme="majorHAnsi" w:hAnsiTheme="majorHAnsi"/>
          <w:sz w:val="16"/>
          <w:szCs w:val="16"/>
          <w:lang w:val="es-US"/>
        </w:rPr>
        <w:t>Report</w:t>
      </w:r>
      <w:proofErr w:type="spellEnd"/>
      <w:r w:rsidRPr="006B6E2E">
        <w:rPr>
          <w:rFonts w:asciiTheme="majorHAnsi" w:hAnsiTheme="majorHAnsi"/>
          <w:sz w:val="16"/>
          <w:szCs w:val="16"/>
          <w:lang w:val="es-US"/>
        </w:rPr>
        <w:t xml:space="preserve"> No. 109/18, Case 12.840. </w:t>
      </w:r>
      <w:proofErr w:type="spellStart"/>
      <w:r w:rsidRPr="006B6E2E">
        <w:rPr>
          <w:rFonts w:asciiTheme="majorHAnsi" w:hAnsiTheme="majorHAnsi"/>
          <w:sz w:val="16"/>
          <w:szCs w:val="16"/>
          <w:lang w:val="es-US"/>
        </w:rPr>
        <w:t>Merits</w:t>
      </w:r>
      <w:proofErr w:type="spellEnd"/>
      <w:r w:rsidRPr="006B6E2E">
        <w:rPr>
          <w:rFonts w:asciiTheme="majorHAnsi" w:hAnsiTheme="majorHAnsi"/>
          <w:sz w:val="16"/>
          <w:szCs w:val="16"/>
          <w:lang w:val="es-US"/>
        </w:rPr>
        <w:t xml:space="preserve">. </w:t>
      </w:r>
      <w:proofErr w:type="spellStart"/>
      <w:r w:rsidRPr="006B6E2E">
        <w:rPr>
          <w:rFonts w:asciiTheme="majorHAnsi" w:hAnsiTheme="majorHAnsi"/>
          <w:sz w:val="16"/>
          <w:szCs w:val="16"/>
          <w:lang w:val="es-US"/>
        </w:rPr>
        <w:t>Yenina</w:t>
      </w:r>
      <w:proofErr w:type="spellEnd"/>
      <w:r w:rsidRPr="006B6E2E">
        <w:rPr>
          <w:rFonts w:asciiTheme="majorHAnsi" w:hAnsiTheme="majorHAnsi"/>
          <w:sz w:val="16"/>
          <w:szCs w:val="16"/>
          <w:lang w:val="es-US"/>
        </w:rPr>
        <w:t xml:space="preserve"> Esther Martinez Esquivia. Colombia. </w:t>
      </w:r>
      <w:r w:rsidRPr="00F33468">
        <w:rPr>
          <w:rFonts w:asciiTheme="majorHAnsi" w:hAnsiTheme="majorHAnsi"/>
          <w:sz w:val="16"/>
          <w:szCs w:val="16"/>
          <w:lang w:val="en-GB"/>
        </w:rPr>
        <w:t>October 5, 2018, para. 72.</w:t>
      </w:r>
    </w:p>
  </w:footnote>
  <w:footnote w:id="67">
    <w:p w14:paraId="7EA1E353" w14:textId="77777777" w:rsidR="006E0105" w:rsidRPr="006248E3" w:rsidRDefault="006E0105" w:rsidP="00F9299E">
      <w:pPr>
        <w:pStyle w:val="FootnoteText"/>
        <w:rPr>
          <w:rFonts w:asciiTheme="majorHAnsi" w:hAnsiTheme="majorHAnsi"/>
          <w:sz w:val="16"/>
          <w:szCs w:val="16"/>
          <w:lang w:val="en-GB"/>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hAnsiTheme="majorHAnsi"/>
          <w:sz w:val="16"/>
          <w:szCs w:val="16"/>
          <w:lang w:val="en-GB"/>
        </w:rPr>
        <w:t>See I/A Ct. H.R. Juridical Condition and Rights of Undocumented Migrants, Advisory Opinion OC-18/03 of Sept. 17, 2003, para. 101. See also IACHR, Report No. 50/16, Case 12.834, Merits (Publication), Undocumented Workers, United States, Nov. 30, 2016, para. 72.</w:t>
      </w:r>
    </w:p>
  </w:footnote>
  <w:footnote w:id="68">
    <w:p w14:paraId="239AE3AF" w14:textId="77777777" w:rsidR="006E0105" w:rsidRPr="006B6E2E" w:rsidRDefault="006E0105" w:rsidP="00F9299E">
      <w:pPr>
        <w:pStyle w:val="FootnoteText"/>
        <w:rPr>
          <w:rFonts w:asciiTheme="majorHAnsi" w:hAnsiTheme="majorHAnsi"/>
          <w:sz w:val="16"/>
          <w:szCs w:val="16"/>
          <w:lang w:val="es-US"/>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hAnsiTheme="majorHAnsi"/>
          <w:sz w:val="16"/>
          <w:szCs w:val="16"/>
          <w:lang w:val="en-GB"/>
        </w:rPr>
        <w:t xml:space="preserve">IACHR, Report No. 50/16, Case 12.834, Merits (Publication), Undocumented Workers, United States, Nov. 30, 2016, para. </w:t>
      </w:r>
      <w:r w:rsidRPr="006B6E2E">
        <w:rPr>
          <w:rFonts w:asciiTheme="majorHAnsi" w:hAnsiTheme="majorHAnsi"/>
          <w:sz w:val="16"/>
          <w:szCs w:val="16"/>
          <w:lang w:val="es-US"/>
        </w:rPr>
        <w:t>75.</w:t>
      </w:r>
    </w:p>
  </w:footnote>
  <w:footnote w:id="69">
    <w:p w14:paraId="081D8639" w14:textId="77777777" w:rsidR="006E0105" w:rsidRPr="006248E3" w:rsidRDefault="006E0105" w:rsidP="00F9299E">
      <w:pPr>
        <w:pStyle w:val="FootnoteText"/>
        <w:rPr>
          <w:rFonts w:asciiTheme="majorHAnsi" w:hAnsiTheme="majorHAnsi"/>
          <w:sz w:val="16"/>
          <w:szCs w:val="16"/>
          <w:lang w:val="en-GB"/>
        </w:rPr>
      </w:pPr>
      <w:r w:rsidRPr="006248E3">
        <w:rPr>
          <w:rStyle w:val="FootnoteReference"/>
          <w:rFonts w:asciiTheme="majorHAnsi" w:hAnsiTheme="majorHAnsi"/>
          <w:sz w:val="16"/>
          <w:szCs w:val="16"/>
        </w:rPr>
        <w:footnoteRef/>
      </w:r>
      <w:r w:rsidRPr="006B6E2E">
        <w:rPr>
          <w:rFonts w:asciiTheme="majorHAnsi" w:hAnsiTheme="majorHAnsi"/>
          <w:sz w:val="16"/>
          <w:szCs w:val="16"/>
          <w:lang w:val="es-US"/>
        </w:rPr>
        <w:t xml:space="preserve"> IACHR, </w:t>
      </w:r>
      <w:proofErr w:type="spellStart"/>
      <w:r w:rsidRPr="006B6E2E">
        <w:rPr>
          <w:rFonts w:asciiTheme="majorHAnsi" w:hAnsiTheme="majorHAnsi"/>
          <w:sz w:val="16"/>
          <w:szCs w:val="16"/>
          <w:lang w:val="es-US"/>
        </w:rPr>
        <w:t>Report</w:t>
      </w:r>
      <w:proofErr w:type="spellEnd"/>
      <w:r w:rsidRPr="006B6E2E">
        <w:rPr>
          <w:rFonts w:asciiTheme="majorHAnsi" w:hAnsiTheme="majorHAnsi"/>
          <w:sz w:val="16"/>
          <w:szCs w:val="16"/>
          <w:lang w:val="es-US"/>
        </w:rPr>
        <w:t xml:space="preserve"> No. 5/14. Case 12,841. </w:t>
      </w:r>
      <w:proofErr w:type="spellStart"/>
      <w:r w:rsidRPr="006B6E2E">
        <w:rPr>
          <w:rFonts w:asciiTheme="majorHAnsi" w:hAnsiTheme="majorHAnsi"/>
          <w:sz w:val="16"/>
          <w:szCs w:val="16"/>
          <w:lang w:val="es-US"/>
        </w:rPr>
        <w:t>Merits</w:t>
      </w:r>
      <w:proofErr w:type="spellEnd"/>
      <w:r w:rsidRPr="006B6E2E">
        <w:rPr>
          <w:rFonts w:asciiTheme="majorHAnsi" w:hAnsiTheme="majorHAnsi"/>
          <w:sz w:val="16"/>
          <w:szCs w:val="16"/>
          <w:lang w:val="es-US"/>
        </w:rPr>
        <w:t xml:space="preserve">. </w:t>
      </w:r>
      <w:proofErr w:type="spellStart"/>
      <w:r w:rsidRPr="006B6E2E">
        <w:rPr>
          <w:rFonts w:asciiTheme="majorHAnsi" w:hAnsiTheme="majorHAnsi"/>
          <w:sz w:val="16"/>
          <w:szCs w:val="16"/>
          <w:lang w:val="es-US"/>
        </w:rPr>
        <w:t>Angel</w:t>
      </w:r>
      <w:proofErr w:type="spellEnd"/>
      <w:r w:rsidRPr="006B6E2E">
        <w:rPr>
          <w:rFonts w:asciiTheme="majorHAnsi" w:hAnsiTheme="majorHAnsi"/>
          <w:sz w:val="16"/>
          <w:szCs w:val="16"/>
          <w:lang w:val="es-US"/>
        </w:rPr>
        <w:t xml:space="preserve"> Alberto Duque. Colombia. April 2, 2014, para. </w:t>
      </w:r>
      <w:r w:rsidRPr="006248E3">
        <w:rPr>
          <w:rFonts w:asciiTheme="majorHAnsi" w:hAnsiTheme="majorHAnsi"/>
          <w:sz w:val="16"/>
          <w:szCs w:val="16"/>
          <w:lang w:val="en-GB"/>
        </w:rPr>
        <w:t>67.</w:t>
      </w:r>
    </w:p>
  </w:footnote>
  <w:footnote w:id="70">
    <w:p w14:paraId="6FB2DD6B" w14:textId="77777777" w:rsidR="006E0105" w:rsidRPr="006248E3" w:rsidRDefault="006E0105" w:rsidP="00F36552">
      <w:pPr>
        <w:pStyle w:val="FootnoteText"/>
        <w:rPr>
          <w:rFonts w:asciiTheme="majorHAnsi" w:hAnsiTheme="majorHAnsi"/>
          <w:sz w:val="16"/>
          <w:szCs w:val="20"/>
          <w:bdr w:val="none" w:sz="0" w:space="0" w:color="auto"/>
        </w:rPr>
      </w:pPr>
      <w:r w:rsidRPr="006248E3">
        <w:rPr>
          <w:rStyle w:val="FootnoteReference"/>
          <w:rFonts w:asciiTheme="majorHAnsi" w:eastAsia="Arial Unicode MS" w:hAnsiTheme="majorHAnsi"/>
          <w:color w:val="auto"/>
          <w:sz w:val="16"/>
          <w:szCs w:val="16"/>
          <w:lang w:eastAsia="en-US"/>
        </w:rPr>
        <w:footnoteRef/>
      </w:r>
      <w:r w:rsidRPr="006248E3">
        <w:rPr>
          <w:rStyle w:val="FootnoteReference"/>
          <w:rFonts w:asciiTheme="majorHAnsi" w:eastAsia="Arial Unicode MS" w:hAnsiTheme="majorHAnsi"/>
          <w:color w:val="auto"/>
          <w:sz w:val="16"/>
          <w:szCs w:val="16"/>
          <w:lang w:eastAsia="en-US"/>
        </w:rPr>
        <w:t xml:space="preserve"> </w:t>
      </w:r>
      <w:r w:rsidRPr="006248E3">
        <w:rPr>
          <w:rFonts w:asciiTheme="majorHAnsi" w:hAnsiTheme="majorHAnsi"/>
          <w:color w:val="auto"/>
          <w:sz w:val="16"/>
          <w:szCs w:val="16"/>
        </w:rPr>
        <w:t>IACHR, Report No. 44/14, Case 12,873. Merits (Publication). Edgar Tamayo Arias. United States, July 17, 2014, para. 152.</w:t>
      </w:r>
    </w:p>
  </w:footnote>
  <w:footnote w:id="71">
    <w:p w14:paraId="3BE55239" w14:textId="67B3C29A"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w:t>
      </w:r>
      <w:r w:rsidRPr="006248E3">
        <w:rPr>
          <w:rFonts w:asciiTheme="majorHAnsi" w:hAnsiTheme="majorHAnsi"/>
          <w:color w:val="auto"/>
          <w:sz w:val="16"/>
          <w:szCs w:val="16"/>
        </w:rPr>
        <w:t>IACHR, Report No. 44/14, Case 12,873. Merits (Publication). Edgar Tamayo Arias. United States, July 17, 2014, para. 1</w:t>
      </w:r>
      <w:r w:rsidRPr="006A0014">
        <w:rPr>
          <w:rFonts w:asciiTheme="majorHAnsi" w:hAnsiTheme="majorHAnsi"/>
          <w:color w:val="auto"/>
          <w:sz w:val="16"/>
          <w:szCs w:val="16"/>
        </w:rPr>
        <w:t>5</w:t>
      </w:r>
      <w:r w:rsidRPr="006248E3">
        <w:rPr>
          <w:rFonts w:asciiTheme="majorHAnsi" w:hAnsiTheme="majorHAnsi"/>
          <w:color w:val="auto"/>
          <w:sz w:val="16"/>
          <w:szCs w:val="16"/>
        </w:rPr>
        <w:t>9.</w:t>
      </w:r>
    </w:p>
  </w:footnote>
  <w:footnote w:id="72">
    <w:p w14:paraId="784F3DF6" w14:textId="77777777" w:rsidR="006E0105" w:rsidRPr="006248E3" w:rsidRDefault="006E0105" w:rsidP="0044287C">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See in this respect, IACHR Report No. 52/13, Cases 11.575, 12.333. and 12.341, Merits (Publication), Clarence Allen Lackey et al, Miguel Angel Flores, and James Wilson Chambers, United States, July 15, 2013, para 206. </w:t>
      </w:r>
    </w:p>
  </w:footnote>
  <w:footnote w:id="73">
    <w:p w14:paraId="1308FDCE" w14:textId="77777777" w:rsidR="006E0105" w:rsidRPr="006248E3" w:rsidRDefault="006E0105" w:rsidP="0044287C">
      <w:pPr>
        <w:pStyle w:val="FootnoteText"/>
        <w:jc w:val="both"/>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See in this respect, IACHR Report No. 52/13, Cases 11.575, 12.333. and 12.341, Merits (Publication), Clarence Allen Lackey et al, Miguel Angel Flores, and James Wilson Chambers, United States, July 15, 2013, para 206. </w:t>
      </w:r>
    </w:p>
  </w:footnote>
  <w:footnote w:id="74">
    <w:p w14:paraId="67903463"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Human Rights Committee, Sahadath v. Trinidad and Tobago, Communication No. 684/1996, April 2, 2002, </w:t>
      </w:r>
      <w:r w:rsidRPr="006248E3">
        <w:rPr>
          <w:rFonts w:asciiTheme="majorHAnsi" w:hAnsiTheme="majorHAnsi" w:cs="TTE27CA0E8t00"/>
          <w:sz w:val="16"/>
          <w:szCs w:val="16"/>
        </w:rPr>
        <w:t>CCPR/C/74/D/684/1996, para. 7.2.</w:t>
      </w:r>
    </w:p>
  </w:footnote>
  <w:footnote w:id="75">
    <w:p w14:paraId="2236B872"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Safeguards Guaranteeing Protection of the Rights of Those Facing the Death Penalty, E.S.C. res. 1984/50, annex, 1984 U.N. ESCOR Supp. (No. 1) at 33, U.N. Doc. E/1984/84 (1984).</w:t>
      </w:r>
    </w:p>
  </w:footnote>
  <w:footnote w:id="76">
    <w:p w14:paraId="284EB845"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United Nations Commission on Human Rights, Promotion and Protection of Human Rights, The question of the death penalty, E/CN4/2005/L.77, April 14, 2005, paragraph 7(c). </w:t>
      </w:r>
    </w:p>
  </w:footnote>
  <w:footnote w:id="77">
    <w:p w14:paraId="6EFFF426"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Interim report of the Special Rapporteur on torture and other cruel, inhuman or degrading treatment or punishment, A/67/279, August 9, 2012, para. 58. </w:t>
      </w:r>
    </w:p>
  </w:footnote>
  <w:footnote w:id="78">
    <w:p w14:paraId="6C4641C6"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Office of the High Commissioner for Human Rights, “Death row: U.N. expert urges U.S. authorities to stop execution of two persons with psychosocial disabilities”, July 17, 2012. </w:t>
      </w:r>
    </w:p>
  </w:footnote>
  <w:footnote w:id="79">
    <w:p w14:paraId="5E563F64" w14:textId="77777777" w:rsidR="006E0105" w:rsidRPr="006248E3" w:rsidRDefault="006E0105" w:rsidP="00F36552">
      <w:pPr>
        <w:autoSpaceDE w:val="0"/>
        <w:autoSpaceDN w:val="0"/>
        <w:adjustRightInd w:val="0"/>
        <w:jc w:val="both"/>
        <w:rPr>
          <w:rFonts w:asciiTheme="majorHAnsi" w:hAnsiTheme="majorHAnsi" w:cs="Arial"/>
          <w:sz w:val="16"/>
          <w:szCs w:val="16"/>
        </w:rPr>
      </w:pPr>
      <w:r w:rsidRPr="006248E3">
        <w:rPr>
          <w:rStyle w:val="FootnoteReference"/>
          <w:rFonts w:asciiTheme="majorHAnsi" w:hAnsiTheme="majorHAnsi" w:cs="Arial"/>
          <w:sz w:val="16"/>
          <w:szCs w:val="16"/>
        </w:rPr>
        <w:footnoteRef/>
      </w:r>
      <w:r w:rsidRPr="006248E3">
        <w:rPr>
          <w:rFonts w:asciiTheme="majorHAnsi" w:hAnsiTheme="majorHAnsi" w:cs="Arial"/>
          <w:sz w:val="16"/>
          <w:szCs w:val="16"/>
        </w:rPr>
        <w:t xml:space="preserve"> </w:t>
      </w:r>
      <w:r w:rsidRPr="006248E3">
        <w:rPr>
          <w:rFonts w:asciiTheme="majorHAnsi" w:hAnsiTheme="majorHAnsi" w:cs="Arial"/>
          <w:i/>
          <w:iCs/>
          <w:sz w:val="16"/>
          <w:szCs w:val="16"/>
        </w:rPr>
        <w:t>Atkins v. Virginia</w:t>
      </w:r>
      <w:r w:rsidRPr="006248E3">
        <w:rPr>
          <w:rFonts w:asciiTheme="majorHAnsi" w:hAnsiTheme="majorHAnsi" w:cs="Arial"/>
          <w:sz w:val="16"/>
          <w:szCs w:val="16"/>
        </w:rPr>
        <w:t>, 536 U.S. 304 (2002).</w:t>
      </w:r>
    </w:p>
  </w:footnote>
  <w:footnote w:id="80">
    <w:p w14:paraId="2DCABFEA" w14:textId="77777777" w:rsidR="006E0105" w:rsidRPr="006248E3" w:rsidRDefault="006E0105" w:rsidP="00F36552">
      <w:pPr>
        <w:pStyle w:val="FootnoteText"/>
        <w:jc w:val="both"/>
        <w:rPr>
          <w:rFonts w:asciiTheme="majorHAnsi" w:hAnsiTheme="majorHAnsi"/>
          <w:sz w:val="16"/>
          <w:szCs w:val="16"/>
        </w:rPr>
      </w:pPr>
      <w:r w:rsidRPr="006248E3">
        <w:rPr>
          <w:rStyle w:val="FootnoteReference"/>
          <w:rFonts w:asciiTheme="majorHAnsi" w:hAnsiTheme="majorHAnsi" w:cs="Arial"/>
          <w:sz w:val="16"/>
          <w:szCs w:val="16"/>
        </w:rPr>
        <w:footnoteRef/>
      </w:r>
      <w:r w:rsidRPr="006248E3">
        <w:rPr>
          <w:rFonts w:asciiTheme="majorHAnsi" w:hAnsiTheme="majorHAnsi" w:cs="Arial"/>
          <w:sz w:val="16"/>
          <w:szCs w:val="16"/>
        </w:rPr>
        <w:t xml:space="preserve"> </w:t>
      </w:r>
      <w:r w:rsidRPr="006248E3">
        <w:rPr>
          <w:rFonts w:asciiTheme="majorHAnsi" w:hAnsiTheme="majorHAnsi" w:cs="Arial"/>
          <w:i/>
          <w:iCs/>
          <w:sz w:val="16"/>
          <w:szCs w:val="16"/>
        </w:rPr>
        <w:t>Atkins v. Virginia</w:t>
      </w:r>
      <w:r w:rsidRPr="006248E3">
        <w:rPr>
          <w:rFonts w:asciiTheme="majorHAnsi" w:hAnsiTheme="majorHAnsi" w:cs="Arial"/>
          <w:sz w:val="16"/>
          <w:szCs w:val="16"/>
        </w:rPr>
        <w:t>, 536 U.S. 304 (2002) at 311-317.</w:t>
      </w:r>
    </w:p>
  </w:footnote>
  <w:footnote w:id="81">
    <w:p w14:paraId="69ADCE5A" w14:textId="77777777" w:rsidR="006E0105" w:rsidRPr="006248E3" w:rsidRDefault="006E0105" w:rsidP="00AE0D4A">
      <w:pPr>
        <w:pStyle w:val="FootnoteText"/>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Carol M. Romney, Ph. D., sworn affidavit dated September 18, 2006</w:t>
      </w:r>
      <w:r>
        <w:rPr>
          <w:rFonts w:asciiTheme="majorHAnsi" w:hAnsiTheme="majorHAnsi"/>
          <w:sz w:val="16"/>
        </w:rPr>
        <w:t>.</w:t>
      </w:r>
    </w:p>
  </w:footnote>
  <w:footnote w:id="82">
    <w:p w14:paraId="2AC17F04" w14:textId="1050CD3B" w:rsidR="006E0105" w:rsidRPr="006248E3" w:rsidRDefault="006E0105" w:rsidP="00FA5163">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jc w:val="both"/>
        <w:rPr>
          <w:rFonts w:asciiTheme="majorHAnsi" w:eastAsiaTheme="minorHAnsi" w:hAnsiTheme="majorHAnsi"/>
          <w:sz w:val="16"/>
          <w:szCs w:val="20"/>
          <w:bdr w:val="none" w:sz="0" w:space="0" w:color="auto"/>
        </w:rPr>
      </w:pPr>
      <w:r w:rsidRPr="006248E3">
        <w:rPr>
          <w:rStyle w:val="FootnoteReference"/>
          <w:rFonts w:asciiTheme="majorHAnsi" w:hAnsiTheme="majorHAnsi"/>
          <w:sz w:val="16"/>
        </w:rPr>
        <w:footnoteRef/>
      </w:r>
      <w:r w:rsidRPr="006248E3">
        <w:rPr>
          <w:rFonts w:asciiTheme="majorHAnsi" w:hAnsiTheme="majorHAnsi"/>
          <w:sz w:val="16"/>
        </w:rPr>
        <w:t xml:space="preserve"> See IACHR Report No. 77/09, Petition 1349-07, Admissibility, Orlando Cordia Hall, </w:t>
      </w:r>
      <w:r>
        <w:rPr>
          <w:rFonts w:asciiTheme="majorHAnsi" w:hAnsiTheme="majorHAnsi"/>
          <w:sz w:val="16"/>
        </w:rPr>
        <w:t>U</w:t>
      </w:r>
      <w:r w:rsidRPr="006248E3">
        <w:rPr>
          <w:rFonts w:asciiTheme="majorHAnsi" w:hAnsiTheme="majorHAnsi"/>
          <w:sz w:val="16"/>
        </w:rPr>
        <w:t xml:space="preserve">nited States, August 5, 2009, para 47; </w:t>
      </w:r>
      <w:r w:rsidRPr="006248E3">
        <w:rPr>
          <w:rFonts w:asciiTheme="majorHAnsi" w:eastAsiaTheme="minorHAnsi" w:hAnsiTheme="majorHAnsi"/>
          <w:sz w:val="16"/>
          <w:szCs w:val="16"/>
          <w:bdr w:val="none" w:sz="0" w:space="0" w:color="auto"/>
        </w:rPr>
        <w:t xml:space="preserve">Report No.61/03, Petition 4446-02, Admissibility, Roberto Moreno Ramos, United States, paragraph 66; Report No. 41/00, Case 12.023, Merits, McKenzie </w:t>
      </w:r>
      <w:r w:rsidRPr="006248E3">
        <w:rPr>
          <w:rFonts w:asciiTheme="majorHAnsi" w:eastAsiaTheme="minorHAnsi" w:hAnsiTheme="majorHAnsi"/>
          <w:i/>
          <w:iCs/>
          <w:sz w:val="16"/>
          <w:szCs w:val="16"/>
          <w:bdr w:val="none" w:sz="0" w:space="0" w:color="auto"/>
        </w:rPr>
        <w:t>et al</w:t>
      </w:r>
      <w:r w:rsidRPr="006248E3">
        <w:rPr>
          <w:rFonts w:asciiTheme="majorHAnsi" w:eastAsiaTheme="minorHAnsi" w:hAnsiTheme="majorHAnsi"/>
          <w:sz w:val="16"/>
          <w:szCs w:val="16"/>
          <w:bdr w:val="none" w:sz="0" w:space="0" w:color="auto"/>
        </w:rPr>
        <w:t xml:space="preserve">., Jamaica, paragraphs 169 -171. </w:t>
      </w:r>
    </w:p>
  </w:footnote>
  <w:footnote w:id="83">
    <w:p w14:paraId="5C327B64" w14:textId="77777777" w:rsidR="006E0105" w:rsidRPr="006248E3" w:rsidRDefault="006E0105" w:rsidP="00BA58C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Style w:val="FootnoteReference"/>
          <w:rFonts w:asciiTheme="majorHAnsi" w:hAnsiTheme="majorHAnsi"/>
          <w:color w:val="auto"/>
          <w:sz w:val="16"/>
          <w:szCs w:val="16"/>
        </w:rPr>
        <w:t xml:space="preserve"> </w:t>
      </w:r>
      <w:r w:rsidRPr="006248E3">
        <w:rPr>
          <w:rFonts w:asciiTheme="majorHAnsi" w:hAnsiTheme="majorHAnsi"/>
          <w:color w:val="auto"/>
          <w:sz w:val="16"/>
          <w:szCs w:val="16"/>
        </w:rPr>
        <w:t>Article XI of the American Declaration provides: “The right to the preservation of health and well-being – every person has the right to the preservation of his health through sanitary and social measures relating to food, clothing, housing and medical care, to the extent permitted by public and community resources.”</w:t>
      </w:r>
    </w:p>
  </w:footnote>
  <w:footnote w:id="84">
    <w:p w14:paraId="17B49B59" w14:textId="77777777" w:rsidR="006E0105" w:rsidRPr="006248E3" w:rsidRDefault="006E0105" w:rsidP="00BA58C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Style w:val="FootnoteReference"/>
          <w:rFonts w:asciiTheme="majorHAnsi" w:hAnsiTheme="majorHAnsi"/>
          <w:color w:val="auto"/>
          <w:sz w:val="16"/>
          <w:szCs w:val="16"/>
        </w:rPr>
        <w:t xml:space="preserve"> </w:t>
      </w:r>
      <w:r w:rsidRPr="006248E3">
        <w:rPr>
          <w:rFonts w:asciiTheme="majorHAnsi" w:hAnsiTheme="majorHAnsi"/>
          <w:color w:val="auto"/>
          <w:sz w:val="16"/>
          <w:szCs w:val="16"/>
        </w:rPr>
        <w:t>IACHR, Report No. 71/18, Case 12.958. Merits. Russell Bucklew. United States, May 10, 2018, paras. 86-90. In this report the Commission has cited a number of developments in the inter-American and other protections systems, including the regional and United Nations systems.</w:t>
      </w:r>
    </w:p>
  </w:footnote>
  <w:footnote w:id="85">
    <w:p w14:paraId="06B86E04" w14:textId="48B9F72C" w:rsidR="006E0105" w:rsidRPr="006248E3" w:rsidRDefault="006E0105" w:rsidP="00BA58CF">
      <w:pPr>
        <w:pStyle w:val="FootnoteText"/>
        <w:tabs>
          <w:tab w:val="right" w:pos="0"/>
          <w:tab w:val="left" w:pos="180"/>
          <w:tab w:val="left" w:pos="900"/>
        </w:tabs>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United Nations. Report of the Special Rapporteur on torture and other cruel, inhuman or degrading treatment of punishment. 9 August 2012. A/67/279, para 42. Citing: Patrick Hudson, “Does the death row phenomenon violate a prisoner’s rights under international law?”, </w:t>
      </w:r>
      <w:r w:rsidRPr="006248E3">
        <w:rPr>
          <w:rFonts w:asciiTheme="majorHAnsi" w:hAnsiTheme="majorHAnsi"/>
          <w:i/>
          <w:color w:val="auto"/>
          <w:sz w:val="16"/>
          <w:szCs w:val="16"/>
        </w:rPr>
        <w:t>European Journal of International Law</w:t>
      </w:r>
      <w:r w:rsidRPr="006248E3">
        <w:rPr>
          <w:rFonts w:asciiTheme="majorHAnsi" w:hAnsiTheme="majorHAnsi"/>
          <w:color w:val="auto"/>
          <w:sz w:val="16"/>
          <w:szCs w:val="16"/>
        </w:rPr>
        <w:t>, vol. 11, No. 4 (2000), pp. 834-837.</w:t>
      </w:r>
    </w:p>
  </w:footnote>
  <w:footnote w:id="86">
    <w:p w14:paraId="6C614A45" w14:textId="214C2FAC" w:rsidR="006E0105" w:rsidRPr="006248E3" w:rsidRDefault="006E0105" w:rsidP="00BA58C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United Nations. Report of the Special Rapporteur on torture and other cruel, inhuman or degrading treatment of punishment. 9 August 2012. A/67/279. para 42.</w:t>
      </w:r>
    </w:p>
  </w:footnote>
  <w:footnote w:id="87">
    <w:p w14:paraId="6B6B2975" w14:textId="77777777" w:rsidR="006E0105" w:rsidRPr="006248E3" w:rsidRDefault="006E0105" w:rsidP="00BA58CF">
      <w:pPr>
        <w:pStyle w:val="FootnoteText"/>
        <w:tabs>
          <w:tab w:val="right" w:pos="540"/>
          <w:tab w:val="left" w:pos="900"/>
        </w:tabs>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ECtHR. Case of Soering v. The United Kingdom. Report No. 14038/88. Judgment, July 7, 1989. para. 104.</w:t>
      </w:r>
    </w:p>
  </w:footnote>
  <w:footnote w:id="88">
    <w:p w14:paraId="794DBF86" w14:textId="7A9B3634" w:rsidR="006E0105" w:rsidRPr="006248E3" w:rsidRDefault="006E0105" w:rsidP="002003C1">
      <w:pPr>
        <w:pStyle w:val="FootnoteText"/>
        <w:jc w:val="both"/>
        <w:rPr>
          <w:rFonts w:asciiTheme="majorHAnsi" w:hAnsiTheme="majorHAnsi"/>
          <w:color w:val="auto"/>
          <w:sz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European Court of Human Rights, Soering v. United Kingdom. Judgment of July 7, 1989. Series A,  Vol. 161. Likewise, the Supreme Court of the United States of America recognised in Furman v. Georgia that the time spent awaiting the execution of a death sentence destroys the human spirit and constitutes psychological torture that often leads to insanity. Cf. Furman v. Georgia, 408 U.S. 238, 287‐288 (197).</w:t>
      </w:r>
      <w:r w:rsidRPr="006248E3">
        <w:rPr>
          <w:rFonts w:asciiTheme="majorHAnsi" w:hAnsiTheme="majorHAnsi"/>
          <w:color w:val="auto"/>
          <w:sz w:val="16"/>
        </w:rPr>
        <w:t> </w:t>
      </w:r>
    </w:p>
  </w:footnote>
  <w:footnote w:id="89">
    <w:p w14:paraId="05BE2E33" w14:textId="77777777" w:rsidR="006E0105" w:rsidRPr="006248E3" w:rsidRDefault="006E0105" w:rsidP="00BA58CF">
      <w:pPr>
        <w:pStyle w:val="FootnoteText"/>
        <w:tabs>
          <w:tab w:val="right" w:pos="540"/>
          <w:tab w:val="left" w:pos="900"/>
        </w:tabs>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ECtHR. Case of Soering v. The United Kingdom. Report No. 14038/88. Judgment, July 7, 1989. para. 106.</w:t>
      </w:r>
    </w:p>
  </w:footnote>
  <w:footnote w:id="90">
    <w:p w14:paraId="6BFF0708" w14:textId="77777777" w:rsidR="006E0105" w:rsidRPr="006248E3" w:rsidRDefault="006E0105" w:rsidP="00BA58CF">
      <w:pPr>
        <w:pStyle w:val="FootnoteText"/>
        <w:tabs>
          <w:tab w:val="right" w:pos="540"/>
          <w:tab w:val="left" w:pos="900"/>
        </w:tabs>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ECtHR. Case of Soering v. The United Kingdom. Report No. 14038/88. Judgment, July 7, 1989. para. 111.</w:t>
      </w:r>
    </w:p>
  </w:footnote>
  <w:footnote w:id="91">
    <w:p w14:paraId="31BDBA10" w14:textId="269C3D64" w:rsidR="006E0105" w:rsidRPr="006248E3" w:rsidRDefault="006E0105" w:rsidP="00BA58CF">
      <w:pPr>
        <w:widowControl w:val="0"/>
        <w:autoSpaceDE w:val="0"/>
        <w:autoSpaceDN w:val="0"/>
        <w:adjustRightInd w:val="0"/>
        <w:jc w:val="both"/>
        <w:rPr>
          <w:rFonts w:asciiTheme="majorHAnsi" w:hAnsiTheme="majorHAnsi" w:cs="Arial"/>
          <w:bCs/>
          <w:sz w:val="16"/>
          <w:szCs w:val="16"/>
        </w:rPr>
      </w:pPr>
      <w:r w:rsidRPr="006248E3">
        <w:rPr>
          <w:rStyle w:val="FootnoteReference"/>
          <w:rFonts w:asciiTheme="majorHAnsi" w:hAnsiTheme="majorHAnsi"/>
          <w:sz w:val="16"/>
          <w:szCs w:val="16"/>
        </w:rPr>
        <w:footnoteRef/>
      </w:r>
      <w:r w:rsidRPr="006248E3">
        <w:rPr>
          <w:rFonts w:asciiTheme="majorHAnsi" w:hAnsiTheme="majorHAnsi"/>
          <w:sz w:val="16"/>
          <w:szCs w:val="16"/>
        </w:rPr>
        <w:t xml:space="preserve"> Pratt and Morgan v. The Attorney General for Jamaica and another (Jamaica) [1993] UKPC 1 (2nd November 1993), paras. 73-75 and 84. </w:t>
      </w:r>
    </w:p>
  </w:footnote>
  <w:footnote w:id="92">
    <w:p w14:paraId="5697D0E7" w14:textId="77777777" w:rsidR="006E0105" w:rsidRPr="006248E3" w:rsidRDefault="006E0105" w:rsidP="00BA58C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Supreme Court of Uganda in </w:t>
      </w:r>
      <w:r w:rsidRPr="006248E3">
        <w:rPr>
          <w:rFonts w:asciiTheme="majorHAnsi" w:hAnsiTheme="majorHAnsi"/>
          <w:i/>
          <w:color w:val="auto"/>
          <w:sz w:val="16"/>
          <w:szCs w:val="16"/>
        </w:rPr>
        <w:t>Attorney General v. Susan Kigula</w:t>
      </w:r>
      <w:r w:rsidRPr="006248E3">
        <w:rPr>
          <w:rFonts w:asciiTheme="majorHAnsi" w:hAnsiTheme="majorHAnsi"/>
          <w:color w:val="auto"/>
          <w:sz w:val="16"/>
          <w:szCs w:val="16"/>
        </w:rPr>
        <w:t xml:space="preserve"> and 417 others (Constitutional Appeal No. 3 of 2006), 2009.</w:t>
      </w:r>
    </w:p>
  </w:footnote>
  <w:footnote w:id="93">
    <w:p w14:paraId="193606A3" w14:textId="77777777" w:rsidR="006E0105" w:rsidRPr="006248E3" w:rsidRDefault="006E0105" w:rsidP="00BA58C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Judgment of the Supreme Court of Zimbabwe of 24 June 1993 in </w:t>
      </w:r>
      <w:r w:rsidRPr="006248E3">
        <w:rPr>
          <w:rFonts w:asciiTheme="majorHAnsi" w:hAnsiTheme="majorHAnsi"/>
          <w:i/>
          <w:color w:val="auto"/>
          <w:sz w:val="16"/>
          <w:szCs w:val="16"/>
        </w:rPr>
        <w:t>Catholic Commissioner for Justice and Peace in Zimbabwe v. Attorney General</w:t>
      </w:r>
      <w:r w:rsidRPr="006248E3">
        <w:rPr>
          <w:rFonts w:asciiTheme="majorHAnsi" w:hAnsiTheme="majorHAnsi"/>
          <w:color w:val="auto"/>
          <w:sz w:val="16"/>
          <w:szCs w:val="16"/>
        </w:rPr>
        <w:t xml:space="preserve"> (4) SA 239 (ZS).</w:t>
      </w:r>
    </w:p>
  </w:footnote>
  <w:footnote w:id="94">
    <w:p w14:paraId="48A95117" w14:textId="77777777" w:rsidR="006E0105" w:rsidRPr="006248E3" w:rsidRDefault="006E0105" w:rsidP="001F0E31">
      <w:pPr>
        <w:pStyle w:val="NormalWeb"/>
        <w:spacing w:before="0" w:beforeAutospacing="0" w:after="0" w:afterAutospacing="0"/>
        <w:jc w:val="both"/>
        <w:rPr>
          <w:rFonts w:asciiTheme="majorHAnsi" w:eastAsia="Arial Unicode MS" w:hAnsiTheme="majorHAnsi"/>
          <w:sz w:val="16"/>
          <w:szCs w:val="20"/>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eastAsia="Arial Unicode MS" w:hAnsiTheme="majorHAnsi"/>
          <w:sz w:val="16"/>
          <w:szCs w:val="16"/>
        </w:rPr>
        <w:t xml:space="preserve">In that respect, guideline xiv) of the “EU Guidelines on Death Penalty” establishes that “Where capital punishment occurs, it shall be carried out so as to inflict the minimum possible suffering. It may not be carried out in public or in any other degrading manner EU Guidelines on the Death Penalty: revised and updated version. </w:t>
      </w:r>
    </w:p>
  </w:footnote>
  <w:footnote w:id="95">
    <w:p w14:paraId="2298A9D6" w14:textId="77777777" w:rsidR="006E0105" w:rsidRPr="006248E3" w:rsidRDefault="006E0105" w:rsidP="001F0E31">
      <w:pPr>
        <w:pStyle w:val="NormalWeb"/>
        <w:spacing w:before="0" w:beforeAutospacing="0" w:after="0" w:afterAutospacing="0"/>
        <w:jc w:val="both"/>
        <w:rPr>
          <w:rFonts w:asciiTheme="majorHAnsi" w:eastAsia="Arial Unicode MS" w:hAnsiTheme="majorHAnsi"/>
          <w:sz w:val="16"/>
          <w:szCs w:val="20"/>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eastAsia="Arial Unicode MS" w:hAnsiTheme="majorHAnsi"/>
          <w:sz w:val="16"/>
          <w:szCs w:val="16"/>
        </w:rPr>
        <w:t xml:space="preserve">Economic and Social Council, Safeguards guaranteeing protection of the rights of those facing the death penalty. </w:t>
      </w:r>
    </w:p>
  </w:footnote>
  <w:footnote w:id="96">
    <w:p w14:paraId="55B83F59" w14:textId="77777777" w:rsidR="006E0105" w:rsidRPr="006248E3" w:rsidRDefault="006E0105" w:rsidP="001F0E31">
      <w:pPr>
        <w:pStyle w:val="NormalWeb"/>
        <w:spacing w:before="0" w:beforeAutospacing="0" w:after="0" w:afterAutospacing="0"/>
        <w:jc w:val="both"/>
        <w:rPr>
          <w:rFonts w:asciiTheme="majorHAnsi" w:eastAsia="Arial Unicode MS" w:hAnsiTheme="majorHAnsi"/>
          <w:sz w:val="16"/>
          <w:szCs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eastAsia="Arial Unicode MS" w:hAnsiTheme="majorHAnsi"/>
          <w:sz w:val="16"/>
          <w:szCs w:val="16"/>
        </w:rPr>
        <w:t>A/HRC/30/18, Human Rights Council, Capital punishment and the implementation of the safeguards guaranteeing protection of the rights of those facing the death penalty, Yearly supplement of the Secretary-General to his quinquennial report on capital punishment, para.32; also see: Office of the High Commissioner for Human Rights “Despite progress in abolishing the death penalty, thousands remain on death row.  Available at https://www.ohchr.org/EN/NewsEvents/Pages/DeathPenalty.aspx</w:t>
      </w:r>
    </w:p>
  </w:footnote>
  <w:footnote w:id="97">
    <w:p w14:paraId="1863138C" w14:textId="77777777" w:rsidR="006E0105" w:rsidRPr="006248E3" w:rsidRDefault="006E0105" w:rsidP="001F0E31">
      <w:pPr>
        <w:pStyle w:val="NormalWeb"/>
        <w:spacing w:before="0" w:beforeAutospacing="0" w:after="0" w:afterAutospacing="0"/>
        <w:jc w:val="both"/>
        <w:rPr>
          <w:rFonts w:asciiTheme="majorHAnsi" w:eastAsia="Arial Unicode MS" w:hAnsiTheme="majorHAnsi"/>
          <w:sz w:val="16"/>
          <w:szCs w:val="20"/>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eastAsia="Arial Unicode MS" w:hAnsiTheme="majorHAnsi"/>
          <w:sz w:val="16"/>
          <w:szCs w:val="16"/>
        </w:rPr>
        <w:t xml:space="preserve">A/HRC/30/18, Human Rights Council, Capital punishment and the implementation of the safeguards guaranteeing protection of the rights of those facing the death penalty, Yearly supplement of the Secretary-General to his quinquennial report on capital punishment, para. 50. </w:t>
      </w:r>
    </w:p>
  </w:footnote>
  <w:footnote w:id="98">
    <w:p w14:paraId="2BF1B003" w14:textId="77777777" w:rsidR="006E0105" w:rsidRPr="006248E3" w:rsidRDefault="006E0105" w:rsidP="001F0E31">
      <w:pPr>
        <w:pStyle w:val="FootnoteText"/>
        <w:jc w:val="both"/>
        <w:rPr>
          <w:rFonts w:asciiTheme="majorHAnsi" w:hAnsiTheme="majorHAnsi"/>
          <w:color w:val="auto"/>
          <w:sz w:val="16"/>
        </w:rPr>
      </w:pPr>
      <w:r w:rsidRPr="006248E3">
        <w:rPr>
          <w:rStyle w:val="FootnoteReference"/>
          <w:rFonts w:asciiTheme="majorHAnsi" w:hAnsiTheme="majorHAnsi"/>
          <w:color w:val="auto"/>
          <w:sz w:val="16"/>
        </w:rPr>
        <w:footnoteRef/>
      </w:r>
      <w:r w:rsidRPr="006248E3">
        <w:rPr>
          <w:rFonts w:asciiTheme="majorHAnsi" w:hAnsiTheme="majorHAnsi"/>
          <w:color w:val="auto"/>
          <w:sz w:val="16"/>
        </w:rPr>
        <w:t xml:space="preserve"> </w:t>
      </w:r>
      <w:r w:rsidRPr="006248E3">
        <w:rPr>
          <w:rFonts w:asciiTheme="majorHAnsi" w:hAnsiTheme="majorHAnsi"/>
          <w:color w:val="auto"/>
          <w:sz w:val="16"/>
          <w:szCs w:val="16"/>
          <w:bdr w:val="none" w:sz="0" w:space="0" w:color="auto"/>
        </w:rPr>
        <w:t>IACHR, Report No. 11/15, Case 12.833, Merits (Publication), Felix Rocha Diaz, United States, March 23, 2015, para. 84</w:t>
      </w:r>
    </w:p>
  </w:footnote>
  <w:footnote w:id="99">
    <w:p w14:paraId="71FA27DF" w14:textId="77777777" w:rsidR="006E0105" w:rsidRPr="006248E3" w:rsidRDefault="006E0105" w:rsidP="001F0E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20"/>
          <w:bdr w:val="none" w:sz="0" w:space="0" w:color="auto"/>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16"/>
          <w:bdr w:val="none" w:sz="0" w:space="0" w:color="auto"/>
        </w:rPr>
        <w:t>IACHR, Report No. 53/13, Case 12.864, Merits (Publication), Ivan Teleguz, United States, July 15, 2013, para. 123.</w:t>
      </w:r>
    </w:p>
  </w:footnote>
  <w:footnote w:id="100">
    <w:p w14:paraId="24D88C7A" w14:textId="77777777" w:rsidR="006E0105" w:rsidRPr="006248E3" w:rsidRDefault="006E0105" w:rsidP="001F0E31">
      <w:pPr>
        <w:pStyle w:val="FootnoteText"/>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IACHR, Report No. 53/13, Case 12.864, Merits (Publication), Iván Teleguz, United States (July 15, 2013), at paras. 121, 124</w:t>
      </w:r>
    </w:p>
  </w:footnote>
  <w:footnote w:id="101">
    <w:p w14:paraId="2291DE8B" w14:textId="77777777" w:rsidR="006E0105" w:rsidRPr="006248E3" w:rsidRDefault="006E0105" w:rsidP="001F0E31">
      <w:pPr>
        <w:pStyle w:val="FootnoteText"/>
        <w:jc w:val="both"/>
        <w:rPr>
          <w:rFonts w:asciiTheme="majorHAnsi" w:hAnsiTheme="majorHAnsi"/>
          <w:color w:val="auto"/>
          <w:sz w:val="16"/>
        </w:rPr>
      </w:pPr>
      <w:r w:rsidRPr="006248E3">
        <w:rPr>
          <w:rStyle w:val="FootnoteReference"/>
          <w:rFonts w:asciiTheme="majorHAnsi" w:hAnsiTheme="majorHAnsi"/>
          <w:color w:val="auto"/>
          <w:sz w:val="16"/>
        </w:rPr>
        <w:footnoteRef/>
      </w:r>
      <w:r w:rsidRPr="006248E3">
        <w:rPr>
          <w:rFonts w:asciiTheme="majorHAnsi" w:hAnsiTheme="majorHAnsi"/>
          <w:color w:val="auto"/>
          <w:sz w:val="16"/>
        </w:rPr>
        <w:t xml:space="preserve"> Committee Against Torture, Considerations of Reports submitted by State Parties under Article 19 of the Convention, United States, CAT/C/USA/CO/2, July 25, 2006, para 31</w:t>
      </w:r>
    </w:p>
  </w:footnote>
  <w:footnote w:id="102">
    <w:p w14:paraId="51133324" w14:textId="77777777" w:rsidR="006E0105" w:rsidRPr="006248E3" w:rsidRDefault="006E0105">
      <w:pPr>
        <w:pStyle w:val="FootnoteText"/>
        <w:rPr>
          <w:rFonts w:asciiTheme="majorHAnsi" w:hAnsiTheme="majorHAnsi"/>
          <w:sz w:val="16"/>
        </w:rPr>
      </w:pPr>
      <w:r w:rsidRPr="006248E3">
        <w:rPr>
          <w:rStyle w:val="FootnoteReference"/>
          <w:rFonts w:asciiTheme="majorHAnsi" w:hAnsiTheme="majorHAnsi"/>
          <w:sz w:val="16"/>
        </w:rPr>
        <w:footnoteRef/>
      </w:r>
      <w:r w:rsidRPr="006248E3">
        <w:rPr>
          <w:rFonts w:asciiTheme="majorHAnsi" w:hAnsiTheme="majorHAnsi"/>
          <w:sz w:val="16"/>
        </w:rPr>
        <w:t xml:space="preserve"> </w:t>
      </w:r>
      <w:r w:rsidRPr="006248E3">
        <w:rPr>
          <w:rFonts w:asciiTheme="majorHAnsi" w:hAnsiTheme="majorHAnsi"/>
          <w:sz w:val="16"/>
          <w:szCs w:val="20"/>
        </w:rPr>
        <w:t>Texas Department of Criminal Justice v. Levin, 572 S.W.3d 671 (Tex. 2019)</w:t>
      </w:r>
    </w:p>
  </w:footnote>
  <w:footnote w:id="103">
    <w:p w14:paraId="689DD234" w14:textId="77777777" w:rsidR="006E0105" w:rsidRPr="006248E3" w:rsidRDefault="006E0105" w:rsidP="00C55C6F">
      <w:pPr>
        <w:pStyle w:val="FootnoteText"/>
        <w:jc w:val="both"/>
        <w:rPr>
          <w:rFonts w:asciiTheme="majorHAnsi" w:hAnsiTheme="majorHAnsi"/>
          <w:sz w:val="16"/>
        </w:rPr>
      </w:pPr>
      <w:r w:rsidRPr="006248E3">
        <w:rPr>
          <w:rStyle w:val="FootnoteReference"/>
          <w:rFonts w:asciiTheme="majorHAnsi" w:hAnsiTheme="majorHAnsi"/>
          <w:color w:val="auto"/>
          <w:sz w:val="16"/>
          <w:szCs w:val="16"/>
        </w:rPr>
        <w:footnoteRef/>
      </w:r>
      <w:r w:rsidRPr="006248E3">
        <w:rPr>
          <w:rStyle w:val="FootnoteReference"/>
          <w:rFonts w:asciiTheme="majorHAnsi" w:hAnsiTheme="majorHAnsi"/>
          <w:color w:val="auto"/>
          <w:sz w:val="16"/>
          <w:szCs w:val="16"/>
        </w:rPr>
        <w:t xml:space="preserve"> </w:t>
      </w:r>
      <w:r w:rsidRPr="006248E3">
        <w:rPr>
          <w:rFonts w:asciiTheme="majorHAnsi" w:hAnsiTheme="majorHAnsi"/>
          <w:color w:val="auto"/>
          <w:sz w:val="16"/>
          <w:szCs w:val="16"/>
        </w:rPr>
        <w:t>Article I of the American Declaration establishes: Every human being has the right to life, liberty and the security of his person.</w:t>
      </w:r>
    </w:p>
  </w:footnote>
  <w:footnote w:id="104">
    <w:p w14:paraId="099604D6" w14:textId="77777777" w:rsidR="006E0105" w:rsidRPr="006248E3" w:rsidRDefault="006E0105" w:rsidP="00C55C6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 Report No. 53/13, Case 12.864, Merits (Publication), Ivan Teleguz, United States, July 15, 2013, para. 129.</w:t>
      </w:r>
    </w:p>
  </w:footnote>
  <w:footnote w:id="105">
    <w:p w14:paraId="5B444774" w14:textId="77777777" w:rsidR="006E0105" w:rsidRPr="006248E3" w:rsidRDefault="006E0105" w:rsidP="00C55C6F">
      <w:pPr>
        <w:pStyle w:val="FootnoteText"/>
        <w:jc w:val="both"/>
        <w:rPr>
          <w:rFonts w:asciiTheme="majorHAnsi" w:hAnsiTheme="majorHAnsi"/>
          <w:color w:val="auto"/>
          <w:sz w:val="16"/>
          <w:szCs w:val="16"/>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IACHR, Report No. 11/15, Case 12.833, Merits (Publication), Félix Rocha Díaz, United States, March 23, 2015, para. 106.</w:t>
      </w:r>
    </w:p>
  </w:footnote>
  <w:footnote w:id="106">
    <w:p w14:paraId="440AF905" w14:textId="7C0D391F" w:rsidR="006E0105" w:rsidRPr="00334BDA" w:rsidRDefault="006E0105" w:rsidP="004246BA">
      <w:pPr>
        <w:pStyle w:val="FootnoteText"/>
        <w:jc w:val="both"/>
        <w:rPr>
          <w:rFonts w:asciiTheme="majorHAnsi" w:hAnsiTheme="majorHAnsi"/>
          <w:color w:val="auto"/>
          <w:sz w:val="16"/>
          <w:szCs w:val="16"/>
          <w:bdr w:val="none" w:sz="0" w:space="0" w:color="auto"/>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See in this regard, IACHR, The death penalty in the Inter-American Human Rights System: From restrictions to abolition, OEA/Ser.L/V/II.</w:t>
      </w:r>
      <w:r>
        <w:rPr>
          <w:rFonts w:asciiTheme="majorHAnsi" w:hAnsiTheme="majorHAnsi"/>
          <w:color w:val="auto"/>
          <w:sz w:val="16"/>
          <w:szCs w:val="16"/>
        </w:rPr>
        <w:t xml:space="preserve"> </w:t>
      </w:r>
      <w:r w:rsidRPr="006248E3">
        <w:rPr>
          <w:rFonts w:asciiTheme="majorHAnsi" w:hAnsiTheme="majorHAnsi"/>
          <w:color w:val="auto"/>
          <w:sz w:val="16"/>
          <w:szCs w:val="16"/>
        </w:rPr>
        <w:t>Doc</w:t>
      </w:r>
      <w:r>
        <w:rPr>
          <w:rFonts w:asciiTheme="majorHAnsi" w:hAnsiTheme="majorHAnsi"/>
          <w:color w:val="auto"/>
          <w:sz w:val="16"/>
          <w:szCs w:val="16"/>
        </w:rPr>
        <w:t>.</w:t>
      </w:r>
      <w:r w:rsidRPr="006248E3">
        <w:rPr>
          <w:rFonts w:asciiTheme="majorHAnsi" w:hAnsiTheme="majorHAnsi"/>
          <w:color w:val="auto"/>
          <w:sz w:val="16"/>
          <w:szCs w:val="16"/>
        </w:rPr>
        <w:t xml:space="preserve"> 68, December 31, 2011.</w:t>
      </w:r>
    </w:p>
  </w:footnote>
  <w:footnote w:id="107">
    <w:p w14:paraId="0A859BDA" w14:textId="4A3E9B2F" w:rsidR="006E0105" w:rsidRPr="00334BDA" w:rsidRDefault="006E0105" w:rsidP="004246BA">
      <w:pPr>
        <w:pStyle w:val="FootnoteText"/>
        <w:jc w:val="both"/>
        <w:rPr>
          <w:rFonts w:asciiTheme="majorHAnsi" w:hAnsiTheme="majorHAnsi"/>
          <w:color w:val="auto"/>
          <w:sz w:val="16"/>
          <w:szCs w:val="16"/>
          <w:bdr w:val="none" w:sz="0" w:space="0" w:color="auto"/>
        </w:rPr>
      </w:pPr>
      <w:r w:rsidRPr="006248E3">
        <w:rPr>
          <w:rStyle w:val="FootnoteReference"/>
          <w:rFonts w:asciiTheme="majorHAnsi" w:hAnsiTheme="majorHAnsi"/>
          <w:color w:val="auto"/>
          <w:sz w:val="16"/>
          <w:szCs w:val="16"/>
        </w:rPr>
        <w:footnoteRef/>
      </w:r>
      <w:r w:rsidRPr="006248E3">
        <w:rPr>
          <w:rFonts w:asciiTheme="majorHAnsi" w:hAnsiTheme="majorHAnsi"/>
          <w:color w:val="auto"/>
          <w:sz w:val="16"/>
          <w:szCs w:val="16"/>
        </w:rPr>
        <w:t xml:space="preserve"> See in this regard, IACHR, The death penalty in the Inter-American Human Rights System: From restrictions to abolition, OEA/Ser.L/V/II.</w:t>
      </w:r>
      <w:r>
        <w:rPr>
          <w:rFonts w:asciiTheme="majorHAnsi" w:hAnsiTheme="majorHAnsi"/>
          <w:color w:val="auto"/>
          <w:sz w:val="16"/>
          <w:szCs w:val="16"/>
        </w:rPr>
        <w:t xml:space="preserve"> </w:t>
      </w:r>
      <w:r w:rsidRPr="006248E3">
        <w:rPr>
          <w:rFonts w:asciiTheme="majorHAnsi" w:hAnsiTheme="majorHAnsi"/>
          <w:color w:val="auto"/>
          <w:sz w:val="16"/>
          <w:szCs w:val="16"/>
        </w:rPr>
        <w:t>Doc</w:t>
      </w:r>
      <w:r>
        <w:rPr>
          <w:rFonts w:asciiTheme="majorHAnsi" w:hAnsiTheme="majorHAnsi"/>
          <w:color w:val="auto"/>
          <w:sz w:val="16"/>
          <w:szCs w:val="16"/>
        </w:rPr>
        <w:t>.</w:t>
      </w:r>
      <w:r w:rsidRPr="006248E3">
        <w:rPr>
          <w:rFonts w:asciiTheme="majorHAnsi" w:hAnsiTheme="majorHAnsi"/>
          <w:color w:val="auto"/>
          <w:sz w:val="16"/>
          <w:szCs w:val="16"/>
        </w:rPr>
        <w:t xml:space="preserve">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06F5" w14:textId="77777777" w:rsidR="006E0105" w:rsidRDefault="006E0105"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B8BBB05" w14:textId="77777777" w:rsidR="006E0105" w:rsidRDefault="006E0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C41F" w14:textId="77777777" w:rsidR="006E0105" w:rsidRDefault="006E0105" w:rsidP="002C1641">
    <w:pPr>
      <w:pStyle w:val="Header"/>
      <w:tabs>
        <w:tab w:val="clear" w:pos="4320"/>
        <w:tab w:val="clear" w:pos="8640"/>
      </w:tabs>
      <w:jc w:val="center"/>
      <w:rPr>
        <w:sz w:val="22"/>
        <w:szCs w:val="22"/>
      </w:rPr>
    </w:pPr>
    <w:r>
      <w:rPr>
        <w:noProof/>
        <w:sz w:val="22"/>
        <w:szCs w:val="22"/>
      </w:rPr>
      <w:drawing>
        <wp:inline distT="0" distB="0" distL="0" distR="0" wp14:anchorId="0E90FDEE" wp14:editId="6B6A5D43">
          <wp:extent cx="2209800" cy="117396"/>
          <wp:effectExtent l="0" t="0" r="0" b="0"/>
          <wp:docPr id="7" name="Picture 7"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0D79B59" w14:textId="77777777" w:rsidR="006E0105" w:rsidRPr="00EC7D62" w:rsidRDefault="00995254" w:rsidP="002C1641">
    <w:pPr>
      <w:pStyle w:val="Header"/>
      <w:tabs>
        <w:tab w:val="clear" w:pos="4320"/>
        <w:tab w:val="clear" w:pos="8640"/>
      </w:tabs>
      <w:jc w:val="center"/>
      <w:rPr>
        <w:sz w:val="22"/>
        <w:szCs w:val="22"/>
      </w:rPr>
    </w:pPr>
    <w:r>
      <w:rPr>
        <w:noProof/>
        <w:sz w:val="22"/>
        <w:szCs w:val="22"/>
        <w:bdr w:val="nil"/>
      </w:rPr>
      <w:pict w14:anchorId="2B01FE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4"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39" w15:restartNumberingAfterBreak="0">
    <w:nsid w:val="51B54E98"/>
    <w:multiLevelType w:val="hybridMultilevel"/>
    <w:tmpl w:val="B6CE8B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40"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3"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6" w15:restartNumberingAfterBreak="0">
    <w:nsid w:val="5D7D4B9D"/>
    <w:multiLevelType w:val="hybridMultilevel"/>
    <w:tmpl w:val="B2BEA4E0"/>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9"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2"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5" w15:restartNumberingAfterBreak="0">
    <w:nsid w:val="7745554A"/>
    <w:multiLevelType w:val="hybridMultilevel"/>
    <w:tmpl w:val="73D87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b/>
        <w:bCs/>
        <w:color w:val="000000"/>
        <w:position w:val="0"/>
        <w:sz w:val="22"/>
        <w:szCs w:val="22"/>
        <w:u w:color="000000"/>
        <w:lang w:val="es-ES_tradnl"/>
      </w:rPr>
    </w:lvl>
  </w:abstractNum>
  <w:abstractNum w:abstractNumId="58" w15:restartNumberingAfterBreak="0">
    <w:nsid w:val="7994649A"/>
    <w:multiLevelType w:val="hybridMultilevel"/>
    <w:tmpl w:val="A6F6CA10"/>
    <w:lvl w:ilvl="0" w:tplc="C6FEA962">
      <w:start w:val="1"/>
      <w:numFmt w:val="upperLetter"/>
      <w:lvlText w:val="%1."/>
      <w:lvlJc w:val="left"/>
      <w:pPr>
        <w:ind w:left="360" w:hanging="360"/>
      </w:pPr>
      <w:rPr>
        <w:rFonts w:hint="default"/>
        <w:color w:val="auto"/>
      </w:rPr>
    </w:lvl>
    <w:lvl w:ilvl="1" w:tplc="5B9AA624">
      <w:start w:val="1"/>
      <w:numFmt w:val="decimal"/>
      <w:lvlText w:val="%2."/>
      <w:lvlJc w:val="left"/>
      <w:pPr>
        <w:ind w:left="757" w:hanging="37"/>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48"/>
  </w:num>
  <w:num w:numId="6">
    <w:abstractNumId w:val="25"/>
  </w:num>
  <w:num w:numId="7">
    <w:abstractNumId w:val="6"/>
  </w:num>
  <w:num w:numId="8">
    <w:abstractNumId w:val="16"/>
  </w:num>
  <w:num w:numId="9">
    <w:abstractNumId w:val="42"/>
  </w:num>
  <w:num w:numId="10">
    <w:abstractNumId w:val="0"/>
  </w:num>
  <w:num w:numId="11">
    <w:abstractNumId w:val="34"/>
  </w:num>
  <w:num w:numId="12">
    <w:abstractNumId w:val="35"/>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7"/>
  </w:num>
  <w:num w:numId="42">
    <w:abstractNumId w:val="50"/>
  </w:num>
  <w:num w:numId="43">
    <w:abstractNumId w:val="51"/>
  </w:num>
  <w:num w:numId="44">
    <w:abstractNumId w:val="54"/>
  </w:num>
  <w:num w:numId="45">
    <w:abstractNumId w:val="56"/>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38"/>
  </w:num>
  <w:num w:numId="53">
    <w:abstractNumId w:val="52"/>
  </w:num>
  <w:num w:numId="54">
    <w:abstractNumId w:val="45"/>
  </w:num>
  <w:num w:numId="55">
    <w:abstractNumId w:val="46"/>
  </w:num>
  <w:num w:numId="56">
    <w:abstractNumId w:val="49"/>
  </w:num>
  <w:num w:numId="57">
    <w:abstractNumId w:val="41"/>
  </w:num>
  <w:num w:numId="58">
    <w:abstractNumId w:val="55"/>
  </w:num>
  <w:num w:numId="59">
    <w:abstractNumId w:val="53"/>
    <w:lvlOverride w:ilvl="0">
      <w:startOverride w:val="1"/>
    </w:lvlOverride>
  </w:num>
  <w:num w:numId="60">
    <w:abstractNumId w:val="53"/>
  </w:num>
  <w:num w:numId="61">
    <w:abstractNumId w:val="40"/>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num>
  <w:num w:numId="64">
    <w:abstractNumId w:val="39"/>
  </w:num>
  <w:num w:numId="65">
    <w:abstractNumId w:val="43"/>
  </w:num>
  <w:num w:numId="66">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DF4"/>
    <w:rsid w:val="00001132"/>
    <w:rsid w:val="0000197A"/>
    <w:rsid w:val="00001B5B"/>
    <w:rsid w:val="00001D3B"/>
    <w:rsid w:val="00002328"/>
    <w:rsid w:val="00003AC1"/>
    <w:rsid w:val="00003EC6"/>
    <w:rsid w:val="00004013"/>
    <w:rsid w:val="00004191"/>
    <w:rsid w:val="0000441B"/>
    <w:rsid w:val="00004BB7"/>
    <w:rsid w:val="00005048"/>
    <w:rsid w:val="000050CC"/>
    <w:rsid w:val="00005E59"/>
    <w:rsid w:val="000060AC"/>
    <w:rsid w:val="00006693"/>
    <w:rsid w:val="00006896"/>
    <w:rsid w:val="00006DD7"/>
    <w:rsid w:val="00006E50"/>
    <w:rsid w:val="00006EDD"/>
    <w:rsid w:val="000070D7"/>
    <w:rsid w:val="00007690"/>
    <w:rsid w:val="000076B6"/>
    <w:rsid w:val="00007A99"/>
    <w:rsid w:val="00007B4D"/>
    <w:rsid w:val="00007BD1"/>
    <w:rsid w:val="00007F34"/>
    <w:rsid w:val="00007F9D"/>
    <w:rsid w:val="00010600"/>
    <w:rsid w:val="00010877"/>
    <w:rsid w:val="00010A7E"/>
    <w:rsid w:val="00010B22"/>
    <w:rsid w:val="000111A1"/>
    <w:rsid w:val="000111A8"/>
    <w:rsid w:val="00011E4C"/>
    <w:rsid w:val="00011EB8"/>
    <w:rsid w:val="00012267"/>
    <w:rsid w:val="00012470"/>
    <w:rsid w:val="00012683"/>
    <w:rsid w:val="0001291F"/>
    <w:rsid w:val="00012ADD"/>
    <w:rsid w:val="00012C65"/>
    <w:rsid w:val="00012E2A"/>
    <w:rsid w:val="00012E4F"/>
    <w:rsid w:val="00013BDD"/>
    <w:rsid w:val="00013F78"/>
    <w:rsid w:val="00014FBC"/>
    <w:rsid w:val="00015472"/>
    <w:rsid w:val="00015F42"/>
    <w:rsid w:val="000169CA"/>
    <w:rsid w:val="00016B44"/>
    <w:rsid w:val="0001723B"/>
    <w:rsid w:val="00017552"/>
    <w:rsid w:val="0001788C"/>
    <w:rsid w:val="00017B2F"/>
    <w:rsid w:val="00020925"/>
    <w:rsid w:val="00021201"/>
    <w:rsid w:val="00021557"/>
    <w:rsid w:val="00022424"/>
    <w:rsid w:val="00022F55"/>
    <w:rsid w:val="000230EB"/>
    <w:rsid w:val="000232AE"/>
    <w:rsid w:val="0002357A"/>
    <w:rsid w:val="00023901"/>
    <w:rsid w:val="00024428"/>
    <w:rsid w:val="0002463B"/>
    <w:rsid w:val="00024730"/>
    <w:rsid w:val="000249D7"/>
    <w:rsid w:val="00024A24"/>
    <w:rsid w:val="00024BB7"/>
    <w:rsid w:val="0002510E"/>
    <w:rsid w:val="00025DFF"/>
    <w:rsid w:val="000265CB"/>
    <w:rsid w:val="0002681D"/>
    <w:rsid w:val="0003022F"/>
    <w:rsid w:val="00030834"/>
    <w:rsid w:val="00031189"/>
    <w:rsid w:val="000315B2"/>
    <w:rsid w:val="00031A82"/>
    <w:rsid w:val="0003262C"/>
    <w:rsid w:val="00032BDA"/>
    <w:rsid w:val="0003324D"/>
    <w:rsid w:val="000332F4"/>
    <w:rsid w:val="00033998"/>
    <w:rsid w:val="0003465F"/>
    <w:rsid w:val="00034BA1"/>
    <w:rsid w:val="00034BF9"/>
    <w:rsid w:val="0003540D"/>
    <w:rsid w:val="00035616"/>
    <w:rsid w:val="00035ECA"/>
    <w:rsid w:val="00036A8A"/>
    <w:rsid w:val="00037633"/>
    <w:rsid w:val="000378D5"/>
    <w:rsid w:val="00037D77"/>
    <w:rsid w:val="00040489"/>
    <w:rsid w:val="0004051B"/>
    <w:rsid w:val="00040A05"/>
    <w:rsid w:val="00040C3A"/>
    <w:rsid w:val="00041313"/>
    <w:rsid w:val="000414D2"/>
    <w:rsid w:val="00041B79"/>
    <w:rsid w:val="00041DC4"/>
    <w:rsid w:val="000427EE"/>
    <w:rsid w:val="00042A17"/>
    <w:rsid w:val="00042B2A"/>
    <w:rsid w:val="000435D0"/>
    <w:rsid w:val="0004390C"/>
    <w:rsid w:val="00043F80"/>
    <w:rsid w:val="00045601"/>
    <w:rsid w:val="000459E0"/>
    <w:rsid w:val="00046206"/>
    <w:rsid w:val="00046438"/>
    <w:rsid w:val="0004681B"/>
    <w:rsid w:val="00046D40"/>
    <w:rsid w:val="00046D41"/>
    <w:rsid w:val="0004761C"/>
    <w:rsid w:val="00047AF6"/>
    <w:rsid w:val="00047DA5"/>
    <w:rsid w:val="00047F35"/>
    <w:rsid w:val="00050530"/>
    <w:rsid w:val="000507A8"/>
    <w:rsid w:val="000516F4"/>
    <w:rsid w:val="000517B2"/>
    <w:rsid w:val="00051DB2"/>
    <w:rsid w:val="00051EB4"/>
    <w:rsid w:val="00051FE9"/>
    <w:rsid w:val="00052075"/>
    <w:rsid w:val="000520FB"/>
    <w:rsid w:val="00052C1E"/>
    <w:rsid w:val="00052D20"/>
    <w:rsid w:val="00053172"/>
    <w:rsid w:val="00053B2F"/>
    <w:rsid w:val="0005416F"/>
    <w:rsid w:val="00054E1B"/>
    <w:rsid w:val="000550C0"/>
    <w:rsid w:val="000552C7"/>
    <w:rsid w:val="0005568F"/>
    <w:rsid w:val="00056205"/>
    <w:rsid w:val="000564E1"/>
    <w:rsid w:val="00056C0E"/>
    <w:rsid w:val="000576AA"/>
    <w:rsid w:val="00057777"/>
    <w:rsid w:val="00057789"/>
    <w:rsid w:val="00057B68"/>
    <w:rsid w:val="00057D4F"/>
    <w:rsid w:val="00057EDB"/>
    <w:rsid w:val="0006058F"/>
    <w:rsid w:val="00060666"/>
    <w:rsid w:val="0006097A"/>
    <w:rsid w:val="0006100F"/>
    <w:rsid w:val="000611E2"/>
    <w:rsid w:val="000612B7"/>
    <w:rsid w:val="00062269"/>
    <w:rsid w:val="00062514"/>
    <w:rsid w:val="00062A69"/>
    <w:rsid w:val="00062C0F"/>
    <w:rsid w:val="00062FEC"/>
    <w:rsid w:val="000630E1"/>
    <w:rsid w:val="00063366"/>
    <w:rsid w:val="000639C0"/>
    <w:rsid w:val="00064F5A"/>
    <w:rsid w:val="000655AC"/>
    <w:rsid w:val="000657E1"/>
    <w:rsid w:val="00065FBA"/>
    <w:rsid w:val="00066108"/>
    <w:rsid w:val="00066378"/>
    <w:rsid w:val="00067065"/>
    <w:rsid w:val="00067177"/>
    <w:rsid w:val="00067864"/>
    <w:rsid w:val="000679BC"/>
    <w:rsid w:val="00070187"/>
    <w:rsid w:val="00070B9D"/>
    <w:rsid w:val="00070E9A"/>
    <w:rsid w:val="00070F3A"/>
    <w:rsid w:val="0007127E"/>
    <w:rsid w:val="000716C5"/>
    <w:rsid w:val="00071A9D"/>
    <w:rsid w:val="00071E45"/>
    <w:rsid w:val="000728CA"/>
    <w:rsid w:val="00072AEB"/>
    <w:rsid w:val="00072B03"/>
    <w:rsid w:val="00072DA4"/>
    <w:rsid w:val="000733C1"/>
    <w:rsid w:val="0007354F"/>
    <w:rsid w:val="000739F0"/>
    <w:rsid w:val="00073C65"/>
    <w:rsid w:val="00074669"/>
    <w:rsid w:val="00075042"/>
    <w:rsid w:val="000756B4"/>
    <w:rsid w:val="00075E23"/>
    <w:rsid w:val="00075E4E"/>
    <w:rsid w:val="0007606C"/>
    <w:rsid w:val="000764E3"/>
    <w:rsid w:val="00076535"/>
    <w:rsid w:val="00076C5F"/>
    <w:rsid w:val="0007716F"/>
    <w:rsid w:val="000773FB"/>
    <w:rsid w:val="00077672"/>
    <w:rsid w:val="00077A87"/>
    <w:rsid w:val="00077F2D"/>
    <w:rsid w:val="00080249"/>
    <w:rsid w:val="00080316"/>
    <w:rsid w:val="00080357"/>
    <w:rsid w:val="0008160C"/>
    <w:rsid w:val="00081D76"/>
    <w:rsid w:val="00081EC3"/>
    <w:rsid w:val="000823DA"/>
    <w:rsid w:val="00082CBB"/>
    <w:rsid w:val="00082F01"/>
    <w:rsid w:val="000830D5"/>
    <w:rsid w:val="0008366A"/>
    <w:rsid w:val="00083BF4"/>
    <w:rsid w:val="00084496"/>
    <w:rsid w:val="00084A11"/>
    <w:rsid w:val="00084C5B"/>
    <w:rsid w:val="00085519"/>
    <w:rsid w:val="00085F60"/>
    <w:rsid w:val="00085F65"/>
    <w:rsid w:val="000864A6"/>
    <w:rsid w:val="0008675E"/>
    <w:rsid w:val="00086BFA"/>
    <w:rsid w:val="00087231"/>
    <w:rsid w:val="0008733D"/>
    <w:rsid w:val="000901D7"/>
    <w:rsid w:val="00090720"/>
    <w:rsid w:val="00090E48"/>
    <w:rsid w:val="00090E82"/>
    <w:rsid w:val="00091707"/>
    <w:rsid w:val="00091ED5"/>
    <w:rsid w:val="000922C5"/>
    <w:rsid w:val="00092817"/>
    <w:rsid w:val="000929D9"/>
    <w:rsid w:val="00092F32"/>
    <w:rsid w:val="00093055"/>
    <w:rsid w:val="000932B6"/>
    <w:rsid w:val="0009344A"/>
    <w:rsid w:val="0009454E"/>
    <w:rsid w:val="00094AFA"/>
    <w:rsid w:val="0009533B"/>
    <w:rsid w:val="00095575"/>
    <w:rsid w:val="0009575D"/>
    <w:rsid w:val="00095BB2"/>
    <w:rsid w:val="00095BFB"/>
    <w:rsid w:val="000961B1"/>
    <w:rsid w:val="000966E9"/>
    <w:rsid w:val="000968A5"/>
    <w:rsid w:val="000969DB"/>
    <w:rsid w:val="000973C5"/>
    <w:rsid w:val="00097486"/>
    <w:rsid w:val="00097610"/>
    <w:rsid w:val="000A0824"/>
    <w:rsid w:val="000A0948"/>
    <w:rsid w:val="000A0A42"/>
    <w:rsid w:val="000A0BA7"/>
    <w:rsid w:val="000A0EF3"/>
    <w:rsid w:val="000A16DB"/>
    <w:rsid w:val="000A1E84"/>
    <w:rsid w:val="000A2085"/>
    <w:rsid w:val="000A2229"/>
    <w:rsid w:val="000A254B"/>
    <w:rsid w:val="000A25B1"/>
    <w:rsid w:val="000A2930"/>
    <w:rsid w:val="000A3276"/>
    <w:rsid w:val="000A393C"/>
    <w:rsid w:val="000A3E84"/>
    <w:rsid w:val="000A4138"/>
    <w:rsid w:val="000A417B"/>
    <w:rsid w:val="000A4481"/>
    <w:rsid w:val="000A4A87"/>
    <w:rsid w:val="000A4DDD"/>
    <w:rsid w:val="000A4E20"/>
    <w:rsid w:val="000A5152"/>
    <w:rsid w:val="000A51D4"/>
    <w:rsid w:val="000A5214"/>
    <w:rsid w:val="000A575F"/>
    <w:rsid w:val="000A584B"/>
    <w:rsid w:val="000A5B0F"/>
    <w:rsid w:val="000A62C0"/>
    <w:rsid w:val="000A650D"/>
    <w:rsid w:val="000A68B6"/>
    <w:rsid w:val="000A6BA2"/>
    <w:rsid w:val="000A6C50"/>
    <w:rsid w:val="000A73C0"/>
    <w:rsid w:val="000A76B0"/>
    <w:rsid w:val="000A7A76"/>
    <w:rsid w:val="000A7DBA"/>
    <w:rsid w:val="000A7F4B"/>
    <w:rsid w:val="000A7FB8"/>
    <w:rsid w:val="000B040F"/>
    <w:rsid w:val="000B06AC"/>
    <w:rsid w:val="000B094A"/>
    <w:rsid w:val="000B162F"/>
    <w:rsid w:val="000B25B8"/>
    <w:rsid w:val="000B25FC"/>
    <w:rsid w:val="000B276D"/>
    <w:rsid w:val="000B2EF7"/>
    <w:rsid w:val="000B3198"/>
    <w:rsid w:val="000B3441"/>
    <w:rsid w:val="000B39B4"/>
    <w:rsid w:val="000B3A12"/>
    <w:rsid w:val="000B418A"/>
    <w:rsid w:val="000B4365"/>
    <w:rsid w:val="000B43F3"/>
    <w:rsid w:val="000B478D"/>
    <w:rsid w:val="000B4A69"/>
    <w:rsid w:val="000B4DAF"/>
    <w:rsid w:val="000B4EAA"/>
    <w:rsid w:val="000B50C3"/>
    <w:rsid w:val="000B7781"/>
    <w:rsid w:val="000C0092"/>
    <w:rsid w:val="000C0149"/>
    <w:rsid w:val="000C04CF"/>
    <w:rsid w:val="000C0DC6"/>
    <w:rsid w:val="000C1094"/>
    <w:rsid w:val="000C124E"/>
    <w:rsid w:val="000C1324"/>
    <w:rsid w:val="000C18B7"/>
    <w:rsid w:val="000C1B5A"/>
    <w:rsid w:val="000C1C2F"/>
    <w:rsid w:val="000C1E67"/>
    <w:rsid w:val="000C24CD"/>
    <w:rsid w:val="000C2C82"/>
    <w:rsid w:val="000C3507"/>
    <w:rsid w:val="000C3514"/>
    <w:rsid w:val="000C4531"/>
    <w:rsid w:val="000C45C3"/>
    <w:rsid w:val="000C5219"/>
    <w:rsid w:val="000C534A"/>
    <w:rsid w:val="000C54A1"/>
    <w:rsid w:val="000C556C"/>
    <w:rsid w:val="000C55CE"/>
    <w:rsid w:val="000C5614"/>
    <w:rsid w:val="000C5DEE"/>
    <w:rsid w:val="000C6E20"/>
    <w:rsid w:val="000C6E6F"/>
    <w:rsid w:val="000C6EDC"/>
    <w:rsid w:val="000C6FFD"/>
    <w:rsid w:val="000C7F55"/>
    <w:rsid w:val="000D0A5D"/>
    <w:rsid w:val="000D0AEB"/>
    <w:rsid w:val="000D0BD2"/>
    <w:rsid w:val="000D1040"/>
    <w:rsid w:val="000D10DB"/>
    <w:rsid w:val="000D17DB"/>
    <w:rsid w:val="000D1FC7"/>
    <w:rsid w:val="000D32CB"/>
    <w:rsid w:val="000D3921"/>
    <w:rsid w:val="000D3B27"/>
    <w:rsid w:val="000D43E0"/>
    <w:rsid w:val="000D5691"/>
    <w:rsid w:val="000D600D"/>
    <w:rsid w:val="000D6817"/>
    <w:rsid w:val="000D68F4"/>
    <w:rsid w:val="000D6DBF"/>
    <w:rsid w:val="000D6E2A"/>
    <w:rsid w:val="000D6EEF"/>
    <w:rsid w:val="000E0392"/>
    <w:rsid w:val="000E07F7"/>
    <w:rsid w:val="000E0F8F"/>
    <w:rsid w:val="000E0FB5"/>
    <w:rsid w:val="000E1356"/>
    <w:rsid w:val="000E13A5"/>
    <w:rsid w:val="000E22B6"/>
    <w:rsid w:val="000E24D2"/>
    <w:rsid w:val="000E2640"/>
    <w:rsid w:val="000E2AE8"/>
    <w:rsid w:val="000E3937"/>
    <w:rsid w:val="000E43DA"/>
    <w:rsid w:val="000E44C7"/>
    <w:rsid w:val="000E4792"/>
    <w:rsid w:val="000E4CE4"/>
    <w:rsid w:val="000E56C3"/>
    <w:rsid w:val="000E5814"/>
    <w:rsid w:val="000E662B"/>
    <w:rsid w:val="000E69B3"/>
    <w:rsid w:val="000E6A5E"/>
    <w:rsid w:val="000E6EDD"/>
    <w:rsid w:val="000E6F7E"/>
    <w:rsid w:val="000E7140"/>
    <w:rsid w:val="000E7196"/>
    <w:rsid w:val="000E720B"/>
    <w:rsid w:val="000E7636"/>
    <w:rsid w:val="000E7C10"/>
    <w:rsid w:val="000E7D0B"/>
    <w:rsid w:val="000E7ED0"/>
    <w:rsid w:val="000E7F69"/>
    <w:rsid w:val="000F0A25"/>
    <w:rsid w:val="000F0EEC"/>
    <w:rsid w:val="000F1220"/>
    <w:rsid w:val="000F14B5"/>
    <w:rsid w:val="000F1C46"/>
    <w:rsid w:val="000F27E1"/>
    <w:rsid w:val="000F3282"/>
    <w:rsid w:val="000F32FE"/>
    <w:rsid w:val="000F364A"/>
    <w:rsid w:val="000F3B37"/>
    <w:rsid w:val="000F4547"/>
    <w:rsid w:val="000F4D36"/>
    <w:rsid w:val="000F51DA"/>
    <w:rsid w:val="000F51E7"/>
    <w:rsid w:val="000F5BCA"/>
    <w:rsid w:val="000F5D64"/>
    <w:rsid w:val="000F6E96"/>
    <w:rsid w:val="000F7409"/>
    <w:rsid w:val="001001BB"/>
    <w:rsid w:val="001009B0"/>
    <w:rsid w:val="00100FB7"/>
    <w:rsid w:val="00101553"/>
    <w:rsid w:val="001024E3"/>
    <w:rsid w:val="001025B1"/>
    <w:rsid w:val="00102742"/>
    <w:rsid w:val="0010275F"/>
    <w:rsid w:val="0010280B"/>
    <w:rsid w:val="001028D9"/>
    <w:rsid w:val="001032AB"/>
    <w:rsid w:val="00103331"/>
    <w:rsid w:val="00103526"/>
    <w:rsid w:val="00103ABE"/>
    <w:rsid w:val="00104889"/>
    <w:rsid w:val="00104896"/>
    <w:rsid w:val="00104B11"/>
    <w:rsid w:val="00104C07"/>
    <w:rsid w:val="00104C50"/>
    <w:rsid w:val="00105599"/>
    <w:rsid w:val="0010592A"/>
    <w:rsid w:val="00105C19"/>
    <w:rsid w:val="00105C96"/>
    <w:rsid w:val="00105DD6"/>
    <w:rsid w:val="001060A5"/>
    <w:rsid w:val="0010625B"/>
    <w:rsid w:val="001063FA"/>
    <w:rsid w:val="00106990"/>
    <w:rsid w:val="001072C1"/>
    <w:rsid w:val="00107FBC"/>
    <w:rsid w:val="00110454"/>
    <w:rsid w:val="00110F36"/>
    <w:rsid w:val="001110DA"/>
    <w:rsid w:val="00111855"/>
    <w:rsid w:val="00111D3C"/>
    <w:rsid w:val="00112370"/>
    <w:rsid w:val="00112617"/>
    <w:rsid w:val="001126EB"/>
    <w:rsid w:val="001128E0"/>
    <w:rsid w:val="00112956"/>
    <w:rsid w:val="00113149"/>
    <w:rsid w:val="001131EC"/>
    <w:rsid w:val="001135DB"/>
    <w:rsid w:val="00113ACF"/>
    <w:rsid w:val="001142FE"/>
    <w:rsid w:val="00114527"/>
    <w:rsid w:val="00114D71"/>
    <w:rsid w:val="00115009"/>
    <w:rsid w:val="00115CB1"/>
    <w:rsid w:val="00116051"/>
    <w:rsid w:val="00116333"/>
    <w:rsid w:val="001170C2"/>
    <w:rsid w:val="001171CF"/>
    <w:rsid w:val="00121182"/>
    <w:rsid w:val="00122709"/>
    <w:rsid w:val="0012278B"/>
    <w:rsid w:val="00122DF4"/>
    <w:rsid w:val="00122F98"/>
    <w:rsid w:val="001234F6"/>
    <w:rsid w:val="00123ECD"/>
    <w:rsid w:val="0012466D"/>
    <w:rsid w:val="00125C97"/>
    <w:rsid w:val="00125D3B"/>
    <w:rsid w:val="0012610A"/>
    <w:rsid w:val="001267FB"/>
    <w:rsid w:val="00126BC6"/>
    <w:rsid w:val="00126CA5"/>
    <w:rsid w:val="00126F3B"/>
    <w:rsid w:val="00127AE1"/>
    <w:rsid w:val="00130474"/>
    <w:rsid w:val="00130A27"/>
    <w:rsid w:val="00130BFC"/>
    <w:rsid w:val="00130DE9"/>
    <w:rsid w:val="00131042"/>
    <w:rsid w:val="00131047"/>
    <w:rsid w:val="0013104F"/>
    <w:rsid w:val="0013178F"/>
    <w:rsid w:val="001317CA"/>
    <w:rsid w:val="00131B01"/>
    <w:rsid w:val="00131B9D"/>
    <w:rsid w:val="0013269A"/>
    <w:rsid w:val="00133465"/>
    <w:rsid w:val="0013399D"/>
    <w:rsid w:val="0013403C"/>
    <w:rsid w:val="001346A2"/>
    <w:rsid w:val="00134A7E"/>
    <w:rsid w:val="00134FD9"/>
    <w:rsid w:val="00134FF0"/>
    <w:rsid w:val="001357AD"/>
    <w:rsid w:val="00135988"/>
    <w:rsid w:val="00135B6E"/>
    <w:rsid w:val="001365B6"/>
    <w:rsid w:val="00136CB7"/>
    <w:rsid w:val="00136D3B"/>
    <w:rsid w:val="00137EBA"/>
    <w:rsid w:val="00137EBE"/>
    <w:rsid w:val="00140380"/>
    <w:rsid w:val="0014051C"/>
    <w:rsid w:val="001405A0"/>
    <w:rsid w:val="00140921"/>
    <w:rsid w:val="00140FF3"/>
    <w:rsid w:val="001413E4"/>
    <w:rsid w:val="001414BE"/>
    <w:rsid w:val="00141DEA"/>
    <w:rsid w:val="00142AE8"/>
    <w:rsid w:val="00142FA1"/>
    <w:rsid w:val="001431CA"/>
    <w:rsid w:val="0014320C"/>
    <w:rsid w:val="001436F1"/>
    <w:rsid w:val="00143D86"/>
    <w:rsid w:val="00143E4B"/>
    <w:rsid w:val="00143EB9"/>
    <w:rsid w:val="0014445A"/>
    <w:rsid w:val="001447D2"/>
    <w:rsid w:val="00145EDC"/>
    <w:rsid w:val="00147723"/>
    <w:rsid w:val="00147DC5"/>
    <w:rsid w:val="00150054"/>
    <w:rsid w:val="001503E0"/>
    <w:rsid w:val="00150DD0"/>
    <w:rsid w:val="0015197E"/>
    <w:rsid w:val="00152085"/>
    <w:rsid w:val="00152829"/>
    <w:rsid w:val="00152944"/>
    <w:rsid w:val="0015335C"/>
    <w:rsid w:val="00154179"/>
    <w:rsid w:val="0015592F"/>
    <w:rsid w:val="00155CB8"/>
    <w:rsid w:val="00155EEE"/>
    <w:rsid w:val="00155F1D"/>
    <w:rsid w:val="001563C8"/>
    <w:rsid w:val="00157341"/>
    <w:rsid w:val="001577B2"/>
    <w:rsid w:val="0015781D"/>
    <w:rsid w:val="00157A09"/>
    <w:rsid w:val="00157A9F"/>
    <w:rsid w:val="00157CE4"/>
    <w:rsid w:val="001600A4"/>
    <w:rsid w:val="001603B5"/>
    <w:rsid w:val="001604B8"/>
    <w:rsid w:val="0016108B"/>
    <w:rsid w:val="00161150"/>
    <w:rsid w:val="00161914"/>
    <w:rsid w:val="001619D5"/>
    <w:rsid w:val="001622D1"/>
    <w:rsid w:val="0016235F"/>
    <w:rsid w:val="0016236E"/>
    <w:rsid w:val="00162778"/>
    <w:rsid w:val="00162AAD"/>
    <w:rsid w:val="00162CEF"/>
    <w:rsid w:val="0016356D"/>
    <w:rsid w:val="00163742"/>
    <w:rsid w:val="001638DF"/>
    <w:rsid w:val="0016411C"/>
    <w:rsid w:val="0016440B"/>
    <w:rsid w:val="00164449"/>
    <w:rsid w:val="0016465A"/>
    <w:rsid w:val="0016499F"/>
    <w:rsid w:val="00165F52"/>
    <w:rsid w:val="00166496"/>
    <w:rsid w:val="00166F26"/>
    <w:rsid w:val="00166F35"/>
    <w:rsid w:val="001672DF"/>
    <w:rsid w:val="00167524"/>
    <w:rsid w:val="00167A34"/>
    <w:rsid w:val="00170900"/>
    <w:rsid w:val="00170952"/>
    <w:rsid w:val="00170976"/>
    <w:rsid w:val="001710D1"/>
    <w:rsid w:val="00171593"/>
    <w:rsid w:val="00171725"/>
    <w:rsid w:val="001717E9"/>
    <w:rsid w:val="00171FBE"/>
    <w:rsid w:val="00172622"/>
    <w:rsid w:val="0017269A"/>
    <w:rsid w:val="00172A5E"/>
    <w:rsid w:val="00172A98"/>
    <w:rsid w:val="00172BD5"/>
    <w:rsid w:val="001733D5"/>
    <w:rsid w:val="0017348C"/>
    <w:rsid w:val="0017398B"/>
    <w:rsid w:val="001739DA"/>
    <w:rsid w:val="001739F5"/>
    <w:rsid w:val="001747B4"/>
    <w:rsid w:val="001748DB"/>
    <w:rsid w:val="00174911"/>
    <w:rsid w:val="001749B0"/>
    <w:rsid w:val="00174AF5"/>
    <w:rsid w:val="00174F72"/>
    <w:rsid w:val="00175642"/>
    <w:rsid w:val="00175827"/>
    <w:rsid w:val="001759BD"/>
    <w:rsid w:val="00175A08"/>
    <w:rsid w:val="0017620C"/>
    <w:rsid w:val="0017642E"/>
    <w:rsid w:val="0017663D"/>
    <w:rsid w:val="0017695A"/>
    <w:rsid w:val="00176967"/>
    <w:rsid w:val="001773AE"/>
    <w:rsid w:val="00180064"/>
    <w:rsid w:val="0018009D"/>
    <w:rsid w:val="0018037F"/>
    <w:rsid w:val="001805B4"/>
    <w:rsid w:val="00180D3C"/>
    <w:rsid w:val="00180E3B"/>
    <w:rsid w:val="00180E7F"/>
    <w:rsid w:val="00180F5B"/>
    <w:rsid w:val="00181801"/>
    <w:rsid w:val="0018183E"/>
    <w:rsid w:val="001819A8"/>
    <w:rsid w:val="00182720"/>
    <w:rsid w:val="00182F27"/>
    <w:rsid w:val="001832F6"/>
    <w:rsid w:val="001836BA"/>
    <w:rsid w:val="00183937"/>
    <w:rsid w:val="00183D04"/>
    <w:rsid w:val="00184083"/>
    <w:rsid w:val="0018495E"/>
    <w:rsid w:val="00184C6F"/>
    <w:rsid w:val="001854A6"/>
    <w:rsid w:val="00185F52"/>
    <w:rsid w:val="00186ECD"/>
    <w:rsid w:val="00187268"/>
    <w:rsid w:val="0018768E"/>
    <w:rsid w:val="0018785A"/>
    <w:rsid w:val="001878D0"/>
    <w:rsid w:val="00190214"/>
    <w:rsid w:val="0019081F"/>
    <w:rsid w:val="00190941"/>
    <w:rsid w:val="00190E99"/>
    <w:rsid w:val="00190F48"/>
    <w:rsid w:val="00191050"/>
    <w:rsid w:val="0019136D"/>
    <w:rsid w:val="001913E1"/>
    <w:rsid w:val="001917D9"/>
    <w:rsid w:val="00192FD4"/>
    <w:rsid w:val="00193281"/>
    <w:rsid w:val="0019332D"/>
    <w:rsid w:val="001937A5"/>
    <w:rsid w:val="00193E84"/>
    <w:rsid w:val="001940F0"/>
    <w:rsid w:val="0019454C"/>
    <w:rsid w:val="0019569B"/>
    <w:rsid w:val="0019593C"/>
    <w:rsid w:val="00195D7B"/>
    <w:rsid w:val="00196280"/>
    <w:rsid w:val="001965CC"/>
    <w:rsid w:val="00196728"/>
    <w:rsid w:val="001970F2"/>
    <w:rsid w:val="0019748D"/>
    <w:rsid w:val="00197E29"/>
    <w:rsid w:val="001A013D"/>
    <w:rsid w:val="001A0782"/>
    <w:rsid w:val="001A0B42"/>
    <w:rsid w:val="001A141F"/>
    <w:rsid w:val="001A1A51"/>
    <w:rsid w:val="001A1AA7"/>
    <w:rsid w:val="001A1B32"/>
    <w:rsid w:val="001A2434"/>
    <w:rsid w:val="001A2F09"/>
    <w:rsid w:val="001A369A"/>
    <w:rsid w:val="001A3894"/>
    <w:rsid w:val="001A39CF"/>
    <w:rsid w:val="001A4221"/>
    <w:rsid w:val="001A4B7F"/>
    <w:rsid w:val="001A5F27"/>
    <w:rsid w:val="001A6423"/>
    <w:rsid w:val="001A64B9"/>
    <w:rsid w:val="001A64EB"/>
    <w:rsid w:val="001A6502"/>
    <w:rsid w:val="001A6E95"/>
    <w:rsid w:val="001A7439"/>
    <w:rsid w:val="001A7870"/>
    <w:rsid w:val="001A7C1A"/>
    <w:rsid w:val="001A7D5B"/>
    <w:rsid w:val="001A7EDC"/>
    <w:rsid w:val="001B02A6"/>
    <w:rsid w:val="001B17B9"/>
    <w:rsid w:val="001B2AF9"/>
    <w:rsid w:val="001B2FCD"/>
    <w:rsid w:val="001B3279"/>
    <w:rsid w:val="001B413D"/>
    <w:rsid w:val="001B4593"/>
    <w:rsid w:val="001B4974"/>
    <w:rsid w:val="001B4E52"/>
    <w:rsid w:val="001B54FA"/>
    <w:rsid w:val="001B55C3"/>
    <w:rsid w:val="001B56BC"/>
    <w:rsid w:val="001B57A9"/>
    <w:rsid w:val="001B5F45"/>
    <w:rsid w:val="001B60FE"/>
    <w:rsid w:val="001B658D"/>
    <w:rsid w:val="001B6659"/>
    <w:rsid w:val="001B77F0"/>
    <w:rsid w:val="001B795D"/>
    <w:rsid w:val="001B79E9"/>
    <w:rsid w:val="001B7BA1"/>
    <w:rsid w:val="001B7CC5"/>
    <w:rsid w:val="001C018C"/>
    <w:rsid w:val="001C04BF"/>
    <w:rsid w:val="001C0710"/>
    <w:rsid w:val="001C1241"/>
    <w:rsid w:val="001C1370"/>
    <w:rsid w:val="001C14CB"/>
    <w:rsid w:val="001C1B41"/>
    <w:rsid w:val="001C1ED6"/>
    <w:rsid w:val="001C2003"/>
    <w:rsid w:val="001C2173"/>
    <w:rsid w:val="001C217B"/>
    <w:rsid w:val="001C2740"/>
    <w:rsid w:val="001C29C2"/>
    <w:rsid w:val="001C2F45"/>
    <w:rsid w:val="001C3032"/>
    <w:rsid w:val="001C311D"/>
    <w:rsid w:val="001C3547"/>
    <w:rsid w:val="001C38BC"/>
    <w:rsid w:val="001C3B2D"/>
    <w:rsid w:val="001C3BE0"/>
    <w:rsid w:val="001C3D41"/>
    <w:rsid w:val="001C3FE4"/>
    <w:rsid w:val="001C4006"/>
    <w:rsid w:val="001C44DE"/>
    <w:rsid w:val="001C460D"/>
    <w:rsid w:val="001C48AF"/>
    <w:rsid w:val="001C4ADD"/>
    <w:rsid w:val="001C50DC"/>
    <w:rsid w:val="001C5D8B"/>
    <w:rsid w:val="001C6025"/>
    <w:rsid w:val="001C65B2"/>
    <w:rsid w:val="001C66D3"/>
    <w:rsid w:val="001C6707"/>
    <w:rsid w:val="001C68E7"/>
    <w:rsid w:val="001C6E0E"/>
    <w:rsid w:val="001C6F52"/>
    <w:rsid w:val="001D01DE"/>
    <w:rsid w:val="001D02D5"/>
    <w:rsid w:val="001D0580"/>
    <w:rsid w:val="001D078D"/>
    <w:rsid w:val="001D0E1A"/>
    <w:rsid w:val="001D0EFD"/>
    <w:rsid w:val="001D12B7"/>
    <w:rsid w:val="001D1330"/>
    <w:rsid w:val="001D1343"/>
    <w:rsid w:val="001D1A17"/>
    <w:rsid w:val="001D1FC1"/>
    <w:rsid w:val="001D2104"/>
    <w:rsid w:val="001D3218"/>
    <w:rsid w:val="001D42A6"/>
    <w:rsid w:val="001D430B"/>
    <w:rsid w:val="001D4712"/>
    <w:rsid w:val="001D473D"/>
    <w:rsid w:val="001D475E"/>
    <w:rsid w:val="001D4D75"/>
    <w:rsid w:val="001D59B1"/>
    <w:rsid w:val="001D5FB5"/>
    <w:rsid w:val="001D61FD"/>
    <w:rsid w:val="001D652F"/>
    <w:rsid w:val="001D67BA"/>
    <w:rsid w:val="001D69C9"/>
    <w:rsid w:val="001D6BA1"/>
    <w:rsid w:val="001D6D5D"/>
    <w:rsid w:val="001D73F0"/>
    <w:rsid w:val="001D75F2"/>
    <w:rsid w:val="001D7B45"/>
    <w:rsid w:val="001E0270"/>
    <w:rsid w:val="001E03FF"/>
    <w:rsid w:val="001E0808"/>
    <w:rsid w:val="001E1061"/>
    <w:rsid w:val="001E10CA"/>
    <w:rsid w:val="001E15D2"/>
    <w:rsid w:val="001E1C2F"/>
    <w:rsid w:val="001E2867"/>
    <w:rsid w:val="001E3030"/>
    <w:rsid w:val="001E3060"/>
    <w:rsid w:val="001E31D4"/>
    <w:rsid w:val="001E3581"/>
    <w:rsid w:val="001E3F3E"/>
    <w:rsid w:val="001E4259"/>
    <w:rsid w:val="001E477E"/>
    <w:rsid w:val="001E4D7D"/>
    <w:rsid w:val="001E53FB"/>
    <w:rsid w:val="001E59A9"/>
    <w:rsid w:val="001E5A1A"/>
    <w:rsid w:val="001E5F04"/>
    <w:rsid w:val="001E61D5"/>
    <w:rsid w:val="001E699E"/>
    <w:rsid w:val="001E6C29"/>
    <w:rsid w:val="001E6C37"/>
    <w:rsid w:val="001E72FE"/>
    <w:rsid w:val="001E745D"/>
    <w:rsid w:val="001F094C"/>
    <w:rsid w:val="001F09B8"/>
    <w:rsid w:val="001F0B72"/>
    <w:rsid w:val="001F0E1E"/>
    <w:rsid w:val="001F0E31"/>
    <w:rsid w:val="001F1594"/>
    <w:rsid w:val="001F28BF"/>
    <w:rsid w:val="001F3684"/>
    <w:rsid w:val="001F3B00"/>
    <w:rsid w:val="001F3D26"/>
    <w:rsid w:val="001F4A4B"/>
    <w:rsid w:val="001F4DB8"/>
    <w:rsid w:val="001F5C61"/>
    <w:rsid w:val="001F5DD2"/>
    <w:rsid w:val="001F5E48"/>
    <w:rsid w:val="001F62D9"/>
    <w:rsid w:val="001F65E5"/>
    <w:rsid w:val="001F673D"/>
    <w:rsid w:val="001F6E7F"/>
    <w:rsid w:val="001F6F8A"/>
    <w:rsid w:val="001F75EC"/>
    <w:rsid w:val="001F79D7"/>
    <w:rsid w:val="001F7BE5"/>
    <w:rsid w:val="002003C1"/>
    <w:rsid w:val="00200794"/>
    <w:rsid w:val="00200D2E"/>
    <w:rsid w:val="00200ED1"/>
    <w:rsid w:val="002015C1"/>
    <w:rsid w:val="002018AF"/>
    <w:rsid w:val="002023A6"/>
    <w:rsid w:val="002027D1"/>
    <w:rsid w:val="00202A19"/>
    <w:rsid w:val="00202BBD"/>
    <w:rsid w:val="00202DC2"/>
    <w:rsid w:val="002035A3"/>
    <w:rsid w:val="00203841"/>
    <w:rsid w:val="00203AEE"/>
    <w:rsid w:val="00203F17"/>
    <w:rsid w:val="002047E8"/>
    <w:rsid w:val="00204924"/>
    <w:rsid w:val="00204DFD"/>
    <w:rsid w:val="00204E8D"/>
    <w:rsid w:val="00205215"/>
    <w:rsid w:val="002056C8"/>
    <w:rsid w:val="00205BF5"/>
    <w:rsid w:val="00206728"/>
    <w:rsid w:val="002067F4"/>
    <w:rsid w:val="00207544"/>
    <w:rsid w:val="00207606"/>
    <w:rsid w:val="0021055A"/>
    <w:rsid w:val="00210D41"/>
    <w:rsid w:val="00210DD6"/>
    <w:rsid w:val="00210E0E"/>
    <w:rsid w:val="002112A5"/>
    <w:rsid w:val="00211891"/>
    <w:rsid w:val="00211F19"/>
    <w:rsid w:val="00211F3B"/>
    <w:rsid w:val="00212964"/>
    <w:rsid w:val="00212B2D"/>
    <w:rsid w:val="00212FEC"/>
    <w:rsid w:val="002131D3"/>
    <w:rsid w:val="00213A2F"/>
    <w:rsid w:val="0021417C"/>
    <w:rsid w:val="0021419E"/>
    <w:rsid w:val="00214280"/>
    <w:rsid w:val="0021485B"/>
    <w:rsid w:val="00214962"/>
    <w:rsid w:val="002152E5"/>
    <w:rsid w:val="0021591D"/>
    <w:rsid w:val="00215CE2"/>
    <w:rsid w:val="00216E48"/>
    <w:rsid w:val="00216FAE"/>
    <w:rsid w:val="00217555"/>
    <w:rsid w:val="00217B9F"/>
    <w:rsid w:val="00217D6A"/>
    <w:rsid w:val="00220B42"/>
    <w:rsid w:val="00220F56"/>
    <w:rsid w:val="0022169F"/>
    <w:rsid w:val="00221704"/>
    <w:rsid w:val="002218AE"/>
    <w:rsid w:val="002218FD"/>
    <w:rsid w:val="00221F88"/>
    <w:rsid w:val="00222050"/>
    <w:rsid w:val="002222EF"/>
    <w:rsid w:val="00222647"/>
    <w:rsid w:val="002226AA"/>
    <w:rsid w:val="00223245"/>
    <w:rsid w:val="002232BE"/>
    <w:rsid w:val="00223404"/>
    <w:rsid w:val="002237F3"/>
    <w:rsid w:val="00223B38"/>
    <w:rsid w:val="00224AA7"/>
    <w:rsid w:val="00224CA5"/>
    <w:rsid w:val="00224E5F"/>
    <w:rsid w:val="00225375"/>
    <w:rsid w:val="002256AE"/>
    <w:rsid w:val="00225D07"/>
    <w:rsid w:val="00226489"/>
    <w:rsid w:val="00226997"/>
    <w:rsid w:val="00227020"/>
    <w:rsid w:val="002275E3"/>
    <w:rsid w:val="002277C3"/>
    <w:rsid w:val="002305F1"/>
    <w:rsid w:val="0023061B"/>
    <w:rsid w:val="00231242"/>
    <w:rsid w:val="002313B8"/>
    <w:rsid w:val="002313D9"/>
    <w:rsid w:val="00231CD1"/>
    <w:rsid w:val="00232A3C"/>
    <w:rsid w:val="00232ABF"/>
    <w:rsid w:val="00233353"/>
    <w:rsid w:val="00234377"/>
    <w:rsid w:val="002343D9"/>
    <w:rsid w:val="00234BE7"/>
    <w:rsid w:val="00234E60"/>
    <w:rsid w:val="002351E7"/>
    <w:rsid w:val="00235F42"/>
    <w:rsid w:val="0023660F"/>
    <w:rsid w:val="002367DC"/>
    <w:rsid w:val="002368C5"/>
    <w:rsid w:val="00236A7E"/>
    <w:rsid w:val="00236FA5"/>
    <w:rsid w:val="00237C94"/>
    <w:rsid w:val="0024070A"/>
    <w:rsid w:val="00240FE1"/>
    <w:rsid w:val="002411A1"/>
    <w:rsid w:val="00241B9E"/>
    <w:rsid w:val="00241BEB"/>
    <w:rsid w:val="00241C81"/>
    <w:rsid w:val="00241CE7"/>
    <w:rsid w:val="00241F98"/>
    <w:rsid w:val="0024247E"/>
    <w:rsid w:val="002424AD"/>
    <w:rsid w:val="0024379B"/>
    <w:rsid w:val="00244E7D"/>
    <w:rsid w:val="00245446"/>
    <w:rsid w:val="00245452"/>
    <w:rsid w:val="00245616"/>
    <w:rsid w:val="00245F40"/>
    <w:rsid w:val="002461CD"/>
    <w:rsid w:val="00246859"/>
    <w:rsid w:val="00246E7D"/>
    <w:rsid w:val="00247019"/>
    <w:rsid w:val="00247403"/>
    <w:rsid w:val="00247542"/>
    <w:rsid w:val="00247592"/>
    <w:rsid w:val="00247E0E"/>
    <w:rsid w:val="00250662"/>
    <w:rsid w:val="00250B61"/>
    <w:rsid w:val="00250F0E"/>
    <w:rsid w:val="00250F42"/>
    <w:rsid w:val="0025100E"/>
    <w:rsid w:val="002511A9"/>
    <w:rsid w:val="0025135E"/>
    <w:rsid w:val="002520C0"/>
    <w:rsid w:val="002525E5"/>
    <w:rsid w:val="0025268B"/>
    <w:rsid w:val="00252CAB"/>
    <w:rsid w:val="00253609"/>
    <w:rsid w:val="00253F1B"/>
    <w:rsid w:val="00254210"/>
    <w:rsid w:val="00255140"/>
    <w:rsid w:val="002552DF"/>
    <w:rsid w:val="0025532E"/>
    <w:rsid w:val="00255475"/>
    <w:rsid w:val="00255759"/>
    <w:rsid w:val="00255BE3"/>
    <w:rsid w:val="002560C3"/>
    <w:rsid w:val="00256274"/>
    <w:rsid w:val="00256813"/>
    <w:rsid w:val="00256C3D"/>
    <w:rsid w:val="00256D45"/>
    <w:rsid w:val="0025711C"/>
    <w:rsid w:val="0025755D"/>
    <w:rsid w:val="00257893"/>
    <w:rsid w:val="00257C12"/>
    <w:rsid w:val="0026041A"/>
    <w:rsid w:val="00260B79"/>
    <w:rsid w:val="00260C70"/>
    <w:rsid w:val="0026109F"/>
    <w:rsid w:val="0026124E"/>
    <w:rsid w:val="0026154C"/>
    <w:rsid w:val="00261C06"/>
    <w:rsid w:val="00262200"/>
    <w:rsid w:val="002626A2"/>
    <w:rsid w:val="002626F5"/>
    <w:rsid w:val="00262A01"/>
    <w:rsid w:val="00262ECA"/>
    <w:rsid w:val="00263B2B"/>
    <w:rsid w:val="00263C2F"/>
    <w:rsid w:val="00263D2E"/>
    <w:rsid w:val="00263F90"/>
    <w:rsid w:val="00264033"/>
    <w:rsid w:val="00264870"/>
    <w:rsid w:val="00264944"/>
    <w:rsid w:val="00264998"/>
    <w:rsid w:val="00264A11"/>
    <w:rsid w:val="00265031"/>
    <w:rsid w:val="002654C3"/>
    <w:rsid w:val="00266092"/>
    <w:rsid w:val="00266435"/>
    <w:rsid w:val="00266B61"/>
    <w:rsid w:val="00266BE4"/>
    <w:rsid w:val="0026712A"/>
    <w:rsid w:val="00267891"/>
    <w:rsid w:val="00267EF0"/>
    <w:rsid w:val="0027004C"/>
    <w:rsid w:val="002701A7"/>
    <w:rsid w:val="002702AD"/>
    <w:rsid w:val="002704DB"/>
    <w:rsid w:val="002704E0"/>
    <w:rsid w:val="002706E4"/>
    <w:rsid w:val="00270C7A"/>
    <w:rsid w:val="002710C3"/>
    <w:rsid w:val="00271104"/>
    <w:rsid w:val="00271175"/>
    <w:rsid w:val="0027128E"/>
    <w:rsid w:val="002715EF"/>
    <w:rsid w:val="00271710"/>
    <w:rsid w:val="00272563"/>
    <w:rsid w:val="00272570"/>
    <w:rsid w:val="00272596"/>
    <w:rsid w:val="00272854"/>
    <w:rsid w:val="00272A02"/>
    <w:rsid w:val="00272DEF"/>
    <w:rsid w:val="00272F6B"/>
    <w:rsid w:val="00272F7D"/>
    <w:rsid w:val="00273032"/>
    <w:rsid w:val="002730F6"/>
    <w:rsid w:val="00273854"/>
    <w:rsid w:val="00274F86"/>
    <w:rsid w:val="0027576E"/>
    <w:rsid w:val="002758EF"/>
    <w:rsid w:val="00275FC9"/>
    <w:rsid w:val="0027671E"/>
    <w:rsid w:val="002767DF"/>
    <w:rsid w:val="00276C31"/>
    <w:rsid w:val="002772E3"/>
    <w:rsid w:val="00277402"/>
    <w:rsid w:val="00277440"/>
    <w:rsid w:val="00277EA5"/>
    <w:rsid w:val="002809AC"/>
    <w:rsid w:val="0028111A"/>
    <w:rsid w:val="002817CA"/>
    <w:rsid w:val="00281829"/>
    <w:rsid w:val="00281F7A"/>
    <w:rsid w:val="00283909"/>
    <w:rsid w:val="0028392E"/>
    <w:rsid w:val="002840B2"/>
    <w:rsid w:val="00284173"/>
    <w:rsid w:val="00284E86"/>
    <w:rsid w:val="00286436"/>
    <w:rsid w:val="002869C6"/>
    <w:rsid w:val="00286CD6"/>
    <w:rsid w:val="00287642"/>
    <w:rsid w:val="00287B22"/>
    <w:rsid w:val="00290094"/>
    <w:rsid w:val="00290757"/>
    <w:rsid w:val="0029089D"/>
    <w:rsid w:val="00290ABF"/>
    <w:rsid w:val="00291C7D"/>
    <w:rsid w:val="00292239"/>
    <w:rsid w:val="00292CEC"/>
    <w:rsid w:val="002934A7"/>
    <w:rsid w:val="0029397E"/>
    <w:rsid w:val="00293AEB"/>
    <w:rsid w:val="00293B75"/>
    <w:rsid w:val="0029466E"/>
    <w:rsid w:val="00294727"/>
    <w:rsid w:val="002947CE"/>
    <w:rsid w:val="00294B4A"/>
    <w:rsid w:val="00294FA9"/>
    <w:rsid w:val="002955D3"/>
    <w:rsid w:val="002957D7"/>
    <w:rsid w:val="00295C76"/>
    <w:rsid w:val="00295E20"/>
    <w:rsid w:val="0029615A"/>
    <w:rsid w:val="002963E4"/>
    <w:rsid w:val="00296B0B"/>
    <w:rsid w:val="00296BE8"/>
    <w:rsid w:val="0029715B"/>
    <w:rsid w:val="00297288"/>
    <w:rsid w:val="0029754B"/>
    <w:rsid w:val="002A00C2"/>
    <w:rsid w:val="002A036F"/>
    <w:rsid w:val="002A05B1"/>
    <w:rsid w:val="002A1564"/>
    <w:rsid w:val="002A1C6E"/>
    <w:rsid w:val="002A1D6A"/>
    <w:rsid w:val="002A1EF3"/>
    <w:rsid w:val="002A24D4"/>
    <w:rsid w:val="002A2593"/>
    <w:rsid w:val="002A2720"/>
    <w:rsid w:val="002A2BEB"/>
    <w:rsid w:val="002A344A"/>
    <w:rsid w:val="002A3CD5"/>
    <w:rsid w:val="002A5150"/>
    <w:rsid w:val="002A522C"/>
    <w:rsid w:val="002A6EAD"/>
    <w:rsid w:val="002A6EEB"/>
    <w:rsid w:val="002A733A"/>
    <w:rsid w:val="002A7A01"/>
    <w:rsid w:val="002B008D"/>
    <w:rsid w:val="002B0AB9"/>
    <w:rsid w:val="002B0BE7"/>
    <w:rsid w:val="002B0C15"/>
    <w:rsid w:val="002B1021"/>
    <w:rsid w:val="002B110C"/>
    <w:rsid w:val="002B1184"/>
    <w:rsid w:val="002B11CE"/>
    <w:rsid w:val="002B1D55"/>
    <w:rsid w:val="002B2AB5"/>
    <w:rsid w:val="002B30E6"/>
    <w:rsid w:val="002B3A2B"/>
    <w:rsid w:val="002B3CCF"/>
    <w:rsid w:val="002B4029"/>
    <w:rsid w:val="002B4417"/>
    <w:rsid w:val="002B4B61"/>
    <w:rsid w:val="002B5794"/>
    <w:rsid w:val="002B5AF9"/>
    <w:rsid w:val="002B5B94"/>
    <w:rsid w:val="002B5F8A"/>
    <w:rsid w:val="002B6682"/>
    <w:rsid w:val="002B706D"/>
    <w:rsid w:val="002B7173"/>
    <w:rsid w:val="002B7448"/>
    <w:rsid w:val="002B7562"/>
    <w:rsid w:val="002B7F79"/>
    <w:rsid w:val="002C06D4"/>
    <w:rsid w:val="002C0B37"/>
    <w:rsid w:val="002C0B64"/>
    <w:rsid w:val="002C10D7"/>
    <w:rsid w:val="002C1641"/>
    <w:rsid w:val="002C1EB3"/>
    <w:rsid w:val="002C1F13"/>
    <w:rsid w:val="002C2792"/>
    <w:rsid w:val="002C3312"/>
    <w:rsid w:val="002C3671"/>
    <w:rsid w:val="002C37C7"/>
    <w:rsid w:val="002C392E"/>
    <w:rsid w:val="002C3D66"/>
    <w:rsid w:val="002C4070"/>
    <w:rsid w:val="002C440D"/>
    <w:rsid w:val="002C538E"/>
    <w:rsid w:val="002C58D2"/>
    <w:rsid w:val="002C5A89"/>
    <w:rsid w:val="002C5BCE"/>
    <w:rsid w:val="002C5EC4"/>
    <w:rsid w:val="002C6904"/>
    <w:rsid w:val="002C6C33"/>
    <w:rsid w:val="002D0295"/>
    <w:rsid w:val="002D033F"/>
    <w:rsid w:val="002D064D"/>
    <w:rsid w:val="002D12CF"/>
    <w:rsid w:val="002D1B85"/>
    <w:rsid w:val="002D1CFA"/>
    <w:rsid w:val="002D33B3"/>
    <w:rsid w:val="002D384F"/>
    <w:rsid w:val="002D3926"/>
    <w:rsid w:val="002D3FCE"/>
    <w:rsid w:val="002D40D8"/>
    <w:rsid w:val="002D41C9"/>
    <w:rsid w:val="002D45C2"/>
    <w:rsid w:val="002D4CA0"/>
    <w:rsid w:val="002D51BA"/>
    <w:rsid w:val="002D528A"/>
    <w:rsid w:val="002D5514"/>
    <w:rsid w:val="002D5D4E"/>
    <w:rsid w:val="002D628F"/>
    <w:rsid w:val="002D69B5"/>
    <w:rsid w:val="002D6E69"/>
    <w:rsid w:val="002D7148"/>
    <w:rsid w:val="002D7DC4"/>
    <w:rsid w:val="002D7E86"/>
    <w:rsid w:val="002D7EA2"/>
    <w:rsid w:val="002E03A4"/>
    <w:rsid w:val="002E0BBB"/>
    <w:rsid w:val="002E10CD"/>
    <w:rsid w:val="002E10DC"/>
    <w:rsid w:val="002E15DF"/>
    <w:rsid w:val="002E16E8"/>
    <w:rsid w:val="002E187C"/>
    <w:rsid w:val="002E18E3"/>
    <w:rsid w:val="002E1CDE"/>
    <w:rsid w:val="002E239A"/>
    <w:rsid w:val="002E23B2"/>
    <w:rsid w:val="002E2779"/>
    <w:rsid w:val="002E2DC0"/>
    <w:rsid w:val="002E3267"/>
    <w:rsid w:val="002E349E"/>
    <w:rsid w:val="002E35D7"/>
    <w:rsid w:val="002E3921"/>
    <w:rsid w:val="002E3C15"/>
    <w:rsid w:val="002E401E"/>
    <w:rsid w:val="002E42B5"/>
    <w:rsid w:val="002E432F"/>
    <w:rsid w:val="002E4F0A"/>
    <w:rsid w:val="002E5994"/>
    <w:rsid w:val="002E5A58"/>
    <w:rsid w:val="002E5DF2"/>
    <w:rsid w:val="002E61E7"/>
    <w:rsid w:val="002E620F"/>
    <w:rsid w:val="002E6267"/>
    <w:rsid w:val="002E65AA"/>
    <w:rsid w:val="002E6663"/>
    <w:rsid w:val="002E6B47"/>
    <w:rsid w:val="002E6E57"/>
    <w:rsid w:val="002E7231"/>
    <w:rsid w:val="002E755E"/>
    <w:rsid w:val="002E7736"/>
    <w:rsid w:val="002E7855"/>
    <w:rsid w:val="002E78C1"/>
    <w:rsid w:val="002E7DBC"/>
    <w:rsid w:val="002E7E79"/>
    <w:rsid w:val="002F023D"/>
    <w:rsid w:val="002F097A"/>
    <w:rsid w:val="002F16BE"/>
    <w:rsid w:val="002F17C9"/>
    <w:rsid w:val="002F1B00"/>
    <w:rsid w:val="002F1B4A"/>
    <w:rsid w:val="002F21CC"/>
    <w:rsid w:val="002F2358"/>
    <w:rsid w:val="002F2430"/>
    <w:rsid w:val="002F2D41"/>
    <w:rsid w:val="002F2FCB"/>
    <w:rsid w:val="002F319B"/>
    <w:rsid w:val="002F3202"/>
    <w:rsid w:val="002F3554"/>
    <w:rsid w:val="002F3598"/>
    <w:rsid w:val="002F35CB"/>
    <w:rsid w:val="002F3D27"/>
    <w:rsid w:val="002F414B"/>
    <w:rsid w:val="002F443F"/>
    <w:rsid w:val="002F4A47"/>
    <w:rsid w:val="002F4B3A"/>
    <w:rsid w:val="002F4FE5"/>
    <w:rsid w:val="002F503E"/>
    <w:rsid w:val="002F5096"/>
    <w:rsid w:val="002F5686"/>
    <w:rsid w:val="002F5941"/>
    <w:rsid w:val="002F5E45"/>
    <w:rsid w:val="002F6201"/>
    <w:rsid w:val="002F63D9"/>
    <w:rsid w:val="002F64D5"/>
    <w:rsid w:val="002F6C1E"/>
    <w:rsid w:val="002F6ECD"/>
    <w:rsid w:val="002F72A7"/>
    <w:rsid w:val="002F7B0F"/>
    <w:rsid w:val="0030034E"/>
    <w:rsid w:val="00301075"/>
    <w:rsid w:val="00301990"/>
    <w:rsid w:val="00301B3D"/>
    <w:rsid w:val="00301F71"/>
    <w:rsid w:val="00302733"/>
    <w:rsid w:val="003035DD"/>
    <w:rsid w:val="00303B04"/>
    <w:rsid w:val="00304182"/>
    <w:rsid w:val="0030446B"/>
    <w:rsid w:val="0030494B"/>
    <w:rsid w:val="00304EED"/>
    <w:rsid w:val="00305189"/>
    <w:rsid w:val="003058E3"/>
    <w:rsid w:val="0030600F"/>
    <w:rsid w:val="00306012"/>
    <w:rsid w:val="00306C30"/>
    <w:rsid w:val="00306CDF"/>
    <w:rsid w:val="00306D2A"/>
    <w:rsid w:val="003070DE"/>
    <w:rsid w:val="003070EA"/>
    <w:rsid w:val="00307301"/>
    <w:rsid w:val="00307577"/>
    <w:rsid w:val="00307C8D"/>
    <w:rsid w:val="00307DF7"/>
    <w:rsid w:val="00307F3D"/>
    <w:rsid w:val="0031000D"/>
    <w:rsid w:val="0031077A"/>
    <w:rsid w:val="0031080B"/>
    <w:rsid w:val="003108B7"/>
    <w:rsid w:val="00310EFD"/>
    <w:rsid w:val="003112C6"/>
    <w:rsid w:val="00311628"/>
    <w:rsid w:val="00311A4F"/>
    <w:rsid w:val="00312139"/>
    <w:rsid w:val="0031226F"/>
    <w:rsid w:val="00313332"/>
    <w:rsid w:val="00313352"/>
    <w:rsid w:val="00313519"/>
    <w:rsid w:val="00313AEE"/>
    <w:rsid w:val="00313D45"/>
    <w:rsid w:val="00313D9B"/>
    <w:rsid w:val="00314078"/>
    <w:rsid w:val="00314531"/>
    <w:rsid w:val="00315905"/>
    <w:rsid w:val="00316026"/>
    <w:rsid w:val="00316559"/>
    <w:rsid w:val="003166CB"/>
    <w:rsid w:val="003169FA"/>
    <w:rsid w:val="0031724D"/>
    <w:rsid w:val="00317255"/>
    <w:rsid w:val="0031739C"/>
    <w:rsid w:val="00317809"/>
    <w:rsid w:val="00317E8A"/>
    <w:rsid w:val="00317FC6"/>
    <w:rsid w:val="00320402"/>
    <w:rsid w:val="00320A64"/>
    <w:rsid w:val="00320AB6"/>
    <w:rsid w:val="00320D26"/>
    <w:rsid w:val="003215F2"/>
    <w:rsid w:val="003218DF"/>
    <w:rsid w:val="00321A46"/>
    <w:rsid w:val="00321A96"/>
    <w:rsid w:val="00322398"/>
    <w:rsid w:val="00322450"/>
    <w:rsid w:val="00322BDF"/>
    <w:rsid w:val="00322D8C"/>
    <w:rsid w:val="00323123"/>
    <w:rsid w:val="003238A7"/>
    <w:rsid w:val="00323F92"/>
    <w:rsid w:val="003241CF"/>
    <w:rsid w:val="003245A7"/>
    <w:rsid w:val="003246B5"/>
    <w:rsid w:val="00324882"/>
    <w:rsid w:val="003249CF"/>
    <w:rsid w:val="00324B24"/>
    <w:rsid w:val="00325204"/>
    <w:rsid w:val="00325A45"/>
    <w:rsid w:val="003267B5"/>
    <w:rsid w:val="00327501"/>
    <w:rsid w:val="00327AC5"/>
    <w:rsid w:val="00330196"/>
    <w:rsid w:val="0033054B"/>
    <w:rsid w:val="00330DB1"/>
    <w:rsid w:val="00330E0E"/>
    <w:rsid w:val="0033161A"/>
    <w:rsid w:val="00331687"/>
    <w:rsid w:val="0033169F"/>
    <w:rsid w:val="00331D00"/>
    <w:rsid w:val="00331F29"/>
    <w:rsid w:val="00332045"/>
    <w:rsid w:val="00332152"/>
    <w:rsid w:val="0033244D"/>
    <w:rsid w:val="003326C2"/>
    <w:rsid w:val="00332A4D"/>
    <w:rsid w:val="003330D2"/>
    <w:rsid w:val="003339C8"/>
    <w:rsid w:val="00333FDB"/>
    <w:rsid w:val="0033423A"/>
    <w:rsid w:val="003343F1"/>
    <w:rsid w:val="00334B00"/>
    <w:rsid w:val="00334BDA"/>
    <w:rsid w:val="00336085"/>
    <w:rsid w:val="00337100"/>
    <w:rsid w:val="00337546"/>
    <w:rsid w:val="003378E0"/>
    <w:rsid w:val="00337961"/>
    <w:rsid w:val="00337C43"/>
    <w:rsid w:val="003407E0"/>
    <w:rsid w:val="00340A95"/>
    <w:rsid w:val="003410A6"/>
    <w:rsid w:val="003414AC"/>
    <w:rsid w:val="003414E6"/>
    <w:rsid w:val="00341F71"/>
    <w:rsid w:val="00342070"/>
    <w:rsid w:val="003426F9"/>
    <w:rsid w:val="00342FA8"/>
    <w:rsid w:val="003440BD"/>
    <w:rsid w:val="003447BB"/>
    <w:rsid w:val="003447DA"/>
    <w:rsid w:val="00344B38"/>
    <w:rsid w:val="003450CB"/>
    <w:rsid w:val="0034549C"/>
    <w:rsid w:val="0034569F"/>
    <w:rsid w:val="00345AEC"/>
    <w:rsid w:val="00345B89"/>
    <w:rsid w:val="00345CD7"/>
    <w:rsid w:val="0034635E"/>
    <w:rsid w:val="00346A9C"/>
    <w:rsid w:val="00346D16"/>
    <w:rsid w:val="00346D8C"/>
    <w:rsid w:val="003472C4"/>
    <w:rsid w:val="00347742"/>
    <w:rsid w:val="00351655"/>
    <w:rsid w:val="003520F3"/>
    <w:rsid w:val="003532FA"/>
    <w:rsid w:val="003547F8"/>
    <w:rsid w:val="0035485A"/>
    <w:rsid w:val="00355079"/>
    <w:rsid w:val="00355351"/>
    <w:rsid w:val="00355355"/>
    <w:rsid w:val="00355779"/>
    <w:rsid w:val="00355870"/>
    <w:rsid w:val="00355964"/>
    <w:rsid w:val="00355EA7"/>
    <w:rsid w:val="00356185"/>
    <w:rsid w:val="003567C7"/>
    <w:rsid w:val="00356D5C"/>
    <w:rsid w:val="00357206"/>
    <w:rsid w:val="00357961"/>
    <w:rsid w:val="00357AB3"/>
    <w:rsid w:val="00357C4D"/>
    <w:rsid w:val="00357D78"/>
    <w:rsid w:val="00360380"/>
    <w:rsid w:val="0036056F"/>
    <w:rsid w:val="0036137D"/>
    <w:rsid w:val="00361EB7"/>
    <w:rsid w:val="00362872"/>
    <w:rsid w:val="00362B89"/>
    <w:rsid w:val="00362FE0"/>
    <w:rsid w:val="003631F7"/>
    <w:rsid w:val="0036346A"/>
    <w:rsid w:val="00363954"/>
    <w:rsid w:val="00363A77"/>
    <w:rsid w:val="00364276"/>
    <w:rsid w:val="003642D6"/>
    <w:rsid w:val="0036463B"/>
    <w:rsid w:val="00364B6E"/>
    <w:rsid w:val="00364C2B"/>
    <w:rsid w:val="003659F2"/>
    <w:rsid w:val="00365D52"/>
    <w:rsid w:val="00366182"/>
    <w:rsid w:val="003664A8"/>
    <w:rsid w:val="00366D5F"/>
    <w:rsid w:val="00366DBE"/>
    <w:rsid w:val="00367444"/>
    <w:rsid w:val="003675B8"/>
    <w:rsid w:val="003676F1"/>
    <w:rsid w:val="0036775E"/>
    <w:rsid w:val="00367EDD"/>
    <w:rsid w:val="00370DD4"/>
    <w:rsid w:val="0037116B"/>
    <w:rsid w:val="0037129B"/>
    <w:rsid w:val="003712A0"/>
    <w:rsid w:val="003712A7"/>
    <w:rsid w:val="0037197F"/>
    <w:rsid w:val="00371EFD"/>
    <w:rsid w:val="003729BF"/>
    <w:rsid w:val="00372AD5"/>
    <w:rsid w:val="00372B13"/>
    <w:rsid w:val="00372F8E"/>
    <w:rsid w:val="00373790"/>
    <w:rsid w:val="003741EF"/>
    <w:rsid w:val="0037429C"/>
    <w:rsid w:val="003745F9"/>
    <w:rsid w:val="00374940"/>
    <w:rsid w:val="00374C3D"/>
    <w:rsid w:val="003750C8"/>
    <w:rsid w:val="003759D2"/>
    <w:rsid w:val="00375D88"/>
    <w:rsid w:val="00376244"/>
    <w:rsid w:val="003763E3"/>
    <w:rsid w:val="00376462"/>
    <w:rsid w:val="003768E8"/>
    <w:rsid w:val="00376A82"/>
    <w:rsid w:val="00376CCB"/>
    <w:rsid w:val="00377614"/>
    <w:rsid w:val="00377ACE"/>
    <w:rsid w:val="00377AD8"/>
    <w:rsid w:val="00377BE7"/>
    <w:rsid w:val="00380645"/>
    <w:rsid w:val="00380831"/>
    <w:rsid w:val="00380A1D"/>
    <w:rsid w:val="00380AC1"/>
    <w:rsid w:val="00380B68"/>
    <w:rsid w:val="00380ECF"/>
    <w:rsid w:val="00381175"/>
    <w:rsid w:val="00381A63"/>
    <w:rsid w:val="0038209A"/>
    <w:rsid w:val="003822D3"/>
    <w:rsid w:val="003823B2"/>
    <w:rsid w:val="00382598"/>
    <w:rsid w:val="0038262B"/>
    <w:rsid w:val="00382CB1"/>
    <w:rsid w:val="00382CE7"/>
    <w:rsid w:val="00383000"/>
    <w:rsid w:val="003832D9"/>
    <w:rsid w:val="0038330F"/>
    <w:rsid w:val="00383691"/>
    <w:rsid w:val="003838DD"/>
    <w:rsid w:val="00384072"/>
    <w:rsid w:val="0038421B"/>
    <w:rsid w:val="00384BAF"/>
    <w:rsid w:val="0038559B"/>
    <w:rsid w:val="00385B08"/>
    <w:rsid w:val="00386CF0"/>
    <w:rsid w:val="00386F39"/>
    <w:rsid w:val="00386FEA"/>
    <w:rsid w:val="003875CD"/>
    <w:rsid w:val="003877AB"/>
    <w:rsid w:val="003877F8"/>
    <w:rsid w:val="00390045"/>
    <w:rsid w:val="0039011D"/>
    <w:rsid w:val="003902B2"/>
    <w:rsid w:val="00390397"/>
    <w:rsid w:val="0039061F"/>
    <w:rsid w:val="00390D19"/>
    <w:rsid w:val="00391056"/>
    <w:rsid w:val="00391B88"/>
    <w:rsid w:val="00391CD8"/>
    <w:rsid w:val="003924B2"/>
    <w:rsid w:val="00392F40"/>
    <w:rsid w:val="003937BC"/>
    <w:rsid w:val="00393C8E"/>
    <w:rsid w:val="00394608"/>
    <w:rsid w:val="0039471C"/>
    <w:rsid w:val="00394A5D"/>
    <w:rsid w:val="00395A1F"/>
    <w:rsid w:val="00395AA0"/>
    <w:rsid w:val="00395C89"/>
    <w:rsid w:val="00396106"/>
    <w:rsid w:val="003963B7"/>
    <w:rsid w:val="003964BF"/>
    <w:rsid w:val="00396542"/>
    <w:rsid w:val="003A187E"/>
    <w:rsid w:val="003A18B1"/>
    <w:rsid w:val="003A18F4"/>
    <w:rsid w:val="003A1AE3"/>
    <w:rsid w:val="003A27F4"/>
    <w:rsid w:val="003A2DC1"/>
    <w:rsid w:val="003A312A"/>
    <w:rsid w:val="003A324E"/>
    <w:rsid w:val="003A33F8"/>
    <w:rsid w:val="003A348D"/>
    <w:rsid w:val="003A3C43"/>
    <w:rsid w:val="003A430F"/>
    <w:rsid w:val="003A4790"/>
    <w:rsid w:val="003A485E"/>
    <w:rsid w:val="003A4B42"/>
    <w:rsid w:val="003A4BFC"/>
    <w:rsid w:val="003A4CF9"/>
    <w:rsid w:val="003A4E5F"/>
    <w:rsid w:val="003A527A"/>
    <w:rsid w:val="003A52B8"/>
    <w:rsid w:val="003A54CE"/>
    <w:rsid w:val="003A565C"/>
    <w:rsid w:val="003A5CAF"/>
    <w:rsid w:val="003A5DB5"/>
    <w:rsid w:val="003A5E9B"/>
    <w:rsid w:val="003A6019"/>
    <w:rsid w:val="003A632E"/>
    <w:rsid w:val="003A6BA6"/>
    <w:rsid w:val="003A6E98"/>
    <w:rsid w:val="003A7118"/>
    <w:rsid w:val="003A71F1"/>
    <w:rsid w:val="003A789A"/>
    <w:rsid w:val="003A7AF4"/>
    <w:rsid w:val="003A7BFE"/>
    <w:rsid w:val="003B08A1"/>
    <w:rsid w:val="003B0978"/>
    <w:rsid w:val="003B0F51"/>
    <w:rsid w:val="003B1624"/>
    <w:rsid w:val="003B1BD7"/>
    <w:rsid w:val="003B1D61"/>
    <w:rsid w:val="003B2353"/>
    <w:rsid w:val="003B2720"/>
    <w:rsid w:val="003B2732"/>
    <w:rsid w:val="003B27EA"/>
    <w:rsid w:val="003B2C86"/>
    <w:rsid w:val="003B349D"/>
    <w:rsid w:val="003B37EC"/>
    <w:rsid w:val="003B3E27"/>
    <w:rsid w:val="003B3E94"/>
    <w:rsid w:val="003B41F2"/>
    <w:rsid w:val="003B46DF"/>
    <w:rsid w:val="003B4AB3"/>
    <w:rsid w:val="003B4DEB"/>
    <w:rsid w:val="003B5191"/>
    <w:rsid w:val="003B5C3A"/>
    <w:rsid w:val="003B5C8C"/>
    <w:rsid w:val="003B63A0"/>
    <w:rsid w:val="003B640E"/>
    <w:rsid w:val="003B6423"/>
    <w:rsid w:val="003B66DC"/>
    <w:rsid w:val="003B6950"/>
    <w:rsid w:val="003B6EA4"/>
    <w:rsid w:val="003B7383"/>
    <w:rsid w:val="003B7EF9"/>
    <w:rsid w:val="003C074C"/>
    <w:rsid w:val="003C09FC"/>
    <w:rsid w:val="003C21BD"/>
    <w:rsid w:val="003C240D"/>
    <w:rsid w:val="003C269F"/>
    <w:rsid w:val="003C2BFE"/>
    <w:rsid w:val="003C2E7F"/>
    <w:rsid w:val="003C32BC"/>
    <w:rsid w:val="003C36AB"/>
    <w:rsid w:val="003C3722"/>
    <w:rsid w:val="003C3996"/>
    <w:rsid w:val="003C3E25"/>
    <w:rsid w:val="003C42CB"/>
    <w:rsid w:val="003C44D1"/>
    <w:rsid w:val="003C49F4"/>
    <w:rsid w:val="003C4BC0"/>
    <w:rsid w:val="003C4F69"/>
    <w:rsid w:val="003C54AD"/>
    <w:rsid w:val="003C57E7"/>
    <w:rsid w:val="003C59EB"/>
    <w:rsid w:val="003C6480"/>
    <w:rsid w:val="003C7061"/>
    <w:rsid w:val="003C789A"/>
    <w:rsid w:val="003D007D"/>
    <w:rsid w:val="003D0C05"/>
    <w:rsid w:val="003D0D3E"/>
    <w:rsid w:val="003D1D4D"/>
    <w:rsid w:val="003D1E49"/>
    <w:rsid w:val="003D2871"/>
    <w:rsid w:val="003D2C7F"/>
    <w:rsid w:val="003D2D0D"/>
    <w:rsid w:val="003D3279"/>
    <w:rsid w:val="003D3435"/>
    <w:rsid w:val="003D3507"/>
    <w:rsid w:val="003D3CAC"/>
    <w:rsid w:val="003D3D1E"/>
    <w:rsid w:val="003D3E1C"/>
    <w:rsid w:val="003D3E91"/>
    <w:rsid w:val="003D3F3F"/>
    <w:rsid w:val="003D40A7"/>
    <w:rsid w:val="003D4127"/>
    <w:rsid w:val="003D45DE"/>
    <w:rsid w:val="003D4A67"/>
    <w:rsid w:val="003D51A2"/>
    <w:rsid w:val="003D56C2"/>
    <w:rsid w:val="003D598B"/>
    <w:rsid w:val="003D5A38"/>
    <w:rsid w:val="003D5C6C"/>
    <w:rsid w:val="003D5CD7"/>
    <w:rsid w:val="003D5F18"/>
    <w:rsid w:val="003D79BC"/>
    <w:rsid w:val="003E06A3"/>
    <w:rsid w:val="003E0852"/>
    <w:rsid w:val="003E0E04"/>
    <w:rsid w:val="003E14B0"/>
    <w:rsid w:val="003E1FEC"/>
    <w:rsid w:val="003E2564"/>
    <w:rsid w:val="003E2DFE"/>
    <w:rsid w:val="003E366F"/>
    <w:rsid w:val="003E3BA3"/>
    <w:rsid w:val="003E475D"/>
    <w:rsid w:val="003E4D93"/>
    <w:rsid w:val="003E4E8A"/>
    <w:rsid w:val="003E4F40"/>
    <w:rsid w:val="003E520F"/>
    <w:rsid w:val="003E5292"/>
    <w:rsid w:val="003E533A"/>
    <w:rsid w:val="003E6084"/>
    <w:rsid w:val="003E60B8"/>
    <w:rsid w:val="003E65E7"/>
    <w:rsid w:val="003E68BB"/>
    <w:rsid w:val="003E6D7E"/>
    <w:rsid w:val="003E6FB6"/>
    <w:rsid w:val="003E70A6"/>
    <w:rsid w:val="003E7291"/>
    <w:rsid w:val="003E7380"/>
    <w:rsid w:val="003E74CD"/>
    <w:rsid w:val="003E752C"/>
    <w:rsid w:val="003E7899"/>
    <w:rsid w:val="003E7D96"/>
    <w:rsid w:val="003F0153"/>
    <w:rsid w:val="003F03FA"/>
    <w:rsid w:val="003F06FB"/>
    <w:rsid w:val="003F0B2B"/>
    <w:rsid w:val="003F0EFF"/>
    <w:rsid w:val="003F10AF"/>
    <w:rsid w:val="003F1230"/>
    <w:rsid w:val="003F19D4"/>
    <w:rsid w:val="003F1BBF"/>
    <w:rsid w:val="003F2D46"/>
    <w:rsid w:val="003F2D7B"/>
    <w:rsid w:val="003F512B"/>
    <w:rsid w:val="003F572E"/>
    <w:rsid w:val="003F57C9"/>
    <w:rsid w:val="003F5C67"/>
    <w:rsid w:val="003F627A"/>
    <w:rsid w:val="003F6707"/>
    <w:rsid w:val="003F682E"/>
    <w:rsid w:val="003F6872"/>
    <w:rsid w:val="003F7001"/>
    <w:rsid w:val="003F7161"/>
    <w:rsid w:val="003F761C"/>
    <w:rsid w:val="00400B9A"/>
    <w:rsid w:val="00400C14"/>
    <w:rsid w:val="00400E6B"/>
    <w:rsid w:val="00400EA4"/>
    <w:rsid w:val="00400FDE"/>
    <w:rsid w:val="00400FF0"/>
    <w:rsid w:val="004010E9"/>
    <w:rsid w:val="00401287"/>
    <w:rsid w:val="0040128B"/>
    <w:rsid w:val="004022E4"/>
    <w:rsid w:val="004023A0"/>
    <w:rsid w:val="00402B25"/>
    <w:rsid w:val="00403306"/>
    <w:rsid w:val="004038FD"/>
    <w:rsid w:val="0040417D"/>
    <w:rsid w:val="00404333"/>
    <w:rsid w:val="0040438F"/>
    <w:rsid w:val="00404A00"/>
    <w:rsid w:val="00404A51"/>
    <w:rsid w:val="00404E6B"/>
    <w:rsid w:val="00404EFC"/>
    <w:rsid w:val="00404F22"/>
    <w:rsid w:val="00405011"/>
    <w:rsid w:val="004058EF"/>
    <w:rsid w:val="00405991"/>
    <w:rsid w:val="00405B4E"/>
    <w:rsid w:val="00405F19"/>
    <w:rsid w:val="004063EC"/>
    <w:rsid w:val="00406721"/>
    <w:rsid w:val="00406CB6"/>
    <w:rsid w:val="00407164"/>
    <w:rsid w:val="0040735D"/>
    <w:rsid w:val="00407453"/>
    <w:rsid w:val="0040759C"/>
    <w:rsid w:val="004076B8"/>
    <w:rsid w:val="00407F3D"/>
    <w:rsid w:val="00410088"/>
    <w:rsid w:val="00410638"/>
    <w:rsid w:val="004106DD"/>
    <w:rsid w:val="00410840"/>
    <w:rsid w:val="00410925"/>
    <w:rsid w:val="00410E41"/>
    <w:rsid w:val="0041142A"/>
    <w:rsid w:val="00411847"/>
    <w:rsid w:val="00411E9E"/>
    <w:rsid w:val="0041204B"/>
    <w:rsid w:val="004122AE"/>
    <w:rsid w:val="00412479"/>
    <w:rsid w:val="0041293F"/>
    <w:rsid w:val="00412AF2"/>
    <w:rsid w:val="00413579"/>
    <w:rsid w:val="004136B9"/>
    <w:rsid w:val="00413779"/>
    <w:rsid w:val="0041384F"/>
    <w:rsid w:val="00413B37"/>
    <w:rsid w:val="004142F6"/>
    <w:rsid w:val="0041459D"/>
    <w:rsid w:val="00414A54"/>
    <w:rsid w:val="00414D3F"/>
    <w:rsid w:val="004154F4"/>
    <w:rsid w:val="004157A2"/>
    <w:rsid w:val="00415BAE"/>
    <w:rsid w:val="00416443"/>
    <w:rsid w:val="004164D5"/>
    <w:rsid w:val="004165C2"/>
    <w:rsid w:val="00416614"/>
    <w:rsid w:val="00416AD8"/>
    <w:rsid w:val="00416BC5"/>
    <w:rsid w:val="00416CB3"/>
    <w:rsid w:val="00416D52"/>
    <w:rsid w:val="00416E01"/>
    <w:rsid w:val="00417263"/>
    <w:rsid w:val="004172CB"/>
    <w:rsid w:val="00417356"/>
    <w:rsid w:val="00417524"/>
    <w:rsid w:val="0041797E"/>
    <w:rsid w:val="00420486"/>
    <w:rsid w:val="00420A61"/>
    <w:rsid w:val="00421966"/>
    <w:rsid w:val="00421D29"/>
    <w:rsid w:val="00422536"/>
    <w:rsid w:val="00422543"/>
    <w:rsid w:val="00422E3D"/>
    <w:rsid w:val="00423240"/>
    <w:rsid w:val="00423909"/>
    <w:rsid w:val="00423E69"/>
    <w:rsid w:val="00423F3C"/>
    <w:rsid w:val="004244FE"/>
    <w:rsid w:val="0042465E"/>
    <w:rsid w:val="004246BA"/>
    <w:rsid w:val="004250D6"/>
    <w:rsid w:val="004262BB"/>
    <w:rsid w:val="004264FA"/>
    <w:rsid w:val="00426A93"/>
    <w:rsid w:val="00426B7C"/>
    <w:rsid w:val="00426C73"/>
    <w:rsid w:val="00426DB7"/>
    <w:rsid w:val="00427102"/>
    <w:rsid w:val="00427406"/>
    <w:rsid w:val="0042749C"/>
    <w:rsid w:val="00427628"/>
    <w:rsid w:val="00427737"/>
    <w:rsid w:val="00427925"/>
    <w:rsid w:val="00427A53"/>
    <w:rsid w:val="00430052"/>
    <w:rsid w:val="004301AA"/>
    <w:rsid w:val="00430F9F"/>
    <w:rsid w:val="00432731"/>
    <w:rsid w:val="00432D8A"/>
    <w:rsid w:val="00432F29"/>
    <w:rsid w:val="004332C3"/>
    <w:rsid w:val="00433469"/>
    <w:rsid w:val="004337C0"/>
    <w:rsid w:val="00433CD0"/>
    <w:rsid w:val="00433D43"/>
    <w:rsid w:val="00434174"/>
    <w:rsid w:val="004343C8"/>
    <w:rsid w:val="00435DF5"/>
    <w:rsid w:val="00436653"/>
    <w:rsid w:val="00436C66"/>
    <w:rsid w:val="004374F7"/>
    <w:rsid w:val="004375C9"/>
    <w:rsid w:val="004376A4"/>
    <w:rsid w:val="00437A98"/>
    <w:rsid w:val="004401E5"/>
    <w:rsid w:val="00440515"/>
    <w:rsid w:val="004405F7"/>
    <w:rsid w:val="00440833"/>
    <w:rsid w:val="00440CD9"/>
    <w:rsid w:val="00440DB6"/>
    <w:rsid w:val="00440E90"/>
    <w:rsid w:val="00440ED3"/>
    <w:rsid w:val="00440F32"/>
    <w:rsid w:val="004413C0"/>
    <w:rsid w:val="00441D48"/>
    <w:rsid w:val="0044287C"/>
    <w:rsid w:val="00442D8F"/>
    <w:rsid w:val="00443C71"/>
    <w:rsid w:val="004443A8"/>
    <w:rsid w:val="00444596"/>
    <w:rsid w:val="00445183"/>
    <w:rsid w:val="00445C74"/>
    <w:rsid w:val="0044650B"/>
    <w:rsid w:val="004467BD"/>
    <w:rsid w:val="00446F15"/>
    <w:rsid w:val="00446F34"/>
    <w:rsid w:val="0044706E"/>
    <w:rsid w:val="00447468"/>
    <w:rsid w:val="00447A3C"/>
    <w:rsid w:val="00447B8F"/>
    <w:rsid w:val="00447CE2"/>
    <w:rsid w:val="00447D9D"/>
    <w:rsid w:val="0045037E"/>
    <w:rsid w:val="00450A4A"/>
    <w:rsid w:val="00450D96"/>
    <w:rsid w:val="004516C2"/>
    <w:rsid w:val="004518BD"/>
    <w:rsid w:val="004520C7"/>
    <w:rsid w:val="00453466"/>
    <w:rsid w:val="00453B50"/>
    <w:rsid w:val="00454345"/>
    <w:rsid w:val="00454492"/>
    <w:rsid w:val="004544CD"/>
    <w:rsid w:val="0045481D"/>
    <w:rsid w:val="00454C18"/>
    <w:rsid w:val="00455165"/>
    <w:rsid w:val="00455240"/>
    <w:rsid w:val="0045524E"/>
    <w:rsid w:val="00455370"/>
    <w:rsid w:val="004563B1"/>
    <w:rsid w:val="0045672D"/>
    <w:rsid w:val="00456CCD"/>
    <w:rsid w:val="00456D70"/>
    <w:rsid w:val="00456FF9"/>
    <w:rsid w:val="00457228"/>
    <w:rsid w:val="00457974"/>
    <w:rsid w:val="00457B89"/>
    <w:rsid w:val="00457DF4"/>
    <w:rsid w:val="004600B6"/>
    <w:rsid w:val="00460169"/>
    <w:rsid w:val="004603DA"/>
    <w:rsid w:val="0046041C"/>
    <w:rsid w:val="004606C0"/>
    <w:rsid w:val="0046072C"/>
    <w:rsid w:val="00461DD6"/>
    <w:rsid w:val="00461E19"/>
    <w:rsid w:val="0046208F"/>
    <w:rsid w:val="004621BE"/>
    <w:rsid w:val="00462248"/>
    <w:rsid w:val="004623C7"/>
    <w:rsid w:val="0046245B"/>
    <w:rsid w:val="00462781"/>
    <w:rsid w:val="004628BB"/>
    <w:rsid w:val="00462F9A"/>
    <w:rsid w:val="004630FD"/>
    <w:rsid w:val="004642EF"/>
    <w:rsid w:val="0046488C"/>
    <w:rsid w:val="004650AC"/>
    <w:rsid w:val="0046574C"/>
    <w:rsid w:val="0046600F"/>
    <w:rsid w:val="004662B0"/>
    <w:rsid w:val="004666FB"/>
    <w:rsid w:val="0046682E"/>
    <w:rsid w:val="00466A6B"/>
    <w:rsid w:val="00466F19"/>
    <w:rsid w:val="004670A9"/>
    <w:rsid w:val="004670DA"/>
    <w:rsid w:val="00467542"/>
    <w:rsid w:val="00467B3B"/>
    <w:rsid w:val="00467B7E"/>
    <w:rsid w:val="00467CF1"/>
    <w:rsid w:val="0047006D"/>
    <w:rsid w:val="004702E9"/>
    <w:rsid w:val="00470FD7"/>
    <w:rsid w:val="00471053"/>
    <w:rsid w:val="004715B7"/>
    <w:rsid w:val="00471BC8"/>
    <w:rsid w:val="00471ED1"/>
    <w:rsid w:val="004722B3"/>
    <w:rsid w:val="00472B0E"/>
    <w:rsid w:val="004730AF"/>
    <w:rsid w:val="00473197"/>
    <w:rsid w:val="0047327D"/>
    <w:rsid w:val="00473F9C"/>
    <w:rsid w:val="004750EA"/>
    <w:rsid w:val="004751D8"/>
    <w:rsid w:val="00475C62"/>
    <w:rsid w:val="00475DDB"/>
    <w:rsid w:val="00475E75"/>
    <w:rsid w:val="00475FB0"/>
    <w:rsid w:val="00476B10"/>
    <w:rsid w:val="00476B42"/>
    <w:rsid w:val="0047721C"/>
    <w:rsid w:val="004773D3"/>
    <w:rsid w:val="00477B10"/>
    <w:rsid w:val="00477BE3"/>
    <w:rsid w:val="00477D29"/>
    <w:rsid w:val="004804D4"/>
    <w:rsid w:val="00480502"/>
    <w:rsid w:val="00480B24"/>
    <w:rsid w:val="00480FC3"/>
    <w:rsid w:val="004810B3"/>
    <w:rsid w:val="004810BD"/>
    <w:rsid w:val="0048119E"/>
    <w:rsid w:val="004817BD"/>
    <w:rsid w:val="00481C1F"/>
    <w:rsid w:val="00482208"/>
    <w:rsid w:val="00482528"/>
    <w:rsid w:val="00482644"/>
    <w:rsid w:val="0048264B"/>
    <w:rsid w:val="00483146"/>
    <w:rsid w:val="00483697"/>
    <w:rsid w:val="00483974"/>
    <w:rsid w:val="00483D9E"/>
    <w:rsid w:val="00484B2F"/>
    <w:rsid w:val="00484F80"/>
    <w:rsid w:val="004850C2"/>
    <w:rsid w:val="004864C3"/>
    <w:rsid w:val="00486A15"/>
    <w:rsid w:val="0048701C"/>
    <w:rsid w:val="00487ADE"/>
    <w:rsid w:val="00490018"/>
    <w:rsid w:val="004907E1"/>
    <w:rsid w:val="00490BE7"/>
    <w:rsid w:val="00490C98"/>
    <w:rsid w:val="0049216F"/>
    <w:rsid w:val="0049382A"/>
    <w:rsid w:val="0049419D"/>
    <w:rsid w:val="004944AB"/>
    <w:rsid w:val="004949AA"/>
    <w:rsid w:val="00494ACB"/>
    <w:rsid w:val="00494BFF"/>
    <w:rsid w:val="00495029"/>
    <w:rsid w:val="00495396"/>
    <w:rsid w:val="00495CD7"/>
    <w:rsid w:val="004962B8"/>
    <w:rsid w:val="0049645D"/>
    <w:rsid w:val="00496687"/>
    <w:rsid w:val="00496C69"/>
    <w:rsid w:val="00496DBC"/>
    <w:rsid w:val="00496E99"/>
    <w:rsid w:val="00497493"/>
    <w:rsid w:val="0049749D"/>
    <w:rsid w:val="004977D3"/>
    <w:rsid w:val="00497CF1"/>
    <w:rsid w:val="00497D68"/>
    <w:rsid w:val="004A02A0"/>
    <w:rsid w:val="004A0977"/>
    <w:rsid w:val="004A09B7"/>
    <w:rsid w:val="004A1588"/>
    <w:rsid w:val="004A17A5"/>
    <w:rsid w:val="004A1B3A"/>
    <w:rsid w:val="004A1B66"/>
    <w:rsid w:val="004A1EEA"/>
    <w:rsid w:val="004A219F"/>
    <w:rsid w:val="004A2B9D"/>
    <w:rsid w:val="004A37A5"/>
    <w:rsid w:val="004A3806"/>
    <w:rsid w:val="004A38DF"/>
    <w:rsid w:val="004A3DC4"/>
    <w:rsid w:val="004A423C"/>
    <w:rsid w:val="004A4400"/>
    <w:rsid w:val="004A4A3E"/>
    <w:rsid w:val="004A4DB0"/>
    <w:rsid w:val="004A514F"/>
    <w:rsid w:val="004A53E7"/>
    <w:rsid w:val="004A53FA"/>
    <w:rsid w:val="004A54F0"/>
    <w:rsid w:val="004A5614"/>
    <w:rsid w:val="004A5A1D"/>
    <w:rsid w:val="004A5B6C"/>
    <w:rsid w:val="004A5E29"/>
    <w:rsid w:val="004A6298"/>
    <w:rsid w:val="004A6629"/>
    <w:rsid w:val="004B0151"/>
    <w:rsid w:val="004B0A49"/>
    <w:rsid w:val="004B13D0"/>
    <w:rsid w:val="004B1BA0"/>
    <w:rsid w:val="004B1BD9"/>
    <w:rsid w:val="004B23FB"/>
    <w:rsid w:val="004B2429"/>
    <w:rsid w:val="004B2762"/>
    <w:rsid w:val="004B2B66"/>
    <w:rsid w:val="004B2DE8"/>
    <w:rsid w:val="004B30D5"/>
    <w:rsid w:val="004B31F9"/>
    <w:rsid w:val="004B34E3"/>
    <w:rsid w:val="004B35F1"/>
    <w:rsid w:val="004B388C"/>
    <w:rsid w:val="004B3D80"/>
    <w:rsid w:val="004B40A9"/>
    <w:rsid w:val="004B45B7"/>
    <w:rsid w:val="004B4D00"/>
    <w:rsid w:val="004B4E6F"/>
    <w:rsid w:val="004B634D"/>
    <w:rsid w:val="004B70DD"/>
    <w:rsid w:val="004B7375"/>
    <w:rsid w:val="004B7D4C"/>
    <w:rsid w:val="004B7EB6"/>
    <w:rsid w:val="004B7F87"/>
    <w:rsid w:val="004C0FE4"/>
    <w:rsid w:val="004C1488"/>
    <w:rsid w:val="004C14B0"/>
    <w:rsid w:val="004C17B4"/>
    <w:rsid w:val="004C19C5"/>
    <w:rsid w:val="004C2235"/>
    <w:rsid w:val="004C2E44"/>
    <w:rsid w:val="004C3116"/>
    <w:rsid w:val="004C34EF"/>
    <w:rsid w:val="004C427F"/>
    <w:rsid w:val="004C4B62"/>
    <w:rsid w:val="004C5505"/>
    <w:rsid w:val="004C573B"/>
    <w:rsid w:val="004C599D"/>
    <w:rsid w:val="004C6876"/>
    <w:rsid w:val="004C68B8"/>
    <w:rsid w:val="004C7257"/>
    <w:rsid w:val="004C758F"/>
    <w:rsid w:val="004C77DC"/>
    <w:rsid w:val="004C7B18"/>
    <w:rsid w:val="004C7DDD"/>
    <w:rsid w:val="004C7EE2"/>
    <w:rsid w:val="004D0229"/>
    <w:rsid w:val="004D0473"/>
    <w:rsid w:val="004D15C2"/>
    <w:rsid w:val="004D2566"/>
    <w:rsid w:val="004D2F00"/>
    <w:rsid w:val="004D37B1"/>
    <w:rsid w:val="004D3A1C"/>
    <w:rsid w:val="004D45F7"/>
    <w:rsid w:val="004D46A5"/>
    <w:rsid w:val="004D4782"/>
    <w:rsid w:val="004D4A6A"/>
    <w:rsid w:val="004D4AC0"/>
    <w:rsid w:val="004D4D1B"/>
    <w:rsid w:val="004D4E01"/>
    <w:rsid w:val="004D5C7D"/>
    <w:rsid w:val="004D5E33"/>
    <w:rsid w:val="004D5FA1"/>
    <w:rsid w:val="004D6025"/>
    <w:rsid w:val="004D61E8"/>
    <w:rsid w:val="004D657F"/>
    <w:rsid w:val="004D6A97"/>
    <w:rsid w:val="004D6F25"/>
    <w:rsid w:val="004D72BC"/>
    <w:rsid w:val="004D73E3"/>
    <w:rsid w:val="004D742C"/>
    <w:rsid w:val="004D75B9"/>
    <w:rsid w:val="004D78B4"/>
    <w:rsid w:val="004E00E5"/>
    <w:rsid w:val="004E021C"/>
    <w:rsid w:val="004E05CD"/>
    <w:rsid w:val="004E13F5"/>
    <w:rsid w:val="004E21BA"/>
    <w:rsid w:val="004E2452"/>
    <w:rsid w:val="004E2A8E"/>
    <w:rsid w:val="004E2B3F"/>
    <w:rsid w:val="004E2FE2"/>
    <w:rsid w:val="004E3716"/>
    <w:rsid w:val="004E3A16"/>
    <w:rsid w:val="004E4761"/>
    <w:rsid w:val="004E4C6B"/>
    <w:rsid w:val="004E4C8E"/>
    <w:rsid w:val="004E662D"/>
    <w:rsid w:val="004E6C9C"/>
    <w:rsid w:val="004F037E"/>
    <w:rsid w:val="004F04A5"/>
    <w:rsid w:val="004F07A6"/>
    <w:rsid w:val="004F0842"/>
    <w:rsid w:val="004F0B52"/>
    <w:rsid w:val="004F15C4"/>
    <w:rsid w:val="004F16E8"/>
    <w:rsid w:val="004F173D"/>
    <w:rsid w:val="004F1CED"/>
    <w:rsid w:val="004F1DAD"/>
    <w:rsid w:val="004F21A6"/>
    <w:rsid w:val="004F265C"/>
    <w:rsid w:val="004F2694"/>
    <w:rsid w:val="004F288B"/>
    <w:rsid w:val="004F2FC4"/>
    <w:rsid w:val="004F302F"/>
    <w:rsid w:val="004F3712"/>
    <w:rsid w:val="004F37CA"/>
    <w:rsid w:val="004F38E0"/>
    <w:rsid w:val="004F3905"/>
    <w:rsid w:val="004F411B"/>
    <w:rsid w:val="004F441A"/>
    <w:rsid w:val="004F48CC"/>
    <w:rsid w:val="004F4C1C"/>
    <w:rsid w:val="004F530D"/>
    <w:rsid w:val="004F5466"/>
    <w:rsid w:val="004F5650"/>
    <w:rsid w:val="004F5EE6"/>
    <w:rsid w:val="004F6949"/>
    <w:rsid w:val="004F69EA"/>
    <w:rsid w:val="004F69ED"/>
    <w:rsid w:val="004F6D1E"/>
    <w:rsid w:val="004F76C4"/>
    <w:rsid w:val="004F7707"/>
    <w:rsid w:val="004F770D"/>
    <w:rsid w:val="004F7B86"/>
    <w:rsid w:val="00500778"/>
    <w:rsid w:val="005008C7"/>
    <w:rsid w:val="00501282"/>
    <w:rsid w:val="00501399"/>
    <w:rsid w:val="00501CF1"/>
    <w:rsid w:val="00501D6B"/>
    <w:rsid w:val="00501DFB"/>
    <w:rsid w:val="005022A2"/>
    <w:rsid w:val="00502E35"/>
    <w:rsid w:val="005037AA"/>
    <w:rsid w:val="00503834"/>
    <w:rsid w:val="00503C4C"/>
    <w:rsid w:val="00504228"/>
    <w:rsid w:val="00504D1C"/>
    <w:rsid w:val="0050536C"/>
    <w:rsid w:val="005057C7"/>
    <w:rsid w:val="00505B63"/>
    <w:rsid w:val="005066A4"/>
    <w:rsid w:val="005068B0"/>
    <w:rsid w:val="00507534"/>
    <w:rsid w:val="00507617"/>
    <w:rsid w:val="005076FD"/>
    <w:rsid w:val="00507B5A"/>
    <w:rsid w:val="00507BC4"/>
    <w:rsid w:val="00507C24"/>
    <w:rsid w:val="00510142"/>
    <w:rsid w:val="00510275"/>
    <w:rsid w:val="00510311"/>
    <w:rsid w:val="00510327"/>
    <w:rsid w:val="005107B6"/>
    <w:rsid w:val="00510AD9"/>
    <w:rsid w:val="00511227"/>
    <w:rsid w:val="00511E3F"/>
    <w:rsid w:val="00511E88"/>
    <w:rsid w:val="0051254F"/>
    <w:rsid w:val="005128E4"/>
    <w:rsid w:val="00512A35"/>
    <w:rsid w:val="00513229"/>
    <w:rsid w:val="00513B84"/>
    <w:rsid w:val="005140FC"/>
    <w:rsid w:val="005142E0"/>
    <w:rsid w:val="005152B7"/>
    <w:rsid w:val="005158F1"/>
    <w:rsid w:val="00515EF5"/>
    <w:rsid w:val="00516035"/>
    <w:rsid w:val="00516196"/>
    <w:rsid w:val="0051663A"/>
    <w:rsid w:val="00516BBE"/>
    <w:rsid w:val="00520095"/>
    <w:rsid w:val="00520369"/>
    <w:rsid w:val="00520E88"/>
    <w:rsid w:val="00521214"/>
    <w:rsid w:val="00521895"/>
    <w:rsid w:val="00521909"/>
    <w:rsid w:val="00521F87"/>
    <w:rsid w:val="00522254"/>
    <w:rsid w:val="005223AF"/>
    <w:rsid w:val="00522646"/>
    <w:rsid w:val="005234E7"/>
    <w:rsid w:val="0052358F"/>
    <w:rsid w:val="00523977"/>
    <w:rsid w:val="00524268"/>
    <w:rsid w:val="00524748"/>
    <w:rsid w:val="00524EB4"/>
    <w:rsid w:val="00525278"/>
    <w:rsid w:val="00525560"/>
    <w:rsid w:val="00525748"/>
    <w:rsid w:val="00525C32"/>
    <w:rsid w:val="00525F05"/>
    <w:rsid w:val="00526204"/>
    <w:rsid w:val="00526492"/>
    <w:rsid w:val="005267AC"/>
    <w:rsid w:val="00526BE8"/>
    <w:rsid w:val="00526EF8"/>
    <w:rsid w:val="0052719A"/>
    <w:rsid w:val="00527461"/>
    <w:rsid w:val="00527E0A"/>
    <w:rsid w:val="00530295"/>
    <w:rsid w:val="0053040D"/>
    <w:rsid w:val="00530991"/>
    <w:rsid w:val="00530B2B"/>
    <w:rsid w:val="00531008"/>
    <w:rsid w:val="0053134C"/>
    <w:rsid w:val="005313DA"/>
    <w:rsid w:val="00531517"/>
    <w:rsid w:val="005316DF"/>
    <w:rsid w:val="0053187E"/>
    <w:rsid w:val="00531D4D"/>
    <w:rsid w:val="005325F6"/>
    <w:rsid w:val="0053347F"/>
    <w:rsid w:val="005343C0"/>
    <w:rsid w:val="005346E1"/>
    <w:rsid w:val="00535135"/>
    <w:rsid w:val="005357A6"/>
    <w:rsid w:val="0053592E"/>
    <w:rsid w:val="00535D22"/>
    <w:rsid w:val="00535FF9"/>
    <w:rsid w:val="00536020"/>
    <w:rsid w:val="00536027"/>
    <w:rsid w:val="00536397"/>
    <w:rsid w:val="005366E5"/>
    <w:rsid w:val="005367D0"/>
    <w:rsid w:val="00536848"/>
    <w:rsid w:val="005369AE"/>
    <w:rsid w:val="00536ADF"/>
    <w:rsid w:val="00536B9E"/>
    <w:rsid w:val="00537159"/>
    <w:rsid w:val="005401F2"/>
    <w:rsid w:val="00540853"/>
    <w:rsid w:val="00540AEC"/>
    <w:rsid w:val="0054123A"/>
    <w:rsid w:val="005413E8"/>
    <w:rsid w:val="00541B01"/>
    <w:rsid w:val="00541C5D"/>
    <w:rsid w:val="00541ECB"/>
    <w:rsid w:val="005422EF"/>
    <w:rsid w:val="00542375"/>
    <w:rsid w:val="005430A6"/>
    <w:rsid w:val="005435B2"/>
    <w:rsid w:val="00543705"/>
    <w:rsid w:val="005439C3"/>
    <w:rsid w:val="00544C49"/>
    <w:rsid w:val="00544E18"/>
    <w:rsid w:val="0054561F"/>
    <w:rsid w:val="005456B2"/>
    <w:rsid w:val="005458F3"/>
    <w:rsid w:val="0054591A"/>
    <w:rsid w:val="00545F2C"/>
    <w:rsid w:val="00546C39"/>
    <w:rsid w:val="00546C7A"/>
    <w:rsid w:val="00546E01"/>
    <w:rsid w:val="00547DDA"/>
    <w:rsid w:val="00547EB7"/>
    <w:rsid w:val="00547F2B"/>
    <w:rsid w:val="0055004A"/>
    <w:rsid w:val="00550141"/>
    <w:rsid w:val="005506A9"/>
    <w:rsid w:val="0055098A"/>
    <w:rsid w:val="00550FAA"/>
    <w:rsid w:val="005514A9"/>
    <w:rsid w:val="0055160C"/>
    <w:rsid w:val="005520C5"/>
    <w:rsid w:val="005521DF"/>
    <w:rsid w:val="005531BB"/>
    <w:rsid w:val="00553A04"/>
    <w:rsid w:val="00553A05"/>
    <w:rsid w:val="00553EC6"/>
    <w:rsid w:val="00554BAB"/>
    <w:rsid w:val="00554D3A"/>
    <w:rsid w:val="0055539B"/>
    <w:rsid w:val="00555492"/>
    <w:rsid w:val="00555780"/>
    <w:rsid w:val="005557F2"/>
    <w:rsid w:val="00555A6E"/>
    <w:rsid w:val="00555C6B"/>
    <w:rsid w:val="00555E95"/>
    <w:rsid w:val="0055667E"/>
    <w:rsid w:val="005574FC"/>
    <w:rsid w:val="00557C07"/>
    <w:rsid w:val="00560563"/>
    <w:rsid w:val="00560E41"/>
    <w:rsid w:val="005613AC"/>
    <w:rsid w:val="005617E6"/>
    <w:rsid w:val="00561869"/>
    <w:rsid w:val="00562460"/>
    <w:rsid w:val="0056273E"/>
    <w:rsid w:val="005627FD"/>
    <w:rsid w:val="00562E4A"/>
    <w:rsid w:val="00563167"/>
    <w:rsid w:val="00563314"/>
    <w:rsid w:val="005633E7"/>
    <w:rsid w:val="00563574"/>
    <w:rsid w:val="00563B28"/>
    <w:rsid w:val="00563C47"/>
    <w:rsid w:val="00563DC9"/>
    <w:rsid w:val="00563F04"/>
    <w:rsid w:val="0056432A"/>
    <w:rsid w:val="005650AC"/>
    <w:rsid w:val="005656C4"/>
    <w:rsid w:val="00565B4B"/>
    <w:rsid w:val="00565C1A"/>
    <w:rsid w:val="00566AEA"/>
    <w:rsid w:val="00566FD0"/>
    <w:rsid w:val="00567533"/>
    <w:rsid w:val="00570699"/>
    <w:rsid w:val="005706EF"/>
    <w:rsid w:val="0057078E"/>
    <w:rsid w:val="005707D2"/>
    <w:rsid w:val="00570832"/>
    <w:rsid w:val="00570AF2"/>
    <w:rsid w:val="00571247"/>
    <w:rsid w:val="005713C7"/>
    <w:rsid w:val="00571713"/>
    <w:rsid w:val="00572495"/>
    <w:rsid w:val="0057276F"/>
    <w:rsid w:val="00572C4A"/>
    <w:rsid w:val="00572D96"/>
    <w:rsid w:val="005734D3"/>
    <w:rsid w:val="005737BC"/>
    <w:rsid w:val="0057402A"/>
    <w:rsid w:val="00574148"/>
    <w:rsid w:val="005744A4"/>
    <w:rsid w:val="005746B3"/>
    <w:rsid w:val="00574D8E"/>
    <w:rsid w:val="0057516B"/>
    <w:rsid w:val="005755D5"/>
    <w:rsid w:val="00575867"/>
    <w:rsid w:val="005761DA"/>
    <w:rsid w:val="005764DD"/>
    <w:rsid w:val="00576832"/>
    <w:rsid w:val="00576966"/>
    <w:rsid w:val="005771D0"/>
    <w:rsid w:val="00577B42"/>
    <w:rsid w:val="0058022B"/>
    <w:rsid w:val="005804D6"/>
    <w:rsid w:val="00580EE0"/>
    <w:rsid w:val="00580FEA"/>
    <w:rsid w:val="00581799"/>
    <w:rsid w:val="005826CF"/>
    <w:rsid w:val="005826EA"/>
    <w:rsid w:val="00582750"/>
    <w:rsid w:val="005829D9"/>
    <w:rsid w:val="00582D0D"/>
    <w:rsid w:val="0058343A"/>
    <w:rsid w:val="00583A1E"/>
    <w:rsid w:val="00583C2B"/>
    <w:rsid w:val="00583F68"/>
    <w:rsid w:val="005840B2"/>
    <w:rsid w:val="0058426B"/>
    <w:rsid w:val="0058497E"/>
    <w:rsid w:val="00584C28"/>
    <w:rsid w:val="00584C7B"/>
    <w:rsid w:val="00584F43"/>
    <w:rsid w:val="00585CBD"/>
    <w:rsid w:val="00585DED"/>
    <w:rsid w:val="005878EE"/>
    <w:rsid w:val="00587964"/>
    <w:rsid w:val="00587A14"/>
    <w:rsid w:val="005902A3"/>
    <w:rsid w:val="0059066D"/>
    <w:rsid w:val="00590872"/>
    <w:rsid w:val="00590A3C"/>
    <w:rsid w:val="00590A78"/>
    <w:rsid w:val="00590BF3"/>
    <w:rsid w:val="00590C43"/>
    <w:rsid w:val="00590C5B"/>
    <w:rsid w:val="00590E8E"/>
    <w:rsid w:val="005910C0"/>
    <w:rsid w:val="005916E2"/>
    <w:rsid w:val="005916F8"/>
    <w:rsid w:val="0059191A"/>
    <w:rsid w:val="00591B96"/>
    <w:rsid w:val="00591F60"/>
    <w:rsid w:val="005921FF"/>
    <w:rsid w:val="00592299"/>
    <w:rsid w:val="005925B2"/>
    <w:rsid w:val="00592A6D"/>
    <w:rsid w:val="00592EDC"/>
    <w:rsid w:val="0059318E"/>
    <w:rsid w:val="005937E2"/>
    <w:rsid w:val="00593C13"/>
    <w:rsid w:val="00594533"/>
    <w:rsid w:val="005946FF"/>
    <w:rsid w:val="00594CE1"/>
    <w:rsid w:val="0059561D"/>
    <w:rsid w:val="00595766"/>
    <w:rsid w:val="005959C4"/>
    <w:rsid w:val="00595C40"/>
    <w:rsid w:val="00595EDB"/>
    <w:rsid w:val="0059641E"/>
    <w:rsid w:val="00596514"/>
    <w:rsid w:val="0059670F"/>
    <w:rsid w:val="0059671E"/>
    <w:rsid w:val="00596ABE"/>
    <w:rsid w:val="00596AD3"/>
    <w:rsid w:val="00596B97"/>
    <w:rsid w:val="00596F42"/>
    <w:rsid w:val="00597162"/>
    <w:rsid w:val="0059724B"/>
    <w:rsid w:val="005972FE"/>
    <w:rsid w:val="0059770B"/>
    <w:rsid w:val="00597C8A"/>
    <w:rsid w:val="005A01B6"/>
    <w:rsid w:val="005A0410"/>
    <w:rsid w:val="005A0B5A"/>
    <w:rsid w:val="005A10C2"/>
    <w:rsid w:val="005A1832"/>
    <w:rsid w:val="005A238B"/>
    <w:rsid w:val="005A2B0A"/>
    <w:rsid w:val="005A2B0B"/>
    <w:rsid w:val="005A2E9B"/>
    <w:rsid w:val="005A37BB"/>
    <w:rsid w:val="005A4196"/>
    <w:rsid w:val="005A4328"/>
    <w:rsid w:val="005A482E"/>
    <w:rsid w:val="005A4B8E"/>
    <w:rsid w:val="005A6205"/>
    <w:rsid w:val="005A6A13"/>
    <w:rsid w:val="005A6D0E"/>
    <w:rsid w:val="005A6E50"/>
    <w:rsid w:val="005A6E68"/>
    <w:rsid w:val="005A734E"/>
    <w:rsid w:val="005B0001"/>
    <w:rsid w:val="005B0676"/>
    <w:rsid w:val="005B0842"/>
    <w:rsid w:val="005B0994"/>
    <w:rsid w:val="005B0A88"/>
    <w:rsid w:val="005B0C41"/>
    <w:rsid w:val="005B1254"/>
    <w:rsid w:val="005B12C2"/>
    <w:rsid w:val="005B1322"/>
    <w:rsid w:val="005B1DBA"/>
    <w:rsid w:val="005B222D"/>
    <w:rsid w:val="005B245E"/>
    <w:rsid w:val="005B28A7"/>
    <w:rsid w:val="005B3609"/>
    <w:rsid w:val="005B3795"/>
    <w:rsid w:val="005B3A12"/>
    <w:rsid w:val="005B3DEC"/>
    <w:rsid w:val="005B3EF2"/>
    <w:rsid w:val="005B40C1"/>
    <w:rsid w:val="005B41E1"/>
    <w:rsid w:val="005B52B0"/>
    <w:rsid w:val="005B6110"/>
    <w:rsid w:val="005B65AF"/>
    <w:rsid w:val="005B67DE"/>
    <w:rsid w:val="005B6806"/>
    <w:rsid w:val="005B711D"/>
    <w:rsid w:val="005B7E1F"/>
    <w:rsid w:val="005B7EAF"/>
    <w:rsid w:val="005B7EDC"/>
    <w:rsid w:val="005C00AF"/>
    <w:rsid w:val="005C00F9"/>
    <w:rsid w:val="005C05FA"/>
    <w:rsid w:val="005C164F"/>
    <w:rsid w:val="005C1853"/>
    <w:rsid w:val="005C1998"/>
    <w:rsid w:val="005C1A8D"/>
    <w:rsid w:val="005C1D8E"/>
    <w:rsid w:val="005C207A"/>
    <w:rsid w:val="005C21AA"/>
    <w:rsid w:val="005C23BD"/>
    <w:rsid w:val="005C2B10"/>
    <w:rsid w:val="005C2BA2"/>
    <w:rsid w:val="005C2E02"/>
    <w:rsid w:val="005C3149"/>
    <w:rsid w:val="005C3319"/>
    <w:rsid w:val="005C34BB"/>
    <w:rsid w:val="005C3944"/>
    <w:rsid w:val="005C3DAB"/>
    <w:rsid w:val="005C3E22"/>
    <w:rsid w:val="005C3E96"/>
    <w:rsid w:val="005C3EA1"/>
    <w:rsid w:val="005C4011"/>
    <w:rsid w:val="005C4225"/>
    <w:rsid w:val="005C4541"/>
    <w:rsid w:val="005C456D"/>
    <w:rsid w:val="005C4886"/>
    <w:rsid w:val="005C4AF4"/>
    <w:rsid w:val="005C566A"/>
    <w:rsid w:val="005C5F93"/>
    <w:rsid w:val="005C6248"/>
    <w:rsid w:val="005C663B"/>
    <w:rsid w:val="005C6872"/>
    <w:rsid w:val="005C6A11"/>
    <w:rsid w:val="005C6F09"/>
    <w:rsid w:val="005D0189"/>
    <w:rsid w:val="005D05F4"/>
    <w:rsid w:val="005D0AC5"/>
    <w:rsid w:val="005D0FBF"/>
    <w:rsid w:val="005D1076"/>
    <w:rsid w:val="005D1128"/>
    <w:rsid w:val="005D1157"/>
    <w:rsid w:val="005D1CBA"/>
    <w:rsid w:val="005D1D34"/>
    <w:rsid w:val="005D2B93"/>
    <w:rsid w:val="005D2E13"/>
    <w:rsid w:val="005D36B6"/>
    <w:rsid w:val="005D3E9A"/>
    <w:rsid w:val="005D447F"/>
    <w:rsid w:val="005D489C"/>
    <w:rsid w:val="005D4C17"/>
    <w:rsid w:val="005D50AD"/>
    <w:rsid w:val="005D55A5"/>
    <w:rsid w:val="005D5A45"/>
    <w:rsid w:val="005D5C54"/>
    <w:rsid w:val="005D5DED"/>
    <w:rsid w:val="005D6891"/>
    <w:rsid w:val="005D6A03"/>
    <w:rsid w:val="005D6A17"/>
    <w:rsid w:val="005D6AC4"/>
    <w:rsid w:val="005D6B2C"/>
    <w:rsid w:val="005D7191"/>
    <w:rsid w:val="005D7280"/>
    <w:rsid w:val="005E031E"/>
    <w:rsid w:val="005E04BC"/>
    <w:rsid w:val="005E05C8"/>
    <w:rsid w:val="005E065C"/>
    <w:rsid w:val="005E0706"/>
    <w:rsid w:val="005E09BC"/>
    <w:rsid w:val="005E0A3F"/>
    <w:rsid w:val="005E0B92"/>
    <w:rsid w:val="005E1634"/>
    <w:rsid w:val="005E1D4B"/>
    <w:rsid w:val="005E22BD"/>
    <w:rsid w:val="005E2BDE"/>
    <w:rsid w:val="005E2BFE"/>
    <w:rsid w:val="005E2FE1"/>
    <w:rsid w:val="005E393C"/>
    <w:rsid w:val="005E4013"/>
    <w:rsid w:val="005E465C"/>
    <w:rsid w:val="005E47E8"/>
    <w:rsid w:val="005E4A95"/>
    <w:rsid w:val="005E4BD4"/>
    <w:rsid w:val="005E4CF1"/>
    <w:rsid w:val="005E5031"/>
    <w:rsid w:val="005E5196"/>
    <w:rsid w:val="005E5258"/>
    <w:rsid w:val="005E5419"/>
    <w:rsid w:val="005E5E0D"/>
    <w:rsid w:val="005E6203"/>
    <w:rsid w:val="005E657B"/>
    <w:rsid w:val="005E6C0C"/>
    <w:rsid w:val="005E6C11"/>
    <w:rsid w:val="005E6EE3"/>
    <w:rsid w:val="005E74C5"/>
    <w:rsid w:val="005E7539"/>
    <w:rsid w:val="005E7642"/>
    <w:rsid w:val="005E7B4B"/>
    <w:rsid w:val="005F0133"/>
    <w:rsid w:val="005F03C7"/>
    <w:rsid w:val="005F04FD"/>
    <w:rsid w:val="005F0F33"/>
    <w:rsid w:val="005F1C54"/>
    <w:rsid w:val="005F1F31"/>
    <w:rsid w:val="005F2A0D"/>
    <w:rsid w:val="005F32A0"/>
    <w:rsid w:val="005F36F3"/>
    <w:rsid w:val="005F3F11"/>
    <w:rsid w:val="005F461B"/>
    <w:rsid w:val="005F5456"/>
    <w:rsid w:val="005F55DC"/>
    <w:rsid w:val="005F57C1"/>
    <w:rsid w:val="005F6FE7"/>
    <w:rsid w:val="005F717C"/>
    <w:rsid w:val="005F76DE"/>
    <w:rsid w:val="005F7C35"/>
    <w:rsid w:val="0060040E"/>
    <w:rsid w:val="006005C1"/>
    <w:rsid w:val="00600A96"/>
    <w:rsid w:val="00600D03"/>
    <w:rsid w:val="00600DEB"/>
    <w:rsid w:val="00600EB0"/>
    <w:rsid w:val="00600EE3"/>
    <w:rsid w:val="00601772"/>
    <w:rsid w:val="0060181F"/>
    <w:rsid w:val="00602042"/>
    <w:rsid w:val="00602146"/>
    <w:rsid w:val="006021D4"/>
    <w:rsid w:val="0060270A"/>
    <w:rsid w:val="00602B9B"/>
    <w:rsid w:val="00603CB6"/>
    <w:rsid w:val="00603D6F"/>
    <w:rsid w:val="006041C5"/>
    <w:rsid w:val="006045A7"/>
    <w:rsid w:val="006049BD"/>
    <w:rsid w:val="006049EC"/>
    <w:rsid w:val="006049F6"/>
    <w:rsid w:val="00604B83"/>
    <w:rsid w:val="00604BEF"/>
    <w:rsid w:val="006059FA"/>
    <w:rsid w:val="00606B40"/>
    <w:rsid w:val="00607325"/>
    <w:rsid w:val="00607F83"/>
    <w:rsid w:val="006104FA"/>
    <w:rsid w:val="006112EF"/>
    <w:rsid w:val="00612B39"/>
    <w:rsid w:val="00613027"/>
    <w:rsid w:val="00613120"/>
    <w:rsid w:val="00613188"/>
    <w:rsid w:val="00613A08"/>
    <w:rsid w:val="0061412F"/>
    <w:rsid w:val="00614153"/>
    <w:rsid w:val="006146AC"/>
    <w:rsid w:val="00614AE8"/>
    <w:rsid w:val="00614FC5"/>
    <w:rsid w:val="00615073"/>
    <w:rsid w:val="00615395"/>
    <w:rsid w:val="0061546B"/>
    <w:rsid w:val="00615B67"/>
    <w:rsid w:val="00615F46"/>
    <w:rsid w:val="00616320"/>
    <w:rsid w:val="00617074"/>
    <w:rsid w:val="00617156"/>
    <w:rsid w:val="006176BF"/>
    <w:rsid w:val="00617842"/>
    <w:rsid w:val="006206FF"/>
    <w:rsid w:val="0062074E"/>
    <w:rsid w:val="00620A30"/>
    <w:rsid w:val="00620A65"/>
    <w:rsid w:val="00620B75"/>
    <w:rsid w:val="00621B67"/>
    <w:rsid w:val="00622000"/>
    <w:rsid w:val="006220E5"/>
    <w:rsid w:val="006222C9"/>
    <w:rsid w:val="006225B7"/>
    <w:rsid w:val="0062284B"/>
    <w:rsid w:val="00623178"/>
    <w:rsid w:val="00623324"/>
    <w:rsid w:val="006238CB"/>
    <w:rsid w:val="00623ECE"/>
    <w:rsid w:val="006243EC"/>
    <w:rsid w:val="00624508"/>
    <w:rsid w:val="006246FD"/>
    <w:rsid w:val="00624716"/>
    <w:rsid w:val="006247DB"/>
    <w:rsid w:val="006248E3"/>
    <w:rsid w:val="00624E66"/>
    <w:rsid w:val="006250EE"/>
    <w:rsid w:val="00625577"/>
    <w:rsid w:val="00625585"/>
    <w:rsid w:val="006260B6"/>
    <w:rsid w:val="00626360"/>
    <w:rsid w:val="006263C9"/>
    <w:rsid w:val="006263CE"/>
    <w:rsid w:val="00626A1D"/>
    <w:rsid w:val="00626FB3"/>
    <w:rsid w:val="006271AD"/>
    <w:rsid w:val="006272AD"/>
    <w:rsid w:val="00627A51"/>
    <w:rsid w:val="00627C9F"/>
    <w:rsid w:val="006307DF"/>
    <w:rsid w:val="00630A0E"/>
    <w:rsid w:val="00630AF8"/>
    <w:rsid w:val="00630B42"/>
    <w:rsid w:val="00630C75"/>
    <w:rsid w:val="00630F01"/>
    <w:rsid w:val="00630F7D"/>
    <w:rsid w:val="0063114C"/>
    <w:rsid w:val="006311DA"/>
    <w:rsid w:val="006311E9"/>
    <w:rsid w:val="00631D9D"/>
    <w:rsid w:val="00631FE8"/>
    <w:rsid w:val="006322B9"/>
    <w:rsid w:val="00632354"/>
    <w:rsid w:val="00632407"/>
    <w:rsid w:val="00632429"/>
    <w:rsid w:val="0063262B"/>
    <w:rsid w:val="00632BF2"/>
    <w:rsid w:val="00633227"/>
    <w:rsid w:val="00633261"/>
    <w:rsid w:val="006333DA"/>
    <w:rsid w:val="006348A9"/>
    <w:rsid w:val="00634FA0"/>
    <w:rsid w:val="006354CD"/>
    <w:rsid w:val="006360C4"/>
    <w:rsid w:val="00636406"/>
    <w:rsid w:val="00636E0C"/>
    <w:rsid w:val="00636F4A"/>
    <w:rsid w:val="00637539"/>
    <w:rsid w:val="0063776B"/>
    <w:rsid w:val="00637B7B"/>
    <w:rsid w:val="00637E84"/>
    <w:rsid w:val="00640173"/>
    <w:rsid w:val="00640421"/>
    <w:rsid w:val="0064172A"/>
    <w:rsid w:val="006418C1"/>
    <w:rsid w:val="006420B7"/>
    <w:rsid w:val="00642573"/>
    <w:rsid w:val="00642810"/>
    <w:rsid w:val="00642D69"/>
    <w:rsid w:val="00642EBB"/>
    <w:rsid w:val="00643D18"/>
    <w:rsid w:val="00643F66"/>
    <w:rsid w:val="00644697"/>
    <w:rsid w:val="006458AD"/>
    <w:rsid w:val="00646251"/>
    <w:rsid w:val="00647033"/>
    <w:rsid w:val="0064712F"/>
    <w:rsid w:val="006475B4"/>
    <w:rsid w:val="0064787C"/>
    <w:rsid w:val="0064793C"/>
    <w:rsid w:val="00647D63"/>
    <w:rsid w:val="00647F95"/>
    <w:rsid w:val="00650422"/>
    <w:rsid w:val="006504D5"/>
    <w:rsid w:val="00650FA3"/>
    <w:rsid w:val="0065154E"/>
    <w:rsid w:val="006516A4"/>
    <w:rsid w:val="006516FE"/>
    <w:rsid w:val="00651A30"/>
    <w:rsid w:val="00651D1D"/>
    <w:rsid w:val="00651ECE"/>
    <w:rsid w:val="00652333"/>
    <w:rsid w:val="006523C3"/>
    <w:rsid w:val="0065319B"/>
    <w:rsid w:val="00653524"/>
    <w:rsid w:val="00653C41"/>
    <w:rsid w:val="00653CE9"/>
    <w:rsid w:val="00653FB1"/>
    <w:rsid w:val="0065488E"/>
    <w:rsid w:val="006549A4"/>
    <w:rsid w:val="0065511E"/>
    <w:rsid w:val="00656085"/>
    <w:rsid w:val="006560CC"/>
    <w:rsid w:val="0065659D"/>
    <w:rsid w:val="00656D15"/>
    <w:rsid w:val="00656FE7"/>
    <w:rsid w:val="0065723A"/>
    <w:rsid w:val="0065765B"/>
    <w:rsid w:val="0066022A"/>
    <w:rsid w:val="006605AC"/>
    <w:rsid w:val="006606CA"/>
    <w:rsid w:val="006609DD"/>
    <w:rsid w:val="00660A18"/>
    <w:rsid w:val="00661973"/>
    <w:rsid w:val="00662F5D"/>
    <w:rsid w:val="006634C1"/>
    <w:rsid w:val="00663536"/>
    <w:rsid w:val="006635A6"/>
    <w:rsid w:val="00663FCB"/>
    <w:rsid w:val="00664C08"/>
    <w:rsid w:val="00664DDE"/>
    <w:rsid w:val="0066584C"/>
    <w:rsid w:val="00666382"/>
    <w:rsid w:val="006663C5"/>
    <w:rsid w:val="00666536"/>
    <w:rsid w:val="0066666B"/>
    <w:rsid w:val="00666AEF"/>
    <w:rsid w:val="00666E73"/>
    <w:rsid w:val="00666F75"/>
    <w:rsid w:val="0066797D"/>
    <w:rsid w:val="006705A7"/>
    <w:rsid w:val="006706EB"/>
    <w:rsid w:val="00670B3D"/>
    <w:rsid w:val="006716B8"/>
    <w:rsid w:val="0067192D"/>
    <w:rsid w:val="00672F5A"/>
    <w:rsid w:val="0067329C"/>
    <w:rsid w:val="00673523"/>
    <w:rsid w:val="006741A8"/>
    <w:rsid w:val="00674465"/>
    <w:rsid w:val="0067472A"/>
    <w:rsid w:val="00674C6A"/>
    <w:rsid w:val="00676ED0"/>
    <w:rsid w:val="006771AA"/>
    <w:rsid w:val="00677938"/>
    <w:rsid w:val="00677DA7"/>
    <w:rsid w:val="0068009E"/>
    <w:rsid w:val="006807B8"/>
    <w:rsid w:val="00680A71"/>
    <w:rsid w:val="00680AC6"/>
    <w:rsid w:val="0068115C"/>
    <w:rsid w:val="006813AC"/>
    <w:rsid w:val="00681A6B"/>
    <w:rsid w:val="00681ED3"/>
    <w:rsid w:val="00682022"/>
    <w:rsid w:val="006827F5"/>
    <w:rsid w:val="00682CC9"/>
    <w:rsid w:val="00682D35"/>
    <w:rsid w:val="00682F7C"/>
    <w:rsid w:val="006831D4"/>
    <w:rsid w:val="00683305"/>
    <w:rsid w:val="00684434"/>
    <w:rsid w:val="006844F8"/>
    <w:rsid w:val="006847BC"/>
    <w:rsid w:val="006849BF"/>
    <w:rsid w:val="00684DF1"/>
    <w:rsid w:val="00684EFB"/>
    <w:rsid w:val="00685184"/>
    <w:rsid w:val="0068579A"/>
    <w:rsid w:val="00686102"/>
    <w:rsid w:val="006865D7"/>
    <w:rsid w:val="00686D22"/>
    <w:rsid w:val="00686E3A"/>
    <w:rsid w:val="00687432"/>
    <w:rsid w:val="006874B7"/>
    <w:rsid w:val="00687725"/>
    <w:rsid w:val="006901ED"/>
    <w:rsid w:val="006912EE"/>
    <w:rsid w:val="00691C6D"/>
    <w:rsid w:val="00691DE4"/>
    <w:rsid w:val="0069244C"/>
    <w:rsid w:val="00692996"/>
    <w:rsid w:val="00692A55"/>
    <w:rsid w:val="00692F79"/>
    <w:rsid w:val="00693321"/>
    <w:rsid w:val="006951BB"/>
    <w:rsid w:val="00695589"/>
    <w:rsid w:val="0069578C"/>
    <w:rsid w:val="00695EAA"/>
    <w:rsid w:val="00696121"/>
    <w:rsid w:val="006961EC"/>
    <w:rsid w:val="0069652E"/>
    <w:rsid w:val="00696703"/>
    <w:rsid w:val="006968C3"/>
    <w:rsid w:val="00696944"/>
    <w:rsid w:val="00696F6F"/>
    <w:rsid w:val="006972FB"/>
    <w:rsid w:val="00697B2C"/>
    <w:rsid w:val="006A0014"/>
    <w:rsid w:val="006A0548"/>
    <w:rsid w:val="006A074F"/>
    <w:rsid w:val="006A0D12"/>
    <w:rsid w:val="006A0F00"/>
    <w:rsid w:val="006A0F77"/>
    <w:rsid w:val="006A11FD"/>
    <w:rsid w:val="006A15B5"/>
    <w:rsid w:val="006A15EC"/>
    <w:rsid w:val="006A17D2"/>
    <w:rsid w:val="006A2490"/>
    <w:rsid w:val="006A288E"/>
    <w:rsid w:val="006A2E59"/>
    <w:rsid w:val="006A3B33"/>
    <w:rsid w:val="006A3EE1"/>
    <w:rsid w:val="006A4B8C"/>
    <w:rsid w:val="006A4BED"/>
    <w:rsid w:val="006A4FBD"/>
    <w:rsid w:val="006A508B"/>
    <w:rsid w:val="006A538E"/>
    <w:rsid w:val="006A54F9"/>
    <w:rsid w:val="006A5570"/>
    <w:rsid w:val="006A58D1"/>
    <w:rsid w:val="006A6DB8"/>
    <w:rsid w:val="006A6E1A"/>
    <w:rsid w:val="006A70B4"/>
    <w:rsid w:val="006A71E2"/>
    <w:rsid w:val="006A7284"/>
    <w:rsid w:val="006A73E6"/>
    <w:rsid w:val="006A7408"/>
    <w:rsid w:val="006A7764"/>
    <w:rsid w:val="006A7C47"/>
    <w:rsid w:val="006B00DA"/>
    <w:rsid w:val="006B0169"/>
    <w:rsid w:val="006B05D1"/>
    <w:rsid w:val="006B1230"/>
    <w:rsid w:val="006B124A"/>
    <w:rsid w:val="006B130C"/>
    <w:rsid w:val="006B1420"/>
    <w:rsid w:val="006B17B3"/>
    <w:rsid w:val="006B220E"/>
    <w:rsid w:val="006B22C0"/>
    <w:rsid w:val="006B231D"/>
    <w:rsid w:val="006B241B"/>
    <w:rsid w:val="006B248C"/>
    <w:rsid w:val="006B2623"/>
    <w:rsid w:val="006B265D"/>
    <w:rsid w:val="006B295E"/>
    <w:rsid w:val="006B2D5C"/>
    <w:rsid w:val="006B37DA"/>
    <w:rsid w:val="006B39E5"/>
    <w:rsid w:val="006B3BC7"/>
    <w:rsid w:val="006B4324"/>
    <w:rsid w:val="006B50D6"/>
    <w:rsid w:val="006B5376"/>
    <w:rsid w:val="006B544B"/>
    <w:rsid w:val="006B5C2E"/>
    <w:rsid w:val="006B5FBA"/>
    <w:rsid w:val="006B68FF"/>
    <w:rsid w:val="006B69BD"/>
    <w:rsid w:val="006B6D64"/>
    <w:rsid w:val="006B6E2E"/>
    <w:rsid w:val="006B6FFA"/>
    <w:rsid w:val="006B7837"/>
    <w:rsid w:val="006C030E"/>
    <w:rsid w:val="006C0F5D"/>
    <w:rsid w:val="006C0F95"/>
    <w:rsid w:val="006C116A"/>
    <w:rsid w:val="006C11E8"/>
    <w:rsid w:val="006C13B3"/>
    <w:rsid w:val="006C17D7"/>
    <w:rsid w:val="006C1815"/>
    <w:rsid w:val="006C1EFA"/>
    <w:rsid w:val="006C2346"/>
    <w:rsid w:val="006C2519"/>
    <w:rsid w:val="006C2B38"/>
    <w:rsid w:val="006C3179"/>
    <w:rsid w:val="006C3FB4"/>
    <w:rsid w:val="006C4233"/>
    <w:rsid w:val="006C4290"/>
    <w:rsid w:val="006C448A"/>
    <w:rsid w:val="006C4596"/>
    <w:rsid w:val="006C4D48"/>
    <w:rsid w:val="006C4EB1"/>
    <w:rsid w:val="006C523B"/>
    <w:rsid w:val="006C555D"/>
    <w:rsid w:val="006C5960"/>
    <w:rsid w:val="006C6BA3"/>
    <w:rsid w:val="006C6E31"/>
    <w:rsid w:val="006C7008"/>
    <w:rsid w:val="006C7381"/>
    <w:rsid w:val="006C73ED"/>
    <w:rsid w:val="006C7703"/>
    <w:rsid w:val="006C7971"/>
    <w:rsid w:val="006C7E62"/>
    <w:rsid w:val="006D0195"/>
    <w:rsid w:val="006D01E3"/>
    <w:rsid w:val="006D0424"/>
    <w:rsid w:val="006D070F"/>
    <w:rsid w:val="006D0A9A"/>
    <w:rsid w:val="006D0B44"/>
    <w:rsid w:val="006D0F54"/>
    <w:rsid w:val="006D0F86"/>
    <w:rsid w:val="006D12A5"/>
    <w:rsid w:val="006D1A3C"/>
    <w:rsid w:val="006D1B76"/>
    <w:rsid w:val="006D1D69"/>
    <w:rsid w:val="006D1DF3"/>
    <w:rsid w:val="006D2C28"/>
    <w:rsid w:val="006D2CC2"/>
    <w:rsid w:val="006D2D13"/>
    <w:rsid w:val="006D48BB"/>
    <w:rsid w:val="006D4AA0"/>
    <w:rsid w:val="006D4C87"/>
    <w:rsid w:val="006D52FC"/>
    <w:rsid w:val="006D562F"/>
    <w:rsid w:val="006D5D5D"/>
    <w:rsid w:val="006D5F66"/>
    <w:rsid w:val="006D605A"/>
    <w:rsid w:val="006D6CDB"/>
    <w:rsid w:val="006D6E36"/>
    <w:rsid w:val="006D6FD5"/>
    <w:rsid w:val="006D7976"/>
    <w:rsid w:val="006D7A08"/>
    <w:rsid w:val="006D7EE4"/>
    <w:rsid w:val="006E00AB"/>
    <w:rsid w:val="006E0105"/>
    <w:rsid w:val="006E0166"/>
    <w:rsid w:val="006E0B85"/>
    <w:rsid w:val="006E0DF6"/>
    <w:rsid w:val="006E0F9B"/>
    <w:rsid w:val="006E0FB2"/>
    <w:rsid w:val="006E1163"/>
    <w:rsid w:val="006E1407"/>
    <w:rsid w:val="006E18B8"/>
    <w:rsid w:val="006E2058"/>
    <w:rsid w:val="006E2750"/>
    <w:rsid w:val="006E2E6B"/>
    <w:rsid w:val="006E30DB"/>
    <w:rsid w:val="006E32B0"/>
    <w:rsid w:val="006E35A0"/>
    <w:rsid w:val="006E37D3"/>
    <w:rsid w:val="006E44FD"/>
    <w:rsid w:val="006E4B61"/>
    <w:rsid w:val="006E4CCE"/>
    <w:rsid w:val="006E5BE4"/>
    <w:rsid w:val="006E5C58"/>
    <w:rsid w:val="006E6048"/>
    <w:rsid w:val="006E67F6"/>
    <w:rsid w:val="006E6945"/>
    <w:rsid w:val="006E6C78"/>
    <w:rsid w:val="006E6F1E"/>
    <w:rsid w:val="006E7B34"/>
    <w:rsid w:val="006E7EA4"/>
    <w:rsid w:val="006F0323"/>
    <w:rsid w:val="006F157C"/>
    <w:rsid w:val="006F1601"/>
    <w:rsid w:val="006F16C9"/>
    <w:rsid w:val="006F1716"/>
    <w:rsid w:val="006F1FA6"/>
    <w:rsid w:val="006F2580"/>
    <w:rsid w:val="006F3590"/>
    <w:rsid w:val="006F3597"/>
    <w:rsid w:val="006F374D"/>
    <w:rsid w:val="006F3C4B"/>
    <w:rsid w:val="006F41F1"/>
    <w:rsid w:val="006F520A"/>
    <w:rsid w:val="006F53AF"/>
    <w:rsid w:val="006F5590"/>
    <w:rsid w:val="006F5723"/>
    <w:rsid w:val="006F57AE"/>
    <w:rsid w:val="006F5B7B"/>
    <w:rsid w:val="006F672E"/>
    <w:rsid w:val="006F6BFD"/>
    <w:rsid w:val="006F6C9D"/>
    <w:rsid w:val="006F6DFD"/>
    <w:rsid w:val="006F6EE6"/>
    <w:rsid w:val="006F7271"/>
    <w:rsid w:val="006F7488"/>
    <w:rsid w:val="006F7CE9"/>
    <w:rsid w:val="0070045F"/>
    <w:rsid w:val="00700471"/>
    <w:rsid w:val="00700940"/>
    <w:rsid w:val="00700BCA"/>
    <w:rsid w:val="00700C65"/>
    <w:rsid w:val="00700E42"/>
    <w:rsid w:val="00701487"/>
    <w:rsid w:val="00701610"/>
    <w:rsid w:val="007016FE"/>
    <w:rsid w:val="00701B24"/>
    <w:rsid w:val="007020F2"/>
    <w:rsid w:val="00702565"/>
    <w:rsid w:val="007025EB"/>
    <w:rsid w:val="0070267B"/>
    <w:rsid w:val="00702A7C"/>
    <w:rsid w:val="00702B03"/>
    <w:rsid w:val="00702CC5"/>
    <w:rsid w:val="00702CD7"/>
    <w:rsid w:val="00702DE6"/>
    <w:rsid w:val="00702EA5"/>
    <w:rsid w:val="00703320"/>
    <w:rsid w:val="00703F16"/>
    <w:rsid w:val="00703F90"/>
    <w:rsid w:val="0070404E"/>
    <w:rsid w:val="00704098"/>
    <w:rsid w:val="0070456C"/>
    <w:rsid w:val="0070490B"/>
    <w:rsid w:val="00704B18"/>
    <w:rsid w:val="00704B88"/>
    <w:rsid w:val="00705EE7"/>
    <w:rsid w:val="00705FAC"/>
    <w:rsid w:val="0070603C"/>
    <w:rsid w:val="00706347"/>
    <w:rsid w:val="00706591"/>
    <w:rsid w:val="00706698"/>
    <w:rsid w:val="00706D7E"/>
    <w:rsid w:val="00707486"/>
    <w:rsid w:val="00707A5C"/>
    <w:rsid w:val="00707BAF"/>
    <w:rsid w:val="00707E8E"/>
    <w:rsid w:val="00710376"/>
    <w:rsid w:val="00710ED5"/>
    <w:rsid w:val="00711137"/>
    <w:rsid w:val="0071185D"/>
    <w:rsid w:val="00711F7B"/>
    <w:rsid w:val="00712473"/>
    <w:rsid w:val="00712E03"/>
    <w:rsid w:val="00713C6F"/>
    <w:rsid w:val="007140C0"/>
    <w:rsid w:val="00714711"/>
    <w:rsid w:val="007149DB"/>
    <w:rsid w:val="00715928"/>
    <w:rsid w:val="00716101"/>
    <w:rsid w:val="007165B3"/>
    <w:rsid w:val="00716BEC"/>
    <w:rsid w:val="00716D62"/>
    <w:rsid w:val="00717181"/>
    <w:rsid w:val="00717A1B"/>
    <w:rsid w:val="00717AB8"/>
    <w:rsid w:val="00717B70"/>
    <w:rsid w:val="00717F06"/>
    <w:rsid w:val="0072003B"/>
    <w:rsid w:val="007201F0"/>
    <w:rsid w:val="00720D2C"/>
    <w:rsid w:val="0072130B"/>
    <w:rsid w:val="00721ABD"/>
    <w:rsid w:val="00721AC2"/>
    <w:rsid w:val="00722293"/>
    <w:rsid w:val="0072287B"/>
    <w:rsid w:val="007228E4"/>
    <w:rsid w:val="00722990"/>
    <w:rsid w:val="00722EC5"/>
    <w:rsid w:val="0072335A"/>
    <w:rsid w:val="007237C3"/>
    <w:rsid w:val="0072386D"/>
    <w:rsid w:val="00723B5C"/>
    <w:rsid w:val="0072472F"/>
    <w:rsid w:val="007247E2"/>
    <w:rsid w:val="00724956"/>
    <w:rsid w:val="00724F33"/>
    <w:rsid w:val="0072526A"/>
    <w:rsid w:val="007258C2"/>
    <w:rsid w:val="0072725F"/>
    <w:rsid w:val="00727D80"/>
    <w:rsid w:val="00730407"/>
    <w:rsid w:val="00730731"/>
    <w:rsid w:val="00730A6E"/>
    <w:rsid w:val="00731457"/>
    <w:rsid w:val="00731DA0"/>
    <w:rsid w:val="007325B5"/>
    <w:rsid w:val="00732E13"/>
    <w:rsid w:val="00733573"/>
    <w:rsid w:val="00733673"/>
    <w:rsid w:val="00733926"/>
    <w:rsid w:val="00733C24"/>
    <w:rsid w:val="00734261"/>
    <w:rsid w:val="007354E7"/>
    <w:rsid w:val="007359CB"/>
    <w:rsid w:val="00736389"/>
    <w:rsid w:val="0073726D"/>
    <w:rsid w:val="00737A15"/>
    <w:rsid w:val="00737C9D"/>
    <w:rsid w:val="007400D8"/>
    <w:rsid w:val="00740D4F"/>
    <w:rsid w:val="00741346"/>
    <w:rsid w:val="0074145C"/>
    <w:rsid w:val="00741D4C"/>
    <w:rsid w:val="007427BC"/>
    <w:rsid w:val="0074296A"/>
    <w:rsid w:val="00742C51"/>
    <w:rsid w:val="00742EC6"/>
    <w:rsid w:val="007433B0"/>
    <w:rsid w:val="007441BB"/>
    <w:rsid w:val="0074518F"/>
    <w:rsid w:val="007451C8"/>
    <w:rsid w:val="0074535C"/>
    <w:rsid w:val="0074572F"/>
    <w:rsid w:val="0074581C"/>
    <w:rsid w:val="00745899"/>
    <w:rsid w:val="00745BEA"/>
    <w:rsid w:val="007460EB"/>
    <w:rsid w:val="00746B4B"/>
    <w:rsid w:val="007475F5"/>
    <w:rsid w:val="00750078"/>
    <w:rsid w:val="00750568"/>
    <w:rsid w:val="00750BB6"/>
    <w:rsid w:val="00750E1A"/>
    <w:rsid w:val="007510D4"/>
    <w:rsid w:val="00751379"/>
    <w:rsid w:val="0075164B"/>
    <w:rsid w:val="00751692"/>
    <w:rsid w:val="00751C49"/>
    <w:rsid w:val="00751D3E"/>
    <w:rsid w:val="0075274A"/>
    <w:rsid w:val="00753374"/>
    <w:rsid w:val="007538FC"/>
    <w:rsid w:val="0075466F"/>
    <w:rsid w:val="00754814"/>
    <w:rsid w:val="007549CF"/>
    <w:rsid w:val="00754A2A"/>
    <w:rsid w:val="00754E95"/>
    <w:rsid w:val="00755F05"/>
    <w:rsid w:val="007561AD"/>
    <w:rsid w:val="007569B0"/>
    <w:rsid w:val="00756D00"/>
    <w:rsid w:val="00756D17"/>
    <w:rsid w:val="007570FA"/>
    <w:rsid w:val="0075776E"/>
    <w:rsid w:val="00757F66"/>
    <w:rsid w:val="007605EC"/>
    <w:rsid w:val="007607C4"/>
    <w:rsid w:val="007607EC"/>
    <w:rsid w:val="00760C53"/>
    <w:rsid w:val="00760F2A"/>
    <w:rsid w:val="007611A5"/>
    <w:rsid w:val="00761A58"/>
    <w:rsid w:val="00761AA5"/>
    <w:rsid w:val="00761FA1"/>
    <w:rsid w:val="007628EE"/>
    <w:rsid w:val="007629DD"/>
    <w:rsid w:val="00762A2F"/>
    <w:rsid w:val="00762E35"/>
    <w:rsid w:val="007639F4"/>
    <w:rsid w:val="00763AB6"/>
    <w:rsid w:val="0076408D"/>
    <w:rsid w:val="00764470"/>
    <w:rsid w:val="00764912"/>
    <w:rsid w:val="0076495F"/>
    <w:rsid w:val="007649AF"/>
    <w:rsid w:val="00765584"/>
    <w:rsid w:val="00765CB7"/>
    <w:rsid w:val="007662A5"/>
    <w:rsid w:val="0076643F"/>
    <w:rsid w:val="007668E2"/>
    <w:rsid w:val="0076698C"/>
    <w:rsid w:val="007676F5"/>
    <w:rsid w:val="0077070C"/>
    <w:rsid w:val="007707B4"/>
    <w:rsid w:val="00770D4B"/>
    <w:rsid w:val="00771045"/>
    <w:rsid w:val="0077110E"/>
    <w:rsid w:val="0077118F"/>
    <w:rsid w:val="00771205"/>
    <w:rsid w:val="00771730"/>
    <w:rsid w:val="007726C8"/>
    <w:rsid w:val="00773C5A"/>
    <w:rsid w:val="00774375"/>
    <w:rsid w:val="007744CC"/>
    <w:rsid w:val="0077454A"/>
    <w:rsid w:val="0077495B"/>
    <w:rsid w:val="00774C36"/>
    <w:rsid w:val="00776561"/>
    <w:rsid w:val="007769BE"/>
    <w:rsid w:val="00776CD2"/>
    <w:rsid w:val="00776D14"/>
    <w:rsid w:val="007770B4"/>
    <w:rsid w:val="007771C5"/>
    <w:rsid w:val="007775C0"/>
    <w:rsid w:val="007776FF"/>
    <w:rsid w:val="0078069F"/>
    <w:rsid w:val="007809DA"/>
    <w:rsid w:val="00780BCB"/>
    <w:rsid w:val="00780ED7"/>
    <w:rsid w:val="00780FD6"/>
    <w:rsid w:val="00781C89"/>
    <w:rsid w:val="007820A7"/>
    <w:rsid w:val="007820BB"/>
    <w:rsid w:val="00782E68"/>
    <w:rsid w:val="0078426B"/>
    <w:rsid w:val="00784584"/>
    <w:rsid w:val="00784600"/>
    <w:rsid w:val="00784694"/>
    <w:rsid w:val="00784DE5"/>
    <w:rsid w:val="00784F5A"/>
    <w:rsid w:val="00784FEC"/>
    <w:rsid w:val="00785522"/>
    <w:rsid w:val="007855C3"/>
    <w:rsid w:val="0078587E"/>
    <w:rsid w:val="0078595F"/>
    <w:rsid w:val="00785EE3"/>
    <w:rsid w:val="00785F8D"/>
    <w:rsid w:val="00786501"/>
    <w:rsid w:val="00787591"/>
    <w:rsid w:val="0078761D"/>
    <w:rsid w:val="0078793A"/>
    <w:rsid w:val="00787CDF"/>
    <w:rsid w:val="00787D57"/>
    <w:rsid w:val="00787DB4"/>
    <w:rsid w:val="00790499"/>
    <w:rsid w:val="00790D5B"/>
    <w:rsid w:val="00790FFE"/>
    <w:rsid w:val="00791124"/>
    <w:rsid w:val="00791128"/>
    <w:rsid w:val="00791BF2"/>
    <w:rsid w:val="007921ED"/>
    <w:rsid w:val="0079259C"/>
    <w:rsid w:val="007928DA"/>
    <w:rsid w:val="00792EA6"/>
    <w:rsid w:val="00793A12"/>
    <w:rsid w:val="00793AFA"/>
    <w:rsid w:val="0079416E"/>
    <w:rsid w:val="00794415"/>
    <w:rsid w:val="007944C5"/>
    <w:rsid w:val="0079453B"/>
    <w:rsid w:val="007945A3"/>
    <w:rsid w:val="00794E14"/>
    <w:rsid w:val="0079513F"/>
    <w:rsid w:val="00795940"/>
    <w:rsid w:val="00795B5E"/>
    <w:rsid w:val="00795E01"/>
    <w:rsid w:val="00796CCD"/>
    <w:rsid w:val="00796E2B"/>
    <w:rsid w:val="00796E7A"/>
    <w:rsid w:val="007977A5"/>
    <w:rsid w:val="00797969"/>
    <w:rsid w:val="00797AE7"/>
    <w:rsid w:val="007A1372"/>
    <w:rsid w:val="007A13D7"/>
    <w:rsid w:val="007A17C8"/>
    <w:rsid w:val="007A18EB"/>
    <w:rsid w:val="007A1B40"/>
    <w:rsid w:val="007A213B"/>
    <w:rsid w:val="007A22A0"/>
    <w:rsid w:val="007A2423"/>
    <w:rsid w:val="007A281C"/>
    <w:rsid w:val="007A2BD9"/>
    <w:rsid w:val="007A2EC7"/>
    <w:rsid w:val="007A2F70"/>
    <w:rsid w:val="007A3293"/>
    <w:rsid w:val="007A329D"/>
    <w:rsid w:val="007A3478"/>
    <w:rsid w:val="007A407D"/>
    <w:rsid w:val="007A4240"/>
    <w:rsid w:val="007A444B"/>
    <w:rsid w:val="007A4541"/>
    <w:rsid w:val="007A4760"/>
    <w:rsid w:val="007A4980"/>
    <w:rsid w:val="007A5158"/>
    <w:rsid w:val="007A51E3"/>
    <w:rsid w:val="007A5282"/>
    <w:rsid w:val="007A52E1"/>
    <w:rsid w:val="007A57A6"/>
    <w:rsid w:val="007A5893"/>
    <w:rsid w:val="007A5E25"/>
    <w:rsid w:val="007A636F"/>
    <w:rsid w:val="007A6474"/>
    <w:rsid w:val="007A74BB"/>
    <w:rsid w:val="007A7F31"/>
    <w:rsid w:val="007B030C"/>
    <w:rsid w:val="007B04BF"/>
    <w:rsid w:val="007B0DBB"/>
    <w:rsid w:val="007B0FEA"/>
    <w:rsid w:val="007B1494"/>
    <w:rsid w:val="007B186C"/>
    <w:rsid w:val="007B18C3"/>
    <w:rsid w:val="007B19A1"/>
    <w:rsid w:val="007B19FE"/>
    <w:rsid w:val="007B1B6A"/>
    <w:rsid w:val="007B1BD2"/>
    <w:rsid w:val="007B24E8"/>
    <w:rsid w:val="007B2769"/>
    <w:rsid w:val="007B3C72"/>
    <w:rsid w:val="007B430B"/>
    <w:rsid w:val="007B458C"/>
    <w:rsid w:val="007B4826"/>
    <w:rsid w:val="007B4994"/>
    <w:rsid w:val="007B499F"/>
    <w:rsid w:val="007B4C00"/>
    <w:rsid w:val="007B54BA"/>
    <w:rsid w:val="007B5867"/>
    <w:rsid w:val="007B6279"/>
    <w:rsid w:val="007B6B12"/>
    <w:rsid w:val="007B6C22"/>
    <w:rsid w:val="007B6EC4"/>
    <w:rsid w:val="007B73E9"/>
    <w:rsid w:val="007B762A"/>
    <w:rsid w:val="007B79DC"/>
    <w:rsid w:val="007C0F3E"/>
    <w:rsid w:val="007C10AC"/>
    <w:rsid w:val="007C16AB"/>
    <w:rsid w:val="007C1BDE"/>
    <w:rsid w:val="007C1D74"/>
    <w:rsid w:val="007C22DF"/>
    <w:rsid w:val="007C2B7D"/>
    <w:rsid w:val="007C2C3C"/>
    <w:rsid w:val="007C3334"/>
    <w:rsid w:val="007C3481"/>
    <w:rsid w:val="007C3734"/>
    <w:rsid w:val="007C4478"/>
    <w:rsid w:val="007C4F1C"/>
    <w:rsid w:val="007C50F6"/>
    <w:rsid w:val="007C52BB"/>
    <w:rsid w:val="007C52EB"/>
    <w:rsid w:val="007C5476"/>
    <w:rsid w:val="007C58E8"/>
    <w:rsid w:val="007C607D"/>
    <w:rsid w:val="007C6630"/>
    <w:rsid w:val="007C7402"/>
    <w:rsid w:val="007C757E"/>
    <w:rsid w:val="007C769E"/>
    <w:rsid w:val="007C798F"/>
    <w:rsid w:val="007C7B95"/>
    <w:rsid w:val="007D01AA"/>
    <w:rsid w:val="007D0207"/>
    <w:rsid w:val="007D0309"/>
    <w:rsid w:val="007D06CB"/>
    <w:rsid w:val="007D071A"/>
    <w:rsid w:val="007D08BC"/>
    <w:rsid w:val="007D08BD"/>
    <w:rsid w:val="007D08C4"/>
    <w:rsid w:val="007D0E8D"/>
    <w:rsid w:val="007D105B"/>
    <w:rsid w:val="007D278F"/>
    <w:rsid w:val="007D27C2"/>
    <w:rsid w:val="007D2B98"/>
    <w:rsid w:val="007D2FEE"/>
    <w:rsid w:val="007D33BE"/>
    <w:rsid w:val="007D362A"/>
    <w:rsid w:val="007D3E9B"/>
    <w:rsid w:val="007D4613"/>
    <w:rsid w:val="007D4C5C"/>
    <w:rsid w:val="007D4C93"/>
    <w:rsid w:val="007D4CD9"/>
    <w:rsid w:val="007D4FA5"/>
    <w:rsid w:val="007D5A45"/>
    <w:rsid w:val="007D6555"/>
    <w:rsid w:val="007D69AC"/>
    <w:rsid w:val="007D74F0"/>
    <w:rsid w:val="007E03B8"/>
    <w:rsid w:val="007E048D"/>
    <w:rsid w:val="007E13CE"/>
    <w:rsid w:val="007E1856"/>
    <w:rsid w:val="007E1876"/>
    <w:rsid w:val="007E2569"/>
    <w:rsid w:val="007E2AC2"/>
    <w:rsid w:val="007E2C05"/>
    <w:rsid w:val="007E2CB3"/>
    <w:rsid w:val="007E33C3"/>
    <w:rsid w:val="007E350C"/>
    <w:rsid w:val="007E36F1"/>
    <w:rsid w:val="007E3702"/>
    <w:rsid w:val="007E3A9E"/>
    <w:rsid w:val="007E42C4"/>
    <w:rsid w:val="007E5338"/>
    <w:rsid w:val="007E59F7"/>
    <w:rsid w:val="007E5CC7"/>
    <w:rsid w:val="007E5EEF"/>
    <w:rsid w:val="007E66C0"/>
    <w:rsid w:val="007E6DAC"/>
    <w:rsid w:val="007E715E"/>
    <w:rsid w:val="007E783F"/>
    <w:rsid w:val="007F05E6"/>
    <w:rsid w:val="007F074A"/>
    <w:rsid w:val="007F0C60"/>
    <w:rsid w:val="007F0D8D"/>
    <w:rsid w:val="007F1641"/>
    <w:rsid w:val="007F19E9"/>
    <w:rsid w:val="007F210C"/>
    <w:rsid w:val="007F2185"/>
    <w:rsid w:val="007F3523"/>
    <w:rsid w:val="007F391B"/>
    <w:rsid w:val="007F39A0"/>
    <w:rsid w:val="007F410D"/>
    <w:rsid w:val="007F4167"/>
    <w:rsid w:val="007F42BF"/>
    <w:rsid w:val="007F4652"/>
    <w:rsid w:val="007F4A54"/>
    <w:rsid w:val="007F4B82"/>
    <w:rsid w:val="007F4F2C"/>
    <w:rsid w:val="007F4FE2"/>
    <w:rsid w:val="007F5993"/>
    <w:rsid w:val="007F5FAE"/>
    <w:rsid w:val="007F6677"/>
    <w:rsid w:val="007F6BB0"/>
    <w:rsid w:val="007F701E"/>
    <w:rsid w:val="007F79AE"/>
    <w:rsid w:val="0080039F"/>
    <w:rsid w:val="008007AE"/>
    <w:rsid w:val="00800983"/>
    <w:rsid w:val="00800C25"/>
    <w:rsid w:val="00800E57"/>
    <w:rsid w:val="00800F71"/>
    <w:rsid w:val="008015F0"/>
    <w:rsid w:val="00801880"/>
    <w:rsid w:val="00801B96"/>
    <w:rsid w:val="00801C7F"/>
    <w:rsid w:val="0080295C"/>
    <w:rsid w:val="00802A23"/>
    <w:rsid w:val="00803596"/>
    <w:rsid w:val="0080393B"/>
    <w:rsid w:val="00803C4E"/>
    <w:rsid w:val="00803F1C"/>
    <w:rsid w:val="00804BA3"/>
    <w:rsid w:val="0080513F"/>
    <w:rsid w:val="008053D5"/>
    <w:rsid w:val="0080600E"/>
    <w:rsid w:val="00806120"/>
    <w:rsid w:val="00806658"/>
    <w:rsid w:val="0080677A"/>
    <w:rsid w:val="00806E0D"/>
    <w:rsid w:val="00807549"/>
    <w:rsid w:val="008101A8"/>
    <w:rsid w:val="00810550"/>
    <w:rsid w:val="0081181A"/>
    <w:rsid w:val="00811EAB"/>
    <w:rsid w:val="00812C8D"/>
    <w:rsid w:val="00812EAF"/>
    <w:rsid w:val="0081365E"/>
    <w:rsid w:val="0081432C"/>
    <w:rsid w:val="008144E6"/>
    <w:rsid w:val="00814843"/>
    <w:rsid w:val="008150B2"/>
    <w:rsid w:val="00815527"/>
    <w:rsid w:val="00816E06"/>
    <w:rsid w:val="00817612"/>
    <w:rsid w:val="008176AD"/>
    <w:rsid w:val="00817884"/>
    <w:rsid w:val="00817967"/>
    <w:rsid w:val="00817D2F"/>
    <w:rsid w:val="00820334"/>
    <w:rsid w:val="008203EB"/>
    <w:rsid w:val="008204AE"/>
    <w:rsid w:val="00820572"/>
    <w:rsid w:val="00820573"/>
    <w:rsid w:val="00820D73"/>
    <w:rsid w:val="00821206"/>
    <w:rsid w:val="008215C0"/>
    <w:rsid w:val="008218A2"/>
    <w:rsid w:val="008218AA"/>
    <w:rsid w:val="00821F4B"/>
    <w:rsid w:val="00822AA9"/>
    <w:rsid w:val="00822C80"/>
    <w:rsid w:val="008237C6"/>
    <w:rsid w:val="00823A91"/>
    <w:rsid w:val="00823B25"/>
    <w:rsid w:val="00823BB4"/>
    <w:rsid w:val="008245AD"/>
    <w:rsid w:val="00824ACC"/>
    <w:rsid w:val="00824B62"/>
    <w:rsid w:val="008251CB"/>
    <w:rsid w:val="00825952"/>
    <w:rsid w:val="00825B7F"/>
    <w:rsid w:val="00826504"/>
    <w:rsid w:val="00826DB0"/>
    <w:rsid w:val="008277A8"/>
    <w:rsid w:val="00827DB7"/>
    <w:rsid w:val="008302A3"/>
    <w:rsid w:val="00830BF0"/>
    <w:rsid w:val="00830E88"/>
    <w:rsid w:val="008315C5"/>
    <w:rsid w:val="008316A7"/>
    <w:rsid w:val="00831D65"/>
    <w:rsid w:val="00832398"/>
    <w:rsid w:val="00832F52"/>
    <w:rsid w:val="00833236"/>
    <w:rsid w:val="00833359"/>
    <w:rsid w:val="00833499"/>
    <w:rsid w:val="00833A65"/>
    <w:rsid w:val="00833A9E"/>
    <w:rsid w:val="00834D64"/>
    <w:rsid w:val="00834E7A"/>
    <w:rsid w:val="00834F82"/>
    <w:rsid w:val="00834FC9"/>
    <w:rsid w:val="008359D3"/>
    <w:rsid w:val="00835A00"/>
    <w:rsid w:val="00835A28"/>
    <w:rsid w:val="00835BDD"/>
    <w:rsid w:val="00835F5A"/>
    <w:rsid w:val="00836188"/>
    <w:rsid w:val="00836223"/>
    <w:rsid w:val="00836869"/>
    <w:rsid w:val="00836B01"/>
    <w:rsid w:val="00836E5C"/>
    <w:rsid w:val="0083716D"/>
    <w:rsid w:val="008373B6"/>
    <w:rsid w:val="00837A50"/>
    <w:rsid w:val="00837BFE"/>
    <w:rsid w:val="00837C45"/>
    <w:rsid w:val="00837EDD"/>
    <w:rsid w:val="0084043E"/>
    <w:rsid w:val="00840923"/>
    <w:rsid w:val="008414A3"/>
    <w:rsid w:val="008417E4"/>
    <w:rsid w:val="008419B8"/>
    <w:rsid w:val="008422DA"/>
    <w:rsid w:val="00842441"/>
    <w:rsid w:val="008426FE"/>
    <w:rsid w:val="00842C40"/>
    <w:rsid w:val="0084302E"/>
    <w:rsid w:val="008437D8"/>
    <w:rsid w:val="00843C1B"/>
    <w:rsid w:val="00843E8C"/>
    <w:rsid w:val="00844459"/>
    <w:rsid w:val="00845515"/>
    <w:rsid w:val="0084554C"/>
    <w:rsid w:val="008456F3"/>
    <w:rsid w:val="008459C2"/>
    <w:rsid w:val="00845C1A"/>
    <w:rsid w:val="008462E8"/>
    <w:rsid w:val="0084649B"/>
    <w:rsid w:val="00846865"/>
    <w:rsid w:val="00846B2C"/>
    <w:rsid w:val="00846D39"/>
    <w:rsid w:val="008470C3"/>
    <w:rsid w:val="008472FB"/>
    <w:rsid w:val="008473B2"/>
    <w:rsid w:val="00847431"/>
    <w:rsid w:val="00847A8B"/>
    <w:rsid w:val="00847B26"/>
    <w:rsid w:val="008500E5"/>
    <w:rsid w:val="00850933"/>
    <w:rsid w:val="008509CC"/>
    <w:rsid w:val="00850B47"/>
    <w:rsid w:val="00850C67"/>
    <w:rsid w:val="008510DB"/>
    <w:rsid w:val="008521F1"/>
    <w:rsid w:val="0085268D"/>
    <w:rsid w:val="00852C00"/>
    <w:rsid w:val="0085323F"/>
    <w:rsid w:val="00853419"/>
    <w:rsid w:val="00853512"/>
    <w:rsid w:val="00853A23"/>
    <w:rsid w:val="00853F53"/>
    <w:rsid w:val="008541F0"/>
    <w:rsid w:val="00854FE3"/>
    <w:rsid w:val="00855876"/>
    <w:rsid w:val="00855923"/>
    <w:rsid w:val="00855F1E"/>
    <w:rsid w:val="008560E1"/>
    <w:rsid w:val="00856256"/>
    <w:rsid w:val="008573A3"/>
    <w:rsid w:val="008576F3"/>
    <w:rsid w:val="00860233"/>
    <w:rsid w:val="00860A02"/>
    <w:rsid w:val="00860C50"/>
    <w:rsid w:val="00861243"/>
    <w:rsid w:val="00861437"/>
    <w:rsid w:val="0086147D"/>
    <w:rsid w:val="00861972"/>
    <w:rsid w:val="00861D01"/>
    <w:rsid w:val="00861EC2"/>
    <w:rsid w:val="00861F6D"/>
    <w:rsid w:val="008628FD"/>
    <w:rsid w:val="008635BE"/>
    <w:rsid w:val="00863E9F"/>
    <w:rsid w:val="00864785"/>
    <w:rsid w:val="00865279"/>
    <w:rsid w:val="00865368"/>
    <w:rsid w:val="00865379"/>
    <w:rsid w:val="0086581A"/>
    <w:rsid w:val="008659BB"/>
    <w:rsid w:val="008659E3"/>
    <w:rsid w:val="00865C9B"/>
    <w:rsid w:val="00865CB3"/>
    <w:rsid w:val="0086628D"/>
    <w:rsid w:val="008665EC"/>
    <w:rsid w:val="008669E2"/>
    <w:rsid w:val="00866D7E"/>
    <w:rsid w:val="0086700B"/>
    <w:rsid w:val="008675AA"/>
    <w:rsid w:val="008676D3"/>
    <w:rsid w:val="008678EF"/>
    <w:rsid w:val="00867DA3"/>
    <w:rsid w:val="0087014C"/>
    <w:rsid w:val="00870A32"/>
    <w:rsid w:val="00871372"/>
    <w:rsid w:val="00871EBE"/>
    <w:rsid w:val="00873E56"/>
    <w:rsid w:val="00873FAA"/>
    <w:rsid w:val="008741A2"/>
    <w:rsid w:val="00874449"/>
    <w:rsid w:val="008745BF"/>
    <w:rsid w:val="00874BEE"/>
    <w:rsid w:val="00875128"/>
    <w:rsid w:val="00875638"/>
    <w:rsid w:val="00875ABB"/>
    <w:rsid w:val="00875EC6"/>
    <w:rsid w:val="00876085"/>
    <w:rsid w:val="00877D85"/>
    <w:rsid w:val="00877E1B"/>
    <w:rsid w:val="0088011F"/>
    <w:rsid w:val="00880395"/>
    <w:rsid w:val="00880B21"/>
    <w:rsid w:val="00880C19"/>
    <w:rsid w:val="00880F5F"/>
    <w:rsid w:val="00880F95"/>
    <w:rsid w:val="008824F9"/>
    <w:rsid w:val="0088253F"/>
    <w:rsid w:val="00882952"/>
    <w:rsid w:val="00882C32"/>
    <w:rsid w:val="00882CB8"/>
    <w:rsid w:val="0088373B"/>
    <w:rsid w:val="00883E89"/>
    <w:rsid w:val="00883EA4"/>
    <w:rsid w:val="008840E5"/>
    <w:rsid w:val="00884270"/>
    <w:rsid w:val="00884EDA"/>
    <w:rsid w:val="00885063"/>
    <w:rsid w:val="00885DBB"/>
    <w:rsid w:val="00885FF0"/>
    <w:rsid w:val="008869BA"/>
    <w:rsid w:val="00886C29"/>
    <w:rsid w:val="00887B7D"/>
    <w:rsid w:val="00887E8A"/>
    <w:rsid w:val="008903D5"/>
    <w:rsid w:val="00890F14"/>
    <w:rsid w:val="0089156D"/>
    <w:rsid w:val="008917C2"/>
    <w:rsid w:val="00892E68"/>
    <w:rsid w:val="0089326D"/>
    <w:rsid w:val="00893298"/>
    <w:rsid w:val="008933AE"/>
    <w:rsid w:val="00893A3F"/>
    <w:rsid w:val="00893E24"/>
    <w:rsid w:val="00893E44"/>
    <w:rsid w:val="00893F43"/>
    <w:rsid w:val="00894059"/>
    <w:rsid w:val="008945B4"/>
    <w:rsid w:val="0089514B"/>
    <w:rsid w:val="0089527F"/>
    <w:rsid w:val="00895A8B"/>
    <w:rsid w:val="00895C72"/>
    <w:rsid w:val="00895FB3"/>
    <w:rsid w:val="008965B7"/>
    <w:rsid w:val="008969D3"/>
    <w:rsid w:val="00896EC2"/>
    <w:rsid w:val="008971D8"/>
    <w:rsid w:val="008978C2"/>
    <w:rsid w:val="00897A3D"/>
    <w:rsid w:val="00897E12"/>
    <w:rsid w:val="008A065A"/>
    <w:rsid w:val="008A0A23"/>
    <w:rsid w:val="008A1A75"/>
    <w:rsid w:val="008A1C4B"/>
    <w:rsid w:val="008A2C74"/>
    <w:rsid w:val="008A3434"/>
    <w:rsid w:val="008A36FA"/>
    <w:rsid w:val="008A3AA4"/>
    <w:rsid w:val="008A4E2E"/>
    <w:rsid w:val="008A4FAC"/>
    <w:rsid w:val="008A5A80"/>
    <w:rsid w:val="008A5BF4"/>
    <w:rsid w:val="008A5F54"/>
    <w:rsid w:val="008A6043"/>
    <w:rsid w:val="008A6435"/>
    <w:rsid w:val="008A645F"/>
    <w:rsid w:val="008A67CF"/>
    <w:rsid w:val="008A6AF3"/>
    <w:rsid w:val="008A6DA2"/>
    <w:rsid w:val="008A7460"/>
    <w:rsid w:val="008A7E83"/>
    <w:rsid w:val="008A7F97"/>
    <w:rsid w:val="008A7FC7"/>
    <w:rsid w:val="008B03ED"/>
    <w:rsid w:val="008B0E6D"/>
    <w:rsid w:val="008B0EE7"/>
    <w:rsid w:val="008B14CB"/>
    <w:rsid w:val="008B1CA7"/>
    <w:rsid w:val="008B1EF4"/>
    <w:rsid w:val="008B24D5"/>
    <w:rsid w:val="008B25FC"/>
    <w:rsid w:val="008B2DA9"/>
    <w:rsid w:val="008B3466"/>
    <w:rsid w:val="008B3AF4"/>
    <w:rsid w:val="008B4417"/>
    <w:rsid w:val="008B44C5"/>
    <w:rsid w:val="008B4B17"/>
    <w:rsid w:val="008B5124"/>
    <w:rsid w:val="008B53EE"/>
    <w:rsid w:val="008B5B70"/>
    <w:rsid w:val="008B6283"/>
    <w:rsid w:val="008B6345"/>
    <w:rsid w:val="008B768E"/>
    <w:rsid w:val="008B778E"/>
    <w:rsid w:val="008B7B3C"/>
    <w:rsid w:val="008C00EE"/>
    <w:rsid w:val="008C05DD"/>
    <w:rsid w:val="008C067C"/>
    <w:rsid w:val="008C0A42"/>
    <w:rsid w:val="008C0CC4"/>
    <w:rsid w:val="008C0D5D"/>
    <w:rsid w:val="008C125B"/>
    <w:rsid w:val="008C2789"/>
    <w:rsid w:val="008C289D"/>
    <w:rsid w:val="008C2DF6"/>
    <w:rsid w:val="008C30AB"/>
    <w:rsid w:val="008C3182"/>
    <w:rsid w:val="008C3B28"/>
    <w:rsid w:val="008C4F3B"/>
    <w:rsid w:val="008C5978"/>
    <w:rsid w:val="008C606A"/>
    <w:rsid w:val="008C698C"/>
    <w:rsid w:val="008C6F82"/>
    <w:rsid w:val="008C6FC4"/>
    <w:rsid w:val="008C7564"/>
    <w:rsid w:val="008C7643"/>
    <w:rsid w:val="008D02D4"/>
    <w:rsid w:val="008D0556"/>
    <w:rsid w:val="008D07D4"/>
    <w:rsid w:val="008D0D4E"/>
    <w:rsid w:val="008D0DD0"/>
    <w:rsid w:val="008D1052"/>
    <w:rsid w:val="008D10C8"/>
    <w:rsid w:val="008D127B"/>
    <w:rsid w:val="008D1619"/>
    <w:rsid w:val="008D1734"/>
    <w:rsid w:val="008D2232"/>
    <w:rsid w:val="008D2272"/>
    <w:rsid w:val="008D2EA5"/>
    <w:rsid w:val="008D307A"/>
    <w:rsid w:val="008D33C9"/>
    <w:rsid w:val="008D344B"/>
    <w:rsid w:val="008D3D6F"/>
    <w:rsid w:val="008D3DF6"/>
    <w:rsid w:val="008D43BA"/>
    <w:rsid w:val="008D4C5B"/>
    <w:rsid w:val="008D4F11"/>
    <w:rsid w:val="008D5BE9"/>
    <w:rsid w:val="008D5F65"/>
    <w:rsid w:val="008D6086"/>
    <w:rsid w:val="008D6249"/>
    <w:rsid w:val="008D6E9D"/>
    <w:rsid w:val="008D7317"/>
    <w:rsid w:val="008D7623"/>
    <w:rsid w:val="008D7DF4"/>
    <w:rsid w:val="008E06C9"/>
    <w:rsid w:val="008E0A77"/>
    <w:rsid w:val="008E10AE"/>
    <w:rsid w:val="008E164D"/>
    <w:rsid w:val="008E168D"/>
    <w:rsid w:val="008E211D"/>
    <w:rsid w:val="008E33FB"/>
    <w:rsid w:val="008E3759"/>
    <w:rsid w:val="008E3EE8"/>
    <w:rsid w:val="008E45EF"/>
    <w:rsid w:val="008E46A6"/>
    <w:rsid w:val="008E53E4"/>
    <w:rsid w:val="008E5615"/>
    <w:rsid w:val="008E57D1"/>
    <w:rsid w:val="008E5A33"/>
    <w:rsid w:val="008E6232"/>
    <w:rsid w:val="008E62A4"/>
    <w:rsid w:val="008E71E6"/>
    <w:rsid w:val="008E7CB4"/>
    <w:rsid w:val="008E7D14"/>
    <w:rsid w:val="008F1381"/>
    <w:rsid w:val="008F166D"/>
    <w:rsid w:val="008F2796"/>
    <w:rsid w:val="008F298E"/>
    <w:rsid w:val="008F2A35"/>
    <w:rsid w:val="008F2A73"/>
    <w:rsid w:val="008F2E03"/>
    <w:rsid w:val="008F2E1C"/>
    <w:rsid w:val="008F3B12"/>
    <w:rsid w:val="008F3BF9"/>
    <w:rsid w:val="008F3C7F"/>
    <w:rsid w:val="008F3E4A"/>
    <w:rsid w:val="008F4101"/>
    <w:rsid w:val="008F422D"/>
    <w:rsid w:val="008F4522"/>
    <w:rsid w:val="008F48A5"/>
    <w:rsid w:val="008F49E6"/>
    <w:rsid w:val="008F4A17"/>
    <w:rsid w:val="008F4A4D"/>
    <w:rsid w:val="008F559D"/>
    <w:rsid w:val="008F575C"/>
    <w:rsid w:val="008F6014"/>
    <w:rsid w:val="008F768C"/>
    <w:rsid w:val="008F7B4C"/>
    <w:rsid w:val="008F7F3F"/>
    <w:rsid w:val="00900365"/>
    <w:rsid w:val="00900518"/>
    <w:rsid w:val="00900C3B"/>
    <w:rsid w:val="00900D01"/>
    <w:rsid w:val="00900FF4"/>
    <w:rsid w:val="009021D6"/>
    <w:rsid w:val="00902D58"/>
    <w:rsid w:val="0090301B"/>
    <w:rsid w:val="009039DC"/>
    <w:rsid w:val="00903BE6"/>
    <w:rsid w:val="00903CF1"/>
    <w:rsid w:val="00903E18"/>
    <w:rsid w:val="009041DC"/>
    <w:rsid w:val="0090437E"/>
    <w:rsid w:val="009043CE"/>
    <w:rsid w:val="009047EE"/>
    <w:rsid w:val="00904B4B"/>
    <w:rsid w:val="00904EB8"/>
    <w:rsid w:val="00906067"/>
    <w:rsid w:val="009062C5"/>
    <w:rsid w:val="0090640F"/>
    <w:rsid w:val="009065A1"/>
    <w:rsid w:val="00906679"/>
    <w:rsid w:val="0090668D"/>
    <w:rsid w:val="00907494"/>
    <w:rsid w:val="0090799C"/>
    <w:rsid w:val="00910396"/>
    <w:rsid w:val="009104B4"/>
    <w:rsid w:val="009111F0"/>
    <w:rsid w:val="009111FF"/>
    <w:rsid w:val="00911BC8"/>
    <w:rsid w:val="00912137"/>
    <w:rsid w:val="00912171"/>
    <w:rsid w:val="00912195"/>
    <w:rsid w:val="00912523"/>
    <w:rsid w:val="00912642"/>
    <w:rsid w:val="00912D33"/>
    <w:rsid w:val="00913018"/>
    <w:rsid w:val="00913B6D"/>
    <w:rsid w:val="0091418E"/>
    <w:rsid w:val="009142F7"/>
    <w:rsid w:val="0091474A"/>
    <w:rsid w:val="00914E04"/>
    <w:rsid w:val="00915702"/>
    <w:rsid w:val="009158F7"/>
    <w:rsid w:val="00915CDE"/>
    <w:rsid w:val="00915FDE"/>
    <w:rsid w:val="009160EF"/>
    <w:rsid w:val="0091625A"/>
    <w:rsid w:val="0091627C"/>
    <w:rsid w:val="0091677E"/>
    <w:rsid w:val="009168AF"/>
    <w:rsid w:val="00916A5D"/>
    <w:rsid w:val="0091728F"/>
    <w:rsid w:val="009176D6"/>
    <w:rsid w:val="0091789D"/>
    <w:rsid w:val="00917F4B"/>
    <w:rsid w:val="00920325"/>
    <w:rsid w:val="00920A6E"/>
    <w:rsid w:val="00921023"/>
    <w:rsid w:val="009214A7"/>
    <w:rsid w:val="009214C8"/>
    <w:rsid w:val="00921D29"/>
    <w:rsid w:val="00921DC6"/>
    <w:rsid w:val="00922196"/>
    <w:rsid w:val="00922A9F"/>
    <w:rsid w:val="00922B74"/>
    <w:rsid w:val="00922E4D"/>
    <w:rsid w:val="00923561"/>
    <w:rsid w:val="00923920"/>
    <w:rsid w:val="00923E54"/>
    <w:rsid w:val="00923EA6"/>
    <w:rsid w:val="00924391"/>
    <w:rsid w:val="009245E0"/>
    <w:rsid w:val="00924F0A"/>
    <w:rsid w:val="00925C6B"/>
    <w:rsid w:val="00925FCD"/>
    <w:rsid w:val="009268CD"/>
    <w:rsid w:val="009270C5"/>
    <w:rsid w:val="00927B0B"/>
    <w:rsid w:val="00927D8E"/>
    <w:rsid w:val="009300A7"/>
    <w:rsid w:val="0093035E"/>
    <w:rsid w:val="00930A46"/>
    <w:rsid w:val="00930A5D"/>
    <w:rsid w:val="00930ED0"/>
    <w:rsid w:val="009315CD"/>
    <w:rsid w:val="00931BDC"/>
    <w:rsid w:val="00931F82"/>
    <w:rsid w:val="009320F5"/>
    <w:rsid w:val="0093228A"/>
    <w:rsid w:val="009322FE"/>
    <w:rsid w:val="00932B67"/>
    <w:rsid w:val="00933441"/>
    <w:rsid w:val="00933621"/>
    <w:rsid w:val="0093441A"/>
    <w:rsid w:val="00934829"/>
    <w:rsid w:val="009356F2"/>
    <w:rsid w:val="00935735"/>
    <w:rsid w:val="009359E3"/>
    <w:rsid w:val="00935A29"/>
    <w:rsid w:val="00936C4F"/>
    <w:rsid w:val="0093721A"/>
    <w:rsid w:val="00937413"/>
    <w:rsid w:val="00937B6F"/>
    <w:rsid w:val="00937FED"/>
    <w:rsid w:val="00940D0A"/>
    <w:rsid w:val="009412E0"/>
    <w:rsid w:val="00941393"/>
    <w:rsid w:val="0094199B"/>
    <w:rsid w:val="009424BD"/>
    <w:rsid w:val="0094253B"/>
    <w:rsid w:val="0094259D"/>
    <w:rsid w:val="00942AA6"/>
    <w:rsid w:val="00942BBC"/>
    <w:rsid w:val="00942F4B"/>
    <w:rsid w:val="009435DC"/>
    <w:rsid w:val="00943E51"/>
    <w:rsid w:val="009457D8"/>
    <w:rsid w:val="0094598C"/>
    <w:rsid w:val="00945ED4"/>
    <w:rsid w:val="00945F4C"/>
    <w:rsid w:val="00945F51"/>
    <w:rsid w:val="00946729"/>
    <w:rsid w:val="0094702E"/>
    <w:rsid w:val="00947215"/>
    <w:rsid w:val="00947306"/>
    <w:rsid w:val="00947B86"/>
    <w:rsid w:val="0095000F"/>
    <w:rsid w:val="00950120"/>
    <w:rsid w:val="009504B7"/>
    <w:rsid w:val="00950980"/>
    <w:rsid w:val="00950D77"/>
    <w:rsid w:val="00951508"/>
    <w:rsid w:val="00951A16"/>
    <w:rsid w:val="00952323"/>
    <w:rsid w:val="00952CAA"/>
    <w:rsid w:val="00952DC4"/>
    <w:rsid w:val="009544AF"/>
    <w:rsid w:val="0095466D"/>
    <w:rsid w:val="00954BF7"/>
    <w:rsid w:val="00954C08"/>
    <w:rsid w:val="00955093"/>
    <w:rsid w:val="009552DA"/>
    <w:rsid w:val="009554F0"/>
    <w:rsid w:val="0095563B"/>
    <w:rsid w:val="00955C06"/>
    <w:rsid w:val="00955CB9"/>
    <w:rsid w:val="00955DAE"/>
    <w:rsid w:val="00955EA3"/>
    <w:rsid w:val="0095641C"/>
    <w:rsid w:val="00956868"/>
    <w:rsid w:val="00956AAD"/>
    <w:rsid w:val="0095713F"/>
    <w:rsid w:val="009579D8"/>
    <w:rsid w:val="00957A32"/>
    <w:rsid w:val="009603C1"/>
    <w:rsid w:val="00960555"/>
    <w:rsid w:val="00961709"/>
    <w:rsid w:val="00961EE0"/>
    <w:rsid w:val="0096253E"/>
    <w:rsid w:val="0096268F"/>
    <w:rsid w:val="00962F1A"/>
    <w:rsid w:val="00963233"/>
    <w:rsid w:val="00963467"/>
    <w:rsid w:val="00964415"/>
    <w:rsid w:val="00964917"/>
    <w:rsid w:val="00964BC4"/>
    <w:rsid w:val="00965000"/>
    <w:rsid w:val="009652CF"/>
    <w:rsid w:val="009653A0"/>
    <w:rsid w:val="00965497"/>
    <w:rsid w:val="0096549F"/>
    <w:rsid w:val="00965935"/>
    <w:rsid w:val="00965F42"/>
    <w:rsid w:val="009661DF"/>
    <w:rsid w:val="009667B3"/>
    <w:rsid w:val="009668D9"/>
    <w:rsid w:val="009668E5"/>
    <w:rsid w:val="00966E59"/>
    <w:rsid w:val="0096706E"/>
    <w:rsid w:val="0096765A"/>
    <w:rsid w:val="009678C3"/>
    <w:rsid w:val="00967987"/>
    <w:rsid w:val="00967996"/>
    <w:rsid w:val="00967B4F"/>
    <w:rsid w:val="00967ECF"/>
    <w:rsid w:val="00970813"/>
    <w:rsid w:val="00970FD7"/>
    <w:rsid w:val="009714F6"/>
    <w:rsid w:val="00972036"/>
    <w:rsid w:val="009724C3"/>
    <w:rsid w:val="0097261D"/>
    <w:rsid w:val="009729C9"/>
    <w:rsid w:val="00972F48"/>
    <w:rsid w:val="0097315B"/>
    <w:rsid w:val="00973675"/>
    <w:rsid w:val="00973798"/>
    <w:rsid w:val="00973E1D"/>
    <w:rsid w:val="00973F5A"/>
    <w:rsid w:val="009753D7"/>
    <w:rsid w:val="009757D0"/>
    <w:rsid w:val="00976295"/>
    <w:rsid w:val="0097691D"/>
    <w:rsid w:val="00976D29"/>
    <w:rsid w:val="00976E74"/>
    <w:rsid w:val="00977752"/>
    <w:rsid w:val="009803A4"/>
    <w:rsid w:val="00981DB8"/>
    <w:rsid w:val="00981FBA"/>
    <w:rsid w:val="00981FC4"/>
    <w:rsid w:val="009820D0"/>
    <w:rsid w:val="00982197"/>
    <w:rsid w:val="00982E24"/>
    <w:rsid w:val="00983AF6"/>
    <w:rsid w:val="00983D6A"/>
    <w:rsid w:val="00983F8C"/>
    <w:rsid w:val="009843A2"/>
    <w:rsid w:val="00984C08"/>
    <w:rsid w:val="00984D94"/>
    <w:rsid w:val="00984F4A"/>
    <w:rsid w:val="0098527B"/>
    <w:rsid w:val="009854EB"/>
    <w:rsid w:val="009856D7"/>
    <w:rsid w:val="00985A4B"/>
    <w:rsid w:val="00986129"/>
    <w:rsid w:val="00986662"/>
    <w:rsid w:val="009869B3"/>
    <w:rsid w:val="00986AEE"/>
    <w:rsid w:val="00987678"/>
    <w:rsid w:val="009878AB"/>
    <w:rsid w:val="009879D3"/>
    <w:rsid w:val="00991815"/>
    <w:rsid w:val="00991E62"/>
    <w:rsid w:val="00992CA5"/>
    <w:rsid w:val="00992D3D"/>
    <w:rsid w:val="009937A7"/>
    <w:rsid w:val="00994504"/>
    <w:rsid w:val="00994ECF"/>
    <w:rsid w:val="009951E4"/>
    <w:rsid w:val="00995254"/>
    <w:rsid w:val="0099538C"/>
    <w:rsid w:val="00995A4C"/>
    <w:rsid w:val="009964A8"/>
    <w:rsid w:val="009967AF"/>
    <w:rsid w:val="00997094"/>
    <w:rsid w:val="0099714E"/>
    <w:rsid w:val="00997473"/>
    <w:rsid w:val="009974BF"/>
    <w:rsid w:val="009978F5"/>
    <w:rsid w:val="00997C4E"/>
    <w:rsid w:val="00997E99"/>
    <w:rsid w:val="009A01D8"/>
    <w:rsid w:val="009A03E7"/>
    <w:rsid w:val="009A0816"/>
    <w:rsid w:val="009A0B09"/>
    <w:rsid w:val="009A0E37"/>
    <w:rsid w:val="009A0F04"/>
    <w:rsid w:val="009A1A5D"/>
    <w:rsid w:val="009A1D2A"/>
    <w:rsid w:val="009A2007"/>
    <w:rsid w:val="009A28FA"/>
    <w:rsid w:val="009A2D06"/>
    <w:rsid w:val="009A30CA"/>
    <w:rsid w:val="009A394A"/>
    <w:rsid w:val="009A3D51"/>
    <w:rsid w:val="009A44DD"/>
    <w:rsid w:val="009A5343"/>
    <w:rsid w:val="009A5765"/>
    <w:rsid w:val="009A5C00"/>
    <w:rsid w:val="009A6130"/>
    <w:rsid w:val="009A629A"/>
    <w:rsid w:val="009A6422"/>
    <w:rsid w:val="009A688E"/>
    <w:rsid w:val="009A700D"/>
    <w:rsid w:val="009A7040"/>
    <w:rsid w:val="009A7953"/>
    <w:rsid w:val="009A7F2B"/>
    <w:rsid w:val="009B074C"/>
    <w:rsid w:val="009B07BE"/>
    <w:rsid w:val="009B0A1C"/>
    <w:rsid w:val="009B0B70"/>
    <w:rsid w:val="009B119B"/>
    <w:rsid w:val="009B1206"/>
    <w:rsid w:val="009B1525"/>
    <w:rsid w:val="009B18E1"/>
    <w:rsid w:val="009B1D39"/>
    <w:rsid w:val="009B26C8"/>
    <w:rsid w:val="009B26E4"/>
    <w:rsid w:val="009B2F9E"/>
    <w:rsid w:val="009B33A3"/>
    <w:rsid w:val="009B351F"/>
    <w:rsid w:val="009B381B"/>
    <w:rsid w:val="009B3A9B"/>
    <w:rsid w:val="009B4D88"/>
    <w:rsid w:val="009B4FCA"/>
    <w:rsid w:val="009B5129"/>
    <w:rsid w:val="009B541A"/>
    <w:rsid w:val="009B5D32"/>
    <w:rsid w:val="009B6000"/>
    <w:rsid w:val="009B61B2"/>
    <w:rsid w:val="009B6619"/>
    <w:rsid w:val="009B71D5"/>
    <w:rsid w:val="009B74A4"/>
    <w:rsid w:val="009B76BF"/>
    <w:rsid w:val="009B7794"/>
    <w:rsid w:val="009C03AE"/>
    <w:rsid w:val="009C047F"/>
    <w:rsid w:val="009C14DA"/>
    <w:rsid w:val="009C1615"/>
    <w:rsid w:val="009C1691"/>
    <w:rsid w:val="009C1877"/>
    <w:rsid w:val="009C1D8B"/>
    <w:rsid w:val="009C2BB3"/>
    <w:rsid w:val="009C2F75"/>
    <w:rsid w:val="009C2F9F"/>
    <w:rsid w:val="009C458A"/>
    <w:rsid w:val="009C4893"/>
    <w:rsid w:val="009C4B26"/>
    <w:rsid w:val="009C4D68"/>
    <w:rsid w:val="009C5559"/>
    <w:rsid w:val="009C59D3"/>
    <w:rsid w:val="009C6457"/>
    <w:rsid w:val="009C70F6"/>
    <w:rsid w:val="009C799E"/>
    <w:rsid w:val="009C7E73"/>
    <w:rsid w:val="009D0012"/>
    <w:rsid w:val="009D0946"/>
    <w:rsid w:val="009D0DEE"/>
    <w:rsid w:val="009D15C7"/>
    <w:rsid w:val="009D16D3"/>
    <w:rsid w:val="009D173B"/>
    <w:rsid w:val="009D2342"/>
    <w:rsid w:val="009D241E"/>
    <w:rsid w:val="009D280B"/>
    <w:rsid w:val="009D28C4"/>
    <w:rsid w:val="009D2A12"/>
    <w:rsid w:val="009D2BBE"/>
    <w:rsid w:val="009D3728"/>
    <w:rsid w:val="009D41E4"/>
    <w:rsid w:val="009D44D1"/>
    <w:rsid w:val="009D45F5"/>
    <w:rsid w:val="009D4AFD"/>
    <w:rsid w:val="009D561E"/>
    <w:rsid w:val="009D6116"/>
    <w:rsid w:val="009D62CD"/>
    <w:rsid w:val="009D7076"/>
    <w:rsid w:val="009D7611"/>
    <w:rsid w:val="009E075C"/>
    <w:rsid w:val="009E15DB"/>
    <w:rsid w:val="009E1A85"/>
    <w:rsid w:val="009E1E43"/>
    <w:rsid w:val="009E25B3"/>
    <w:rsid w:val="009E2610"/>
    <w:rsid w:val="009E27A9"/>
    <w:rsid w:val="009E3162"/>
    <w:rsid w:val="009E3488"/>
    <w:rsid w:val="009E357D"/>
    <w:rsid w:val="009E3609"/>
    <w:rsid w:val="009E374A"/>
    <w:rsid w:val="009E3A41"/>
    <w:rsid w:val="009E3ABD"/>
    <w:rsid w:val="009E3B38"/>
    <w:rsid w:val="009E3C23"/>
    <w:rsid w:val="009E3D7E"/>
    <w:rsid w:val="009E3F7C"/>
    <w:rsid w:val="009E41B3"/>
    <w:rsid w:val="009E4906"/>
    <w:rsid w:val="009E53DE"/>
    <w:rsid w:val="009E64A8"/>
    <w:rsid w:val="009E6FD9"/>
    <w:rsid w:val="009F0AED"/>
    <w:rsid w:val="009F0D5F"/>
    <w:rsid w:val="009F0D8A"/>
    <w:rsid w:val="009F114F"/>
    <w:rsid w:val="009F182E"/>
    <w:rsid w:val="009F1ADE"/>
    <w:rsid w:val="009F1BA7"/>
    <w:rsid w:val="009F1ED5"/>
    <w:rsid w:val="009F229C"/>
    <w:rsid w:val="009F2349"/>
    <w:rsid w:val="009F24AF"/>
    <w:rsid w:val="009F24FF"/>
    <w:rsid w:val="009F297A"/>
    <w:rsid w:val="009F2CC4"/>
    <w:rsid w:val="009F382B"/>
    <w:rsid w:val="009F594C"/>
    <w:rsid w:val="009F5BEF"/>
    <w:rsid w:val="009F7113"/>
    <w:rsid w:val="009F7426"/>
    <w:rsid w:val="009F755D"/>
    <w:rsid w:val="009F76DF"/>
    <w:rsid w:val="009F76E5"/>
    <w:rsid w:val="009F7E41"/>
    <w:rsid w:val="00A0142F"/>
    <w:rsid w:val="00A01453"/>
    <w:rsid w:val="00A014DA"/>
    <w:rsid w:val="00A01CE2"/>
    <w:rsid w:val="00A02FFE"/>
    <w:rsid w:val="00A03222"/>
    <w:rsid w:val="00A0345B"/>
    <w:rsid w:val="00A03579"/>
    <w:rsid w:val="00A036B7"/>
    <w:rsid w:val="00A0370F"/>
    <w:rsid w:val="00A03B6C"/>
    <w:rsid w:val="00A03DA5"/>
    <w:rsid w:val="00A04559"/>
    <w:rsid w:val="00A04910"/>
    <w:rsid w:val="00A050D8"/>
    <w:rsid w:val="00A05601"/>
    <w:rsid w:val="00A057B8"/>
    <w:rsid w:val="00A05C64"/>
    <w:rsid w:val="00A062DD"/>
    <w:rsid w:val="00A0645D"/>
    <w:rsid w:val="00A06747"/>
    <w:rsid w:val="00A06801"/>
    <w:rsid w:val="00A0680E"/>
    <w:rsid w:val="00A06FEB"/>
    <w:rsid w:val="00A07134"/>
    <w:rsid w:val="00A07809"/>
    <w:rsid w:val="00A10246"/>
    <w:rsid w:val="00A10403"/>
    <w:rsid w:val="00A10450"/>
    <w:rsid w:val="00A10C01"/>
    <w:rsid w:val="00A10CCC"/>
    <w:rsid w:val="00A1131F"/>
    <w:rsid w:val="00A11C9A"/>
    <w:rsid w:val="00A12196"/>
    <w:rsid w:val="00A12250"/>
    <w:rsid w:val="00A1236A"/>
    <w:rsid w:val="00A12664"/>
    <w:rsid w:val="00A12773"/>
    <w:rsid w:val="00A12F56"/>
    <w:rsid w:val="00A1310B"/>
    <w:rsid w:val="00A1333C"/>
    <w:rsid w:val="00A13A94"/>
    <w:rsid w:val="00A13E0F"/>
    <w:rsid w:val="00A14D37"/>
    <w:rsid w:val="00A14FC4"/>
    <w:rsid w:val="00A150AA"/>
    <w:rsid w:val="00A158BA"/>
    <w:rsid w:val="00A15A9B"/>
    <w:rsid w:val="00A15C9A"/>
    <w:rsid w:val="00A163A4"/>
    <w:rsid w:val="00A1688B"/>
    <w:rsid w:val="00A16943"/>
    <w:rsid w:val="00A17625"/>
    <w:rsid w:val="00A17B4D"/>
    <w:rsid w:val="00A17E82"/>
    <w:rsid w:val="00A2015A"/>
    <w:rsid w:val="00A2089E"/>
    <w:rsid w:val="00A20B65"/>
    <w:rsid w:val="00A20F5F"/>
    <w:rsid w:val="00A2118B"/>
    <w:rsid w:val="00A2130F"/>
    <w:rsid w:val="00A2147C"/>
    <w:rsid w:val="00A21804"/>
    <w:rsid w:val="00A21819"/>
    <w:rsid w:val="00A21930"/>
    <w:rsid w:val="00A21BFD"/>
    <w:rsid w:val="00A2232B"/>
    <w:rsid w:val="00A2272A"/>
    <w:rsid w:val="00A22A88"/>
    <w:rsid w:val="00A22AE8"/>
    <w:rsid w:val="00A22B7B"/>
    <w:rsid w:val="00A22C97"/>
    <w:rsid w:val="00A22CFF"/>
    <w:rsid w:val="00A23100"/>
    <w:rsid w:val="00A231D5"/>
    <w:rsid w:val="00A238D4"/>
    <w:rsid w:val="00A23924"/>
    <w:rsid w:val="00A23AFA"/>
    <w:rsid w:val="00A23BD2"/>
    <w:rsid w:val="00A23E45"/>
    <w:rsid w:val="00A24082"/>
    <w:rsid w:val="00A24331"/>
    <w:rsid w:val="00A243E5"/>
    <w:rsid w:val="00A2456A"/>
    <w:rsid w:val="00A249A8"/>
    <w:rsid w:val="00A255BD"/>
    <w:rsid w:val="00A26545"/>
    <w:rsid w:val="00A269C8"/>
    <w:rsid w:val="00A26D72"/>
    <w:rsid w:val="00A27314"/>
    <w:rsid w:val="00A274BD"/>
    <w:rsid w:val="00A27578"/>
    <w:rsid w:val="00A27678"/>
    <w:rsid w:val="00A27C5A"/>
    <w:rsid w:val="00A3014C"/>
    <w:rsid w:val="00A306E9"/>
    <w:rsid w:val="00A30FDD"/>
    <w:rsid w:val="00A31451"/>
    <w:rsid w:val="00A31CB0"/>
    <w:rsid w:val="00A31F51"/>
    <w:rsid w:val="00A321C2"/>
    <w:rsid w:val="00A3286C"/>
    <w:rsid w:val="00A32D38"/>
    <w:rsid w:val="00A33219"/>
    <w:rsid w:val="00A33DB9"/>
    <w:rsid w:val="00A34273"/>
    <w:rsid w:val="00A3519F"/>
    <w:rsid w:val="00A35704"/>
    <w:rsid w:val="00A359C5"/>
    <w:rsid w:val="00A36168"/>
    <w:rsid w:val="00A36415"/>
    <w:rsid w:val="00A36C33"/>
    <w:rsid w:val="00A36E16"/>
    <w:rsid w:val="00A378EA"/>
    <w:rsid w:val="00A37DA9"/>
    <w:rsid w:val="00A40463"/>
    <w:rsid w:val="00A40C4A"/>
    <w:rsid w:val="00A40CED"/>
    <w:rsid w:val="00A41947"/>
    <w:rsid w:val="00A41AD6"/>
    <w:rsid w:val="00A42803"/>
    <w:rsid w:val="00A42A90"/>
    <w:rsid w:val="00A43458"/>
    <w:rsid w:val="00A438C4"/>
    <w:rsid w:val="00A438F6"/>
    <w:rsid w:val="00A43E87"/>
    <w:rsid w:val="00A444C4"/>
    <w:rsid w:val="00A445B3"/>
    <w:rsid w:val="00A447CD"/>
    <w:rsid w:val="00A44ECE"/>
    <w:rsid w:val="00A450B6"/>
    <w:rsid w:val="00A4561B"/>
    <w:rsid w:val="00A4570E"/>
    <w:rsid w:val="00A4592A"/>
    <w:rsid w:val="00A45BF5"/>
    <w:rsid w:val="00A47174"/>
    <w:rsid w:val="00A473E3"/>
    <w:rsid w:val="00A47406"/>
    <w:rsid w:val="00A47D0B"/>
    <w:rsid w:val="00A500DA"/>
    <w:rsid w:val="00A50201"/>
    <w:rsid w:val="00A5028C"/>
    <w:rsid w:val="00A50322"/>
    <w:rsid w:val="00A50CF2"/>
    <w:rsid w:val="00A51D32"/>
    <w:rsid w:val="00A52375"/>
    <w:rsid w:val="00A5251F"/>
    <w:rsid w:val="00A525CC"/>
    <w:rsid w:val="00A527E1"/>
    <w:rsid w:val="00A52876"/>
    <w:rsid w:val="00A528D1"/>
    <w:rsid w:val="00A529CA"/>
    <w:rsid w:val="00A52D39"/>
    <w:rsid w:val="00A52EBE"/>
    <w:rsid w:val="00A537A5"/>
    <w:rsid w:val="00A53D23"/>
    <w:rsid w:val="00A54275"/>
    <w:rsid w:val="00A542D1"/>
    <w:rsid w:val="00A54335"/>
    <w:rsid w:val="00A547A8"/>
    <w:rsid w:val="00A54AEF"/>
    <w:rsid w:val="00A54CF5"/>
    <w:rsid w:val="00A54E22"/>
    <w:rsid w:val="00A55776"/>
    <w:rsid w:val="00A55BB2"/>
    <w:rsid w:val="00A55C2C"/>
    <w:rsid w:val="00A55ED2"/>
    <w:rsid w:val="00A56131"/>
    <w:rsid w:val="00A56B48"/>
    <w:rsid w:val="00A60093"/>
    <w:rsid w:val="00A60198"/>
    <w:rsid w:val="00A60F07"/>
    <w:rsid w:val="00A61EA0"/>
    <w:rsid w:val="00A6269C"/>
    <w:rsid w:val="00A6287A"/>
    <w:rsid w:val="00A6386E"/>
    <w:rsid w:val="00A63958"/>
    <w:rsid w:val="00A642B6"/>
    <w:rsid w:val="00A647EB"/>
    <w:rsid w:val="00A649AE"/>
    <w:rsid w:val="00A64D06"/>
    <w:rsid w:val="00A64DA8"/>
    <w:rsid w:val="00A64EE8"/>
    <w:rsid w:val="00A64F5F"/>
    <w:rsid w:val="00A650A0"/>
    <w:rsid w:val="00A650D1"/>
    <w:rsid w:val="00A6588A"/>
    <w:rsid w:val="00A659E8"/>
    <w:rsid w:val="00A669C6"/>
    <w:rsid w:val="00A66BC5"/>
    <w:rsid w:val="00A66BE5"/>
    <w:rsid w:val="00A67461"/>
    <w:rsid w:val="00A67539"/>
    <w:rsid w:val="00A709DB"/>
    <w:rsid w:val="00A70FA6"/>
    <w:rsid w:val="00A719E7"/>
    <w:rsid w:val="00A71D99"/>
    <w:rsid w:val="00A73167"/>
    <w:rsid w:val="00A73439"/>
    <w:rsid w:val="00A734B2"/>
    <w:rsid w:val="00A73772"/>
    <w:rsid w:val="00A75A39"/>
    <w:rsid w:val="00A7605D"/>
    <w:rsid w:val="00A76AA2"/>
    <w:rsid w:val="00A76CFB"/>
    <w:rsid w:val="00A7730C"/>
    <w:rsid w:val="00A774E2"/>
    <w:rsid w:val="00A77BBF"/>
    <w:rsid w:val="00A77E82"/>
    <w:rsid w:val="00A80079"/>
    <w:rsid w:val="00A80C1E"/>
    <w:rsid w:val="00A8162B"/>
    <w:rsid w:val="00A819CD"/>
    <w:rsid w:val="00A81A9A"/>
    <w:rsid w:val="00A81D28"/>
    <w:rsid w:val="00A81FA8"/>
    <w:rsid w:val="00A823ED"/>
    <w:rsid w:val="00A82546"/>
    <w:rsid w:val="00A825A2"/>
    <w:rsid w:val="00A8335C"/>
    <w:rsid w:val="00A83588"/>
    <w:rsid w:val="00A83A0F"/>
    <w:rsid w:val="00A845BE"/>
    <w:rsid w:val="00A8491A"/>
    <w:rsid w:val="00A84A45"/>
    <w:rsid w:val="00A84A53"/>
    <w:rsid w:val="00A84B01"/>
    <w:rsid w:val="00A8653E"/>
    <w:rsid w:val="00A86646"/>
    <w:rsid w:val="00A868A1"/>
    <w:rsid w:val="00A86CF8"/>
    <w:rsid w:val="00A871CA"/>
    <w:rsid w:val="00A87AD1"/>
    <w:rsid w:val="00A87FF5"/>
    <w:rsid w:val="00A91578"/>
    <w:rsid w:val="00A91614"/>
    <w:rsid w:val="00A91C87"/>
    <w:rsid w:val="00A91ED0"/>
    <w:rsid w:val="00A91F89"/>
    <w:rsid w:val="00A92714"/>
    <w:rsid w:val="00A92DCA"/>
    <w:rsid w:val="00A936A1"/>
    <w:rsid w:val="00A947C6"/>
    <w:rsid w:val="00A94BBB"/>
    <w:rsid w:val="00A94DF1"/>
    <w:rsid w:val="00A9512D"/>
    <w:rsid w:val="00A95F1A"/>
    <w:rsid w:val="00A9641B"/>
    <w:rsid w:val="00A966A7"/>
    <w:rsid w:val="00A96B68"/>
    <w:rsid w:val="00A96D18"/>
    <w:rsid w:val="00A96F96"/>
    <w:rsid w:val="00A97181"/>
    <w:rsid w:val="00A97366"/>
    <w:rsid w:val="00A973BE"/>
    <w:rsid w:val="00A978E7"/>
    <w:rsid w:val="00A979CE"/>
    <w:rsid w:val="00A97CDE"/>
    <w:rsid w:val="00AA07DC"/>
    <w:rsid w:val="00AA1C16"/>
    <w:rsid w:val="00AA23D3"/>
    <w:rsid w:val="00AA3098"/>
    <w:rsid w:val="00AA33AF"/>
    <w:rsid w:val="00AA3C9F"/>
    <w:rsid w:val="00AA4746"/>
    <w:rsid w:val="00AA4A20"/>
    <w:rsid w:val="00AA4D70"/>
    <w:rsid w:val="00AA4DF0"/>
    <w:rsid w:val="00AA4F77"/>
    <w:rsid w:val="00AA4FE2"/>
    <w:rsid w:val="00AA5C88"/>
    <w:rsid w:val="00AA6A26"/>
    <w:rsid w:val="00AA792C"/>
    <w:rsid w:val="00AA7A2C"/>
    <w:rsid w:val="00AA7A53"/>
    <w:rsid w:val="00AA7AD9"/>
    <w:rsid w:val="00AA7E8A"/>
    <w:rsid w:val="00AB0745"/>
    <w:rsid w:val="00AB097B"/>
    <w:rsid w:val="00AB0AA0"/>
    <w:rsid w:val="00AB160E"/>
    <w:rsid w:val="00AB2903"/>
    <w:rsid w:val="00AB2D03"/>
    <w:rsid w:val="00AB2ECE"/>
    <w:rsid w:val="00AB3118"/>
    <w:rsid w:val="00AB353A"/>
    <w:rsid w:val="00AB3712"/>
    <w:rsid w:val="00AB3C32"/>
    <w:rsid w:val="00AB4317"/>
    <w:rsid w:val="00AB43AD"/>
    <w:rsid w:val="00AB45A1"/>
    <w:rsid w:val="00AB48BE"/>
    <w:rsid w:val="00AB49E0"/>
    <w:rsid w:val="00AB4E82"/>
    <w:rsid w:val="00AB55B8"/>
    <w:rsid w:val="00AB578B"/>
    <w:rsid w:val="00AB6166"/>
    <w:rsid w:val="00AB6D53"/>
    <w:rsid w:val="00AB6DA2"/>
    <w:rsid w:val="00AB6F62"/>
    <w:rsid w:val="00AB7ED1"/>
    <w:rsid w:val="00AB7EE1"/>
    <w:rsid w:val="00AC00EA"/>
    <w:rsid w:val="00AC0531"/>
    <w:rsid w:val="00AC0F5B"/>
    <w:rsid w:val="00AC2C44"/>
    <w:rsid w:val="00AC30C7"/>
    <w:rsid w:val="00AC313B"/>
    <w:rsid w:val="00AC388E"/>
    <w:rsid w:val="00AC3AAE"/>
    <w:rsid w:val="00AC3B78"/>
    <w:rsid w:val="00AC3EE2"/>
    <w:rsid w:val="00AC4106"/>
    <w:rsid w:val="00AC4350"/>
    <w:rsid w:val="00AC4B75"/>
    <w:rsid w:val="00AC4B90"/>
    <w:rsid w:val="00AC4E50"/>
    <w:rsid w:val="00AC4F7C"/>
    <w:rsid w:val="00AC5329"/>
    <w:rsid w:val="00AC53DA"/>
    <w:rsid w:val="00AC5728"/>
    <w:rsid w:val="00AC5C7C"/>
    <w:rsid w:val="00AC5FCF"/>
    <w:rsid w:val="00AC6AE6"/>
    <w:rsid w:val="00AC6CB3"/>
    <w:rsid w:val="00AC740E"/>
    <w:rsid w:val="00AC75FB"/>
    <w:rsid w:val="00AC78C4"/>
    <w:rsid w:val="00AC7969"/>
    <w:rsid w:val="00AC798C"/>
    <w:rsid w:val="00AC7A7D"/>
    <w:rsid w:val="00AC7AC6"/>
    <w:rsid w:val="00AC7E43"/>
    <w:rsid w:val="00AC7F4D"/>
    <w:rsid w:val="00AD08D1"/>
    <w:rsid w:val="00AD0D8F"/>
    <w:rsid w:val="00AD0E15"/>
    <w:rsid w:val="00AD1293"/>
    <w:rsid w:val="00AD1317"/>
    <w:rsid w:val="00AD17B4"/>
    <w:rsid w:val="00AD1E27"/>
    <w:rsid w:val="00AD2957"/>
    <w:rsid w:val="00AD29F5"/>
    <w:rsid w:val="00AD32BE"/>
    <w:rsid w:val="00AD34D9"/>
    <w:rsid w:val="00AD37C1"/>
    <w:rsid w:val="00AD38E9"/>
    <w:rsid w:val="00AD3FD3"/>
    <w:rsid w:val="00AD4149"/>
    <w:rsid w:val="00AD4435"/>
    <w:rsid w:val="00AD452E"/>
    <w:rsid w:val="00AD4A7C"/>
    <w:rsid w:val="00AD4C43"/>
    <w:rsid w:val="00AD4CD7"/>
    <w:rsid w:val="00AD4E05"/>
    <w:rsid w:val="00AD5EB5"/>
    <w:rsid w:val="00AD6328"/>
    <w:rsid w:val="00AD72AC"/>
    <w:rsid w:val="00AD73A3"/>
    <w:rsid w:val="00AD7900"/>
    <w:rsid w:val="00AD7A33"/>
    <w:rsid w:val="00AE04AD"/>
    <w:rsid w:val="00AE0551"/>
    <w:rsid w:val="00AE0D4A"/>
    <w:rsid w:val="00AE0DEC"/>
    <w:rsid w:val="00AE15A9"/>
    <w:rsid w:val="00AE1852"/>
    <w:rsid w:val="00AE1A08"/>
    <w:rsid w:val="00AE1A2D"/>
    <w:rsid w:val="00AE1F0C"/>
    <w:rsid w:val="00AE2AE2"/>
    <w:rsid w:val="00AE2C24"/>
    <w:rsid w:val="00AE2F89"/>
    <w:rsid w:val="00AE36ED"/>
    <w:rsid w:val="00AE3F3C"/>
    <w:rsid w:val="00AE4C05"/>
    <w:rsid w:val="00AE4C43"/>
    <w:rsid w:val="00AE501F"/>
    <w:rsid w:val="00AE5483"/>
    <w:rsid w:val="00AE5D96"/>
    <w:rsid w:val="00AE6271"/>
    <w:rsid w:val="00AE653F"/>
    <w:rsid w:val="00AE66EC"/>
    <w:rsid w:val="00AE6AAC"/>
    <w:rsid w:val="00AE6AE5"/>
    <w:rsid w:val="00AE6D6B"/>
    <w:rsid w:val="00AE6F91"/>
    <w:rsid w:val="00AE706B"/>
    <w:rsid w:val="00AE7702"/>
    <w:rsid w:val="00AE787C"/>
    <w:rsid w:val="00AF010B"/>
    <w:rsid w:val="00AF020C"/>
    <w:rsid w:val="00AF0440"/>
    <w:rsid w:val="00AF0F61"/>
    <w:rsid w:val="00AF0FB6"/>
    <w:rsid w:val="00AF100A"/>
    <w:rsid w:val="00AF10BC"/>
    <w:rsid w:val="00AF14A6"/>
    <w:rsid w:val="00AF1A3B"/>
    <w:rsid w:val="00AF208B"/>
    <w:rsid w:val="00AF22AF"/>
    <w:rsid w:val="00AF22CE"/>
    <w:rsid w:val="00AF2782"/>
    <w:rsid w:val="00AF29D4"/>
    <w:rsid w:val="00AF3344"/>
    <w:rsid w:val="00AF3C95"/>
    <w:rsid w:val="00AF40A7"/>
    <w:rsid w:val="00AF41C9"/>
    <w:rsid w:val="00AF4904"/>
    <w:rsid w:val="00AF511A"/>
    <w:rsid w:val="00AF5571"/>
    <w:rsid w:val="00AF57A4"/>
    <w:rsid w:val="00AF57B1"/>
    <w:rsid w:val="00AF5B3F"/>
    <w:rsid w:val="00AF5E51"/>
    <w:rsid w:val="00AF6633"/>
    <w:rsid w:val="00AF6BA9"/>
    <w:rsid w:val="00AF7526"/>
    <w:rsid w:val="00AF79FA"/>
    <w:rsid w:val="00AF7EF7"/>
    <w:rsid w:val="00B001D1"/>
    <w:rsid w:val="00B00604"/>
    <w:rsid w:val="00B00CBD"/>
    <w:rsid w:val="00B01280"/>
    <w:rsid w:val="00B016BF"/>
    <w:rsid w:val="00B016EF"/>
    <w:rsid w:val="00B018F6"/>
    <w:rsid w:val="00B01D8D"/>
    <w:rsid w:val="00B0207D"/>
    <w:rsid w:val="00B032E7"/>
    <w:rsid w:val="00B033E8"/>
    <w:rsid w:val="00B0350E"/>
    <w:rsid w:val="00B03736"/>
    <w:rsid w:val="00B0379A"/>
    <w:rsid w:val="00B044DA"/>
    <w:rsid w:val="00B04521"/>
    <w:rsid w:val="00B04647"/>
    <w:rsid w:val="00B05307"/>
    <w:rsid w:val="00B05B2D"/>
    <w:rsid w:val="00B06114"/>
    <w:rsid w:val="00B0667E"/>
    <w:rsid w:val="00B066B2"/>
    <w:rsid w:val="00B06BF4"/>
    <w:rsid w:val="00B06DCF"/>
    <w:rsid w:val="00B07033"/>
    <w:rsid w:val="00B07227"/>
    <w:rsid w:val="00B10119"/>
    <w:rsid w:val="00B11A6E"/>
    <w:rsid w:val="00B11C6F"/>
    <w:rsid w:val="00B11CA8"/>
    <w:rsid w:val="00B11E55"/>
    <w:rsid w:val="00B11F9A"/>
    <w:rsid w:val="00B124E6"/>
    <w:rsid w:val="00B12638"/>
    <w:rsid w:val="00B12727"/>
    <w:rsid w:val="00B127B6"/>
    <w:rsid w:val="00B133A5"/>
    <w:rsid w:val="00B1350C"/>
    <w:rsid w:val="00B13ABA"/>
    <w:rsid w:val="00B13B5B"/>
    <w:rsid w:val="00B144F2"/>
    <w:rsid w:val="00B1456E"/>
    <w:rsid w:val="00B14837"/>
    <w:rsid w:val="00B160A4"/>
    <w:rsid w:val="00B164DA"/>
    <w:rsid w:val="00B167E9"/>
    <w:rsid w:val="00B16FF4"/>
    <w:rsid w:val="00B17000"/>
    <w:rsid w:val="00B1724A"/>
    <w:rsid w:val="00B17640"/>
    <w:rsid w:val="00B179AC"/>
    <w:rsid w:val="00B17F44"/>
    <w:rsid w:val="00B20772"/>
    <w:rsid w:val="00B207F5"/>
    <w:rsid w:val="00B20B83"/>
    <w:rsid w:val="00B21064"/>
    <w:rsid w:val="00B216AE"/>
    <w:rsid w:val="00B21BC5"/>
    <w:rsid w:val="00B22C40"/>
    <w:rsid w:val="00B22EC8"/>
    <w:rsid w:val="00B23A86"/>
    <w:rsid w:val="00B24509"/>
    <w:rsid w:val="00B24749"/>
    <w:rsid w:val="00B247E0"/>
    <w:rsid w:val="00B24A00"/>
    <w:rsid w:val="00B25E7C"/>
    <w:rsid w:val="00B2643C"/>
    <w:rsid w:val="00B270C2"/>
    <w:rsid w:val="00B27127"/>
    <w:rsid w:val="00B2728E"/>
    <w:rsid w:val="00B27CDC"/>
    <w:rsid w:val="00B301E8"/>
    <w:rsid w:val="00B30278"/>
    <w:rsid w:val="00B30DC9"/>
    <w:rsid w:val="00B30ED8"/>
    <w:rsid w:val="00B31391"/>
    <w:rsid w:val="00B314DB"/>
    <w:rsid w:val="00B316A7"/>
    <w:rsid w:val="00B3171A"/>
    <w:rsid w:val="00B31AFD"/>
    <w:rsid w:val="00B31EBE"/>
    <w:rsid w:val="00B324F0"/>
    <w:rsid w:val="00B32D95"/>
    <w:rsid w:val="00B3375A"/>
    <w:rsid w:val="00B33B01"/>
    <w:rsid w:val="00B33C65"/>
    <w:rsid w:val="00B3401D"/>
    <w:rsid w:val="00B3497D"/>
    <w:rsid w:val="00B34C10"/>
    <w:rsid w:val="00B34D21"/>
    <w:rsid w:val="00B34D82"/>
    <w:rsid w:val="00B34E2B"/>
    <w:rsid w:val="00B34F8C"/>
    <w:rsid w:val="00B35D06"/>
    <w:rsid w:val="00B367B1"/>
    <w:rsid w:val="00B36E37"/>
    <w:rsid w:val="00B37047"/>
    <w:rsid w:val="00B3718B"/>
    <w:rsid w:val="00B37584"/>
    <w:rsid w:val="00B37C3B"/>
    <w:rsid w:val="00B37EF5"/>
    <w:rsid w:val="00B41104"/>
    <w:rsid w:val="00B41A5D"/>
    <w:rsid w:val="00B41A5F"/>
    <w:rsid w:val="00B41AAC"/>
    <w:rsid w:val="00B41B62"/>
    <w:rsid w:val="00B424CD"/>
    <w:rsid w:val="00B42ABC"/>
    <w:rsid w:val="00B42EFE"/>
    <w:rsid w:val="00B432D6"/>
    <w:rsid w:val="00B4367B"/>
    <w:rsid w:val="00B43FE6"/>
    <w:rsid w:val="00B441B2"/>
    <w:rsid w:val="00B441B9"/>
    <w:rsid w:val="00B44448"/>
    <w:rsid w:val="00B44654"/>
    <w:rsid w:val="00B44CE9"/>
    <w:rsid w:val="00B44F4C"/>
    <w:rsid w:val="00B453EE"/>
    <w:rsid w:val="00B45BE7"/>
    <w:rsid w:val="00B45ECD"/>
    <w:rsid w:val="00B46033"/>
    <w:rsid w:val="00B46130"/>
    <w:rsid w:val="00B46313"/>
    <w:rsid w:val="00B4632A"/>
    <w:rsid w:val="00B4635F"/>
    <w:rsid w:val="00B46771"/>
    <w:rsid w:val="00B46F50"/>
    <w:rsid w:val="00B470B8"/>
    <w:rsid w:val="00B47266"/>
    <w:rsid w:val="00B475F9"/>
    <w:rsid w:val="00B478B1"/>
    <w:rsid w:val="00B478C4"/>
    <w:rsid w:val="00B506F8"/>
    <w:rsid w:val="00B50B18"/>
    <w:rsid w:val="00B50DB9"/>
    <w:rsid w:val="00B5149E"/>
    <w:rsid w:val="00B515A8"/>
    <w:rsid w:val="00B516A4"/>
    <w:rsid w:val="00B52BB8"/>
    <w:rsid w:val="00B5362D"/>
    <w:rsid w:val="00B540E8"/>
    <w:rsid w:val="00B54DF4"/>
    <w:rsid w:val="00B550D3"/>
    <w:rsid w:val="00B552E7"/>
    <w:rsid w:val="00B55402"/>
    <w:rsid w:val="00B55E95"/>
    <w:rsid w:val="00B55F23"/>
    <w:rsid w:val="00B56929"/>
    <w:rsid w:val="00B5746F"/>
    <w:rsid w:val="00B574A0"/>
    <w:rsid w:val="00B574EE"/>
    <w:rsid w:val="00B575D6"/>
    <w:rsid w:val="00B57C17"/>
    <w:rsid w:val="00B57C7D"/>
    <w:rsid w:val="00B6077E"/>
    <w:rsid w:val="00B60BA0"/>
    <w:rsid w:val="00B60E25"/>
    <w:rsid w:val="00B625BE"/>
    <w:rsid w:val="00B62699"/>
    <w:rsid w:val="00B62894"/>
    <w:rsid w:val="00B62BC0"/>
    <w:rsid w:val="00B63572"/>
    <w:rsid w:val="00B63577"/>
    <w:rsid w:val="00B6384B"/>
    <w:rsid w:val="00B6408B"/>
    <w:rsid w:val="00B645F5"/>
    <w:rsid w:val="00B64AF1"/>
    <w:rsid w:val="00B64CF2"/>
    <w:rsid w:val="00B6615F"/>
    <w:rsid w:val="00B66695"/>
    <w:rsid w:val="00B66B51"/>
    <w:rsid w:val="00B67010"/>
    <w:rsid w:val="00B67053"/>
    <w:rsid w:val="00B673F4"/>
    <w:rsid w:val="00B678A5"/>
    <w:rsid w:val="00B67AB7"/>
    <w:rsid w:val="00B67B19"/>
    <w:rsid w:val="00B67B9B"/>
    <w:rsid w:val="00B70040"/>
    <w:rsid w:val="00B70048"/>
    <w:rsid w:val="00B70462"/>
    <w:rsid w:val="00B70902"/>
    <w:rsid w:val="00B71CEC"/>
    <w:rsid w:val="00B72CD4"/>
    <w:rsid w:val="00B72E00"/>
    <w:rsid w:val="00B72F58"/>
    <w:rsid w:val="00B72F71"/>
    <w:rsid w:val="00B74BBA"/>
    <w:rsid w:val="00B74DAF"/>
    <w:rsid w:val="00B750ED"/>
    <w:rsid w:val="00B757BC"/>
    <w:rsid w:val="00B75D57"/>
    <w:rsid w:val="00B76367"/>
    <w:rsid w:val="00B765F1"/>
    <w:rsid w:val="00B76659"/>
    <w:rsid w:val="00B766A1"/>
    <w:rsid w:val="00B76A18"/>
    <w:rsid w:val="00B76BE8"/>
    <w:rsid w:val="00B76C36"/>
    <w:rsid w:val="00B777B0"/>
    <w:rsid w:val="00B77B09"/>
    <w:rsid w:val="00B801CB"/>
    <w:rsid w:val="00B80606"/>
    <w:rsid w:val="00B80E97"/>
    <w:rsid w:val="00B8185F"/>
    <w:rsid w:val="00B82710"/>
    <w:rsid w:val="00B82D01"/>
    <w:rsid w:val="00B83087"/>
    <w:rsid w:val="00B83893"/>
    <w:rsid w:val="00B849A5"/>
    <w:rsid w:val="00B84FC7"/>
    <w:rsid w:val="00B8596A"/>
    <w:rsid w:val="00B85A32"/>
    <w:rsid w:val="00B85B6B"/>
    <w:rsid w:val="00B8646F"/>
    <w:rsid w:val="00B86577"/>
    <w:rsid w:val="00B8664E"/>
    <w:rsid w:val="00B868A4"/>
    <w:rsid w:val="00B86C83"/>
    <w:rsid w:val="00B86D99"/>
    <w:rsid w:val="00B8724D"/>
    <w:rsid w:val="00B8786D"/>
    <w:rsid w:val="00B90178"/>
    <w:rsid w:val="00B90496"/>
    <w:rsid w:val="00B91BDD"/>
    <w:rsid w:val="00B920AF"/>
    <w:rsid w:val="00B920B7"/>
    <w:rsid w:val="00B920F5"/>
    <w:rsid w:val="00B92546"/>
    <w:rsid w:val="00B926B1"/>
    <w:rsid w:val="00B92DC9"/>
    <w:rsid w:val="00B933E4"/>
    <w:rsid w:val="00B93E70"/>
    <w:rsid w:val="00B93EF7"/>
    <w:rsid w:val="00B964F2"/>
    <w:rsid w:val="00B96FE9"/>
    <w:rsid w:val="00B97838"/>
    <w:rsid w:val="00B979E4"/>
    <w:rsid w:val="00B97C22"/>
    <w:rsid w:val="00BA0E3E"/>
    <w:rsid w:val="00BA0F6C"/>
    <w:rsid w:val="00BA10D9"/>
    <w:rsid w:val="00BA11D2"/>
    <w:rsid w:val="00BA198F"/>
    <w:rsid w:val="00BA1D41"/>
    <w:rsid w:val="00BA2534"/>
    <w:rsid w:val="00BA276C"/>
    <w:rsid w:val="00BA2988"/>
    <w:rsid w:val="00BA3099"/>
    <w:rsid w:val="00BA3133"/>
    <w:rsid w:val="00BA31DF"/>
    <w:rsid w:val="00BA3DCF"/>
    <w:rsid w:val="00BA4BCF"/>
    <w:rsid w:val="00BA542F"/>
    <w:rsid w:val="00BA58CF"/>
    <w:rsid w:val="00BA62D9"/>
    <w:rsid w:val="00BA64E3"/>
    <w:rsid w:val="00BA6FFA"/>
    <w:rsid w:val="00BA78A0"/>
    <w:rsid w:val="00BA7984"/>
    <w:rsid w:val="00BB0DDB"/>
    <w:rsid w:val="00BB0E3F"/>
    <w:rsid w:val="00BB0E8F"/>
    <w:rsid w:val="00BB151F"/>
    <w:rsid w:val="00BB17B3"/>
    <w:rsid w:val="00BB17E7"/>
    <w:rsid w:val="00BB1B53"/>
    <w:rsid w:val="00BB22C0"/>
    <w:rsid w:val="00BB285D"/>
    <w:rsid w:val="00BB2AFE"/>
    <w:rsid w:val="00BB2BC9"/>
    <w:rsid w:val="00BB3066"/>
    <w:rsid w:val="00BB306F"/>
    <w:rsid w:val="00BB3466"/>
    <w:rsid w:val="00BB356D"/>
    <w:rsid w:val="00BB36D4"/>
    <w:rsid w:val="00BB3C76"/>
    <w:rsid w:val="00BB3E94"/>
    <w:rsid w:val="00BB4212"/>
    <w:rsid w:val="00BB4ECC"/>
    <w:rsid w:val="00BB521F"/>
    <w:rsid w:val="00BB53AD"/>
    <w:rsid w:val="00BB59AB"/>
    <w:rsid w:val="00BB5A10"/>
    <w:rsid w:val="00BB5A59"/>
    <w:rsid w:val="00BB5A63"/>
    <w:rsid w:val="00BB5AE3"/>
    <w:rsid w:val="00BB645E"/>
    <w:rsid w:val="00BB651C"/>
    <w:rsid w:val="00BB6D82"/>
    <w:rsid w:val="00BB6D96"/>
    <w:rsid w:val="00BB7163"/>
    <w:rsid w:val="00BB76B9"/>
    <w:rsid w:val="00BB78FE"/>
    <w:rsid w:val="00BB7B0A"/>
    <w:rsid w:val="00BB7C52"/>
    <w:rsid w:val="00BC000F"/>
    <w:rsid w:val="00BC04F8"/>
    <w:rsid w:val="00BC1521"/>
    <w:rsid w:val="00BC2154"/>
    <w:rsid w:val="00BC243A"/>
    <w:rsid w:val="00BC24DB"/>
    <w:rsid w:val="00BC26AE"/>
    <w:rsid w:val="00BC2809"/>
    <w:rsid w:val="00BC33B0"/>
    <w:rsid w:val="00BC3535"/>
    <w:rsid w:val="00BC35EB"/>
    <w:rsid w:val="00BC397C"/>
    <w:rsid w:val="00BC4685"/>
    <w:rsid w:val="00BC5766"/>
    <w:rsid w:val="00BC5797"/>
    <w:rsid w:val="00BC5848"/>
    <w:rsid w:val="00BC5D20"/>
    <w:rsid w:val="00BC62EA"/>
    <w:rsid w:val="00BC6714"/>
    <w:rsid w:val="00BC68ED"/>
    <w:rsid w:val="00BC6DA1"/>
    <w:rsid w:val="00BC6FB1"/>
    <w:rsid w:val="00BC73B5"/>
    <w:rsid w:val="00BD0E26"/>
    <w:rsid w:val="00BD10AC"/>
    <w:rsid w:val="00BD11DC"/>
    <w:rsid w:val="00BD1260"/>
    <w:rsid w:val="00BD1388"/>
    <w:rsid w:val="00BD168B"/>
    <w:rsid w:val="00BD232B"/>
    <w:rsid w:val="00BD2C5B"/>
    <w:rsid w:val="00BD2D8B"/>
    <w:rsid w:val="00BD3469"/>
    <w:rsid w:val="00BD393F"/>
    <w:rsid w:val="00BD4B89"/>
    <w:rsid w:val="00BD5B66"/>
    <w:rsid w:val="00BD5CCE"/>
    <w:rsid w:val="00BD5E83"/>
    <w:rsid w:val="00BD5F0C"/>
    <w:rsid w:val="00BD63B7"/>
    <w:rsid w:val="00BD65A2"/>
    <w:rsid w:val="00BD6E89"/>
    <w:rsid w:val="00BD6EF6"/>
    <w:rsid w:val="00BD75AE"/>
    <w:rsid w:val="00BD7B08"/>
    <w:rsid w:val="00BD7F14"/>
    <w:rsid w:val="00BE0098"/>
    <w:rsid w:val="00BE0099"/>
    <w:rsid w:val="00BE014C"/>
    <w:rsid w:val="00BE10EE"/>
    <w:rsid w:val="00BE118B"/>
    <w:rsid w:val="00BE1438"/>
    <w:rsid w:val="00BE1B74"/>
    <w:rsid w:val="00BE201A"/>
    <w:rsid w:val="00BE34C6"/>
    <w:rsid w:val="00BE3560"/>
    <w:rsid w:val="00BE35D9"/>
    <w:rsid w:val="00BE36D7"/>
    <w:rsid w:val="00BE374F"/>
    <w:rsid w:val="00BE3967"/>
    <w:rsid w:val="00BE3991"/>
    <w:rsid w:val="00BE45C8"/>
    <w:rsid w:val="00BE4872"/>
    <w:rsid w:val="00BE4C89"/>
    <w:rsid w:val="00BE4DCA"/>
    <w:rsid w:val="00BE4E8F"/>
    <w:rsid w:val="00BE514F"/>
    <w:rsid w:val="00BE5AD0"/>
    <w:rsid w:val="00BE60A3"/>
    <w:rsid w:val="00BE6182"/>
    <w:rsid w:val="00BE66B0"/>
    <w:rsid w:val="00BE6871"/>
    <w:rsid w:val="00BE6B74"/>
    <w:rsid w:val="00BE6FDB"/>
    <w:rsid w:val="00BE7E23"/>
    <w:rsid w:val="00BF0063"/>
    <w:rsid w:val="00BF08CB"/>
    <w:rsid w:val="00BF0EAA"/>
    <w:rsid w:val="00BF1F10"/>
    <w:rsid w:val="00BF206B"/>
    <w:rsid w:val="00BF2523"/>
    <w:rsid w:val="00BF2939"/>
    <w:rsid w:val="00BF2E84"/>
    <w:rsid w:val="00BF2EA8"/>
    <w:rsid w:val="00BF40C6"/>
    <w:rsid w:val="00BF4600"/>
    <w:rsid w:val="00BF4865"/>
    <w:rsid w:val="00BF4871"/>
    <w:rsid w:val="00BF4994"/>
    <w:rsid w:val="00BF4AF7"/>
    <w:rsid w:val="00BF5F11"/>
    <w:rsid w:val="00BF649B"/>
    <w:rsid w:val="00BF65BD"/>
    <w:rsid w:val="00BF694A"/>
    <w:rsid w:val="00BF7B54"/>
    <w:rsid w:val="00BF7C42"/>
    <w:rsid w:val="00C0019C"/>
    <w:rsid w:val="00C0028D"/>
    <w:rsid w:val="00C004FC"/>
    <w:rsid w:val="00C01451"/>
    <w:rsid w:val="00C01882"/>
    <w:rsid w:val="00C018FF"/>
    <w:rsid w:val="00C01FC0"/>
    <w:rsid w:val="00C028C4"/>
    <w:rsid w:val="00C02A78"/>
    <w:rsid w:val="00C03059"/>
    <w:rsid w:val="00C0339E"/>
    <w:rsid w:val="00C036A2"/>
    <w:rsid w:val="00C0391B"/>
    <w:rsid w:val="00C03A29"/>
    <w:rsid w:val="00C04473"/>
    <w:rsid w:val="00C04FA3"/>
    <w:rsid w:val="00C05169"/>
    <w:rsid w:val="00C0546D"/>
    <w:rsid w:val="00C05820"/>
    <w:rsid w:val="00C05A1A"/>
    <w:rsid w:val="00C06128"/>
    <w:rsid w:val="00C070BA"/>
    <w:rsid w:val="00C07884"/>
    <w:rsid w:val="00C07B4D"/>
    <w:rsid w:val="00C07BB8"/>
    <w:rsid w:val="00C101BC"/>
    <w:rsid w:val="00C10283"/>
    <w:rsid w:val="00C10EA4"/>
    <w:rsid w:val="00C11574"/>
    <w:rsid w:val="00C13331"/>
    <w:rsid w:val="00C136FB"/>
    <w:rsid w:val="00C144E7"/>
    <w:rsid w:val="00C14557"/>
    <w:rsid w:val="00C14612"/>
    <w:rsid w:val="00C14701"/>
    <w:rsid w:val="00C14A51"/>
    <w:rsid w:val="00C14CE0"/>
    <w:rsid w:val="00C1525C"/>
    <w:rsid w:val="00C153DE"/>
    <w:rsid w:val="00C1557D"/>
    <w:rsid w:val="00C15662"/>
    <w:rsid w:val="00C15824"/>
    <w:rsid w:val="00C15DF2"/>
    <w:rsid w:val="00C1692B"/>
    <w:rsid w:val="00C16D95"/>
    <w:rsid w:val="00C1705A"/>
    <w:rsid w:val="00C17BAA"/>
    <w:rsid w:val="00C20667"/>
    <w:rsid w:val="00C206EA"/>
    <w:rsid w:val="00C2142B"/>
    <w:rsid w:val="00C21701"/>
    <w:rsid w:val="00C21762"/>
    <w:rsid w:val="00C21870"/>
    <w:rsid w:val="00C21EFD"/>
    <w:rsid w:val="00C224DF"/>
    <w:rsid w:val="00C22570"/>
    <w:rsid w:val="00C22723"/>
    <w:rsid w:val="00C22770"/>
    <w:rsid w:val="00C22DD6"/>
    <w:rsid w:val="00C22F3D"/>
    <w:rsid w:val="00C231B6"/>
    <w:rsid w:val="00C23BA8"/>
    <w:rsid w:val="00C23DC3"/>
    <w:rsid w:val="00C24049"/>
    <w:rsid w:val="00C24543"/>
    <w:rsid w:val="00C24A89"/>
    <w:rsid w:val="00C251B1"/>
    <w:rsid w:val="00C256A2"/>
    <w:rsid w:val="00C25804"/>
    <w:rsid w:val="00C25808"/>
    <w:rsid w:val="00C258A0"/>
    <w:rsid w:val="00C25B0D"/>
    <w:rsid w:val="00C26256"/>
    <w:rsid w:val="00C26350"/>
    <w:rsid w:val="00C26A69"/>
    <w:rsid w:val="00C27711"/>
    <w:rsid w:val="00C27CFA"/>
    <w:rsid w:val="00C30405"/>
    <w:rsid w:val="00C30778"/>
    <w:rsid w:val="00C30D1A"/>
    <w:rsid w:val="00C31770"/>
    <w:rsid w:val="00C3238A"/>
    <w:rsid w:val="00C32415"/>
    <w:rsid w:val="00C32A61"/>
    <w:rsid w:val="00C332BA"/>
    <w:rsid w:val="00C338B0"/>
    <w:rsid w:val="00C33D10"/>
    <w:rsid w:val="00C33EB0"/>
    <w:rsid w:val="00C33F9F"/>
    <w:rsid w:val="00C340DC"/>
    <w:rsid w:val="00C343C8"/>
    <w:rsid w:val="00C344B0"/>
    <w:rsid w:val="00C3492D"/>
    <w:rsid w:val="00C34973"/>
    <w:rsid w:val="00C34EA8"/>
    <w:rsid w:val="00C34F68"/>
    <w:rsid w:val="00C35199"/>
    <w:rsid w:val="00C35423"/>
    <w:rsid w:val="00C3629F"/>
    <w:rsid w:val="00C36568"/>
    <w:rsid w:val="00C36E35"/>
    <w:rsid w:val="00C36E92"/>
    <w:rsid w:val="00C37478"/>
    <w:rsid w:val="00C4068A"/>
    <w:rsid w:val="00C40816"/>
    <w:rsid w:val="00C4093F"/>
    <w:rsid w:val="00C41878"/>
    <w:rsid w:val="00C41AB9"/>
    <w:rsid w:val="00C41D2F"/>
    <w:rsid w:val="00C41EC1"/>
    <w:rsid w:val="00C420AF"/>
    <w:rsid w:val="00C42196"/>
    <w:rsid w:val="00C4237D"/>
    <w:rsid w:val="00C423E4"/>
    <w:rsid w:val="00C426C9"/>
    <w:rsid w:val="00C42E73"/>
    <w:rsid w:val="00C432D8"/>
    <w:rsid w:val="00C43690"/>
    <w:rsid w:val="00C436A8"/>
    <w:rsid w:val="00C43931"/>
    <w:rsid w:val="00C43943"/>
    <w:rsid w:val="00C43FC7"/>
    <w:rsid w:val="00C443E8"/>
    <w:rsid w:val="00C44886"/>
    <w:rsid w:val="00C44AE9"/>
    <w:rsid w:val="00C44ECB"/>
    <w:rsid w:val="00C45555"/>
    <w:rsid w:val="00C45976"/>
    <w:rsid w:val="00C45A93"/>
    <w:rsid w:val="00C4696E"/>
    <w:rsid w:val="00C46A80"/>
    <w:rsid w:val="00C46BED"/>
    <w:rsid w:val="00C4716E"/>
    <w:rsid w:val="00C47406"/>
    <w:rsid w:val="00C4770B"/>
    <w:rsid w:val="00C47791"/>
    <w:rsid w:val="00C4793D"/>
    <w:rsid w:val="00C47B6D"/>
    <w:rsid w:val="00C47E39"/>
    <w:rsid w:val="00C506EB"/>
    <w:rsid w:val="00C50C1E"/>
    <w:rsid w:val="00C50E95"/>
    <w:rsid w:val="00C51C98"/>
    <w:rsid w:val="00C5237D"/>
    <w:rsid w:val="00C535F1"/>
    <w:rsid w:val="00C5393D"/>
    <w:rsid w:val="00C53F60"/>
    <w:rsid w:val="00C541FC"/>
    <w:rsid w:val="00C542C0"/>
    <w:rsid w:val="00C546AB"/>
    <w:rsid w:val="00C5474E"/>
    <w:rsid w:val="00C548F2"/>
    <w:rsid w:val="00C548FA"/>
    <w:rsid w:val="00C55378"/>
    <w:rsid w:val="00C55560"/>
    <w:rsid w:val="00C55AA8"/>
    <w:rsid w:val="00C55C6F"/>
    <w:rsid w:val="00C55D3E"/>
    <w:rsid w:val="00C56511"/>
    <w:rsid w:val="00C568F9"/>
    <w:rsid w:val="00C56BBF"/>
    <w:rsid w:val="00C57994"/>
    <w:rsid w:val="00C57D17"/>
    <w:rsid w:val="00C60644"/>
    <w:rsid w:val="00C60AB3"/>
    <w:rsid w:val="00C60AFB"/>
    <w:rsid w:val="00C60C8A"/>
    <w:rsid w:val="00C61095"/>
    <w:rsid w:val="00C614A9"/>
    <w:rsid w:val="00C618A0"/>
    <w:rsid w:val="00C61956"/>
    <w:rsid w:val="00C61997"/>
    <w:rsid w:val="00C61F1E"/>
    <w:rsid w:val="00C62393"/>
    <w:rsid w:val="00C6242D"/>
    <w:rsid w:val="00C6257E"/>
    <w:rsid w:val="00C6293A"/>
    <w:rsid w:val="00C62BF4"/>
    <w:rsid w:val="00C62E83"/>
    <w:rsid w:val="00C6323C"/>
    <w:rsid w:val="00C634B4"/>
    <w:rsid w:val="00C63576"/>
    <w:rsid w:val="00C63585"/>
    <w:rsid w:val="00C6371F"/>
    <w:rsid w:val="00C64686"/>
    <w:rsid w:val="00C65998"/>
    <w:rsid w:val="00C66575"/>
    <w:rsid w:val="00C669BD"/>
    <w:rsid w:val="00C669C1"/>
    <w:rsid w:val="00C66B72"/>
    <w:rsid w:val="00C674CD"/>
    <w:rsid w:val="00C67986"/>
    <w:rsid w:val="00C67F18"/>
    <w:rsid w:val="00C703DF"/>
    <w:rsid w:val="00C714BB"/>
    <w:rsid w:val="00C71E81"/>
    <w:rsid w:val="00C7275B"/>
    <w:rsid w:val="00C7281A"/>
    <w:rsid w:val="00C73738"/>
    <w:rsid w:val="00C7377E"/>
    <w:rsid w:val="00C73BAE"/>
    <w:rsid w:val="00C748D8"/>
    <w:rsid w:val="00C74AAA"/>
    <w:rsid w:val="00C74AF5"/>
    <w:rsid w:val="00C74C37"/>
    <w:rsid w:val="00C74F74"/>
    <w:rsid w:val="00C7526E"/>
    <w:rsid w:val="00C75330"/>
    <w:rsid w:val="00C759BE"/>
    <w:rsid w:val="00C75A4F"/>
    <w:rsid w:val="00C75E68"/>
    <w:rsid w:val="00C76135"/>
    <w:rsid w:val="00C768EA"/>
    <w:rsid w:val="00C76C96"/>
    <w:rsid w:val="00C76F95"/>
    <w:rsid w:val="00C77013"/>
    <w:rsid w:val="00C77481"/>
    <w:rsid w:val="00C77E44"/>
    <w:rsid w:val="00C77F47"/>
    <w:rsid w:val="00C804FA"/>
    <w:rsid w:val="00C80A54"/>
    <w:rsid w:val="00C811BA"/>
    <w:rsid w:val="00C811E5"/>
    <w:rsid w:val="00C81339"/>
    <w:rsid w:val="00C8142F"/>
    <w:rsid w:val="00C81E97"/>
    <w:rsid w:val="00C81FBE"/>
    <w:rsid w:val="00C8212F"/>
    <w:rsid w:val="00C82791"/>
    <w:rsid w:val="00C82B0B"/>
    <w:rsid w:val="00C83042"/>
    <w:rsid w:val="00C83A33"/>
    <w:rsid w:val="00C83A40"/>
    <w:rsid w:val="00C84B0E"/>
    <w:rsid w:val="00C84DBA"/>
    <w:rsid w:val="00C84E16"/>
    <w:rsid w:val="00C85054"/>
    <w:rsid w:val="00C850FD"/>
    <w:rsid w:val="00C85483"/>
    <w:rsid w:val="00C857A1"/>
    <w:rsid w:val="00C85897"/>
    <w:rsid w:val="00C85CF6"/>
    <w:rsid w:val="00C85DDE"/>
    <w:rsid w:val="00C86C06"/>
    <w:rsid w:val="00C8734C"/>
    <w:rsid w:val="00C8737F"/>
    <w:rsid w:val="00C87A0C"/>
    <w:rsid w:val="00C87F2B"/>
    <w:rsid w:val="00C90435"/>
    <w:rsid w:val="00C9055F"/>
    <w:rsid w:val="00C9099F"/>
    <w:rsid w:val="00C9150C"/>
    <w:rsid w:val="00C91645"/>
    <w:rsid w:val="00C921EF"/>
    <w:rsid w:val="00C926D0"/>
    <w:rsid w:val="00C92987"/>
    <w:rsid w:val="00C92CF7"/>
    <w:rsid w:val="00C936C3"/>
    <w:rsid w:val="00C93DCE"/>
    <w:rsid w:val="00C949E2"/>
    <w:rsid w:val="00C94BF5"/>
    <w:rsid w:val="00C954B5"/>
    <w:rsid w:val="00C9567A"/>
    <w:rsid w:val="00C957E5"/>
    <w:rsid w:val="00C95B20"/>
    <w:rsid w:val="00C95BF6"/>
    <w:rsid w:val="00C965D3"/>
    <w:rsid w:val="00C9670F"/>
    <w:rsid w:val="00C96AF3"/>
    <w:rsid w:val="00C96BFF"/>
    <w:rsid w:val="00C97B52"/>
    <w:rsid w:val="00CA00FA"/>
    <w:rsid w:val="00CA0428"/>
    <w:rsid w:val="00CA06E5"/>
    <w:rsid w:val="00CA0730"/>
    <w:rsid w:val="00CA0D97"/>
    <w:rsid w:val="00CA0E2F"/>
    <w:rsid w:val="00CA164C"/>
    <w:rsid w:val="00CA16AD"/>
    <w:rsid w:val="00CA1909"/>
    <w:rsid w:val="00CA1D19"/>
    <w:rsid w:val="00CA2199"/>
    <w:rsid w:val="00CA249C"/>
    <w:rsid w:val="00CA28C5"/>
    <w:rsid w:val="00CA2DCC"/>
    <w:rsid w:val="00CA2DE7"/>
    <w:rsid w:val="00CA31FD"/>
    <w:rsid w:val="00CA3B1D"/>
    <w:rsid w:val="00CA3E5A"/>
    <w:rsid w:val="00CA40B7"/>
    <w:rsid w:val="00CA4160"/>
    <w:rsid w:val="00CA44E8"/>
    <w:rsid w:val="00CA4BE3"/>
    <w:rsid w:val="00CA4C47"/>
    <w:rsid w:val="00CA4E47"/>
    <w:rsid w:val="00CA53D1"/>
    <w:rsid w:val="00CA5B5E"/>
    <w:rsid w:val="00CA61E3"/>
    <w:rsid w:val="00CA6219"/>
    <w:rsid w:val="00CA65F1"/>
    <w:rsid w:val="00CA6E49"/>
    <w:rsid w:val="00CA6EE1"/>
    <w:rsid w:val="00CB02CB"/>
    <w:rsid w:val="00CB08A1"/>
    <w:rsid w:val="00CB08B1"/>
    <w:rsid w:val="00CB13BC"/>
    <w:rsid w:val="00CB17C1"/>
    <w:rsid w:val="00CB1B1C"/>
    <w:rsid w:val="00CB2303"/>
    <w:rsid w:val="00CB2422"/>
    <w:rsid w:val="00CB2660"/>
    <w:rsid w:val="00CB2A1A"/>
    <w:rsid w:val="00CB2B8D"/>
    <w:rsid w:val="00CB320F"/>
    <w:rsid w:val="00CB3418"/>
    <w:rsid w:val="00CB36CE"/>
    <w:rsid w:val="00CB3738"/>
    <w:rsid w:val="00CB3827"/>
    <w:rsid w:val="00CB3A1A"/>
    <w:rsid w:val="00CB4965"/>
    <w:rsid w:val="00CB4BF9"/>
    <w:rsid w:val="00CB4C01"/>
    <w:rsid w:val="00CB5334"/>
    <w:rsid w:val="00CB5E44"/>
    <w:rsid w:val="00CB6ADC"/>
    <w:rsid w:val="00CB6C21"/>
    <w:rsid w:val="00CB6D51"/>
    <w:rsid w:val="00CB712B"/>
    <w:rsid w:val="00CB7805"/>
    <w:rsid w:val="00CB7A42"/>
    <w:rsid w:val="00CB7D6F"/>
    <w:rsid w:val="00CC012E"/>
    <w:rsid w:val="00CC0E8C"/>
    <w:rsid w:val="00CC1DF2"/>
    <w:rsid w:val="00CC2089"/>
    <w:rsid w:val="00CC232B"/>
    <w:rsid w:val="00CC25A6"/>
    <w:rsid w:val="00CC30E5"/>
    <w:rsid w:val="00CC44ED"/>
    <w:rsid w:val="00CC5639"/>
    <w:rsid w:val="00CC5E13"/>
    <w:rsid w:val="00CC5E90"/>
    <w:rsid w:val="00CC72FB"/>
    <w:rsid w:val="00CD046C"/>
    <w:rsid w:val="00CD0979"/>
    <w:rsid w:val="00CD0D7A"/>
    <w:rsid w:val="00CD1893"/>
    <w:rsid w:val="00CD1F6E"/>
    <w:rsid w:val="00CD36BA"/>
    <w:rsid w:val="00CD38C8"/>
    <w:rsid w:val="00CD403E"/>
    <w:rsid w:val="00CD4C7E"/>
    <w:rsid w:val="00CD5326"/>
    <w:rsid w:val="00CD58F8"/>
    <w:rsid w:val="00CD5ABC"/>
    <w:rsid w:val="00CD6653"/>
    <w:rsid w:val="00CD67F8"/>
    <w:rsid w:val="00CD6BCF"/>
    <w:rsid w:val="00CD7BBE"/>
    <w:rsid w:val="00CE0052"/>
    <w:rsid w:val="00CE1390"/>
    <w:rsid w:val="00CE1E71"/>
    <w:rsid w:val="00CE1F0D"/>
    <w:rsid w:val="00CE2381"/>
    <w:rsid w:val="00CE257F"/>
    <w:rsid w:val="00CE2A6C"/>
    <w:rsid w:val="00CE32E2"/>
    <w:rsid w:val="00CE3AA0"/>
    <w:rsid w:val="00CE3F9C"/>
    <w:rsid w:val="00CE4743"/>
    <w:rsid w:val="00CE476B"/>
    <w:rsid w:val="00CE4868"/>
    <w:rsid w:val="00CE4999"/>
    <w:rsid w:val="00CE49B5"/>
    <w:rsid w:val="00CE5199"/>
    <w:rsid w:val="00CE66D5"/>
    <w:rsid w:val="00CE66E4"/>
    <w:rsid w:val="00CE7B84"/>
    <w:rsid w:val="00CF07C3"/>
    <w:rsid w:val="00CF0A29"/>
    <w:rsid w:val="00CF0AD5"/>
    <w:rsid w:val="00CF12C1"/>
    <w:rsid w:val="00CF1E94"/>
    <w:rsid w:val="00CF1FF5"/>
    <w:rsid w:val="00CF273B"/>
    <w:rsid w:val="00CF2824"/>
    <w:rsid w:val="00CF302B"/>
    <w:rsid w:val="00CF396A"/>
    <w:rsid w:val="00CF3EBB"/>
    <w:rsid w:val="00CF4138"/>
    <w:rsid w:val="00CF439C"/>
    <w:rsid w:val="00CF4B16"/>
    <w:rsid w:val="00CF50A1"/>
    <w:rsid w:val="00CF5539"/>
    <w:rsid w:val="00CF60FA"/>
    <w:rsid w:val="00CF634E"/>
    <w:rsid w:val="00CF63BF"/>
    <w:rsid w:val="00CF6754"/>
    <w:rsid w:val="00CF768E"/>
    <w:rsid w:val="00CF7C64"/>
    <w:rsid w:val="00D002FC"/>
    <w:rsid w:val="00D01460"/>
    <w:rsid w:val="00D01E81"/>
    <w:rsid w:val="00D01F78"/>
    <w:rsid w:val="00D01FAC"/>
    <w:rsid w:val="00D0228D"/>
    <w:rsid w:val="00D02344"/>
    <w:rsid w:val="00D02E9F"/>
    <w:rsid w:val="00D02F6F"/>
    <w:rsid w:val="00D03633"/>
    <w:rsid w:val="00D03C39"/>
    <w:rsid w:val="00D03D36"/>
    <w:rsid w:val="00D04137"/>
    <w:rsid w:val="00D04674"/>
    <w:rsid w:val="00D05066"/>
    <w:rsid w:val="00D052E5"/>
    <w:rsid w:val="00D065A9"/>
    <w:rsid w:val="00D06884"/>
    <w:rsid w:val="00D06AE0"/>
    <w:rsid w:val="00D06D0A"/>
    <w:rsid w:val="00D070D7"/>
    <w:rsid w:val="00D07439"/>
    <w:rsid w:val="00D0799B"/>
    <w:rsid w:val="00D07A1B"/>
    <w:rsid w:val="00D07D68"/>
    <w:rsid w:val="00D10038"/>
    <w:rsid w:val="00D10D00"/>
    <w:rsid w:val="00D10FF4"/>
    <w:rsid w:val="00D11223"/>
    <w:rsid w:val="00D11349"/>
    <w:rsid w:val="00D1134B"/>
    <w:rsid w:val="00D1169D"/>
    <w:rsid w:val="00D11888"/>
    <w:rsid w:val="00D1251F"/>
    <w:rsid w:val="00D12883"/>
    <w:rsid w:val="00D12AD2"/>
    <w:rsid w:val="00D12B87"/>
    <w:rsid w:val="00D12BB1"/>
    <w:rsid w:val="00D12D6C"/>
    <w:rsid w:val="00D12F97"/>
    <w:rsid w:val="00D13D17"/>
    <w:rsid w:val="00D13FAB"/>
    <w:rsid w:val="00D14582"/>
    <w:rsid w:val="00D14900"/>
    <w:rsid w:val="00D14B21"/>
    <w:rsid w:val="00D14EFD"/>
    <w:rsid w:val="00D1539E"/>
    <w:rsid w:val="00D15858"/>
    <w:rsid w:val="00D15ABB"/>
    <w:rsid w:val="00D15E54"/>
    <w:rsid w:val="00D16299"/>
    <w:rsid w:val="00D162B0"/>
    <w:rsid w:val="00D16A56"/>
    <w:rsid w:val="00D16C41"/>
    <w:rsid w:val="00D2095A"/>
    <w:rsid w:val="00D209B8"/>
    <w:rsid w:val="00D20BFA"/>
    <w:rsid w:val="00D20CB3"/>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AD2"/>
    <w:rsid w:val="00D25C75"/>
    <w:rsid w:val="00D25FCD"/>
    <w:rsid w:val="00D275B4"/>
    <w:rsid w:val="00D27F0D"/>
    <w:rsid w:val="00D27FBF"/>
    <w:rsid w:val="00D309F2"/>
    <w:rsid w:val="00D31472"/>
    <w:rsid w:val="00D31A13"/>
    <w:rsid w:val="00D31A84"/>
    <w:rsid w:val="00D31CD0"/>
    <w:rsid w:val="00D32BCF"/>
    <w:rsid w:val="00D32D94"/>
    <w:rsid w:val="00D32ED7"/>
    <w:rsid w:val="00D330A7"/>
    <w:rsid w:val="00D3350E"/>
    <w:rsid w:val="00D33583"/>
    <w:rsid w:val="00D33DA7"/>
    <w:rsid w:val="00D340AA"/>
    <w:rsid w:val="00D34786"/>
    <w:rsid w:val="00D34C1A"/>
    <w:rsid w:val="00D3522A"/>
    <w:rsid w:val="00D35609"/>
    <w:rsid w:val="00D35A0A"/>
    <w:rsid w:val="00D35A72"/>
    <w:rsid w:val="00D35CFB"/>
    <w:rsid w:val="00D36696"/>
    <w:rsid w:val="00D368D1"/>
    <w:rsid w:val="00D36A2C"/>
    <w:rsid w:val="00D374AF"/>
    <w:rsid w:val="00D37539"/>
    <w:rsid w:val="00D37557"/>
    <w:rsid w:val="00D4040F"/>
    <w:rsid w:val="00D4045A"/>
    <w:rsid w:val="00D40A1E"/>
    <w:rsid w:val="00D40C94"/>
    <w:rsid w:val="00D41308"/>
    <w:rsid w:val="00D4158A"/>
    <w:rsid w:val="00D42007"/>
    <w:rsid w:val="00D424C4"/>
    <w:rsid w:val="00D42A76"/>
    <w:rsid w:val="00D42BAB"/>
    <w:rsid w:val="00D43623"/>
    <w:rsid w:val="00D4390B"/>
    <w:rsid w:val="00D43C78"/>
    <w:rsid w:val="00D43D02"/>
    <w:rsid w:val="00D443A5"/>
    <w:rsid w:val="00D446CA"/>
    <w:rsid w:val="00D44A80"/>
    <w:rsid w:val="00D44B04"/>
    <w:rsid w:val="00D44BDF"/>
    <w:rsid w:val="00D45150"/>
    <w:rsid w:val="00D453D1"/>
    <w:rsid w:val="00D45500"/>
    <w:rsid w:val="00D4619B"/>
    <w:rsid w:val="00D4662C"/>
    <w:rsid w:val="00D46CDC"/>
    <w:rsid w:val="00D46FBE"/>
    <w:rsid w:val="00D47631"/>
    <w:rsid w:val="00D47E97"/>
    <w:rsid w:val="00D47F4D"/>
    <w:rsid w:val="00D5025B"/>
    <w:rsid w:val="00D50AFF"/>
    <w:rsid w:val="00D50CBE"/>
    <w:rsid w:val="00D512DC"/>
    <w:rsid w:val="00D51720"/>
    <w:rsid w:val="00D51C11"/>
    <w:rsid w:val="00D523C3"/>
    <w:rsid w:val="00D52434"/>
    <w:rsid w:val="00D52B5B"/>
    <w:rsid w:val="00D52C14"/>
    <w:rsid w:val="00D52D60"/>
    <w:rsid w:val="00D535B2"/>
    <w:rsid w:val="00D537DA"/>
    <w:rsid w:val="00D53960"/>
    <w:rsid w:val="00D539A6"/>
    <w:rsid w:val="00D53F3D"/>
    <w:rsid w:val="00D5423E"/>
    <w:rsid w:val="00D54537"/>
    <w:rsid w:val="00D54FD9"/>
    <w:rsid w:val="00D558C4"/>
    <w:rsid w:val="00D55D01"/>
    <w:rsid w:val="00D55E7A"/>
    <w:rsid w:val="00D55EC8"/>
    <w:rsid w:val="00D568A0"/>
    <w:rsid w:val="00D56E33"/>
    <w:rsid w:val="00D57019"/>
    <w:rsid w:val="00D57833"/>
    <w:rsid w:val="00D57F58"/>
    <w:rsid w:val="00D6022C"/>
    <w:rsid w:val="00D606AC"/>
    <w:rsid w:val="00D6092C"/>
    <w:rsid w:val="00D60BBD"/>
    <w:rsid w:val="00D60D42"/>
    <w:rsid w:val="00D61163"/>
    <w:rsid w:val="00D611FB"/>
    <w:rsid w:val="00D6144B"/>
    <w:rsid w:val="00D61948"/>
    <w:rsid w:val="00D620D2"/>
    <w:rsid w:val="00D62108"/>
    <w:rsid w:val="00D6211E"/>
    <w:rsid w:val="00D62894"/>
    <w:rsid w:val="00D62BD0"/>
    <w:rsid w:val="00D62F66"/>
    <w:rsid w:val="00D62FB8"/>
    <w:rsid w:val="00D63033"/>
    <w:rsid w:val="00D63233"/>
    <w:rsid w:val="00D646BF"/>
    <w:rsid w:val="00D64AAD"/>
    <w:rsid w:val="00D6527B"/>
    <w:rsid w:val="00D65E4F"/>
    <w:rsid w:val="00D6603B"/>
    <w:rsid w:val="00D66F60"/>
    <w:rsid w:val="00D66FE0"/>
    <w:rsid w:val="00D671D3"/>
    <w:rsid w:val="00D675C6"/>
    <w:rsid w:val="00D677D5"/>
    <w:rsid w:val="00D7032E"/>
    <w:rsid w:val="00D70778"/>
    <w:rsid w:val="00D70D74"/>
    <w:rsid w:val="00D70EFB"/>
    <w:rsid w:val="00D712D3"/>
    <w:rsid w:val="00D71364"/>
    <w:rsid w:val="00D71422"/>
    <w:rsid w:val="00D7145E"/>
    <w:rsid w:val="00D71513"/>
    <w:rsid w:val="00D719D2"/>
    <w:rsid w:val="00D72789"/>
    <w:rsid w:val="00D72985"/>
    <w:rsid w:val="00D72D41"/>
    <w:rsid w:val="00D73376"/>
    <w:rsid w:val="00D73D78"/>
    <w:rsid w:val="00D73E27"/>
    <w:rsid w:val="00D74A1F"/>
    <w:rsid w:val="00D74B5B"/>
    <w:rsid w:val="00D74C93"/>
    <w:rsid w:val="00D74E82"/>
    <w:rsid w:val="00D74F68"/>
    <w:rsid w:val="00D7514B"/>
    <w:rsid w:val="00D7558D"/>
    <w:rsid w:val="00D76232"/>
    <w:rsid w:val="00D7649A"/>
    <w:rsid w:val="00D76A3D"/>
    <w:rsid w:val="00D76DD4"/>
    <w:rsid w:val="00D773AA"/>
    <w:rsid w:val="00D7762E"/>
    <w:rsid w:val="00D77A99"/>
    <w:rsid w:val="00D77B2C"/>
    <w:rsid w:val="00D77BCE"/>
    <w:rsid w:val="00D80250"/>
    <w:rsid w:val="00D80440"/>
    <w:rsid w:val="00D808F8"/>
    <w:rsid w:val="00D80C85"/>
    <w:rsid w:val="00D811FF"/>
    <w:rsid w:val="00D81B1D"/>
    <w:rsid w:val="00D81C90"/>
    <w:rsid w:val="00D81D92"/>
    <w:rsid w:val="00D81F73"/>
    <w:rsid w:val="00D826A0"/>
    <w:rsid w:val="00D82760"/>
    <w:rsid w:val="00D82876"/>
    <w:rsid w:val="00D82C2B"/>
    <w:rsid w:val="00D82EA8"/>
    <w:rsid w:val="00D838BE"/>
    <w:rsid w:val="00D83DC7"/>
    <w:rsid w:val="00D83DD3"/>
    <w:rsid w:val="00D83DDB"/>
    <w:rsid w:val="00D83FFE"/>
    <w:rsid w:val="00D843F8"/>
    <w:rsid w:val="00D847C2"/>
    <w:rsid w:val="00D86110"/>
    <w:rsid w:val="00D86402"/>
    <w:rsid w:val="00D86569"/>
    <w:rsid w:val="00D865A2"/>
    <w:rsid w:val="00D87416"/>
    <w:rsid w:val="00D8763F"/>
    <w:rsid w:val="00D876B2"/>
    <w:rsid w:val="00D877E9"/>
    <w:rsid w:val="00D878CA"/>
    <w:rsid w:val="00D90321"/>
    <w:rsid w:val="00D9040B"/>
    <w:rsid w:val="00D9087A"/>
    <w:rsid w:val="00D91047"/>
    <w:rsid w:val="00D912A6"/>
    <w:rsid w:val="00D9141D"/>
    <w:rsid w:val="00D915AB"/>
    <w:rsid w:val="00D91B1E"/>
    <w:rsid w:val="00D91D59"/>
    <w:rsid w:val="00D92374"/>
    <w:rsid w:val="00D93107"/>
    <w:rsid w:val="00D93446"/>
    <w:rsid w:val="00D9382D"/>
    <w:rsid w:val="00D93C67"/>
    <w:rsid w:val="00D946AA"/>
    <w:rsid w:val="00D94D1C"/>
    <w:rsid w:val="00D94F44"/>
    <w:rsid w:val="00D9539C"/>
    <w:rsid w:val="00D95402"/>
    <w:rsid w:val="00D95885"/>
    <w:rsid w:val="00D95A18"/>
    <w:rsid w:val="00D96245"/>
    <w:rsid w:val="00D9657F"/>
    <w:rsid w:val="00D975F8"/>
    <w:rsid w:val="00D9789E"/>
    <w:rsid w:val="00D978E5"/>
    <w:rsid w:val="00DA0356"/>
    <w:rsid w:val="00DA062D"/>
    <w:rsid w:val="00DA1520"/>
    <w:rsid w:val="00DA1F9E"/>
    <w:rsid w:val="00DA21AB"/>
    <w:rsid w:val="00DA249D"/>
    <w:rsid w:val="00DA2A7C"/>
    <w:rsid w:val="00DA3005"/>
    <w:rsid w:val="00DA300A"/>
    <w:rsid w:val="00DA36AE"/>
    <w:rsid w:val="00DA3760"/>
    <w:rsid w:val="00DA3E52"/>
    <w:rsid w:val="00DA40CF"/>
    <w:rsid w:val="00DA4E4E"/>
    <w:rsid w:val="00DA5691"/>
    <w:rsid w:val="00DA59CD"/>
    <w:rsid w:val="00DA5DEA"/>
    <w:rsid w:val="00DA5ECF"/>
    <w:rsid w:val="00DA6812"/>
    <w:rsid w:val="00DA6AB3"/>
    <w:rsid w:val="00DA6EB4"/>
    <w:rsid w:val="00DA6EE9"/>
    <w:rsid w:val="00DA7151"/>
    <w:rsid w:val="00DA717D"/>
    <w:rsid w:val="00DA755B"/>
    <w:rsid w:val="00DA77AA"/>
    <w:rsid w:val="00DA7982"/>
    <w:rsid w:val="00DA79D0"/>
    <w:rsid w:val="00DA7B5F"/>
    <w:rsid w:val="00DB119E"/>
    <w:rsid w:val="00DB18A8"/>
    <w:rsid w:val="00DB1D14"/>
    <w:rsid w:val="00DB1ECD"/>
    <w:rsid w:val="00DB1EE5"/>
    <w:rsid w:val="00DB1F40"/>
    <w:rsid w:val="00DB3050"/>
    <w:rsid w:val="00DB30EC"/>
    <w:rsid w:val="00DB3374"/>
    <w:rsid w:val="00DB3ED4"/>
    <w:rsid w:val="00DB4649"/>
    <w:rsid w:val="00DB4A1E"/>
    <w:rsid w:val="00DB4D80"/>
    <w:rsid w:val="00DB53BF"/>
    <w:rsid w:val="00DB5A99"/>
    <w:rsid w:val="00DB5C3C"/>
    <w:rsid w:val="00DB6682"/>
    <w:rsid w:val="00DB68B1"/>
    <w:rsid w:val="00DB6C6C"/>
    <w:rsid w:val="00DC043A"/>
    <w:rsid w:val="00DC0772"/>
    <w:rsid w:val="00DC07A4"/>
    <w:rsid w:val="00DC09F8"/>
    <w:rsid w:val="00DC12A5"/>
    <w:rsid w:val="00DC168E"/>
    <w:rsid w:val="00DC174D"/>
    <w:rsid w:val="00DC190C"/>
    <w:rsid w:val="00DC2858"/>
    <w:rsid w:val="00DC28C0"/>
    <w:rsid w:val="00DC28DD"/>
    <w:rsid w:val="00DC2FF2"/>
    <w:rsid w:val="00DC3121"/>
    <w:rsid w:val="00DC3D7B"/>
    <w:rsid w:val="00DC4238"/>
    <w:rsid w:val="00DC42BF"/>
    <w:rsid w:val="00DC4839"/>
    <w:rsid w:val="00DC5CB2"/>
    <w:rsid w:val="00DC5FD6"/>
    <w:rsid w:val="00DC6453"/>
    <w:rsid w:val="00DC6D2C"/>
    <w:rsid w:val="00DC7277"/>
    <w:rsid w:val="00DC7597"/>
    <w:rsid w:val="00DC7693"/>
    <w:rsid w:val="00DC7C8C"/>
    <w:rsid w:val="00DD0274"/>
    <w:rsid w:val="00DD039C"/>
    <w:rsid w:val="00DD045E"/>
    <w:rsid w:val="00DD06E1"/>
    <w:rsid w:val="00DD07C8"/>
    <w:rsid w:val="00DD105F"/>
    <w:rsid w:val="00DD1E65"/>
    <w:rsid w:val="00DD2032"/>
    <w:rsid w:val="00DD2261"/>
    <w:rsid w:val="00DD2635"/>
    <w:rsid w:val="00DD2BE4"/>
    <w:rsid w:val="00DD2C4D"/>
    <w:rsid w:val="00DD2C54"/>
    <w:rsid w:val="00DD2E07"/>
    <w:rsid w:val="00DD3757"/>
    <w:rsid w:val="00DD3B15"/>
    <w:rsid w:val="00DD3C9D"/>
    <w:rsid w:val="00DD3FE1"/>
    <w:rsid w:val="00DD42CE"/>
    <w:rsid w:val="00DD4449"/>
    <w:rsid w:val="00DD4B5B"/>
    <w:rsid w:val="00DD5501"/>
    <w:rsid w:val="00DD5D13"/>
    <w:rsid w:val="00DD68FE"/>
    <w:rsid w:val="00DD6D8F"/>
    <w:rsid w:val="00DD6DEF"/>
    <w:rsid w:val="00DD6E25"/>
    <w:rsid w:val="00DD6F04"/>
    <w:rsid w:val="00DD6F05"/>
    <w:rsid w:val="00DD759E"/>
    <w:rsid w:val="00DD7F29"/>
    <w:rsid w:val="00DE01CB"/>
    <w:rsid w:val="00DE0266"/>
    <w:rsid w:val="00DE0893"/>
    <w:rsid w:val="00DE0F71"/>
    <w:rsid w:val="00DE0FBF"/>
    <w:rsid w:val="00DE1546"/>
    <w:rsid w:val="00DE1634"/>
    <w:rsid w:val="00DE16C3"/>
    <w:rsid w:val="00DE181C"/>
    <w:rsid w:val="00DE1BF7"/>
    <w:rsid w:val="00DE26A2"/>
    <w:rsid w:val="00DE2792"/>
    <w:rsid w:val="00DE279E"/>
    <w:rsid w:val="00DE2F94"/>
    <w:rsid w:val="00DE3B4F"/>
    <w:rsid w:val="00DE3E14"/>
    <w:rsid w:val="00DE400E"/>
    <w:rsid w:val="00DE42D5"/>
    <w:rsid w:val="00DE47ED"/>
    <w:rsid w:val="00DE6249"/>
    <w:rsid w:val="00DE62F2"/>
    <w:rsid w:val="00DE6D48"/>
    <w:rsid w:val="00DE6FB4"/>
    <w:rsid w:val="00DE735D"/>
    <w:rsid w:val="00DE7417"/>
    <w:rsid w:val="00DE783D"/>
    <w:rsid w:val="00DE792B"/>
    <w:rsid w:val="00DE7D2E"/>
    <w:rsid w:val="00DF0D09"/>
    <w:rsid w:val="00DF1CDD"/>
    <w:rsid w:val="00DF1DF9"/>
    <w:rsid w:val="00DF2C64"/>
    <w:rsid w:val="00DF2FDC"/>
    <w:rsid w:val="00DF3130"/>
    <w:rsid w:val="00DF385A"/>
    <w:rsid w:val="00DF3A3C"/>
    <w:rsid w:val="00DF42A0"/>
    <w:rsid w:val="00DF472F"/>
    <w:rsid w:val="00DF4BDE"/>
    <w:rsid w:val="00DF5077"/>
    <w:rsid w:val="00DF56EC"/>
    <w:rsid w:val="00DF6BF4"/>
    <w:rsid w:val="00DF7793"/>
    <w:rsid w:val="00E0059C"/>
    <w:rsid w:val="00E00B78"/>
    <w:rsid w:val="00E01798"/>
    <w:rsid w:val="00E018BA"/>
    <w:rsid w:val="00E01B40"/>
    <w:rsid w:val="00E02360"/>
    <w:rsid w:val="00E023DF"/>
    <w:rsid w:val="00E02F01"/>
    <w:rsid w:val="00E03B88"/>
    <w:rsid w:val="00E04CC5"/>
    <w:rsid w:val="00E05209"/>
    <w:rsid w:val="00E052B0"/>
    <w:rsid w:val="00E05E02"/>
    <w:rsid w:val="00E06730"/>
    <w:rsid w:val="00E067A6"/>
    <w:rsid w:val="00E068E0"/>
    <w:rsid w:val="00E06B15"/>
    <w:rsid w:val="00E06B5A"/>
    <w:rsid w:val="00E06B73"/>
    <w:rsid w:val="00E06BAE"/>
    <w:rsid w:val="00E06D84"/>
    <w:rsid w:val="00E06DDE"/>
    <w:rsid w:val="00E0702F"/>
    <w:rsid w:val="00E070DA"/>
    <w:rsid w:val="00E07187"/>
    <w:rsid w:val="00E0734B"/>
    <w:rsid w:val="00E0740A"/>
    <w:rsid w:val="00E07618"/>
    <w:rsid w:val="00E078E6"/>
    <w:rsid w:val="00E079D8"/>
    <w:rsid w:val="00E104F0"/>
    <w:rsid w:val="00E11109"/>
    <w:rsid w:val="00E112F2"/>
    <w:rsid w:val="00E11392"/>
    <w:rsid w:val="00E114A7"/>
    <w:rsid w:val="00E121DA"/>
    <w:rsid w:val="00E137B4"/>
    <w:rsid w:val="00E13D70"/>
    <w:rsid w:val="00E13EF2"/>
    <w:rsid w:val="00E1451D"/>
    <w:rsid w:val="00E14729"/>
    <w:rsid w:val="00E15130"/>
    <w:rsid w:val="00E15217"/>
    <w:rsid w:val="00E1542D"/>
    <w:rsid w:val="00E1578C"/>
    <w:rsid w:val="00E15A76"/>
    <w:rsid w:val="00E15F82"/>
    <w:rsid w:val="00E15FBA"/>
    <w:rsid w:val="00E16F9D"/>
    <w:rsid w:val="00E17683"/>
    <w:rsid w:val="00E201BD"/>
    <w:rsid w:val="00E205D8"/>
    <w:rsid w:val="00E2062A"/>
    <w:rsid w:val="00E2121C"/>
    <w:rsid w:val="00E215EF"/>
    <w:rsid w:val="00E22278"/>
    <w:rsid w:val="00E2284A"/>
    <w:rsid w:val="00E230FD"/>
    <w:rsid w:val="00E236F1"/>
    <w:rsid w:val="00E237E5"/>
    <w:rsid w:val="00E2398E"/>
    <w:rsid w:val="00E23A98"/>
    <w:rsid w:val="00E23ED5"/>
    <w:rsid w:val="00E23F6B"/>
    <w:rsid w:val="00E2586D"/>
    <w:rsid w:val="00E25A41"/>
    <w:rsid w:val="00E25BE4"/>
    <w:rsid w:val="00E25C99"/>
    <w:rsid w:val="00E263DE"/>
    <w:rsid w:val="00E26593"/>
    <w:rsid w:val="00E2673A"/>
    <w:rsid w:val="00E26AC8"/>
    <w:rsid w:val="00E26F97"/>
    <w:rsid w:val="00E26FCD"/>
    <w:rsid w:val="00E272A4"/>
    <w:rsid w:val="00E27AA4"/>
    <w:rsid w:val="00E27D90"/>
    <w:rsid w:val="00E27E4F"/>
    <w:rsid w:val="00E30281"/>
    <w:rsid w:val="00E30994"/>
    <w:rsid w:val="00E314FA"/>
    <w:rsid w:val="00E31AAE"/>
    <w:rsid w:val="00E32FE3"/>
    <w:rsid w:val="00E3317B"/>
    <w:rsid w:val="00E33729"/>
    <w:rsid w:val="00E337D9"/>
    <w:rsid w:val="00E3386F"/>
    <w:rsid w:val="00E33E64"/>
    <w:rsid w:val="00E34D8D"/>
    <w:rsid w:val="00E3533B"/>
    <w:rsid w:val="00E35C39"/>
    <w:rsid w:val="00E3622A"/>
    <w:rsid w:val="00E364C4"/>
    <w:rsid w:val="00E366F8"/>
    <w:rsid w:val="00E36D7D"/>
    <w:rsid w:val="00E37292"/>
    <w:rsid w:val="00E3757F"/>
    <w:rsid w:val="00E377C8"/>
    <w:rsid w:val="00E37980"/>
    <w:rsid w:val="00E40A5A"/>
    <w:rsid w:val="00E40AEA"/>
    <w:rsid w:val="00E40AF5"/>
    <w:rsid w:val="00E41133"/>
    <w:rsid w:val="00E412F2"/>
    <w:rsid w:val="00E41E9F"/>
    <w:rsid w:val="00E42994"/>
    <w:rsid w:val="00E42C74"/>
    <w:rsid w:val="00E43157"/>
    <w:rsid w:val="00E431AD"/>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0321"/>
    <w:rsid w:val="00E5058E"/>
    <w:rsid w:val="00E51067"/>
    <w:rsid w:val="00E512FB"/>
    <w:rsid w:val="00E51D54"/>
    <w:rsid w:val="00E52202"/>
    <w:rsid w:val="00E52427"/>
    <w:rsid w:val="00E524D4"/>
    <w:rsid w:val="00E533FF"/>
    <w:rsid w:val="00E53BD8"/>
    <w:rsid w:val="00E53DC6"/>
    <w:rsid w:val="00E53E5E"/>
    <w:rsid w:val="00E54100"/>
    <w:rsid w:val="00E54BF5"/>
    <w:rsid w:val="00E54CE4"/>
    <w:rsid w:val="00E54EF8"/>
    <w:rsid w:val="00E55CA0"/>
    <w:rsid w:val="00E56125"/>
    <w:rsid w:val="00E56477"/>
    <w:rsid w:val="00E56A96"/>
    <w:rsid w:val="00E56D15"/>
    <w:rsid w:val="00E56EB8"/>
    <w:rsid w:val="00E57833"/>
    <w:rsid w:val="00E57AC6"/>
    <w:rsid w:val="00E57B6B"/>
    <w:rsid w:val="00E57ECF"/>
    <w:rsid w:val="00E608CA"/>
    <w:rsid w:val="00E60E0B"/>
    <w:rsid w:val="00E61067"/>
    <w:rsid w:val="00E61DC3"/>
    <w:rsid w:val="00E61FC3"/>
    <w:rsid w:val="00E62965"/>
    <w:rsid w:val="00E62BF1"/>
    <w:rsid w:val="00E6356C"/>
    <w:rsid w:val="00E6364D"/>
    <w:rsid w:val="00E63B98"/>
    <w:rsid w:val="00E644C1"/>
    <w:rsid w:val="00E64645"/>
    <w:rsid w:val="00E64863"/>
    <w:rsid w:val="00E648F3"/>
    <w:rsid w:val="00E64AF6"/>
    <w:rsid w:val="00E64E15"/>
    <w:rsid w:val="00E64E6F"/>
    <w:rsid w:val="00E64FF5"/>
    <w:rsid w:val="00E654A2"/>
    <w:rsid w:val="00E6557E"/>
    <w:rsid w:val="00E657DE"/>
    <w:rsid w:val="00E659D2"/>
    <w:rsid w:val="00E65CB4"/>
    <w:rsid w:val="00E661FD"/>
    <w:rsid w:val="00E6703B"/>
    <w:rsid w:val="00E672B9"/>
    <w:rsid w:val="00E6788B"/>
    <w:rsid w:val="00E67CBA"/>
    <w:rsid w:val="00E67E23"/>
    <w:rsid w:val="00E7097A"/>
    <w:rsid w:val="00E709B3"/>
    <w:rsid w:val="00E70B54"/>
    <w:rsid w:val="00E711AB"/>
    <w:rsid w:val="00E7126F"/>
    <w:rsid w:val="00E71410"/>
    <w:rsid w:val="00E7193A"/>
    <w:rsid w:val="00E71E57"/>
    <w:rsid w:val="00E71E89"/>
    <w:rsid w:val="00E71FD7"/>
    <w:rsid w:val="00E72FFF"/>
    <w:rsid w:val="00E73510"/>
    <w:rsid w:val="00E74123"/>
    <w:rsid w:val="00E74177"/>
    <w:rsid w:val="00E74D7C"/>
    <w:rsid w:val="00E75229"/>
    <w:rsid w:val="00E753FA"/>
    <w:rsid w:val="00E75440"/>
    <w:rsid w:val="00E75F13"/>
    <w:rsid w:val="00E7676B"/>
    <w:rsid w:val="00E767BD"/>
    <w:rsid w:val="00E76C84"/>
    <w:rsid w:val="00E76CBC"/>
    <w:rsid w:val="00E7719E"/>
    <w:rsid w:val="00E7739E"/>
    <w:rsid w:val="00E774E4"/>
    <w:rsid w:val="00E807AA"/>
    <w:rsid w:val="00E80E83"/>
    <w:rsid w:val="00E81771"/>
    <w:rsid w:val="00E81A3E"/>
    <w:rsid w:val="00E8296C"/>
    <w:rsid w:val="00E82CCD"/>
    <w:rsid w:val="00E82F32"/>
    <w:rsid w:val="00E830CC"/>
    <w:rsid w:val="00E833E9"/>
    <w:rsid w:val="00E833FA"/>
    <w:rsid w:val="00E83848"/>
    <w:rsid w:val="00E84594"/>
    <w:rsid w:val="00E8483F"/>
    <w:rsid w:val="00E85038"/>
    <w:rsid w:val="00E855B5"/>
    <w:rsid w:val="00E85A45"/>
    <w:rsid w:val="00E8617F"/>
    <w:rsid w:val="00E86541"/>
    <w:rsid w:val="00E86761"/>
    <w:rsid w:val="00E86ABD"/>
    <w:rsid w:val="00E86DAF"/>
    <w:rsid w:val="00E86E84"/>
    <w:rsid w:val="00E86EAF"/>
    <w:rsid w:val="00E87515"/>
    <w:rsid w:val="00E8789F"/>
    <w:rsid w:val="00E87FF0"/>
    <w:rsid w:val="00E90530"/>
    <w:rsid w:val="00E9068B"/>
    <w:rsid w:val="00E908CF"/>
    <w:rsid w:val="00E910FB"/>
    <w:rsid w:val="00E914A2"/>
    <w:rsid w:val="00E91BE2"/>
    <w:rsid w:val="00E920D0"/>
    <w:rsid w:val="00E92215"/>
    <w:rsid w:val="00E928BC"/>
    <w:rsid w:val="00E928F3"/>
    <w:rsid w:val="00E92993"/>
    <w:rsid w:val="00E92DC5"/>
    <w:rsid w:val="00E92E80"/>
    <w:rsid w:val="00E9316D"/>
    <w:rsid w:val="00E93552"/>
    <w:rsid w:val="00E93BDB"/>
    <w:rsid w:val="00E94203"/>
    <w:rsid w:val="00E94D19"/>
    <w:rsid w:val="00E94E3D"/>
    <w:rsid w:val="00E94F1A"/>
    <w:rsid w:val="00E961D0"/>
    <w:rsid w:val="00E96942"/>
    <w:rsid w:val="00E96B6C"/>
    <w:rsid w:val="00E978C5"/>
    <w:rsid w:val="00E97B71"/>
    <w:rsid w:val="00E97E21"/>
    <w:rsid w:val="00EA01E7"/>
    <w:rsid w:val="00EA077D"/>
    <w:rsid w:val="00EA0836"/>
    <w:rsid w:val="00EA0FBB"/>
    <w:rsid w:val="00EA10C4"/>
    <w:rsid w:val="00EA1283"/>
    <w:rsid w:val="00EA1D9B"/>
    <w:rsid w:val="00EA2292"/>
    <w:rsid w:val="00EA26BA"/>
    <w:rsid w:val="00EA27CF"/>
    <w:rsid w:val="00EA48EC"/>
    <w:rsid w:val="00EA4EB1"/>
    <w:rsid w:val="00EA4F82"/>
    <w:rsid w:val="00EA56D4"/>
    <w:rsid w:val="00EA5A04"/>
    <w:rsid w:val="00EA5F0F"/>
    <w:rsid w:val="00EA5FE2"/>
    <w:rsid w:val="00EA603E"/>
    <w:rsid w:val="00EA6190"/>
    <w:rsid w:val="00EA6A6E"/>
    <w:rsid w:val="00EA6D56"/>
    <w:rsid w:val="00EA70E0"/>
    <w:rsid w:val="00EA7131"/>
    <w:rsid w:val="00EA7448"/>
    <w:rsid w:val="00EA78CC"/>
    <w:rsid w:val="00EA7F95"/>
    <w:rsid w:val="00EB01C6"/>
    <w:rsid w:val="00EB01F4"/>
    <w:rsid w:val="00EB0252"/>
    <w:rsid w:val="00EB08D1"/>
    <w:rsid w:val="00EB0AA8"/>
    <w:rsid w:val="00EB0C86"/>
    <w:rsid w:val="00EB112B"/>
    <w:rsid w:val="00EB148A"/>
    <w:rsid w:val="00EB15FF"/>
    <w:rsid w:val="00EB18F6"/>
    <w:rsid w:val="00EB1CAE"/>
    <w:rsid w:val="00EB1D1A"/>
    <w:rsid w:val="00EB1D83"/>
    <w:rsid w:val="00EB21A5"/>
    <w:rsid w:val="00EB238D"/>
    <w:rsid w:val="00EB24D7"/>
    <w:rsid w:val="00EB2730"/>
    <w:rsid w:val="00EB2ED9"/>
    <w:rsid w:val="00EB315A"/>
    <w:rsid w:val="00EB394F"/>
    <w:rsid w:val="00EB3A32"/>
    <w:rsid w:val="00EB4080"/>
    <w:rsid w:val="00EB4249"/>
    <w:rsid w:val="00EB454D"/>
    <w:rsid w:val="00EB454F"/>
    <w:rsid w:val="00EB4941"/>
    <w:rsid w:val="00EB4B7E"/>
    <w:rsid w:val="00EB4F5F"/>
    <w:rsid w:val="00EB51DC"/>
    <w:rsid w:val="00EB51EA"/>
    <w:rsid w:val="00EB55C1"/>
    <w:rsid w:val="00EB5CF8"/>
    <w:rsid w:val="00EB6170"/>
    <w:rsid w:val="00EB62D9"/>
    <w:rsid w:val="00EB6450"/>
    <w:rsid w:val="00EB696C"/>
    <w:rsid w:val="00EB6AF6"/>
    <w:rsid w:val="00EB6B06"/>
    <w:rsid w:val="00EB6D9C"/>
    <w:rsid w:val="00EB7A72"/>
    <w:rsid w:val="00EB7F0A"/>
    <w:rsid w:val="00EC03B0"/>
    <w:rsid w:val="00EC0BA4"/>
    <w:rsid w:val="00EC0F80"/>
    <w:rsid w:val="00EC112E"/>
    <w:rsid w:val="00EC1674"/>
    <w:rsid w:val="00EC192C"/>
    <w:rsid w:val="00EC20C2"/>
    <w:rsid w:val="00EC2AAD"/>
    <w:rsid w:val="00EC311A"/>
    <w:rsid w:val="00EC31F9"/>
    <w:rsid w:val="00EC36F6"/>
    <w:rsid w:val="00EC3E9B"/>
    <w:rsid w:val="00EC3F95"/>
    <w:rsid w:val="00EC437D"/>
    <w:rsid w:val="00EC440C"/>
    <w:rsid w:val="00EC45C1"/>
    <w:rsid w:val="00EC5004"/>
    <w:rsid w:val="00EC5123"/>
    <w:rsid w:val="00EC514D"/>
    <w:rsid w:val="00EC5570"/>
    <w:rsid w:val="00EC55EA"/>
    <w:rsid w:val="00EC59D9"/>
    <w:rsid w:val="00EC68B2"/>
    <w:rsid w:val="00EC6931"/>
    <w:rsid w:val="00EC6F2B"/>
    <w:rsid w:val="00EC714E"/>
    <w:rsid w:val="00EC74EB"/>
    <w:rsid w:val="00EC7532"/>
    <w:rsid w:val="00EC7C31"/>
    <w:rsid w:val="00EC7F2E"/>
    <w:rsid w:val="00ED0268"/>
    <w:rsid w:val="00ED03BE"/>
    <w:rsid w:val="00ED04F8"/>
    <w:rsid w:val="00ED063C"/>
    <w:rsid w:val="00ED0E31"/>
    <w:rsid w:val="00ED0F40"/>
    <w:rsid w:val="00ED1405"/>
    <w:rsid w:val="00ED144B"/>
    <w:rsid w:val="00ED147C"/>
    <w:rsid w:val="00ED161D"/>
    <w:rsid w:val="00ED18FD"/>
    <w:rsid w:val="00ED19E9"/>
    <w:rsid w:val="00ED2795"/>
    <w:rsid w:val="00ED2D1D"/>
    <w:rsid w:val="00ED3A8E"/>
    <w:rsid w:val="00ED3AB2"/>
    <w:rsid w:val="00ED488D"/>
    <w:rsid w:val="00ED52B0"/>
    <w:rsid w:val="00ED56AB"/>
    <w:rsid w:val="00ED5A58"/>
    <w:rsid w:val="00ED5BE1"/>
    <w:rsid w:val="00ED639B"/>
    <w:rsid w:val="00ED6C48"/>
    <w:rsid w:val="00ED7284"/>
    <w:rsid w:val="00ED7B98"/>
    <w:rsid w:val="00ED7CC1"/>
    <w:rsid w:val="00EE04C1"/>
    <w:rsid w:val="00EE0ACC"/>
    <w:rsid w:val="00EE0BA9"/>
    <w:rsid w:val="00EE0D3E"/>
    <w:rsid w:val="00EE0F6B"/>
    <w:rsid w:val="00EE140F"/>
    <w:rsid w:val="00EE1686"/>
    <w:rsid w:val="00EE2217"/>
    <w:rsid w:val="00EE22E3"/>
    <w:rsid w:val="00EE2931"/>
    <w:rsid w:val="00EE2BD2"/>
    <w:rsid w:val="00EE3522"/>
    <w:rsid w:val="00EE36D7"/>
    <w:rsid w:val="00EE39AD"/>
    <w:rsid w:val="00EE3D84"/>
    <w:rsid w:val="00EE478B"/>
    <w:rsid w:val="00EE491F"/>
    <w:rsid w:val="00EE4E4B"/>
    <w:rsid w:val="00EE504E"/>
    <w:rsid w:val="00EE5C5E"/>
    <w:rsid w:val="00EE5D7E"/>
    <w:rsid w:val="00EE5E58"/>
    <w:rsid w:val="00EE61AB"/>
    <w:rsid w:val="00EE6B6A"/>
    <w:rsid w:val="00EE7718"/>
    <w:rsid w:val="00EE7B58"/>
    <w:rsid w:val="00EF02AF"/>
    <w:rsid w:val="00EF0437"/>
    <w:rsid w:val="00EF04A0"/>
    <w:rsid w:val="00EF051D"/>
    <w:rsid w:val="00EF089B"/>
    <w:rsid w:val="00EF0CEF"/>
    <w:rsid w:val="00EF13B0"/>
    <w:rsid w:val="00EF1624"/>
    <w:rsid w:val="00EF1792"/>
    <w:rsid w:val="00EF1B3F"/>
    <w:rsid w:val="00EF2493"/>
    <w:rsid w:val="00EF2BCD"/>
    <w:rsid w:val="00EF2FDF"/>
    <w:rsid w:val="00EF36AC"/>
    <w:rsid w:val="00EF3828"/>
    <w:rsid w:val="00EF3FC7"/>
    <w:rsid w:val="00EF4804"/>
    <w:rsid w:val="00EF49F0"/>
    <w:rsid w:val="00EF4C4E"/>
    <w:rsid w:val="00EF4EC3"/>
    <w:rsid w:val="00EF56CE"/>
    <w:rsid w:val="00EF5839"/>
    <w:rsid w:val="00EF5AA9"/>
    <w:rsid w:val="00EF619B"/>
    <w:rsid w:val="00EF620A"/>
    <w:rsid w:val="00EF660B"/>
    <w:rsid w:val="00EF6972"/>
    <w:rsid w:val="00EF7231"/>
    <w:rsid w:val="00EF75CC"/>
    <w:rsid w:val="00EF78C3"/>
    <w:rsid w:val="00EF7D53"/>
    <w:rsid w:val="00EF7EE9"/>
    <w:rsid w:val="00F001CA"/>
    <w:rsid w:val="00F005EE"/>
    <w:rsid w:val="00F00B55"/>
    <w:rsid w:val="00F00BCE"/>
    <w:rsid w:val="00F01054"/>
    <w:rsid w:val="00F01674"/>
    <w:rsid w:val="00F0211D"/>
    <w:rsid w:val="00F0235E"/>
    <w:rsid w:val="00F02586"/>
    <w:rsid w:val="00F0478D"/>
    <w:rsid w:val="00F04AFE"/>
    <w:rsid w:val="00F059CF"/>
    <w:rsid w:val="00F05C44"/>
    <w:rsid w:val="00F064F2"/>
    <w:rsid w:val="00F06508"/>
    <w:rsid w:val="00F06961"/>
    <w:rsid w:val="00F06CD0"/>
    <w:rsid w:val="00F1005F"/>
    <w:rsid w:val="00F10AC6"/>
    <w:rsid w:val="00F10CE6"/>
    <w:rsid w:val="00F10ECC"/>
    <w:rsid w:val="00F11242"/>
    <w:rsid w:val="00F1129E"/>
    <w:rsid w:val="00F1188B"/>
    <w:rsid w:val="00F11EF1"/>
    <w:rsid w:val="00F12831"/>
    <w:rsid w:val="00F1380F"/>
    <w:rsid w:val="00F1432A"/>
    <w:rsid w:val="00F14F0E"/>
    <w:rsid w:val="00F14F98"/>
    <w:rsid w:val="00F15799"/>
    <w:rsid w:val="00F15B6A"/>
    <w:rsid w:val="00F167C4"/>
    <w:rsid w:val="00F16807"/>
    <w:rsid w:val="00F16AD4"/>
    <w:rsid w:val="00F16F8E"/>
    <w:rsid w:val="00F175ED"/>
    <w:rsid w:val="00F1763D"/>
    <w:rsid w:val="00F17799"/>
    <w:rsid w:val="00F17A3C"/>
    <w:rsid w:val="00F17D5E"/>
    <w:rsid w:val="00F20236"/>
    <w:rsid w:val="00F2059E"/>
    <w:rsid w:val="00F207F1"/>
    <w:rsid w:val="00F20D2B"/>
    <w:rsid w:val="00F21169"/>
    <w:rsid w:val="00F21553"/>
    <w:rsid w:val="00F21703"/>
    <w:rsid w:val="00F227E6"/>
    <w:rsid w:val="00F2310C"/>
    <w:rsid w:val="00F2328B"/>
    <w:rsid w:val="00F24C29"/>
    <w:rsid w:val="00F253CC"/>
    <w:rsid w:val="00F25C31"/>
    <w:rsid w:val="00F267BE"/>
    <w:rsid w:val="00F267E4"/>
    <w:rsid w:val="00F26B0B"/>
    <w:rsid w:val="00F27458"/>
    <w:rsid w:val="00F2748C"/>
    <w:rsid w:val="00F277DB"/>
    <w:rsid w:val="00F27847"/>
    <w:rsid w:val="00F27ACD"/>
    <w:rsid w:val="00F27CD8"/>
    <w:rsid w:val="00F27CFD"/>
    <w:rsid w:val="00F27F00"/>
    <w:rsid w:val="00F3080B"/>
    <w:rsid w:val="00F30BAD"/>
    <w:rsid w:val="00F311E2"/>
    <w:rsid w:val="00F31814"/>
    <w:rsid w:val="00F32262"/>
    <w:rsid w:val="00F3282B"/>
    <w:rsid w:val="00F32A2B"/>
    <w:rsid w:val="00F33468"/>
    <w:rsid w:val="00F3379A"/>
    <w:rsid w:val="00F33957"/>
    <w:rsid w:val="00F34265"/>
    <w:rsid w:val="00F345AF"/>
    <w:rsid w:val="00F352AF"/>
    <w:rsid w:val="00F35C2A"/>
    <w:rsid w:val="00F35E2A"/>
    <w:rsid w:val="00F362A9"/>
    <w:rsid w:val="00F36552"/>
    <w:rsid w:val="00F36C33"/>
    <w:rsid w:val="00F36D40"/>
    <w:rsid w:val="00F36F27"/>
    <w:rsid w:val="00F37481"/>
    <w:rsid w:val="00F377BE"/>
    <w:rsid w:val="00F37F99"/>
    <w:rsid w:val="00F40B92"/>
    <w:rsid w:val="00F40F3F"/>
    <w:rsid w:val="00F411A2"/>
    <w:rsid w:val="00F4139C"/>
    <w:rsid w:val="00F41A44"/>
    <w:rsid w:val="00F41D05"/>
    <w:rsid w:val="00F41F32"/>
    <w:rsid w:val="00F420D4"/>
    <w:rsid w:val="00F427D9"/>
    <w:rsid w:val="00F427E6"/>
    <w:rsid w:val="00F42CE4"/>
    <w:rsid w:val="00F42E1F"/>
    <w:rsid w:val="00F4316F"/>
    <w:rsid w:val="00F431C9"/>
    <w:rsid w:val="00F434F9"/>
    <w:rsid w:val="00F438CD"/>
    <w:rsid w:val="00F43C36"/>
    <w:rsid w:val="00F43CC1"/>
    <w:rsid w:val="00F441B9"/>
    <w:rsid w:val="00F442D8"/>
    <w:rsid w:val="00F4491C"/>
    <w:rsid w:val="00F44F31"/>
    <w:rsid w:val="00F4510A"/>
    <w:rsid w:val="00F45722"/>
    <w:rsid w:val="00F45EBF"/>
    <w:rsid w:val="00F46107"/>
    <w:rsid w:val="00F46377"/>
    <w:rsid w:val="00F46498"/>
    <w:rsid w:val="00F4796B"/>
    <w:rsid w:val="00F47B99"/>
    <w:rsid w:val="00F503B5"/>
    <w:rsid w:val="00F50844"/>
    <w:rsid w:val="00F50CB2"/>
    <w:rsid w:val="00F50CCD"/>
    <w:rsid w:val="00F516D3"/>
    <w:rsid w:val="00F517C2"/>
    <w:rsid w:val="00F51F0D"/>
    <w:rsid w:val="00F51F28"/>
    <w:rsid w:val="00F52787"/>
    <w:rsid w:val="00F5398C"/>
    <w:rsid w:val="00F545AC"/>
    <w:rsid w:val="00F547B5"/>
    <w:rsid w:val="00F54873"/>
    <w:rsid w:val="00F548A6"/>
    <w:rsid w:val="00F5497B"/>
    <w:rsid w:val="00F54F56"/>
    <w:rsid w:val="00F55507"/>
    <w:rsid w:val="00F55AB7"/>
    <w:rsid w:val="00F55F3B"/>
    <w:rsid w:val="00F55FC4"/>
    <w:rsid w:val="00F566B5"/>
    <w:rsid w:val="00F566C6"/>
    <w:rsid w:val="00F5694D"/>
    <w:rsid w:val="00F56A40"/>
    <w:rsid w:val="00F56BA5"/>
    <w:rsid w:val="00F56BE1"/>
    <w:rsid w:val="00F56D59"/>
    <w:rsid w:val="00F56EC5"/>
    <w:rsid w:val="00F56F31"/>
    <w:rsid w:val="00F57538"/>
    <w:rsid w:val="00F57731"/>
    <w:rsid w:val="00F57831"/>
    <w:rsid w:val="00F57B95"/>
    <w:rsid w:val="00F6022A"/>
    <w:rsid w:val="00F60715"/>
    <w:rsid w:val="00F60E01"/>
    <w:rsid w:val="00F6108F"/>
    <w:rsid w:val="00F61379"/>
    <w:rsid w:val="00F613B7"/>
    <w:rsid w:val="00F6140C"/>
    <w:rsid w:val="00F614BA"/>
    <w:rsid w:val="00F6160F"/>
    <w:rsid w:val="00F61B4C"/>
    <w:rsid w:val="00F61BE4"/>
    <w:rsid w:val="00F62179"/>
    <w:rsid w:val="00F6255A"/>
    <w:rsid w:val="00F629C7"/>
    <w:rsid w:val="00F62A8B"/>
    <w:rsid w:val="00F62C42"/>
    <w:rsid w:val="00F62F70"/>
    <w:rsid w:val="00F631F8"/>
    <w:rsid w:val="00F6351B"/>
    <w:rsid w:val="00F637BF"/>
    <w:rsid w:val="00F63F20"/>
    <w:rsid w:val="00F644E6"/>
    <w:rsid w:val="00F652F0"/>
    <w:rsid w:val="00F6589A"/>
    <w:rsid w:val="00F65C83"/>
    <w:rsid w:val="00F65D0B"/>
    <w:rsid w:val="00F660AA"/>
    <w:rsid w:val="00F66335"/>
    <w:rsid w:val="00F6657C"/>
    <w:rsid w:val="00F666B5"/>
    <w:rsid w:val="00F66BDC"/>
    <w:rsid w:val="00F66C7A"/>
    <w:rsid w:val="00F66F0D"/>
    <w:rsid w:val="00F67B79"/>
    <w:rsid w:val="00F70342"/>
    <w:rsid w:val="00F703D1"/>
    <w:rsid w:val="00F7144F"/>
    <w:rsid w:val="00F71643"/>
    <w:rsid w:val="00F71910"/>
    <w:rsid w:val="00F71982"/>
    <w:rsid w:val="00F71F53"/>
    <w:rsid w:val="00F7220F"/>
    <w:rsid w:val="00F724F3"/>
    <w:rsid w:val="00F725D1"/>
    <w:rsid w:val="00F72B58"/>
    <w:rsid w:val="00F7374C"/>
    <w:rsid w:val="00F737D9"/>
    <w:rsid w:val="00F7392C"/>
    <w:rsid w:val="00F746CA"/>
    <w:rsid w:val="00F74834"/>
    <w:rsid w:val="00F74B0B"/>
    <w:rsid w:val="00F74F0B"/>
    <w:rsid w:val="00F7662F"/>
    <w:rsid w:val="00F769C7"/>
    <w:rsid w:val="00F7730A"/>
    <w:rsid w:val="00F7734B"/>
    <w:rsid w:val="00F774C1"/>
    <w:rsid w:val="00F7784C"/>
    <w:rsid w:val="00F77995"/>
    <w:rsid w:val="00F77BD9"/>
    <w:rsid w:val="00F77BFA"/>
    <w:rsid w:val="00F77CE0"/>
    <w:rsid w:val="00F77E6F"/>
    <w:rsid w:val="00F80068"/>
    <w:rsid w:val="00F810EB"/>
    <w:rsid w:val="00F8160D"/>
    <w:rsid w:val="00F820EF"/>
    <w:rsid w:val="00F8244B"/>
    <w:rsid w:val="00F82683"/>
    <w:rsid w:val="00F82B9D"/>
    <w:rsid w:val="00F832B7"/>
    <w:rsid w:val="00F83D11"/>
    <w:rsid w:val="00F842F5"/>
    <w:rsid w:val="00F849BF"/>
    <w:rsid w:val="00F84AB1"/>
    <w:rsid w:val="00F84B63"/>
    <w:rsid w:val="00F857F6"/>
    <w:rsid w:val="00F867F1"/>
    <w:rsid w:val="00F867F6"/>
    <w:rsid w:val="00F86E36"/>
    <w:rsid w:val="00F86EE8"/>
    <w:rsid w:val="00F87A9A"/>
    <w:rsid w:val="00F90173"/>
    <w:rsid w:val="00F902BF"/>
    <w:rsid w:val="00F90CD0"/>
    <w:rsid w:val="00F91206"/>
    <w:rsid w:val="00F91540"/>
    <w:rsid w:val="00F916AC"/>
    <w:rsid w:val="00F9299E"/>
    <w:rsid w:val="00F929C3"/>
    <w:rsid w:val="00F92B63"/>
    <w:rsid w:val="00F92CA1"/>
    <w:rsid w:val="00F93507"/>
    <w:rsid w:val="00F93826"/>
    <w:rsid w:val="00F9487D"/>
    <w:rsid w:val="00F9491E"/>
    <w:rsid w:val="00F94D4F"/>
    <w:rsid w:val="00F95CDB"/>
    <w:rsid w:val="00F9653B"/>
    <w:rsid w:val="00F96595"/>
    <w:rsid w:val="00F967D9"/>
    <w:rsid w:val="00F968E0"/>
    <w:rsid w:val="00F968E5"/>
    <w:rsid w:val="00F96DEE"/>
    <w:rsid w:val="00F977ED"/>
    <w:rsid w:val="00F97B89"/>
    <w:rsid w:val="00F97D53"/>
    <w:rsid w:val="00FA01C8"/>
    <w:rsid w:val="00FA081A"/>
    <w:rsid w:val="00FA083B"/>
    <w:rsid w:val="00FA1759"/>
    <w:rsid w:val="00FA18AC"/>
    <w:rsid w:val="00FA1ADA"/>
    <w:rsid w:val="00FA21FC"/>
    <w:rsid w:val="00FA2245"/>
    <w:rsid w:val="00FA2C02"/>
    <w:rsid w:val="00FA2C1D"/>
    <w:rsid w:val="00FA310E"/>
    <w:rsid w:val="00FA33B5"/>
    <w:rsid w:val="00FA359A"/>
    <w:rsid w:val="00FA3A17"/>
    <w:rsid w:val="00FA3BDF"/>
    <w:rsid w:val="00FA4C0D"/>
    <w:rsid w:val="00FA509A"/>
    <w:rsid w:val="00FA5112"/>
    <w:rsid w:val="00FA5163"/>
    <w:rsid w:val="00FA575B"/>
    <w:rsid w:val="00FA5E83"/>
    <w:rsid w:val="00FA5F93"/>
    <w:rsid w:val="00FA5FCF"/>
    <w:rsid w:val="00FA63CD"/>
    <w:rsid w:val="00FA6433"/>
    <w:rsid w:val="00FA708C"/>
    <w:rsid w:val="00FA73EB"/>
    <w:rsid w:val="00FA773D"/>
    <w:rsid w:val="00FA7982"/>
    <w:rsid w:val="00FA7A5D"/>
    <w:rsid w:val="00FA7CCD"/>
    <w:rsid w:val="00FA7D65"/>
    <w:rsid w:val="00FA7D85"/>
    <w:rsid w:val="00FB0135"/>
    <w:rsid w:val="00FB0220"/>
    <w:rsid w:val="00FB0E27"/>
    <w:rsid w:val="00FB0F8C"/>
    <w:rsid w:val="00FB0F94"/>
    <w:rsid w:val="00FB1A16"/>
    <w:rsid w:val="00FB1A3C"/>
    <w:rsid w:val="00FB2597"/>
    <w:rsid w:val="00FB37A2"/>
    <w:rsid w:val="00FB3991"/>
    <w:rsid w:val="00FB3A7E"/>
    <w:rsid w:val="00FB3C92"/>
    <w:rsid w:val="00FB3F0E"/>
    <w:rsid w:val="00FB49E0"/>
    <w:rsid w:val="00FB4E81"/>
    <w:rsid w:val="00FB4EE9"/>
    <w:rsid w:val="00FB5B57"/>
    <w:rsid w:val="00FB62CF"/>
    <w:rsid w:val="00FB6673"/>
    <w:rsid w:val="00FB6B89"/>
    <w:rsid w:val="00FB74A8"/>
    <w:rsid w:val="00FC052E"/>
    <w:rsid w:val="00FC06C3"/>
    <w:rsid w:val="00FC084F"/>
    <w:rsid w:val="00FC13F0"/>
    <w:rsid w:val="00FC15D7"/>
    <w:rsid w:val="00FC1D53"/>
    <w:rsid w:val="00FC1E3D"/>
    <w:rsid w:val="00FC240A"/>
    <w:rsid w:val="00FC2B57"/>
    <w:rsid w:val="00FC2B76"/>
    <w:rsid w:val="00FC3262"/>
    <w:rsid w:val="00FC3283"/>
    <w:rsid w:val="00FC3E0A"/>
    <w:rsid w:val="00FC3EB4"/>
    <w:rsid w:val="00FC4580"/>
    <w:rsid w:val="00FC4AB2"/>
    <w:rsid w:val="00FC544A"/>
    <w:rsid w:val="00FC5458"/>
    <w:rsid w:val="00FC5A38"/>
    <w:rsid w:val="00FC65E0"/>
    <w:rsid w:val="00FC67B2"/>
    <w:rsid w:val="00FC6C58"/>
    <w:rsid w:val="00FC6C8A"/>
    <w:rsid w:val="00FC70D7"/>
    <w:rsid w:val="00FC77D2"/>
    <w:rsid w:val="00FC78B0"/>
    <w:rsid w:val="00FC7BBE"/>
    <w:rsid w:val="00FD11C7"/>
    <w:rsid w:val="00FD15CE"/>
    <w:rsid w:val="00FD1863"/>
    <w:rsid w:val="00FD1BA1"/>
    <w:rsid w:val="00FD1C8A"/>
    <w:rsid w:val="00FD1DD0"/>
    <w:rsid w:val="00FD1DFC"/>
    <w:rsid w:val="00FD20C3"/>
    <w:rsid w:val="00FD21C6"/>
    <w:rsid w:val="00FD279F"/>
    <w:rsid w:val="00FD35F5"/>
    <w:rsid w:val="00FD3996"/>
    <w:rsid w:val="00FD3BD1"/>
    <w:rsid w:val="00FD3E3D"/>
    <w:rsid w:val="00FD4B11"/>
    <w:rsid w:val="00FD4C3B"/>
    <w:rsid w:val="00FD50E1"/>
    <w:rsid w:val="00FD5518"/>
    <w:rsid w:val="00FD56CC"/>
    <w:rsid w:val="00FD635E"/>
    <w:rsid w:val="00FD66AE"/>
    <w:rsid w:val="00FD6B02"/>
    <w:rsid w:val="00FD6DD7"/>
    <w:rsid w:val="00FD71F0"/>
    <w:rsid w:val="00FD746F"/>
    <w:rsid w:val="00FE09CA"/>
    <w:rsid w:val="00FE0B3E"/>
    <w:rsid w:val="00FE144F"/>
    <w:rsid w:val="00FE157F"/>
    <w:rsid w:val="00FE1C4E"/>
    <w:rsid w:val="00FE1EAD"/>
    <w:rsid w:val="00FE21AB"/>
    <w:rsid w:val="00FE25F4"/>
    <w:rsid w:val="00FE276D"/>
    <w:rsid w:val="00FE28FD"/>
    <w:rsid w:val="00FE2E39"/>
    <w:rsid w:val="00FE309B"/>
    <w:rsid w:val="00FE3A3E"/>
    <w:rsid w:val="00FE3CC4"/>
    <w:rsid w:val="00FE3CEC"/>
    <w:rsid w:val="00FE40DE"/>
    <w:rsid w:val="00FE4DAB"/>
    <w:rsid w:val="00FE5434"/>
    <w:rsid w:val="00FE5494"/>
    <w:rsid w:val="00FE5C4B"/>
    <w:rsid w:val="00FE6030"/>
    <w:rsid w:val="00FE6A5A"/>
    <w:rsid w:val="00FE6B45"/>
    <w:rsid w:val="00FE6B58"/>
    <w:rsid w:val="00FE6EBC"/>
    <w:rsid w:val="00FE6F98"/>
    <w:rsid w:val="00FE745D"/>
    <w:rsid w:val="00FE769E"/>
    <w:rsid w:val="00FF0000"/>
    <w:rsid w:val="00FF05BC"/>
    <w:rsid w:val="00FF0651"/>
    <w:rsid w:val="00FF1604"/>
    <w:rsid w:val="00FF19BA"/>
    <w:rsid w:val="00FF19E2"/>
    <w:rsid w:val="00FF1B45"/>
    <w:rsid w:val="00FF1B5F"/>
    <w:rsid w:val="00FF1C0D"/>
    <w:rsid w:val="00FF1C1C"/>
    <w:rsid w:val="00FF1CC9"/>
    <w:rsid w:val="00FF2273"/>
    <w:rsid w:val="00FF2A07"/>
    <w:rsid w:val="00FF2D9D"/>
    <w:rsid w:val="00FF2F9E"/>
    <w:rsid w:val="00FF31AA"/>
    <w:rsid w:val="00FF3563"/>
    <w:rsid w:val="00FF379A"/>
    <w:rsid w:val="00FF3FB7"/>
    <w:rsid w:val="00FF4B22"/>
    <w:rsid w:val="00FF5724"/>
    <w:rsid w:val="00FF5851"/>
    <w:rsid w:val="00FF6B34"/>
    <w:rsid w:val="00FF6C89"/>
    <w:rsid w:val="00FF714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DA36AE"/>
    <w:rPr>
      <w:rFonts w:ascii="Cambria" w:eastAsia="Cambria" w:hAnsi="Cambria" w:cs="Cambria"/>
      <w:color w:val="000000"/>
      <w:u w:color="000000"/>
    </w:rPr>
  </w:style>
  <w:style w:type="paragraph" w:styleId="BodyTextIndent">
    <w:name w:val="Body Text Indent"/>
    <w:rsid w:val="00DA36AE"/>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517C2"/>
    <w:pPr>
      <w:tabs>
        <w:tab w:val="left" w:pos="1440"/>
        <w:tab w:val="right" w:leader="dot" w:pos="9350"/>
      </w:tabs>
      <w:spacing w:after="100"/>
      <w:ind w:left="1440" w:hanging="360"/>
    </w:pPr>
    <w:rPr>
      <w:rFonts w:asciiTheme="majorHAnsi" w:eastAsiaTheme="majorEastAsia" w:hAnsiTheme="majorHAnsi" w:cstheme="majorBidi"/>
      <w:bCs/>
      <w:noProof/>
      <w:sz w:val="20"/>
      <w:szCs w:val="20"/>
    </w:rPr>
  </w:style>
  <w:style w:type="paragraph" w:styleId="TOC1">
    <w:name w:val="toc 1"/>
    <w:basedOn w:val="Normal"/>
    <w:next w:val="Normal"/>
    <w:autoRedefine/>
    <w:uiPriority w:val="39"/>
    <w:unhideWhenUsed/>
    <w:rsid w:val="00B35D06"/>
    <w:pPr>
      <w:tabs>
        <w:tab w:val="left" w:pos="1440"/>
        <w:tab w:val="right" w:leader="dot" w:pos="9350"/>
      </w:tabs>
      <w:spacing w:after="100"/>
      <w:ind w:left="1080" w:hanging="360"/>
      <w:jc w:val="both"/>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unhideWhenUsed/>
    <w:rsid w:val="00EA6A6E"/>
    <w:rPr>
      <w:sz w:val="20"/>
      <w:szCs w:val="20"/>
    </w:rPr>
  </w:style>
  <w:style w:type="character" w:customStyle="1" w:styleId="CommentTextChar">
    <w:name w:val="Comment Text Char"/>
    <w:basedOn w:val="DefaultParagraphFont"/>
    <w:link w:val="CommentText"/>
    <w:uiPriority w:val="99"/>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jurisdiction">
    <w:name w:val="jurisdiction"/>
    <w:basedOn w:val="DefaultParagraphFont"/>
    <w:rsid w:val="0045037E"/>
  </w:style>
  <w:style w:type="character" w:customStyle="1" w:styleId="decide-date">
    <w:name w:val="decide-date"/>
    <w:basedOn w:val="DefaultParagraphFont"/>
    <w:rsid w:val="0045037E"/>
  </w:style>
  <w:style w:type="character" w:customStyle="1" w:styleId="citation">
    <w:name w:val="citation"/>
    <w:basedOn w:val="DefaultParagraphFont"/>
    <w:rsid w:val="0045037E"/>
  </w:style>
  <w:style w:type="paragraph" w:customStyle="1" w:styleId="paragraph">
    <w:name w:val="paragraph"/>
    <w:basedOn w:val="Normal"/>
    <w:rsid w:val="00364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5">
    <w:name w:val="toc 5"/>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rPr>
  </w:style>
  <w:style w:type="paragraph" w:styleId="TOC6">
    <w:name w:val="toc 6"/>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rPr>
  </w:style>
  <w:style w:type="paragraph" w:styleId="TOC7">
    <w:name w:val="toc 7"/>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rPr>
  </w:style>
  <w:style w:type="paragraph" w:styleId="TOC8">
    <w:name w:val="toc 8"/>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rPr>
  </w:style>
  <w:style w:type="paragraph" w:styleId="TOC9">
    <w:name w:val="toc 9"/>
    <w:basedOn w:val="Normal"/>
    <w:next w:val="Normal"/>
    <w:autoRedefine/>
    <w:uiPriority w:val="39"/>
    <w:semiHidden/>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rPr>
  </w:style>
  <w:style w:type="paragraph" w:customStyle="1" w:styleId="p1">
    <w:name w:val="p1"/>
    <w:basedOn w:val="Normal"/>
    <w:rsid w:val="00382CB1"/>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color w:val="000000"/>
      <w:sz w:val="18"/>
      <w:szCs w:val="18"/>
      <w:bdr w:val="none" w:sz="0" w:space="0" w:color="auto"/>
      <w:lang w:eastAsia="en-GB"/>
    </w:rPr>
  </w:style>
  <w:style w:type="character" w:customStyle="1" w:styleId="s1">
    <w:name w:val="s1"/>
    <w:basedOn w:val="DefaultParagraphFont"/>
    <w:rsid w:val="00382CB1"/>
    <w:rPr>
      <w:rFonts w:ascii="Times New Roman" w:hAnsi="Times New Roman" w:cs="Times New Roman" w:hint="default"/>
      <w:b w:val="0"/>
      <w:bCs w:val="0"/>
      <w:i w:val="0"/>
      <w:iCs w:val="0"/>
      <w:sz w:val="18"/>
      <w:szCs w:val="18"/>
    </w:rPr>
  </w:style>
  <w:style w:type="character" w:customStyle="1" w:styleId="itemtitle">
    <w:name w:val="itemtitle"/>
    <w:basedOn w:val="DefaultParagraphFont"/>
    <w:rsid w:val="00C33D10"/>
  </w:style>
  <w:style w:type="character" w:customStyle="1" w:styleId="acopre1">
    <w:name w:val="acopre1"/>
    <w:basedOn w:val="DefaultParagraphFont"/>
    <w:rsid w:val="0054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56844588">
      <w:bodyDiv w:val="1"/>
      <w:marLeft w:val="0"/>
      <w:marRight w:val="0"/>
      <w:marTop w:val="0"/>
      <w:marBottom w:val="0"/>
      <w:divBdr>
        <w:top w:val="none" w:sz="0" w:space="0" w:color="auto"/>
        <w:left w:val="none" w:sz="0" w:space="0" w:color="auto"/>
        <w:bottom w:val="none" w:sz="0" w:space="0" w:color="auto"/>
        <w:right w:val="none" w:sz="0" w:space="0" w:color="auto"/>
      </w:divBdr>
    </w:div>
    <w:div w:id="184104550">
      <w:bodyDiv w:val="1"/>
      <w:marLeft w:val="0"/>
      <w:marRight w:val="0"/>
      <w:marTop w:val="0"/>
      <w:marBottom w:val="0"/>
      <w:divBdr>
        <w:top w:val="none" w:sz="0" w:space="0" w:color="auto"/>
        <w:left w:val="none" w:sz="0" w:space="0" w:color="auto"/>
        <w:bottom w:val="none" w:sz="0" w:space="0" w:color="auto"/>
        <w:right w:val="none" w:sz="0" w:space="0" w:color="auto"/>
      </w:divBdr>
      <w:divsChild>
        <w:div w:id="91318619">
          <w:blockQuote w:val="1"/>
          <w:marLeft w:val="0"/>
          <w:marRight w:val="0"/>
          <w:marTop w:val="0"/>
          <w:marBottom w:val="0"/>
          <w:divBdr>
            <w:top w:val="none" w:sz="0" w:space="0" w:color="auto"/>
            <w:left w:val="single" w:sz="24" w:space="12" w:color="EEEEEE"/>
            <w:bottom w:val="none" w:sz="0" w:space="0" w:color="auto"/>
            <w:right w:val="none" w:sz="0" w:space="0" w:color="auto"/>
          </w:divBdr>
        </w:div>
        <w:div w:id="2016300239">
          <w:blockQuote w:val="1"/>
          <w:marLeft w:val="0"/>
          <w:marRight w:val="0"/>
          <w:marTop w:val="0"/>
          <w:marBottom w:val="0"/>
          <w:divBdr>
            <w:top w:val="none" w:sz="0" w:space="0" w:color="auto"/>
            <w:left w:val="single" w:sz="24" w:space="12" w:color="EEEEEE"/>
            <w:bottom w:val="none" w:sz="0" w:space="0" w:color="auto"/>
            <w:right w:val="none" w:sz="0" w:space="0" w:color="auto"/>
          </w:divBdr>
        </w:div>
        <w:div w:id="1144349043">
          <w:blockQuote w:val="1"/>
          <w:marLeft w:val="0"/>
          <w:marRight w:val="0"/>
          <w:marTop w:val="0"/>
          <w:marBottom w:val="0"/>
          <w:divBdr>
            <w:top w:val="none" w:sz="0" w:space="0" w:color="auto"/>
            <w:left w:val="single" w:sz="24" w:space="12" w:color="EEEEEE"/>
            <w:bottom w:val="none" w:sz="0" w:space="0" w:color="auto"/>
            <w:right w:val="none" w:sz="0" w:space="0" w:color="auto"/>
          </w:divBdr>
        </w:div>
      </w:divsChild>
    </w:div>
    <w:div w:id="194271308">
      <w:bodyDiv w:val="1"/>
      <w:marLeft w:val="0"/>
      <w:marRight w:val="0"/>
      <w:marTop w:val="0"/>
      <w:marBottom w:val="0"/>
      <w:divBdr>
        <w:top w:val="none" w:sz="0" w:space="0" w:color="auto"/>
        <w:left w:val="none" w:sz="0" w:space="0" w:color="auto"/>
        <w:bottom w:val="none" w:sz="0" w:space="0" w:color="auto"/>
        <w:right w:val="none" w:sz="0" w:space="0" w:color="auto"/>
      </w:divBdr>
      <w:divsChild>
        <w:div w:id="1203322251">
          <w:marLeft w:val="0"/>
          <w:marRight w:val="0"/>
          <w:marTop w:val="0"/>
          <w:marBottom w:val="0"/>
          <w:divBdr>
            <w:top w:val="none" w:sz="0" w:space="0" w:color="auto"/>
            <w:left w:val="none" w:sz="0" w:space="0" w:color="auto"/>
            <w:bottom w:val="none" w:sz="0" w:space="0" w:color="auto"/>
            <w:right w:val="none" w:sz="0" w:space="0" w:color="auto"/>
          </w:divBdr>
          <w:divsChild>
            <w:div w:id="1713653426">
              <w:marLeft w:val="0"/>
              <w:marRight w:val="0"/>
              <w:marTop w:val="0"/>
              <w:marBottom w:val="0"/>
              <w:divBdr>
                <w:top w:val="none" w:sz="0" w:space="0" w:color="auto"/>
                <w:left w:val="none" w:sz="0" w:space="0" w:color="auto"/>
                <w:bottom w:val="none" w:sz="0" w:space="0" w:color="auto"/>
                <w:right w:val="none" w:sz="0" w:space="0" w:color="auto"/>
              </w:divBdr>
              <w:divsChild>
                <w:div w:id="836772265">
                  <w:marLeft w:val="0"/>
                  <w:marRight w:val="0"/>
                  <w:marTop w:val="0"/>
                  <w:marBottom w:val="0"/>
                  <w:divBdr>
                    <w:top w:val="none" w:sz="0" w:space="0" w:color="auto"/>
                    <w:left w:val="none" w:sz="0" w:space="0" w:color="auto"/>
                    <w:bottom w:val="none" w:sz="0" w:space="0" w:color="auto"/>
                    <w:right w:val="none" w:sz="0" w:space="0" w:color="auto"/>
                  </w:divBdr>
                  <w:divsChild>
                    <w:div w:id="433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402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83">
          <w:marLeft w:val="0"/>
          <w:marRight w:val="0"/>
          <w:marTop w:val="0"/>
          <w:marBottom w:val="0"/>
          <w:divBdr>
            <w:top w:val="none" w:sz="0" w:space="0" w:color="auto"/>
            <w:left w:val="none" w:sz="0" w:space="0" w:color="auto"/>
            <w:bottom w:val="none" w:sz="0" w:space="0" w:color="auto"/>
            <w:right w:val="none" w:sz="0" w:space="0" w:color="auto"/>
          </w:divBdr>
          <w:divsChild>
            <w:div w:id="1400009269">
              <w:marLeft w:val="0"/>
              <w:marRight w:val="0"/>
              <w:marTop w:val="0"/>
              <w:marBottom w:val="0"/>
              <w:divBdr>
                <w:top w:val="none" w:sz="0" w:space="0" w:color="auto"/>
                <w:left w:val="none" w:sz="0" w:space="0" w:color="auto"/>
                <w:bottom w:val="none" w:sz="0" w:space="0" w:color="auto"/>
                <w:right w:val="none" w:sz="0" w:space="0" w:color="auto"/>
              </w:divBdr>
              <w:divsChild>
                <w:div w:id="798299683">
                  <w:marLeft w:val="0"/>
                  <w:marRight w:val="0"/>
                  <w:marTop w:val="0"/>
                  <w:marBottom w:val="0"/>
                  <w:divBdr>
                    <w:top w:val="none" w:sz="0" w:space="0" w:color="auto"/>
                    <w:left w:val="none" w:sz="0" w:space="0" w:color="auto"/>
                    <w:bottom w:val="none" w:sz="0" w:space="0" w:color="auto"/>
                    <w:right w:val="none" w:sz="0" w:space="0" w:color="auto"/>
                  </w:divBdr>
                  <w:divsChild>
                    <w:div w:id="152573708">
                      <w:marLeft w:val="0"/>
                      <w:marRight w:val="0"/>
                      <w:marTop w:val="0"/>
                      <w:marBottom w:val="0"/>
                      <w:divBdr>
                        <w:top w:val="none" w:sz="0" w:space="0" w:color="auto"/>
                        <w:left w:val="none" w:sz="0" w:space="0" w:color="auto"/>
                        <w:bottom w:val="none" w:sz="0" w:space="0" w:color="auto"/>
                        <w:right w:val="none" w:sz="0" w:space="0" w:color="auto"/>
                      </w:divBdr>
                      <w:divsChild>
                        <w:div w:id="1884057718">
                          <w:marLeft w:val="0"/>
                          <w:marRight w:val="0"/>
                          <w:marTop w:val="0"/>
                          <w:marBottom w:val="0"/>
                          <w:divBdr>
                            <w:top w:val="none" w:sz="0" w:space="0" w:color="auto"/>
                            <w:left w:val="none" w:sz="0" w:space="0" w:color="auto"/>
                            <w:bottom w:val="none" w:sz="0" w:space="0" w:color="auto"/>
                            <w:right w:val="none" w:sz="0" w:space="0" w:color="auto"/>
                          </w:divBdr>
                          <w:divsChild>
                            <w:div w:id="160700384">
                              <w:marLeft w:val="0"/>
                              <w:marRight w:val="0"/>
                              <w:marTop w:val="0"/>
                              <w:marBottom w:val="0"/>
                              <w:divBdr>
                                <w:top w:val="none" w:sz="0" w:space="0" w:color="auto"/>
                                <w:left w:val="none" w:sz="0" w:space="0" w:color="auto"/>
                                <w:bottom w:val="none" w:sz="0" w:space="0" w:color="auto"/>
                                <w:right w:val="none" w:sz="0" w:space="0" w:color="auto"/>
                              </w:divBdr>
                              <w:divsChild>
                                <w:div w:id="167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10197">
      <w:bodyDiv w:val="1"/>
      <w:marLeft w:val="0"/>
      <w:marRight w:val="0"/>
      <w:marTop w:val="0"/>
      <w:marBottom w:val="0"/>
      <w:divBdr>
        <w:top w:val="none" w:sz="0" w:space="0" w:color="auto"/>
        <w:left w:val="none" w:sz="0" w:space="0" w:color="auto"/>
        <w:bottom w:val="none" w:sz="0" w:space="0" w:color="auto"/>
        <w:right w:val="none" w:sz="0" w:space="0" w:color="auto"/>
      </w:divBdr>
    </w:div>
    <w:div w:id="318653445">
      <w:bodyDiv w:val="1"/>
      <w:marLeft w:val="0"/>
      <w:marRight w:val="0"/>
      <w:marTop w:val="0"/>
      <w:marBottom w:val="0"/>
      <w:divBdr>
        <w:top w:val="none" w:sz="0" w:space="0" w:color="auto"/>
        <w:left w:val="none" w:sz="0" w:space="0" w:color="auto"/>
        <w:bottom w:val="none" w:sz="0" w:space="0" w:color="auto"/>
        <w:right w:val="none" w:sz="0" w:space="0" w:color="auto"/>
      </w:divBdr>
      <w:divsChild>
        <w:div w:id="1466778045">
          <w:marLeft w:val="0"/>
          <w:marRight w:val="0"/>
          <w:marTop w:val="0"/>
          <w:marBottom w:val="0"/>
          <w:divBdr>
            <w:top w:val="none" w:sz="0" w:space="0" w:color="auto"/>
            <w:left w:val="none" w:sz="0" w:space="0" w:color="auto"/>
            <w:bottom w:val="none" w:sz="0" w:space="0" w:color="auto"/>
            <w:right w:val="none" w:sz="0" w:space="0" w:color="auto"/>
          </w:divBdr>
          <w:divsChild>
            <w:div w:id="1540125886">
              <w:marLeft w:val="0"/>
              <w:marRight w:val="0"/>
              <w:marTop w:val="0"/>
              <w:marBottom w:val="0"/>
              <w:divBdr>
                <w:top w:val="none" w:sz="0" w:space="0" w:color="auto"/>
                <w:left w:val="none" w:sz="0" w:space="0" w:color="auto"/>
                <w:bottom w:val="none" w:sz="0" w:space="0" w:color="auto"/>
                <w:right w:val="none" w:sz="0" w:space="0" w:color="auto"/>
              </w:divBdr>
              <w:divsChild>
                <w:div w:id="1728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355473771">
      <w:bodyDiv w:val="1"/>
      <w:marLeft w:val="0"/>
      <w:marRight w:val="0"/>
      <w:marTop w:val="0"/>
      <w:marBottom w:val="0"/>
      <w:divBdr>
        <w:top w:val="none" w:sz="0" w:space="0" w:color="auto"/>
        <w:left w:val="none" w:sz="0" w:space="0" w:color="auto"/>
        <w:bottom w:val="none" w:sz="0" w:space="0" w:color="auto"/>
        <w:right w:val="none" w:sz="0" w:space="0" w:color="auto"/>
      </w:divBdr>
    </w:div>
    <w:div w:id="368265033">
      <w:bodyDiv w:val="1"/>
      <w:marLeft w:val="0"/>
      <w:marRight w:val="0"/>
      <w:marTop w:val="0"/>
      <w:marBottom w:val="0"/>
      <w:divBdr>
        <w:top w:val="none" w:sz="0" w:space="0" w:color="auto"/>
        <w:left w:val="none" w:sz="0" w:space="0" w:color="auto"/>
        <w:bottom w:val="none" w:sz="0" w:space="0" w:color="auto"/>
        <w:right w:val="none" w:sz="0" w:space="0" w:color="auto"/>
      </w:divBdr>
    </w:div>
    <w:div w:id="393091193">
      <w:bodyDiv w:val="1"/>
      <w:marLeft w:val="0"/>
      <w:marRight w:val="0"/>
      <w:marTop w:val="0"/>
      <w:marBottom w:val="0"/>
      <w:divBdr>
        <w:top w:val="none" w:sz="0" w:space="0" w:color="auto"/>
        <w:left w:val="none" w:sz="0" w:space="0" w:color="auto"/>
        <w:bottom w:val="none" w:sz="0" w:space="0" w:color="auto"/>
        <w:right w:val="none" w:sz="0" w:space="0" w:color="auto"/>
      </w:divBdr>
      <w:divsChild>
        <w:div w:id="1649627225">
          <w:marLeft w:val="0"/>
          <w:marRight w:val="0"/>
          <w:marTop w:val="0"/>
          <w:marBottom w:val="0"/>
          <w:divBdr>
            <w:top w:val="none" w:sz="0" w:space="0" w:color="auto"/>
            <w:left w:val="none" w:sz="0" w:space="0" w:color="auto"/>
            <w:bottom w:val="none" w:sz="0" w:space="0" w:color="auto"/>
            <w:right w:val="none" w:sz="0" w:space="0" w:color="auto"/>
          </w:divBdr>
          <w:divsChild>
            <w:div w:id="4017487">
              <w:marLeft w:val="0"/>
              <w:marRight w:val="0"/>
              <w:marTop w:val="0"/>
              <w:marBottom w:val="0"/>
              <w:divBdr>
                <w:top w:val="none" w:sz="0" w:space="0" w:color="auto"/>
                <w:left w:val="none" w:sz="0" w:space="0" w:color="auto"/>
                <w:bottom w:val="none" w:sz="0" w:space="0" w:color="auto"/>
                <w:right w:val="none" w:sz="0" w:space="0" w:color="auto"/>
              </w:divBdr>
              <w:divsChild>
                <w:div w:id="1291277351">
                  <w:marLeft w:val="0"/>
                  <w:marRight w:val="0"/>
                  <w:marTop w:val="0"/>
                  <w:marBottom w:val="0"/>
                  <w:divBdr>
                    <w:top w:val="none" w:sz="0" w:space="0" w:color="auto"/>
                    <w:left w:val="none" w:sz="0" w:space="0" w:color="auto"/>
                    <w:bottom w:val="none" w:sz="0" w:space="0" w:color="auto"/>
                    <w:right w:val="none" w:sz="0" w:space="0" w:color="auto"/>
                  </w:divBdr>
                  <w:divsChild>
                    <w:div w:id="782266758">
                      <w:marLeft w:val="0"/>
                      <w:marRight w:val="0"/>
                      <w:marTop w:val="0"/>
                      <w:marBottom w:val="0"/>
                      <w:divBdr>
                        <w:top w:val="none" w:sz="0" w:space="0" w:color="auto"/>
                        <w:left w:val="none" w:sz="0" w:space="0" w:color="auto"/>
                        <w:bottom w:val="none" w:sz="0" w:space="0" w:color="auto"/>
                        <w:right w:val="none" w:sz="0" w:space="0" w:color="auto"/>
                      </w:divBdr>
                      <w:divsChild>
                        <w:div w:id="1929073658">
                          <w:marLeft w:val="0"/>
                          <w:marRight w:val="0"/>
                          <w:marTop w:val="0"/>
                          <w:marBottom w:val="0"/>
                          <w:divBdr>
                            <w:top w:val="none" w:sz="0" w:space="0" w:color="auto"/>
                            <w:left w:val="none" w:sz="0" w:space="0" w:color="auto"/>
                            <w:bottom w:val="none" w:sz="0" w:space="0" w:color="auto"/>
                            <w:right w:val="none" w:sz="0" w:space="0" w:color="auto"/>
                          </w:divBdr>
                          <w:divsChild>
                            <w:div w:id="1106317059">
                              <w:marLeft w:val="0"/>
                              <w:marRight w:val="0"/>
                              <w:marTop w:val="0"/>
                              <w:marBottom w:val="0"/>
                              <w:divBdr>
                                <w:top w:val="none" w:sz="0" w:space="0" w:color="auto"/>
                                <w:left w:val="none" w:sz="0" w:space="0" w:color="auto"/>
                                <w:bottom w:val="none" w:sz="0" w:space="0" w:color="auto"/>
                                <w:right w:val="none" w:sz="0" w:space="0" w:color="auto"/>
                              </w:divBdr>
                              <w:divsChild>
                                <w:div w:id="685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483208117">
      <w:bodyDiv w:val="1"/>
      <w:marLeft w:val="0"/>
      <w:marRight w:val="0"/>
      <w:marTop w:val="0"/>
      <w:marBottom w:val="0"/>
      <w:divBdr>
        <w:top w:val="none" w:sz="0" w:space="0" w:color="auto"/>
        <w:left w:val="none" w:sz="0" w:space="0" w:color="auto"/>
        <w:bottom w:val="none" w:sz="0" w:space="0" w:color="auto"/>
        <w:right w:val="none" w:sz="0" w:space="0" w:color="auto"/>
      </w:divBdr>
      <w:divsChild>
        <w:div w:id="633872418">
          <w:marLeft w:val="360"/>
          <w:marRight w:val="0"/>
          <w:marTop w:val="0"/>
          <w:marBottom w:val="0"/>
          <w:divBdr>
            <w:top w:val="none" w:sz="0" w:space="0" w:color="auto"/>
            <w:left w:val="none" w:sz="0" w:space="0" w:color="auto"/>
            <w:bottom w:val="none" w:sz="0" w:space="0" w:color="auto"/>
            <w:right w:val="none" w:sz="0" w:space="0" w:color="auto"/>
          </w:divBdr>
          <w:divsChild>
            <w:div w:id="1966739501">
              <w:marLeft w:val="0"/>
              <w:marRight w:val="0"/>
              <w:marTop w:val="0"/>
              <w:marBottom w:val="0"/>
              <w:divBdr>
                <w:top w:val="none" w:sz="0" w:space="0" w:color="auto"/>
                <w:left w:val="none" w:sz="0" w:space="0" w:color="auto"/>
                <w:bottom w:val="none" w:sz="0" w:space="0" w:color="auto"/>
                <w:right w:val="none" w:sz="0" w:space="0" w:color="auto"/>
              </w:divBdr>
            </w:div>
          </w:divsChild>
        </w:div>
        <w:div w:id="296840095">
          <w:marLeft w:val="0"/>
          <w:marRight w:val="0"/>
          <w:marTop w:val="0"/>
          <w:marBottom w:val="0"/>
          <w:divBdr>
            <w:top w:val="none" w:sz="0" w:space="0" w:color="auto"/>
            <w:left w:val="none" w:sz="0" w:space="0" w:color="auto"/>
            <w:bottom w:val="none" w:sz="0" w:space="0" w:color="auto"/>
            <w:right w:val="none" w:sz="0" w:space="0" w:color="auto"/>
          </w:divBdr>
          <w:divsChild>
            <w:div w:id="1496145643">
              <w:marLeft w:val="0"/>
              <w:marRight w:val="0"/>
              <w:marTop w:val="0"/>
              <w:marBottom w:val="0"/>
              <w:divBdr>
                <w:top w:val="none" w:sz="0" w:space="0" w:color="auto"/>
                <w:left w:val="none" w:sz="0" w:space="0" w:color="auto"/>
                <w:bottom w:val="none" w:sz="0" w:space="0" w:color="auto"/>
                <w:right w:val="none" w:sz="0" w:space="0" w:color="auto"/>
              </w:divBdr>
            </w:div>
          </w:divsChild>
        </w:div>
        <w:div w:id="1354766420">
          <w:marLeft w:val="0"/>
          <w:marRight w:val="0"/>
          <w:marTop w:val="0"/>
          <w:marBottom w:val="0"/>
          <w:divBdr>
            <w:top w:val="none" w:sz="0" w:space="0" w:color="auto"/>
            <w:left w:val="none" w:sz="0" w:space="0" w:color="auto"/>
            <w:bottom w:val="none" w:sz="0" w:space="0" w:color="auto"/>
            <w:right w:val="none" w:sz="0" w:space="0" w:color="auto"/>
          </w:divBdr>
          <w:divsChild>
            <w:div w:id="1841038231">
              <w:marLeft w:val="0"/>
              <w:marRight w:val="0"/>
              <w:marTop w:val="0"/>
              <w:marBottom w:val="0"/>
              <w:divBdr>
                <w:top w:val="none" w:sz="0" w:space="0" w:color="auto"/>
                <w:left w:val="none" w:sz="0" w:space="0" w:color="auto"/>
                <w:bottom w:val="none" w:sz="0" w:space="0" w:color="auto"/>
                <w:right w:val="none" w:sz="0" w:space="0" w:color="auto"/>
              </w:divBdr>
            </w:div>
          </w:divsChild>
        </w:div>
        <w:div w:id="1498812095">
          <w:marLeft w:val="720"/>
          <w:marRight w:val="0"/>
          <w:marTop w:val="0"/>
          <w:marBottom w:val="0"/>
          <w:divBdr>
            <w:top w:val="none" w:sz="0" w:space="0" w:color="auto"/>
            <w:left w:val="none" w:sz="0" w:space="0" w:color="auto"/>
            <w:bottom w:val="none" w:sz="0" w:space="0" w:color="auto"/>
            <w:right w:val="none" w:sz="0" w:space="0" w:color="auto"/>
          </w:divBdr>
          <w:divsChild>
            <w:div w:id="1342464726">
              <w:marLeft w:val="0"/>
              <w:marRight w:val="0"/>
              <w:marTop w:val="0"/>
              <w:marBottom w:val="0"/>
              <w:divBdr>
                <w:top w:val="none" w:sz="0" w:space="0" w:color="auto"/>
                <w:left w:val="none" w:sz="0" w:space="0" w:color="auto"/>
                <w:bottom w:val="none" w:sz="0" w:space="0" w:color="auto"/>
                <w:right w:val="none" w:sz="0" w:space="0" w:color="auto"/>
              </w:divBdr>
            </w:div>
          </w:divsChild>
        </w:div>
        <w:div w:id="2138834358">
          <w:marLeft w:val="0"/>
          <w:marRight w:val="0"/>
          <w:marTop w:val="0"/>
          <w:marBottom w:val="0"/>
          <w:divBdr>
            <w:top w:val="none" w:sz="0" w:space="0" w:color="auto"/>
            <w:left w:val="none" w:sz="0" w:space="0" w:color="auto"/>
            <w:bottom w:val="none" w:sz="0" w:space="0" w:color="auto"/>
            <w:right w:val="none" w:sz="0" w:space="0" w:color="auto"/>
          </w:divBdr>
          <w:divsChild>
            <w:div w:id="1277562994">
              <w:marLeft w:val="0"/>
              <w:marRight w:val="0"/>
              <w:marTop w:val="0"/>
              <w:marBottom w:val="0"/>
              <w:divBdr>
                <w:top w:val="none" w:sz="0" w:space="0" w:color="auto"/>
                <w:left w:val="none" w:sz="0" w:space="0" w:color="auto"/>
                <w:bottom w:val="none" w:sz="0" w:space="0" w:color="auto"/>
                <w:right w:val="none" w:sz="0" w:space="0" w:color="auto"/>
              </w:divBdr>
            </w:div>
          </w:divsChild>
        </w:div>
        <w:div w:id="535510075">
          <w:marLeft w:val="720"/>
          <w:marRight w:val="0"/>
          <w:marTop w:val="0"/>
          <w:marBottom w:val="0"/>
          <w:divBdr>
            <w:top w:val="none" w:sz="0" w:space="0" w:color="auto"/>
            <w:left w:val="none" w:sz="0" w:space="0" w:color="auto"/>
            <w:bottom w:val="none" w:sz="0" w:space="0" w:color="auto"/>
            <w:right w:val="none" w:sz="0" w:space="0" w:color="auto"/>
          </w:divBdr>
          <w:divsChild>
            <w:div w:id="398016707">
              <w:marLeft w:val="0"/>
              <w:marRight w:val="0"/>
              <w:marTop w:val="0"/>
              <w:marBottom w:val="0"/>
              <w:divBdr>
                <w:top w:val="none" w:sz="0" w:space="0" w:color="auto"/>
                <w:left w:val="none" w:sz="0" w:space="0" w:color="auto"/>
                <w:bottom w:val="none" w:sz="0" w:space="0" w:color="auto"/>
                <w:right w:val="none" w:sz="0" w:space="0" w:color="auto"/>
              </w:divBdr>
            </w:div>
          </w:divsChild>
        </w:div>
        <w:div w:id="918826522">
          <w:marLeft w:val="0"/>
          <w:marRight w:val="0"/>
          <w:marTop w:val="0"/>
          <w:marBottom w:val="0"/>
          <w:divBdr>
            <w:top w:val="none" w:sz="0" w:space="0" w:color="auto"/>
            <w:left w:val="none" w:sz="0" w:space="0" w:color="auto"/>
            <w:bottom w:val="none" w:sz="0" w:space="0" w:color="auto"/>
            <w:right w:val="none" w:sz="0" w:space="0" w:color="auto"/>
          </w:divBdr>
          <w:divsChild>
            <w:div w:id="904953286">
              <w:marLeft w:val="0"/>
              <w:marRight w:val="0"/>
              <w:marTop w:val="0"/>
              <w:marBottom w:val="0"/>
              <w:divBdr>
                <w:top w:val="none" w:sz="0" w:space="0" w:color="auto"/>
                <w:left w:val="none" w:sz="0" w:space="0" w:color="auto"/>
                <w:bottom w:val="none" w:sz="0" w:space="0" w:color="auto"/>
                <w:right w:val="none" w:sz="0" w:space="0" w:color="auto"/>
              </w:divBdr>
            </w:div>
          </w:divsChild>
        </w:div>
        <w:div w:id="663970526">
          <w:marLeft w:val="0"/>
          <w:marRight w:val="0"/>
          <w:marTop w:val="0"/>
          <w:marBottom w:val="0"/>
          <w:divBdr>
            <w:top w:val="none" w:sz="0" w:space="0" w:color="auto"/>
            <w:left w:val="none" w:sz="0" w:space="0" w:color="auto"/>
            <w:bottom w:val="none" w:sz="0" w:space="0" w:color="auto"/>
            <w:right w:val="none" w:sz="0" w:space="0" w:color="auto"/>
          </w:divBdr>
          <w:divsChild>
            <w:div w:id="1124271138">
              <w:marLeft w:val="0"/>
              <w:marRight w:val="0"/>
              <w:marTop w:val="0"/>
              <w:marBottom w:val="0"/>
              <w:divBdr>
                <w:top w:val="none" w:sz="0" w:space="0" w:color="auto"/>
                <w:left w:val="none" w:sz="0" w:space="0" w:color="auto"/>
                <w:bottom w:val="none" w:sz="0" w:space="0" w:color="auto"/>
                <w:right w:val="none" w:sz="0" w:space="0" w:color="auto"/>
              </w:divBdr>
            </w:div>
          </w:divsChild>
        </w:div>
        <w:div w:id="1579710146">
          <w:marLeft w:val="0"/>
          <w:marRight w:val="0"/>
          <w:marTop w:val="0"/>
          <w:marBottom w:val="0"/>
          <w:divBdr>
            <w:top w:val="none" w:sz="0" w:space="0" w:color="auto"/>
            <w:left w:val="none" w:sz="0" w:space="0" w:color="auto"/>
            <w:bottom w:val="none" w:sz="0" w:space="0" w:color="auto"/>
            <w:right w:val="none" w:sz="0" w:space="0" w:color="auto"/>
          </w:divBdr>
          <w:divsChild>
            <w:div w:id="1070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9538">
      <w:bodyDiv w:val="1"/>
      <w:marLeft w:val="0"/>
      <w:marRight w:val="0"/>
      <w:marTop w:val="0"/>
      <w:marBottom w:val="0"/>
      <w:divBdr>
        <w:top w:val="none" w:sz="0" w:space="0" w:color="auto"/>
        <w:left w:val="none" w:sz="0" w:space="0" w:color="auto"/>
        <w:bottom w:val="none" w:sz="0" w:space="0" w:color="auto"/>
        <w:right w:val="none" w:sz="0" w:space="0" w:color="auto"/>
      </w:divBdr>
      <w:divsChild>
        <w:div w:id="1795513171">
          <w:marLeft w:val="0"/>
          <w:marRight w:val="0"/>
          <w:marTop w:val="0"/>
          <w:marBottom w:val="0"/>
          <w:divBdr>
            <w:top w:val="none" w:sz="0" w:space="0" w:color="auto"/>
            <w:left w:val="none" w:sz="0" w:space="0" w:color="auto"/>
            <w:bottom w:val="none" w:sz="0" w:space="0" w:color="auto"/>
            <w:right w:val="none" w:sz="0" w:space="0" w:color="auto"/>
          </w:divBdr>
        </w:div>
      </w:divsChild>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85842585">
      <w:bodyDiv w:val="1"/>
      <w:marLeft w:val="0"/>
      <w:marRight w:val="0"/>
      <w:marTop w:val="0"/>
      <w:marBottom w:val="0"/>
      <w:divBdr>
        <w:top w:val="none" w:sz="0" w:space="0" w:color="auto"/>
        <w:left w:val="none" w:sz="0" w:space="0" w:color="auto"/>
        <w:bottom w:val="none" w:sz="0" w:space="0" w:color="auto"/>
        <w:right w:val="none" w:sz="0" w:space="0" w:color="auto"/>
      </w:divBdr>
      <w:divsChild>
        <w:div w:id="1083993287">
          <w:marLeft w:val="0"/>
          <w:marRight w:val="0"/>
          <w:marTop w:val="0"/>
          <w:marBottom w:val="0"/>
          <w:divBdr>
            <w:top w:val="none" w:sz="0" w:space="0" w:color="auto"/>
            <w:left w:val="none" w:sz="0" w:space="0" w:color="auto"/>
            <w:bottom w:val="none" w:sz="0" w:space="0" w:color="auto"/>
            <w:right w:val="none" w:sz="0" w:space="0" w:color="auto"/>
          </w:divBdr>
          <w:divsChild>
            <w:div w:id="1775785848">
              <w:marLeft w:val="0"/>
              <w:marRight w:val="0"/>
              <w:marTop w:val="0"/>
              <w:marBottom w:val="0"/>
              <w:divBdr>
                <w:top w:val="none" w:sz="0" w:space="0" w:color="auto"/>
                <w:left w:val="none" w:sz="0" w:space="0" w:color="auto"/>
                <w:bottom w:val="none" w:sz="0" w:space="0" w:color="auto"/>
                <w:right w:val="none" w:sz="0" w:space="0" w:color="auto"/>
              </w:divBdr>
              <w:divsChild>
                <w:div w:id="1893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8179">
          <w:marLeft w:val="0"/>
          <w:marRight w:val="0"/>
          <w:marTop w:val="0"/>
          <w:marBottom w:val="0"/>
          <w:divBdr>
            <w:top w:val="none" w:sz="0" w:space="0" w:color="auto"/>
            <w:left w:val="none" w:sz="0" w:space="0" w:color="auto"/>
            <w:bottom w:val="none" w:sz="0" w:space="0" w:color="auto"/>
            <w:right w:val="none" w:sz="0" w:space="0" w:color="auto"/>
          </w:divBdr>
          <w:divsChild>
            <w:div w:id="53740151">
              <w:marLeft w:val="0"/>
              <w:marRight w:val="0"/>
              <w:marTop w:val="0"/>
              <w:marBottom w:val="0"/>
              <w:divBdr>
                <w:top w:val="none" w:sz="0" w:space="0" w:color="auto"/>
                <w:left w:val="none" w:sz="0" w:space="0" w:color="auto"/>
                <w:bottom w:val="none" w:sz="0" w:space="0" w:color="auto"/>
                <w:right w:val="none" w:sz="0" w:space="0" w:color="auto"/>
              </w:divBdr>
              <w:divsChild>
                <w:div w:id="6085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4024801">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871461437">
      <w:bodyDiv w:val="1"/>
      <w:marLeft w:val="0"/>
      <w:marRight w:val="0"/>
      <w:marTop w:val="0"/>
      <w:marBottom w:val="0"/>
      <w:divBdr>
        <w:top w:val="none" w:sz="0" w:space="0" w:color="auto"/>
        <w:left w:val="none" w:sz="0" w:space="0" w:color="auto"/>
        <w:bottom w:val="none" w:sz="0" w:space="0" w:color="auto"/>
        <w:right w:val="none" w:sz="0" w:space="0" w:color="auto"/>
      </w:divBdr>
    </w:div>
    <w:div w:id="980502561">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099327233">
      <w:bodyDiv w:val="1"/>
      <w:marLeft w:val="0"/>
      <w:marRight w:val="0"/>
      <w:marTop w:val="0"/>
      <w:marBottom w:val="0"/>
      <w:divBdr>
        <w:top w:val="none" w:sz="0" w:space="0" w:color="auto"/>
        <w:left w:val="none" w:sz="0" w:space="0" w:color="auto"/>
        <w:bottom w:val="none" w:sz="0" w:space="0" w:color="auto"/>
        <w:right w:val="none" w:sz="0" w:space="0" w:color="auto"/>
      </w:divBdr>
      <w:divsChild>
        <w:div w:id="20785627">
          <w:marLeft w:val="0"/>
          <w:marRight w:val="0"/>
          <w:marTop w:val="0"/>
          <w:marBottom w:val="0"/>
          <w:divBdr>
            <w:top w:val="none" w:sz="0" w:space="0" w:color="auto"/>
            <w:left w:val="none" w:sz="0" w:space="0" w:color="auto"/>
            <w:bottom w:val="none" w:sz="0" w:space="0" w:color="auto"/>
            <w:right w:val="none" w:sz="0" w:space="0" w:color="auto"/>
          </w:divBdr>
          <w:divsChild>
            <w:div w:id="848447052">
              <w:marLeft w:val="0"/>
              <w:marRight w:val="0"/>
              <w:marTop w:val="0"/>
              <w:marBottom w:val="0"/>
              <w:divBdr>
                <w:top w:val="none" w:sz="0" w:space="0" w:color="auto"/>
                <w:left w:val="none" w:sz="0" w:space="0" w:color="auto"/>
                <w:bottom w:val="none" w:sz="0" w:space="0" w:color="auto"/>
                <w:right w:val="none" w:sz="0" w:space="0" w:color="auto"/>
              </w:divBdr>
              <w:divsChild>
                <w:div w:id="1049576731">
                  <w:marLeft w:val="0"/>
                  <w:marRight w:val="0"/>
                  <w:marTop w:val="0"/>
                  <w:marBottom w:val="0"/>
                  <w:divBdr>
                    <w:top w:val="none" w:sz="0" w:space="0" w:color="auto"/>
                    <w:left w:val="none" w:sz="0" w:space="0" w:color="auto"/>
                    <w:bottom w:val="none" w:sz="0" w:space="0" w:color="auto"/>
                    <w:right w:val="none" w:sz="0" w:space="0" w:color="auto"/>
                  </w:divBdr>
                  <w:divsChild>
                    <w:div w:id="1333803344">
                      <w:marLeft w:val="0"/>
                      <w:marRight w:val="0"/>
                      <w:marTop w:val="0"/>
                      <w:marBottom w:val="0"/>
                      <w:divBdr>
                        <w:top w:val="none" w:sz="0" w:space="0" w:color="auto"/>
                        <w:left w:val="none" w:sz="0" w:space="0" w:color="auto"/>
                        <w:bottom w:val="none" w:sz="0" w:space="0" w:color="auto"/>
                        <w:right w:val="none" w:sz="0" w:space="0" w:color="auto"/>
                      </w:divBdr>
                      <w:divsChild>
                        <w:div w:id="19431084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2958">
      <w:bodyDiv w:val="1"/>
      <w:marLeft w:val="0"/>
      <w:marRight w:val="0"/>
      <w:marTop w:val="0"/>
      <w:marBottom w:val="0"/>
      <w:divBdr>
        <w:top w:val="none" w:sz="0" w:space="0" w:color="auto"/>
        <w:left w:val="none" w:sz="0" w:space="0" w:color="auto"/>
        <w:bottom w:val="none" w:sz="0" w:space="0" w:color="auto"/>
        <w:right w:val="none" w:sz="0" w:space="0" w:color="auto"/>
      </w:divBdr>
      <w:divsChild>
        <w:div w:id="1807619332">
          <w:marLeft w:val="0"/>
          <w:marRight w:val="0"/>
          <w:marTop w:val="0"/>
          <w:marBottom w:val="0"/>
          <w:divBdr>
            <w:top w:val="none" w:sz="0" w:space="0" w:color="auto"/>
            <w:left w:val="none" w:sz="0" w:space="0" w:color="auto"/>
            <w:bottom w:val="none" w:sz="0" w:space="0" w:color="auto"/>
            <w:right w:val="none" w:sz="0" w:space="0" w:color="auto"/>
          </w:divBdr>
          <w:divsChild>
            <w:div w:id="571547816">
              <w:marLeft w:val="0"/>
              <w:marRight w:val="0"/>
              <w:marTop w:val="0"/>
              <w:marBottom w:val="0"/>
              <w:divBdr>
                <w:top w:val="none" w:sz="0" w:space="0" w:color="auto"/>
                <w:left w:val="none" w:sz="0" w:space="0" w:color="auto"/>
                <w:bottom w:val="none" w:sz="0" w:space="0" w:color="auto"/>
                <w:right w:val="none" w:sz="0" w:space="0" w:color="auto"/>
              </w:divBdr>
              <w:divsChild>
                <w:div w:id="1018626426">
                  <w:marLeft w:val="0"/>
                  <w:marRight w:val="0"/>
                  <w:marTop w:val="0"/>
                  <w:marBottom w:val="0"/>
                  <w:divBdr>
                    <w:top w:val="none" w:sz="0" w:space="0" w:color="auto"/>
                    <w:left w:val="none" w:sz="0" w:space="0" w:color="auto"/>
                    <w:bottom w:val="none" w:sz="0" w:space="0" w:color="auto"/>
                    <w:right w:val="none" w:sz="0" w:space="0" w:color="auto"/>
                  </w:divBdr>
                  <w:divsChild>
                    <w:div w:id="1487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37898">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45852874">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05630892">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21227112">
      <w:bodyDiv w:val="1"/>
      <w:marLeft w:val="0"/>
      <w:marRight w:val="0"/>
      <w:marTop w:val="0"/>
      <w:marBottom w:val="0"/>
      <w:divBdr>
        <w:top w:val="none" w:sz="0" w:space="0" w:color="auto"/>
        <w:left w:val="none" w:sz="0" w:space="0" w:color="auto"/>
        <w:bottom w:val="none" w:sz="0" w:space="0" w:color="auto"/>
        <w:right w:val="none" w:sz="0" w:space="0" w:color="auto"/>
      </w:divBdr>
    </w:div>
    <w:div w:id="1338386776">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383098725">
      <w:bodyDiv w:val="1"/>
      <w:marLeft w:val="0"/>
      <w:marRight w:val="0"/>
      <w:marTop w:val="0"/>
      <w:marBottom w:val="0"/>
      <w:divBdr>
        <w:top w:val="none" w:sz="0" w:space="0" w:color="auto"/>
        <w:left w:val="none" w:sz="0" w:space="0" w:color="auto"/>
        <w:bottom w:val="none" w:sz="0" w:space="0" w:color="auto"/>
        <w:right w:val="none" w:sz="0" w:space="0" w:color="auto"/>
      </w:divBdr>
    </w:div>
    <w:div w:id="1473477607">
      <w:bodyDiv w:val="1"/>
      <w:marLeft w:val="0"/>
      <w:marRight w:val="0"/>
      <w:marTop w:val="0"/>
      <w:marBottom w:val="0"/>
      <w:divBdr>
        <w:top w:val="none" w:sz="0" w:space="0" w:color="auto"/>
        <w:left w:val="none" w:sz="0" w:space="0" w:color="auto"/>
        <w:bottom w:val="none" w:sz="0" w:space="0" w:color="auto"/>
        <w:right w:val="none" w:sz="0" w:space="0" w:color="auto"/>
      </w:divBdr>
      <w:divsChild>
        <w:div w:id="1589925443">
          <w:marLeft w:val="0"/>
          <w:marRight w:val="0"/>
          <w:marTop w:val="0"/>
          <w:marBottom w:val="0"/>
          <w:divBdr>
            <w:top w:val="none" w:sz="0" w:space="0" w:color="auto"/>
            <w:left w:val="none" w:sz="0" w:space="0" w:color="auto"/>
            <w:bottom w:val="none" w:sz="0" w:space="0" w:color="auto"/>
            <w:right w:val="none" w:sz="0" w:space="0" w:color="auto"/>
          </w:divBdr>
          <w:divsChild>
            <w:div w:id="993527217">
              <w:marLeft w:val="0"/>
              <w:marRight w:val="0"/>
              <w:marTop w:val="0"/>
              <w:marBottom w:val="0"/>
              <w:divBdr>
                <w:top w:val="none" w:sz="0" w:space="0" w:color="auto"/>
                <w:left w:val="none" w:sz="0" w:space="0" w:color="auto"/>
                <w:bottom w:val="none" w:sz="0" w:space="0" w:color="auto"/>
                <w:right w:val="none" w:sz="0" w:space="0" w:color="auto"/>
              </w:divBdr>
              <w:divsChild>
                <w:div w:id="507714316">
                  <w:marLeft w:val="0"/>
                  <w:marRight w:val="0"/>
                  <w:marTop w:val="0"/>
                  <w:marBottom w:val="0"/>
                  <w:divBdr>
                    <w:top w:val="none" w:sz="0" w:space="0" w:color="auto"/>
                    <w:left w:val="none" w:sz="0" w:space="0" w:color="auto"/>
                    <w:bottom w:val="none" w:sz="0" w:space="0" w:color="auto"/>
                    <w:right w:val="none" w:sz="0" w:space="0" w:color="auto"/>
                  </w:divBdr>
                  <w:divsChild>
                    <w:div w:id="502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77742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36145564">
      <w:bodyDiv w:val="1"/>
      <w:marLeft w:val="0"/>
      <w:marRight w:val="0"/>
      <w:marTop w:val="0"/>
      <w:marBottom w:val="0"/>
      <w:divBdr>
        <w:top w:val="none" w:sz="0" w:space="0" w:color="auto"/>
        <w:left w:val="none" w:sz="0" w:space="0" w:color="auto"/>
        <w:bottom w:val="none" w:sz="0" w:space="0" w:color="auto"/>
        <w:right w:val="none" w:sz="0" w:space="0" w:color="auto"/>
      </w:divBdr>
    </w:div>
    <w:div w:id="1903635541">
      <w:bodyDiv w:val="1"/>
      <w:marLeft w:val="0"/>
      <w:marRight w:val="0"/>
      <w:marTop w:val="0"/>
      <w:marBottom w:val="0"/>
      <w:divBdr>
        <w:top w:val="none" w:sz="0" w:space="0" w:color="auto"/>
        <w:left w:val="none" w:sz="0" w:space="0" w:color="auto"/>
        <w:bottom w:val="none" w:sz="0" w:space="0" w:color="auto"/>
        <w:right w:val="none" w:sz="0" w:space="0" w:color="auto"/>
      </w:divBdr>
      <w:divsChild>
        <w:div w:id="656811691">
          <w:marLeft w:val="0"/>
          <w:marRight w:val="0"/>
          <w:marTop w:val="0"/>
          <w:marBottom w:val="0"/>
          <w:divBdr>
            <w:top w:val="none" w:sz="0" w:space="0" w:color="auto"/>
            <w:left w:val="none" w:sz="0" w:space="0" w:color="auto"/>
            <w:bottom w:val="none" w:sz="0" w:space="0" w:color="auto"/>
            <w:right w:val="none" w:sz="0" w:space="0" w:color="auto"/>
          </w:divBdr>
          <w:divsChild>
            <w:div w:id="627511008">
              <w:marLeft w:val="0"/>
              <w:marRight w:val="0"/>
              <w:marTop w:val="0"/>
              <w:marBottom w:val="0"/>
              <w:divBdr>
                <w:top w:val="none" w:sz="0" w:space="0" w:color="auto"/>
                <w:left w:val="none" w:sz="0" w:space="0" w:color="auto"/>
                <w:bottom w:val="none" w:sz="0" w:space="0" w:color="auto"/>
                <w:right w:val="none" w:sz="0" w:space="0" w:color="auto"/>
              </w:divBdr>
              <w:divsChild>
                <w:div w:id="18989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 w:id="213224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AEB8-AF9A-C244-89CF-E795A213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16084</Words>
  <Characters>85728</Characters>
  <Application>Microsoft Office Word</Application>
  <DocSecurity>0</DocSecurity>
  <Lines>1318</Lines>
  <Paragraphs>291</Paragraphs>
  <ScaleCrop>false</ScaleCrop>
  <HeadingPairs>
    <vt:vector size="2" baseType="variant">
      <vt:variant>
        <vt:lpstr>Title</vt:lpstr>
      </vt:variant>
      <vt:variant>
        <vt:i4>1</vt:i4>
      </vt:variant>
    </vt:vector>
  </HeadingPairs>
  <TitlesOfParts>
    <vt:vector size="1" baseType="lpstr">
      <vt:lpstr>Report No. 456/21</vt:lpstr>
    </vt:vector>
  </TitlesOfParts>
  <Company/>
  <LinksUpToDate>false</LinksUpToDate>
  <CharactersWithSpaces>101521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456/21</dc:title>
  <dc:creator/>
  <cp:lastModifiedBy/>
  <cp:revision>1</cp:revision>
  <dcterms:created xsi:type="dcterms:W3CDTF">2022-04-04T17:51:00Z</dcterms:created>
  <dcterms:modified xsi:type="dcterms:W3CDTF">2022-04-04T18:02:00Z</dcterms:modified>
</cp:coreProperties>
</file>