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59DC9D65" w:rsidR="00040C3A" w:rsidRPr="00FB36E4" w:rsidRDefault="00D306D1" w:rsidP="00627C9F">
      <w:pPr>
        <w:jc w:val="both"/>
        <w:rPr>
          <w:rFonts w:asciiTheme="majorHAnsi" w:hAnsiTheme="majorHAnsi" w:cs="Univers"/>
          <w:b/>
          <w:bCs/>
          <w:sz w:val="22"/>
          <w:szCs w:val="22"/>
        </w:rPr>
      </w:pPr>
      <w:r w:rsidRPr="00FB36E4">
        <w:rPr>
          <w:rFonts w:asciiTheme="majorHAnsi" w:hAnsiTheme="majorHAnsi"/>
          <w:noProof/>
          <w:sz w:val="22"/>
          <w:szCs w:val="22"/>
          <w:lang w:eastAsia="es-EC"/>
        </w:rPr>
        <mc:AlternateContent>
          <mc:Choice Requires="wps">
            <w:drawing>
              <wp:anchor distT="0" distB="0" distL="114300" distR="114300" simplePos="0" relativeHeight="251661311" behindDoc="0" locked="0" layoutInCell="1" allowOverlap="1" wp14:anchorId="179A3F0F" wp14:editId="0564BAA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A78A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CcpXsCggIAAGAFAAAOAAAAAAAAAAAAAAAAAC4CAABkcnMvZTJvRG9jLnhtbFBLAQItABQABgAI&#10;AAAAIQDe1zvO5AAAAAwBAAAPAAAAAAAAAAAAAAAAANwEAABkcnMvZG93bnJldi54bWxQSwUGAAAA&#10;AAQABADzAAAA7QUAAAAA&#10;" fillcolor="#67ae3c" stroked="f" strokeweight="2pt"/>
            </w:pict>
          </mc:Fallback>
        </mc:AlternateContent>
      </w:r>
      <w:r w:rsidR="003E6CA1" w:rsidRPr="00FB36E4">
        <w:rPr>
          <w:rFonts w:asciiTheme="majorHAnsi" w:hAnsiTheme="majorHAnsi"/>
          <w:noProof/>
          <w:sz w:val="22"/>
          <w:szCs w:val="22"/>
          <w:lang w:eastAsia="es-EC"/>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107599" w:rsidRDefault="00107599" w:rsidP="00AE5488">
                            <w:r>
                              <w:rPr>
                                <w:noProof/>
                                <w:lang w:val="es-EC" w:eastAsia="es-EC"/>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107599" w:rsidRDefault="00107599" w:rsidP="00AE5488">
                      <w:r>
                        <w:rPr>
                          <w:noProof/>
                          <w:lang w:val="es-EC" w:eastAsia="es-EC"/>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4F0B6D" w:rsidRPr="00FB36E4">
        <w:rPr>
          <w:rFonts w:asciiTheme="majorHAnsi" w:hAnsiTheme="majorHAnsi" w:cs="Univers"/>
          <w:b/>
          <w:bCs/>
          <w:sz w:val="22"/>
          <w:szCs w:val="22"/>
        </w:rPr>
        <w:t>4</w:t>
      </w:r>
    </w:p>
    <w:p w14:paraId="47386BAF" w14:textId="77777777" w:rsidR="00040C3A" w:rsidRPr="00FB36E4" w:rsidRDefault="00040C3A" w:rsidP="00040C3A">
      <w:pPr>
        <w:tabs>
          <w:tab w:val="center" w:pos="5400"/>
        </w:tabs>
        <w:suppressAutoHyphens/>
        <w:jc w:val="both"/>
        <w:rPr>
          <w:rFonts w:asciiTheme="majorHAnsi" w:hAnsiTheme="majorHAnsi"/>
          <w:sz w:val="22"/>
          <w:szCs w:val="22"/>
        </w:rPr>
      </w:pPr>
    </w:p>
    <w:p w14:paraId="5A87E141" w14:textId="77777777" w:rsidR="00040C3A" w:rsidRPr="00FB36E4" w:rsidRDefault="00040C3A" w:rsidP="00040C3A">
      <w:pPr>
        <w:tabs>
          <w:tab w:val="center" w:pos="5400"/>
        </w:tabs>
        <w:suppressAutoHyphens/>
        <w:jc w:val="both"/>
        <w:rPr>
          <w:rFonts w:asciiTheme="majorHAnsi" w:hAnsiTheme="majorHAnsi"/>
          <w:sz w:val="22"/>
          <w:szCs w:val="22"/>
        </w:rPr>
      </w:pPr>
    </w:p>
    <w:p w14:paraId="29D95BCC" w14:textId="77777777" w:rsidR="005128E4" w:rsidRPr="00FB36E4" w:rsidRDefault="005128E4" w:rsidP="00040C3A">
      <w:pPr>
        <w:tabs>
          <w:tab w:val="center" w:pos="5400"/>
        </w:tabs>
        <w:suppressAutoHyphens/>
        <w:rPr>
          <w:rFonts w:asciiTheme="majorHAnsi" w:hAnsiTheme="majorHAnsi"/>
          <w:sz w:val="22"/>
          <w:szCs w:val="22"/>
        </w:rPr>
      </w:pPr>
    </w:p>
    <w:p w14:paraId="12A36B24" w14:textId="77777777" w:rsidR="005128E4" w:rsidRPr="00FB36E4" w:rsidRDefault="005128E4" w:rsidP="00040C3A">
      <w:pPr>
        <w:tabs>
          <w:tab w:val="center" w:pos="5400"/>
        </w:tabs>
        <w:suppressAutoHyphens/>
        <w:rPr>
          <w:rFonts w:asciiTheme="majorHAnsi" w:hAnsiTheme="majorHAnsi"/>
          <w:sz w:val="22"/>
          <w:szCs w:val="22"/>
        </w:rPr>
      </w:pPr>
    </w:p>
    <w:p w14:paraId="2252093D" w14:textId="77777777" w:rsidR="005128E4" w:rsidRPr="00FB36E4" w:rsidRDefault="005128E4" w:rsidP="00040C3A">
      <w:pPr>
        <w:tabs>
          <w:tab w:val="center" w:pos="5400"/>
        </w:tabs>
        <w:suppressAutoHyphens/>
        <w:rPr>
          <w:rFonts w:asciiTheme="majorHAnsi" w:hAnsiTheme="majorHAnsi"/>
          <w:sz w:val="22"/>
          <w:szCs w:val="22"/>
        </w:rPr>
      </w:pPr>
    </w:p>
    <w:p w14:paraId="403935BD" w14:textId="77777777" w:rsidR="00040C3A" w:rsidRPr="00FB36E4" w:rsidRDefault="00040C3A" w:rsidP="005128E4">
      <w:pPr>
        <w:tabs>
          <w:tab w:val="center" w:pos="5400"/>
        </w:tabs>
        <w:suppressAutoHyphens/>
        <w:jc w:val="center"/>
        <w:rPr>
          <w:rFonts w:asciiTheme="majorHAnsi" w:hAnsiTheme="majorHAnsi"/>
          <w:sz w:val="22"/>
          <w:szCs w:val="22"/>
        </w:rPr>
      </w:pPr>
    </w:p>
    <w:p w14:paraId="6DCF5F8F" w14:textId="77777777" w:rsidR="00040C3A" w:rsidRPr="00FB36E4" w:rsidRDefault="00040C3A" w:rsidP="005128E4">
      <w:pPr>
        <w:tabs>
          <w:tab w:val="center" w:pos="5400"/>
        </w:tabs>
        <w:suppressAutoHyphens/>
        <w:jc w:val="center"/>
        <w:rPr>
          <w:rFonts w:asciiTheme="majorHAnsi" w:hAnsiTheme="majorHAnsi"/>
          <w:sz w:val="22"/>
          <w:szCs w:val="22"/>
        </w:rPr>
      </w:pPr>
    </w:p>
    <w:p w14:paraId="4791F13A" w14:textId="77777777" w:rsidR="005B52B0" w:rsidRPr="00FB36E4" w:rsidRDefault="005B52B0" w:rsidP="005128E4">
      <w:pPr>
        <w:tabs>
          <w:tab w:val="center" w:pos="5400"/>
        </w:tabs>
        <w:suppressAutoHyphens/>
        <w:jc w:val="center"/>
        <w:rPr>
          <w:rFonts w:asciiTheme="majorHAnsi" w:hAnsiTheme="majorHAnsi"/>
          <w:sz w:val="22"/>
          <w:szCs w:val="22"/>
        </w:rPr>
      </w:pPr>
    </w:p>
    <w:p w14:paraId="44E016B6" w14:textId="77777777" w:rsidR="005B52B0" w:rsidRPr="00FB36E4" w:rsidRDefault="005B52B0" w:rsidP="005128E4">
      <w:pPr>
        <w:tabs>
          <w:tab w:val="center" w:pos="5400"/>
        </w:tabs>
        <w:suppressAutoHyphens/>
        <w:jc w:val="center"/>
        <w:rPr>
          <w:rFonts w:asciiTheme="majorHAnsi" w:hAnsiTheme="majorHAnsi"/>
          <w:sz w:val="22"/>
          <w:szCs w:val="22"/>
        </w:rPr>
      </w:pPr>
    </w:p>
    <w:p w14:paraId="63D41962" w14:textId="77777777" w:rsidR="005B52B0" w:rsidRPr="00FB36E4" w:rsidRDefault="005B52B0" w:rsidP="005128E4">
      <w:pPr>
        <w:tabs>
          <w:tab w:val="center" w:pos="5400"/>
        </w:tabs>
        <w:suppressAutoHyphens/>
        <w:jc w:val="center"/>
        <w:rPr>
          <w:rFonts w:asciiTheme="majorHAnsi" w:hAnsiTheme="majorHAnsi"/>
          <w:sz w:val="22"/>
          <w:szCs w:val="22"/>
        </w:rPr>
      </w:pPr>
    </w:p>
    <w:p w14:paraId="5ADEB990" w14:textId="77777777" w:rsidR="00040C3A" w:rsidRPr="00FB36E4" w:rsidRDefault="00040C3A" w:rsidP="00040C3A">
      <w:pPr>
        <w:tabs>
          <w:tab w:val="center" w:pos="5400"/>
        </w:tabs>
        <w:suppressAutoHyphens/>
        <w:jc w:val="center"/>
        <w:rPr>
          <w:rFonts w:asciiTheme="majorHAnsi" w:hAnsiTheme="majorHAnsi"/>
          <w:sz w:val="22"/>
          <w:szCs w:val="22"/>
        </w:rPr>
      </w:pPr>
    </w:p>
    <w:p w14:paraId="2D81B7E8" w14:textId="77777777" w:rsidR="00040C3A" w:rsidRPr="00FB36E4" w:rsidRDefault="00040C3A" w:rsidP="00040C3A">
      <w:pPr>
        <w:tabs>
          <w:tab w:val="center" w:pos="5400"/>
        </w:tabs>
        <w:suppressAutoHyphens/>
        <w:jc w:val="center"/>
        <w:rPr>
          <w:rFonts w:asciiTheme="majorHAnsi" w:hAnsiTheme="majorHAnsi"/>
          <w:sz w:val="22"/>
          <w:szCs w:val="22"/>
        </w:rPr>
      </w:pPr>
    </w:p>
    <w:p w14:paraId="64791D04" w14:textId="77777777" w:rsidR="00040C3A" w:rsidRPr="00FB36E4" w:rsidRDefault="003D3BC2" w:rsidP="00040C3A">
      <w:pPr>
        <w:tabs>
          <w:tab w:val="center" w:pos="5400"/>
        </w:tabs>
        <w:suppressAutoHyphens/>
        <w:jc w:val="center"/>
        <w:rPr>
          <w:rFonts w:asciiTheme="majorHAnsi" w:hAnsiTheme="majorHAnsi"/>
          <w:sz w:val="22"/>
          <w:szCs w:val="22"/>
        </w:rPr>
      </w:pPr>
      <w:r w:rsidRPr="00FB36E4">
        <w:rPr>
          <w:rFonts w:asciiTheme="majorHAnsi" w:hAnsiTheme="majorHAnsi"/>
          <w:noProof/>
          <w:sz w:val="22"/>
          <w:szCs w:val="22"/>
          <w:lang w:eastAsia="es-EC"/>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EB6B193" w:rsidR="00107599" w:rsidRPr="001D604E" w:rsidRDefault="00107599" w:rsidP="00997BC5">
                            <w:pPr>
                              <w:spacing w:line="276" w:lineRule="auto"/>
                              <w:rPr>
                                <w:rFonts w:asciiTheme="majorHAnsi" w:hAnsiTheme="majorHAnsi" w:cs="Arial"/>
                                <w:b/>
                                <w:bCs/>
                                <w:color w:val="0D0D0D" w:themeColor="text1" w:themeTint="F2"/>
                                <w:sz w:val="36"/>
                                <w:szCs w:val="22"/>
                              </w:rPr>
                            </w:pPr>
                            <w:r w:rsidRPr="001D604E">
                              <w:rPr>
                                <w:rFonts w:asciiTheme="majorHAnsi" w:hAnsiTheme="majorHAnsi" w:cs="Arial"/>
                                <w:b/>
                                <w:bCs/>
                                <w:color w:val="0D0D0D" w:themeColor="text1" w:themeTint="F2"/>
                                <w:sz w:val="36"/>
                                <w:szCs w:val="22"/>
                              </w:rPr>
                              <w:t xml:space="preserve">REPORT </w:t>
                            </w:r>
                            <w:r w:rsidRPr="001D604E">
                              <w:rPr>
                                <w:rFonts w:asciiTheme="majorHAnsi" w:hAnsiTheme="majorHAnsi" w:cs="Arial"/>
                                <w:b/>
                                <w:bCs/>
                                <w:color w:val="0D0D0D" w:themeColor="text1" w:themeTint="F2"/>
                                <w:sz w:val="36"/>
                                <w:szCs w:val="40"/>
                              </w:rPr>
                              <w:t>No.</w:t>
                            </w:r>
                            <w:r w:rsidRPr="001D604E">
                              <w:rPr>
                                <w:rFonts w:asciiTheme="majorHAnsi" w:hAnsiTheme="majorHAnsi" w:cs="Arial"/>
                                <w:b/>
                                <w:bCs/>
                                <w:color w:val="0D0D0D" w:themeColor="text1" w:themeTint="F2"/>
                                <w:sz w:val="36"/>
                                <w:szCs w:val="22"/>
                              </w:rPr>
                              <w:t xml:space="preserve"> </w:t>
                            </w:r>
                            <w:r w:rsidR="00241E37">
                              <w:rPr>
                                <w:rFonts w:asciiTheme="majorHAnsi" w:hAnsiTheme="majorHAnsi" w:cs="Arial"/>
                                <w:b/>
                                <w:bCs/>
                                <w:color w:val="0D0D0D" w:themeColor="text1" w:themeTint="F2"/>
                                <w:sz w:val="36"/>
                                <w:szCs w:val="22"/>
                              </w:rPr>
                              <w:t>225</w:t>
                            </w:r>
                            <w:r w:rsidRPr="001D604E">
                              <w:rPr>
                                <w:rFonts w:asciiTheme="majorHAnsi" w:hAnsiTheme="majorHAnsi" w:cs="Arial"/>
                                <w:b/>
                                <w:bCs/>
                                <w:color w:val="0D0D0D" w:themeColor="text1" w:themeTint="F2"/>
                                <w:sz w:val="36"/>
                                <w:szCs w:val="22"/>
                              </w:rPr>
                              <w:t>/22</w:t>
                            </w:r>
                          </w:p>
                          <w:p w14:paraId="09C54AB3" w14:textId="0299A38B" w:rsidR="00107599" w:rsidRPr="001D604E" w:rsidRDefault="00107599" w:rsidP="00997BC5">
                            <w:pPr>
                              <w:spacing w:line="276" w:lineRule="auto"/>
                              <w:rPr>
                                <w:rFonts w:asciiTheme="majorHAnsi" w:hAnsiTheme="majorHAnsi" w:cs="Arial"/>
                                <w:b/>
                                <w:color w:val="0D0D0D" w:themeColor="text1" w:themeTint="F2"/>
                                <w:sz w:val="36"/>
                                <w:szCs w:val="22"/>
                              </w:rPr>
                            </w:pPr>
                            <w:r w:rsidRPr="001D604E">
                              <w:rPr>
                                <w:rFonts w:asciiTheme="majorHAnsi" w:hAnsiTheme="majorHAnsi" w:cs="Arial"/>
                                <w:b/>
                                <w:color w:val="0D0D0D" w:themeColor="text1" w:themeTint="F2"/>
                                <w:sz w:val="36"/>
                                <w:szCs w:val="22"/>
                              </w:rPr>
                              <w:t>PETITION 2356-12</w:t>
                            </w:r>
                          </w:p>
                          <w:p w14:paraId="70CF6833" w14:textId="1A553ABA" w:rsidR="00107599" w:rsidRPr="001D604E" w:rsidRDefault="00107599" w:rsidP="00997BC5">
                            <w:pPr>
                              <w:spacing w:line="276" w:lineRule="auto"/>
                              <w:rPr>
                                <w:rFonts w:asciiTheme="majorHAnsi" w:hAnsiTheme="majorHAnsi" w:cs="Arial"/>
                                <w:color w:val="0D0D0D" w:themeColor="text1" w:themeTint="F2"/>
                                <w:szCs w:val="22"/>
                              </w:rPr>
                            </w:pPr>
                            <w:r w:rsidRPr="001D604E">
                              <w:rPr>
                                <w:rFonts w:asciiTheme="majorHAnsi" w:hAnsiTheme="majorHAnsi" w:cs="Arial"/>
                                <w:color w:val="0D0D0D" w:themeColor="text1" w:themeTint="F2"/>
                                <w:szCs w:val="22"/>
                              </w:rPr>
                              <w:t>ADMISSIBILITY REPORT</w:t>
                            </w:r>
                          </w:p>
                          <w:p w14:paraId="5FDD6F0D" w14:textId="77777777" w:rsidR="00107599" w:rsidRPr="001D604E" w:rsidRDefault="00107599" w:rsidP="00997BC5">
                            <w:pPr>
                              <w:spacing w:line="276" w:lineRule="auto"/>
                              <w:rPr>
                                <w:rFonts w:asciiTheme="majorHAnsi" w:hAnsiTheme="majorHAnsi" w:cs="Arial"/>
                                <w:color w:val="0D0D0D" w:themeColor="text1" w:themeTint="F2"/>
                                <w:szCs w:val="22"/>
                              </w:rPr>
                            </w:pPr>
                            <w:bookmarkStart w:id="0" w:name="_ftnref1"/>
                          </w:p>
                          <w:p w14:paraId="4CFA2FBF" w14:textId="5CDF9FD6" w:rsidR="00107599" w:rsidRPr="001D604E" w:rsidRDefault="00107599" w:rsidP="00997BC5">
                            <w:pPr>
                              <w:spacing w:line="276" w:lineRule="auto"/>
                              <w:rPr>
                                <w:rFonts w:asciiTheme="majorHAnsi" w:hAnsiTheme="majorHAnsi" w:cs="Arial"/>
                                <w:color w:val="0D0D0D" w:themeColor="text1" w:themeTint="F2"/>
                                <w:szCs w:val="22"/>
                              </w:rPr>
                            </w:pPr>
                            <w:r w:rsidRPr="001D604E">
                              <w:rPr>
                                <w:rFonts w:asciiTheme="majorHAnsi" w:hAnsiTheme="majorHAnsi" w:cs="Arial"/>
                                <w:color w:val="0D0D0D" w:themeColor="text1" w:themeTint="F2"/>
                                <w:szCs w:val="22"/>
                              </w:rPr>
                              <w:t>VÍCTOR MANUEL IRUEGAS GARCÍA</w:t>
                            </w:r>
                          </w:p>
                          <w:bookmarkEnd w:id="0"/>
                          <w:p w14:paraId="575DFD52" w14:textId="5DB68AE4" w:rsidR="00107599" w:rsidRPr="00AE5488" w:rsidRDefault="00107599" w:rsidP="007A5817">
                            <w:pPr>
                              <w:rPr>
                                <w:color w:val="0D0D0D" w:themeColor="text1" w:themeTint="F2"/>
                                <w:lang w:val="es-ES_tradnl"/>
                              </w:rPr>
                            </w:pPr>
                            <w:r>
                              <w:rPr>
                                <w:rFonts w:asciiTheme="majorHAnsi" w:hAnsiTheme="majorHAnsi" w:cs="Arial"/>
                                <w:color w:val="0D0D0D" w:themeColor="text1" w:themeTint="F2"/>
                                <w:szCs w:val="22"/>
                                <w:lang w:val="es-ES_tradnl"/>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6EB6B193" w:rsidR="00107599" w:rsidRPr="001D604E" w:rsidRDefault="00107599" w:rsidP="00997BC5">
                      <w:pPr>
                        <w:spacing w:line="276" w:lineRule="auto"/>
                        <w:rPr>
                          <w:rFonts w:asciiTheme="majorHAnsi" w:hAnsiTheme="majorHAnsi" w:cs="Arial"/>
                          <w:b/>
                          <w:bCs/>
                          <w:color w:val="0D0D0D" w:themeColor="text1" w:themeTint="F2"/>
                          <w:sz w:val="36"/>
                          <w:szCs w:val="22"/>
                        </w:rPr>
                      </w:pPr>
                      <w:r w:rsidRPr="001D604E">
                        <w:rPr>
                          <w:rFonts w:asciiTheme="majorHAnsi" w:hAnsiTheme="majorHAnsi" w:cs="Arial"/>
                          <w:b/>
                          <w:bCs/>
                          <w:color w:val="0D0D0D" w:themeColor="text1" w:themeTint="F2"/>
                          <w:sz w:val="36"/>
                          <w:szCs w:val="22"/>
                        </w:rPr>
                        <w:t xml:space="preserve">REPORT </w:t>
                      </w:r>
                      <w:r w:rsidRPr="001D604E">
                        <w:rPr>
                          <w:rFonts w:asciiTheme="majorHAnsi" w:hAnsiTheme="majorHAnsi" w:cs="Arial"/>
                          <w:b/>
                          <w:bCs/>
                          <w:color w:val="0D0D0D" w:themeColor="text1" w:themeTint="F2"/>
                          <w:sz w:val="36"/>
                          <w:szCs w:val="40"/>
                        </w:rPr>
                        <w:t>No.</w:t>
                      </w:r>
                      <w:r w:rsidRPr="001D604E">
                        <w:rPr>
                          <w:rFonts w:asciiTheme="majorHAnsi" w:hAnsiTheme="majorHAnsi" w:cs="Arial"/>
                          <w:b/>
                          <w:bCs/>
                          <w:color w:val="0D0D0D" w:themeColor="text1" w:themeTint="F2"/>
                          <w:sz w:val="36"/>
                          <w:szCs w:val="22"/>
                        </w:rPr>
                        <w:t xml:space="preserve"> </w:t>
                      </w:r>
                      <w:r w:rsidR="00241E37">
                        <w:rPr>
                          <w:rFonts w:asciiTheme="majorHAnsi" w:hAnsiTheme="majorHAnsi" w:cs="Arial"/>
                          <w:b/>
                          <w:bCs/>
                          <w:color w:val="0D0D0D" w:themeColor="text1" w:themeTint="F2"/>
                          <w:sz w:val="36"/>
                          <w:szCs w:val="22"/>
                        </w:rPr>
                        <w:t>225</w:t>
                      </w:r>
                      <w:r w:rsidRPr="001D604E">
                        <w:rPr>
                          <w:rFonts w:asciiTheme="majorHAnsi" w:hAnsiTheme="majorHAnsi" w:cs="Arial"/>
                          <w:b/>
                          <w:bCs/>
                          <w:color w:val="0D0D0D" w:themeColor="text1" w:themeTint="F2"/>
                          <w:sz w:val="36"/>
                          <w:szCs w:val="22"/>
                        </w:rPr>
                        <w:t>/22</w:t>
                      </w:r>
                    </w:p>
                    <w:p w14:paraId="09C54AB3" w14:textId="0299A38B" w:rsidR="00107599" w:rsidRPr="001D604E" w:rsidRDefault="00107599" w:rsidP="00997BC5">
                      <w:pPr>
                        <w:spacing w:line="276" w:lineRule="auto"/>
                        <w:rPr>
                          <w:rFonts w:asciiTheme="majorHAnsi" w:hAnsiTheme="majorHAnsi" w:cs="Arial"/>
                          <w:b/>
                          <w:color w:val="0D0D0D" w:themeColor="text1" w:themeTint="F2"/>
                          <w:sz w:val="36"/>
                          <w:szCs w:val="22"/>
                        </w:rPr>
                      </w:pPr>
                      <w:r w:rsidRPr="001D604E">
                        <w:rPr>
                          <w:rFonts w:asciiTheme="majorHAnsi" w:hAnsiTheme="majorHAnsi" w:cs="Arial"/>
                          <w:b/>
                          <w:color w:val="0D0D0D" w:themeColor="text1" w:themeTint="F2"/>
                          <w:sz w:val="36"/>
                          <w:szCs w:val="22"/>
                        </w:rPr>
                        <w:t>PETITION 2356-12</w:t>
                      </w:r>
                    </w:p>
                    <w:p w14:paraId="70CF6833" w14:textId="1A553ABA" w:rsidR="00107599" w:rsidRPr="001D604E" w:rsidRDefault="00107599" w:rsidP="00997BC5">
                      <w:pPr>
                        <w:spacing w:line="276" w:lineRule="auto"/>
                        <w:rPr>
                          <w:rFonts w:asciiTheme="majorHAnsi" w:hAnsiTheme="majorHAnsi" w:cs="Arial"/>
                          <w:color w:val="0D0D0D" w:themeColor="text1" w:themeTint="F2"/>
                          <w:szCs w:val="22"/>
                        </w:rPr>
                      </w:pPr>
                      <w:r w:rsidRPr="001D604E">
                        <w:rPr>
                          <w:rFonts w:asciiTheme="majorHAnsi" w:hAnsiTheme="majorHAnsi" w:cs="Arial"/>
                          <w:color w:val="0D0D0D" w:themeColor="text1" w:themeTint="F2"/>
                          <w:szCs w:val="22"/>
                        </w:rPr>
                        <w:t>ADMISSIBILITY REPORT</w:t>
                      </w:r>
                    </w:p>
                    <w:p w14:paraId="5FDD6F0D" w14:textId="77777777" w:rsidR="00107599" w:rsidRPr="001D604E" w:rsidRDefault="00107599" w:rsidP="00997BC5">
                      <w:pPr>
                        <w:spacing w:line="276" w:lineRule="auto"/>
                        <w:rPr>
                          <w:rFonts w:asciiTheme="majorHAnsi" w:hAnsiTheme="majorHAnsi" w:cs="Arial"/>
                          <w:color w:val="0D0D0D" w:themeColor="text1" w:themeTint="F2"/>
                          <w:szCs w:val="22"/>
                        </w:rPr>
                      </w:pPr>
                      <w:bookmarkStart w:id="1" w:name="_ftnref1"/>
                    </w:p>
                    <w:p w14:paraId="4CFA2FBF" w14:textId="5CDF9FD6" w:rsidR="00107599" w:rsidRPr="001D604E" w:rsidRDefault="00107599" w:rsidP="00997BC5">
                      <w:pPr>
                        <w:spacing w:line="276" w:lineRule="auto"/>
                        <w:rPr>
                          <w:rFonts w:asciiTheme="majorHAnsi" w:hAnsiTheme="majorHAnsi" w:cs="Arial"/>
                          <w:color w:val="0D0D0D" w:themeColor="text1" w:themeTint="F2"/>
                          <w:szCs w:val="22"/>
                        </w:rPr>
                      </w:pPr>
                      <w:r w:rsidRPr="001D604E">
                        <w:rPr>
                          <w:rFonts w:asciiTheme="majorHAnsi" w:hAnsiTheme="majorHAnsi" w:cs="Arial"/>
                          <w:color w:val="0D0D0D" w:themeColor="text1" w:themeTint="F2"/>
                          <w:szCs w:val="22"/>
                        </w:rPr>
                        <w:t>VÍCTOR MANUEL IRUEGAS GARCÍA</w:t>
                      </w:r>
                    </w:p>
                    <w:bookmarkEnd w:id="1"/>
                    <w:p w14:paraId="575DFD52" w14:textId="5DB68AE4" w:rsidR="00107599" w:rsidRPr="00AE5488" w:rsidRDefault="00107599" w:rsidP="007A5817">
                      <w:pPr>
                        <w:rPr>
                          <w:color w:val="0D0D0D" w:themeColor="text1" w:themeTint="F2"/>
                          <w:lang w:val="es-ES_tradnl"/>
                        </w:rPr>
                      </w:pPr>
                      <w:r>
                        <w:rPr>
                          <w:rFonts w:asciiTheme="majorHAnsi" w:hAnsiTheme="majorHAnsi" w:cs="Arial"/>
                          <w:color w:val="0D0D0D" w:themeColor="text1" w:themeTint="F2"/>
                          <w:szCs w:val="22"/>
                          <w:lang w:val="es-ES_tradnl"/>
                        </w:rPr>
                        <w:t>MEXICO</w:t>
                      </w:r>
                    </w:p>
                  </w:txbxContent>
                </v:textbox>
              </v:shape>
            </w:pict>
          </mc:Fallback>
        </mc:AlternateContent>
      </w:r>
      <w:r w:rsidR="004E2649" w:rsidRPr="00FB36E4">
        <w:rPr>
          <w:rFonts w:asciiTheme="majorHAnsi" w:hAnsiTheme="majorHAnsi"/>
          <w:noProof/>
          <w:sz w:val="22"/>
          <w:szCs w:val="22"/>
          <w:lang w:eastAsia="es-EC"/>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4BB2A71" w:rsidR="00107599" w:rsidRPr="00010A9B" w:rsidRDefault="00107599" w:rsidP="007A5817">
                            <w:pPr>
                              <w:spacing w:line="276" w:lineRule="auto"/>
                              <w:jc w:val="right"/>
                              <w:rPr>
                                <w:rFonts w:asciiTheme="minorHAnsi" w:hAnsiTheme="minorHAnsi"/>
                                <w:color w:val="FFFFFF" w:themeColor="background1"/>
                                <w:sz w:val="22"/>
                              </w:rPr>
                            </w:pPr>
                            <w:r w:rsidRPr="00010A9B">
                              <w:rPr>
                                <w:rFonts w:asciiTheme="minorHAnsi" w:hAnsiTheme="minorHAnsi"/>
                                <w:color w:val="FFFFFF" w:themeColor="background1"/>
                                <w:sz w:val="22"/>
                              </w:rPr>
                              <w:t>OEA/Ser.L/V/II</w:t>
                            </w:r>
                          </w:p>
                          <w:p w14:paraId="6A41611B" w14:textId="3EEBFB47" w:rsidR="00107599" w:rsidRPr="00010A9B" w:rsidRDefault="00107599" w:rsidP="007A5817">
                            <w:pPr>
                              <w:spacing w:line="276" w:lineRule="auto"/>
                              <w:jc w:val="right"/>
                              <w:rPr>
                                <w:rFonts w:asciiTheme="minorHAnsi" w:hAnsiTheme="minorHAnsi"/>
                                <w:color w:val="FFFFFF" w:themeColor="background1"/>
                                <w:sz w:val="22"/>
                              </w:rPr>
                            </w:pPr>
                            <w:r w:rsidRPr="00010A9B">
                              <w:rPr>
                                <w:rFonts w:asciiTheme="minorHAnsi" w:hAnsiTheme="minorHAnsi"/>
                                <w:color w:val="FFFFFF" w:themeColor="background1"/>
                                <w:sz w:val="22"/>
                              </w:rPr>
                              <w:t xml:space="preserve">Doc. </w:t>
                            </w:r>
                            <w:r w:rsidR="00E81C5D" w:rsidRPr="00010A9B">
                              <w:rPr>
                                <w:rFonts w:asciiTheme="minorHAnsi" w:hAnsiTheme="minorHAnsi"/>
                                <w:color w:val="FFFFFF" w:themeColor="background1"/>
                                <w:sz w:val="22"/>
                              </w:rPr>
                              <w:t>228</w:t>
                            </w:r>
                          </w:p>
                          <w:p w14:paraId="69373ED2" w14:textId="25FD50A8" w:rsidR="00107599" w:rsidRPr="001D604E" w:rsidRDefault="00E81C5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5 March</w:t>
                            </w:r>
                            <w:r w:rsidR="00107599" w:rsidRPr="001D604E">
                              <w:rPr>
                                <w:rFonts w:asciiTheme="minorHAnsi" w:hAnsiTheme="minorHAnsi"/>
                                <w:color w:val="FFFFFF" w:themeColor="background1"/>
                                <w:sz w:val="22"/>
                              </w:rPr>
                              <w:t xml:space="preserve"> 202</w:t>
                            </w:r>
                            <w:r w:rsidR="00393C41">
                              <w:rPr>
                                <w:rFonts w:asciiTheme="minorHAnsi" w:hAnsiTheme="minorHAnsi"/>
                                <w:color w:val="FFFFFF" w:themeColor="background1"/>
                                <w:sz w:val="22"/>
                              </w:rPr>
                              <w:t>2</w:t>
                            </w:r>
                          </w:p>
                          <w:p w14:paraId="0771DB5B" w14:textId="3AC1239B" w:rsidR="00107599" w:rsidRPr="001D604E" w:rsidRDefault="00107599" w:rsidP="007A5817">
                            <w:pPr>
                              <w:spacing w:line="276" w:lineRule="auto"/>
                              <w:jc w:val="right"/>
                              <w:rPr>
                                <w:rFonts w:asciiTheme="minorHAnsi" w:hAnsiTheme="minorHAnsi"/>
                                <w:color w:val="FFFFFF" w:themeColor="background1"/>
                                <w:sz w:val="22"/>
                              </w:rPr>
                            </w:pPr>
                            <w:r w:rsidRPr="001D604E">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04BB2A71" w:rsidR="00107599" w:rsidRPr="00010A9B" w:rsidRDefault="00107599" w:rsidP="007A5817">
                      <w:pPr>
                        <w:spacing w:line="276" w:lineRule="auto"/>
                        <w:jc w:val="right"/>
                        <w:rPr>
                          <w:rFonts w:asciiTheme="minorHAnsi" w:hAnsiTheme="minorHAnsi"/>
                          <w:color w:val="FFFFFF" w:themeColor="background1"/>
                          <w:sz w:val="22"/>
                        </w:rPr>
                      </w:pPr>
                      <w:r w:rsidRPr="00010A9B">
                        <w:rPr>
                          <w:rFonts w:asciiTheme="minorHAnsi" w:hAnsiTheme="minorHAnsi"/>
                          <w:color w:val="FFFFFF" w:themeColor="background1"/>
                          <w:sz w:val="22"/>
                        </w:rPr>
                        <w:t>OEA/Ser.L/V/II</w:t>
                      </w:r>
                    </w:p>
                    <w:p w14:paraId="6A41611B" w14:textId="3EEBFB47" w:rsidR="00107599" w:rsidRPr="00010A9B" w:rsidRDefault="00107599" w:rsidP="007A5817">
                      <w:pPr>
                        <w:spacing w:line="276" w:lineRule="auto"/>
                        <w:jc w:val="right"/>
                        <w:rPr>
                          <w:rFonts w:asciiTheme="minorHAnsi" w:hAnsiTheme="minorHAnsi"/>
                          <w:color w:val="FFFFFF" w:themeColor="background1"/>
                          <w:sz w:val="22"/>
                        </w:rPr>
                      </w:pPr>
                      <w:r w:rsidRPr="00010A9B">
                        <w:rPr>
                          <w:rFonts w:asciiTheme="minorHAnsi" w:hAnsiTheme="minorHAnsi"/>
                          <w:color w:val="FFFFFF" w:themeColor="background1"/>
                          <w:sz w:val="22"/>
                        </w:rPr>
                        <w:t xml:space="preserve">Doc. </w:t>
                      </w:r>
                      <w:r w:rsidR="00E81C5D" w:rsidRPr="00010A9B">
                        <w:rPr>
                          <w:rFonts w:asciiTheme="minorHAnsi" w:hAnsiTheme="minorHAnsi"/>
                          <w:color w:val="FFFFFF" w:themeColor="background1"/>
                          <w:sz w:val="22"/>
                        </w:rPr>
                        <w:t>228</w:t>
                      </w:r>
                    </w:p>
                    <w:p w14:paraId="69373ED2" w14:textId="25FD50A8" w:rsidR="00107599" w:rsidRPr="001D604E" w:rsidRDefault="00E81C5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5 March</w:t>
                      </w:r>
                      <w:r w:rsidR="00107599" w:rsidRPr="001D604E">
                        <w:rPr>
                          <w:rFonts w:asciiTheme="minorHAnsi" w:hAnsiTheme="minorHAnsi"/>
                          <w:color w:val="FFFFFF" w:themeColor="background1"/>
                          <w:sz w:val="22"/>
                        </w:rPr>
                        <w:t xml:space="preserve"> 202</w:t>
                      </w:r>
                      <w:r w:rsidR="00393C41">
                        <w:rPr>
                          <w:rFonts w:asciiTheme="minorHAnsi" w:hAnsiTheme="minorHAnsi"/>
                          <w:color w:val="FFFFFF" w:themeColor="background1"/>
                          <w:sz w:val="22"/>
                        </w:rPr>
                        <w:t>2</w:t>
                      </w:r>
                    </w:p>
                    <w:p w14:paraId="0771DB5B" w14:textId="3AC1239B" w:rsidR="00107599" w:rsidRPr="001D604E" w:rsidRDefault="00107599" w:rsidP="007A5817">
                      <w:pPr>
                        <w:spacing w:line="276" w:lineRule="auto"/>
                        <w:jc w:val="right"/>
                        <w:rPr>
                          <w:rFonts w:asciiTheme="minorHAnsi" w:hAnsiTheme="minorHAnsi"/>
                          <w:color w:val="FFFFFF" w:themeColor="background1"/>
                          <w:sz w:val="22"/>
                        </w:rPr>
                      </w:pPr>
                      <w:r w:rsidRPr="001D604E">
                        <w:rPr>
                          <w:rFonts w:asciiTheme="minorHAnsi" w:hAnsiTheme="minorHAnsi"/>
                          <w:color w:val="FFFFFF" w:themeColor="background1"/>
                          <w:sz w:val="22"/>
                        </w:rPr>
                        <w:t>Original: Spanish</w:t>
                      </w:r>
                    </w:p>
                  </w:txbxContent>
                </v:textbox>
              </v:shape>
            </w:pict>
          </mc:Fallback>
        </mc:AlternateContent>
      </w:r>
    </w:p>
    <w:p w14:paraId="155B0536" w14:textId="77777777" w:rsidR="00040C3A" w:rsidRPr="00FB36E4" w:rsidRDefault="00040C3A" w:rsidP="00040C3A">
      <w:pPr>
        <w:tabs>
          <w:tab w:val="center" w:pos="5400"/>
        </w:tabs>
        <w:suppressAutoHyphens/>
        <w:jc w:val="center"/>
        <w:rPr>
          <w:rFonts w:asciiTheme="majorHAnsi" w:hAnsiTheme="majorHAnsi"/>
          <w:sz w:val="22"/>
          <w:szCs w:val="22"/>
        </w:rPr>
      </w:pPr>
    </w:p>
    <w:p w14:paraId="5FE3AB87" w14:textId="77777777" w:rsidR="00040C3A" w:rsidRPr="00FB36E4" w:rsidRDefault="00040C3A" w:rsidP="00040C3A">
      <w:pPr>
        <w:tabs>
          <w:tab w:val="center" w:pos="5400"/>
        </w:tabs>
        <w:suppressAutoHyphens/>
        <w:jc w:val="center"/>
        <w:rPr>
          <w:rFonts w:asciiTheme="majorHAnsi" w:hAnsiTheme="majorHAnsi"/>
          <w:sz w:val="22"/>
          <w:szCs w:val="22"/>
        </w:rPr>
      </w:pPr>
    </w:p>
    <w:p w14:paraId="3C383BC0" w14:textId="77777777" w:rsidR="00040C3A" w:rsidRPr="00FB36E4"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FB36E4" w:rsidRDefault="00040C3A" w:rsidP="00040C3A">
      <w:pPr>
        <w:tabs>
          <w:tab w:val="center" w:pos="5400"/>
        </w:tabs>
        <w:suppressAutoHyphens/>
        <w:jc w:val="center"/>
        <w:rPr>
          <w:rFonts w:asciiTheme="majorHAnsi" w:hAnsiTheme="majorHAnsi"/>
          <w:sz w:val="22"/>
          <w:szCs w:val="22"/>
        </w:rPr>
      </w:pPr>
    </w:p>
    <w:p w14:paraId="76C291D6" w14:textId="77777777" w:rsidR="00040C3A" w:rsidRPr="00FB36E4" w:rsidRDefault="00040C3A" w:rsidP="00040C3A">
      <w:pPr>
        <w:tabs>
          <w:tab w:val="center" w:pos="5400"/>
        </w:tabs>
        <w:suppressAutoHyphens/>
        <w:jc w:val="center"/>
        <w:rPr>
          <w:rFonts w:asciiTheme="majorHAnsi" w:hAnsiTheme="majorHAnsi"/>
          <w:sz w:val="22"/>
          <w:szCs w:val="22"/>
        </w:rPr>
      </w:pPr>
    </w:p>
    <w:p w14:paraId="2161B44F" w14:textId="77777777" w:rsidR="00040C3A" w:rsidRPr="00FB36E4" w:rsidRDefault="00040C3A" w:rsidP="00040C3A">
      <w:pPr>
        <w:tabs>
          <w:tab w:val="center" w:pos="5400"/>
        </w:tabs>
        <w:suppressAutoHyphens/>
        <w:jc w:val="center"/>
        <w:rPr>
          <w:rFonts w:asciiTheme="majorHAnsi" w:hAnsiTheme="majorHAnsi"/>
          <w:sz w:val="22"/>
          <w:szCs w:val="22"/>
        </w:rPr>
      </w:pPr>
    </w:p>
    <w:p w14:paraId="3C4EEE07" w14:textId="77777777" w:rsidR="00040C3A" w:rsidRPr="00FB36E4" w:rsidRDefault="00040C3A" w:rsidP="00040C3A">
      <w:pPr>
        <w:tabs>
          <w:tab w:val="center" w:pos="5400"/>
        </w:tabs>
        <w:suppressAutoHyphens/>
        <w:jc w:val="center"/>
        <w:rPr>
          <w:rFonts w:asciiTheme="majorHAnsi" w:hAnsiTheme="majorHAnsi"/>
          <w:sz w:val="22"/>
          <w:szCs w:val="22"/>
        </w:rPr>
      </w:pPr>
    </w:p>
    <w:p w14:paraId="3B0E4647" w14:textId="77777777" w:rsidR="005128E4" w:rsidRPr="00FB36E4" w:rsidRDefault="005128E4" w:rsidP="00040C3A">
      <w:pPr>
        <w:tabs>
          <w:tab w:val="center" w:pos="5400"/>
        </w:tabs>
        <w:suppressAutoHyphens/>
        <w:jc w:val="center"/>
        <w:rPr>
          <w:rFonts w:asciiTheme="majorHAnsi" w:hAnsiTheme="majorHAnsi"/>
          <w:sz w:val="22"/>
          <w:szCs w:val="22"/>
        </w:rPr>
      </w:pPr>
    </w:p>
    <w:p w14:paraId="2DAAF36D" w14:textId="77777777" w:rsidR="00040C3A" w:rsidRPr="00FB36E4" w:rsidRDefault="00040C3A" w:rsidP="00040C3A">
      <w:pPr>
        <w:tabs>
          <w:tab w:val="center" w:pos="5400"/>
        </w:tabs>
        <w:suppressAutoHyphens/>
        <w:jc w:val="center"/>
        <w:rPr>
          <w:rFonts w:asciiTheme="majorHAnsi" w:hAnsiTheme="majorHAnsi"/>
          <w:sz w:val="22"/>
          <w:szCs w:val="22"/>
        </w:rPr>
      </w:pPr>
    </w:p>
    <w:p w14:paraId="12496A14" w14:textId="77777777" w:rsidR="005128E4" w:rsidRPr="00FB36E4" w:rsidRDefault="005128E4" w:rsidP="00040C3A">
      <w:pPr>
        <w:tabs>
          <w:tab w:val="center" w:pos="5400"/>
        </w:tabs>
        <w:suppressAutoHyphens/>
        <w:jc w:val="center"/>
        <w:rPr>
          <w:rFonts w:asciiTheme="majorHAnsi" w:hAnsiTheme="majorHAnsi"/>
          <w:sz w:val="22"/>
          <w:szCs w:val="22"/>
        </w:rPr>
      </w:pPr>
    </w:p>
    <w:p w14:paraId="25772DB3" w14:textId="77777777" w:rsidR="005128E4" w:rsidRPr="00FB36E4" w:rsidRDefault="005128E4" w:rsidP="00040C3A">
      <w:pPr>
        <w:tabs>
          <w:tab w:val="center" w:pos="5400"/>
        </w:tabs>
        <w:suppressAutoHyphens/>
        <w:jc w:val="center"/>
        <w:rPr>
          <w:rFonts w:asciiTheme="majorHAnsi" w:hAnsiTheme="majorHAnsi"/>
          <w:sz w:val="22"/>
          <w:szCs w:val="22"/>
        </w:rPr>
      </w:pPr>
    </w:p>
    <w:p w14:paraId="6820FADA" w14:textId="77777777" w:rsidR="005128E4" w:rsidRPr="00FB36E4" w:rsidRDefault="005128E4" w:rsidP="00040C3A">
      <w:pPr>
        <w:tabs>
          <w:tab w:val="center" w:pos="5400"/>
        </w:tabs>
        <w:suppressAutoHyphens/>
        <w:jc w:val="center"/>
        <w:rPr>
          <w:rFonts w:asciiTheme="majorHAnsi" w:hAnsiTheme="majorHAnsi"/>
          <w:sz w:val="22"/>
          <w:szCs w:val="22"/>
        </w:rPr>
      </w:pPr>
    </w:p>
    <w:p w14:paraId="54445A55" w14:textId="77777777" w:rsidR="00040C3A" w:rsidRPr="00FB36E4" w:rsidRDefault="00040C3A" w:rsidP="00040C3A">
      <w:pPr>
        <w:tabs>
          <w:tab w:val="center" w:pos="5400"/>
        </w:tabs>
        <w:suppressAutoHyphens/>
        <w:jc w:val="center"/>
        <w:rPr>
          <w:rFonts w:asciiTheme="majorHAnsi" w:hAnsiTheme="majorHAnsi"/>
          <w:sz w:val="22"/>
          <w:szCs w:val="22"/>
        </w:rPr>
      </w:pPr>
    </w:p>
    <w:p w14:paraId="5D4A4040" w14:textId="77777777" w:rsidR="00040C3A" w:rsidRPr="00FB36E4" w:rsidRDefault="00040C3A" w:rsidP="00040C3A">
      <w:pPr>
        <w:tabs>
          <w:tab w:val="center" w:pos="5400"/>
        </w:tabs>
        <w:suppressAutoHyphens/>
        <w:jc w:val="center"/>
        <w:rPr>
          <w:rFonts w:asciiTheme="majorHAnsi" w:hAnsiTheme="majorHAnsi"/>
          <w:sz w:val="22"/>
          <w:szCs w:val="22"/>
        </w:rPr>
      </w:pPr>
    </w:p>
    <w:p w14:paraId="048FBB22" w14:textId="77777777" w:rsidR="00A50FCF" w:rsidRPr="00FB36E4" w:rsidRDefault="00A50FCF" w:rsidP="00040C3A">
      <w:pPr>
        <w:tabs>
          <w:tab w:val="center" w:pos="5400"/>
        </w:tabs>
        <w:suppressAutoHyphens/>
        <w:jc w:val="center"/>
        <w:rPr>
          <w:rFonts w:asciiTheme="majorHAnsi" w:hAnsiTheme="majorHAnsi"/>
          <w:sz w:val="18"/>
          <w:szCs w:val="22"/>
        </w:rPr>
      </w:pPr>
    </w:p>
    <w:p w14:paraId="190ABFB3" w14:textId="77777777" w:rsidR="00A50FCF" w:rsidRPr="00FB36E4" w:rsidRDefault="00A50FCF" w:rsidP="00040C3A">
      <w:pPr>
        <w:tabs>
          <w:tab w:val="center" w:pos="5400"/>
        </w:tabs>
        <w:suppressAutoHyphens/>
        <w:jc w:val="center"/>
        <w:rPr>
          <w:rFonts w:asciiTheme="majorHAnsi" w:hAnsiTheme="majorHAnsi"/>
          <w:sz w:val="18"/>
          <w:szCs w:val="22"/>
        </w:rPr>
      </w:pPr>
    </w:p>
    <w:p w14:paraId="4C690048" w14:textId="77777777" w:rsidR="00A50FCF" w:rsidRPr="00FB36E4" w:rsidRDefault="00A50FCF" w:rsidP="00040C3A">
      <w:pPr>
        <w:tabs>
          <w:tab w:val="center" w:pos="5400"/>
        </w:tabs>
        <w:suppressAutoHyphens/>
        <w:jc w:val="center"/>
        <w:rPr>
          <w:rFonts w:asciiTheme="majorHAnsi" w:hAnsiTheme="majorHAnsi"/>
          <w:sz w:val="18"/>
          <w:szCs w:val="22"/>
        </w:rPr>
      </w:pPr>
    </w:p>
    <w:p w14:paraId="733CA438" w14:textId="77777777" w:rsidR="00A50FCF" w:rsidRPr="00FB36E4" w:rsidRDefault="00A50FCF" w:rsidP="00040C3A">
      <w:pPr>
        <w:tabs>
          <w:tab w:val="center" w:pos="5400"/>
        </w:tabs>
        <w:suppressAutoHyphens/>
        <w:jc w:val="center"/>
        <w:rPr>
          <w:rFonts w:asciiTheme="majorHAnsi" w:hAnsiTheme="majorHAnsi"/>
          <w:sz w:val="18"/>
          <w:szCs w:val="22"/>
        </w:rPr>
      </w:pPr>
    </w:p>
    <w:p w14:paraId="7874DEEB" w14:textId="77777777" w:rsidR="00A50FCF" w:rsidRPr="00FB36E4" w:rsidRDefault="00A50FCF" w:rsidP="00040C3A">
      <w:pPr>
        <w:tabs>
          <w:tab w:val="center" w:pos="5400"/>
        </w:tabs>
        <w:suppressAutoHyphens/>
        <w:jc w:val="center"/>
        <w:rPr>
          <w:rFonts w:asciiTheme="majorHAnsi" w:hAnsiTheme="majorHAnsi"/>
          <w:sz w:val="18"/>
          <w:szCs w:val="22"/>
        </w:rPr>
      </w:pPr>
    </w:p>
    <w:p w14:paraId="3698D0D6" w14:textId="77777777" w:rsidR="00A50FCF" w:rsidRPr="00FB36E4" w:rsidRDefault="00A50FCF" w:rsidP="00040C3A">
      <w:pPr>
        <w:tabs>
          <w:tab w:val="center" w:pos="5400"/>
        </w:tabs>
        <w:suppressAutoHyphens/>
        <w:jc w:val="center"/>
        <w:rPr>
          <w:rFonts w:asciiTheme="majorHAnsi" w:hAnsiTheme="majorHAnsi"/>
          <w:sz w:val="18"/>
          <w:szCs w:val="22"/>
        </w:rPr>
      </w:pPr>
    </w:p>
    <w:p w14:paraId="1F907823" w14:textId="77777777" w:rsidR="00A50FCF" w:rsidRPr="00FB36E4" w:rsidRDefault="00A50FCF" w:rsidP="00040C3A">
      <w:pPr>
        <w:tabs>
          <w:tab w:val="center" w:pos="5400"/>
        </w:tabs>
        <w:suppressAutoHyphens/>
        <w:jc w:val="center"/>
        <w:rPr>
          <w:rFonts w:asciiTheme="majorHAnsi" w:hAnsiTheme="majorHAnsi"/>
          <w:sz w:val="18"/>
          <w:szCs w:val="22"/>
        </w:rPr>
      </w:pPr>
    </w:p>
    <w:p w14:paraId="045D9AC1" w14:textId="77777777" w:rsidR="00A50FCF" w:rsidRPr="00FB36E4" w:rsidRDefault="00A50FCF" w:rsidP="00040C3A">
      <w:pPr>
        <w:tabs>
          <w:tab w:val="center" w:pos="5400"/>
        </w:tabs>
        <w:suppressAutoHyphens/>
        <w:jc w:val="center"/>
        <w:rPr>
          <w:rFonts w:asciiTheme="majorHAnsi" w:hAnsiTheme="majorHAnsi"/>
          <w:sz w:val="18"/>
          <w:szCs w:val="22"/>
        </w:rPr>
      </w:pPr>
    </w:p>
    <w:p w14:paraId="16068EE5" w14:textId="77777777" w:rsidR="00A50FCF" w:rsidRPr="00FB36E4" w:rsidRDefault="00A50FCF" w:rsidP="00040C3A">
      <w:pPr>
        <w:tabs>
          <w:tab w:val="center" w:pos="5400"/>
        </w:tabs>
        <w:suppressAutoHyphens/>
        <w:jc w:val="center"/>
        <w:rPr>
          <w:rFonts w:asciiTheme="majorHAnsi" w:hAnsiTheme="majorHAnsi"/>
          <w:sz w:val="18"/>
          <w:szCs w:val="22"/>
        </w:rPr>
      </w:pPr>
    </w:p>
    <w:p w14:paraId="14A4A430" w14:textId="77777777" w:rsidR="00A50FCF" w:rsidRPr="00FB36E4" w:rsidRDefault="00A50FCF" w:rsidP="00040C3A">
      <w:pPr>
        <w:tabs>
          <w:tab w:val="center" w:pos="5400"/>
        </w:tabs>
        <w:suppressAutoHyphens/>
        <w:jc w:val="center"/>
        <w:rPr>
          <w:rFonts w:asciiTheme="majorHAnsi" w:hAnsiTheme="majorHAnsi"/>
          <w:sz w:val="18"/>
          <w:szCs w:val="22"/>
        </w:rPr>
      </w:pPr>
    </w:p>
    <w:p w14:paraId="0B3B735F" w14:textId="77777777" w:rsidR="00A50FCF" w:rsidRPr="00FB36E4" w:rsidRDefault="00A50FCF" w:rsidP="00040C3A">
      <w:pPr>
        <w:tabs>
          <w:tab w:val="center" w:pos="5400"/>
        </w:tabs>
        <w:suppressAutoHyphens/>
        <w:jc w:val="center"/>
        <w:rPr>
          <w:rFonts w:asciiTheme="majorHAnsi" w:hAnsiTheme="majorHAnsi"/>
          <w:sz w:val="18"/>
          <w:szCs w:val="22"/>
        </w:rPr>
      </w:pPr>
    </w:p>
    <w:p w14:paraId="02C5C441" w14:textId="77777777" w:rsidR="00A50FCF" w:rsidRPr="00FB36E4" w:rsidRDefault="00A50FCF" w:rsidP="00040C3A">
      <w:pPr>
        <w:tabs>
          <w:tab w:val="center" w:pos="5400"/>
        </w:tabs>
        <w:suppressAutoHyphens/>
        <w:jc w:val="center"/>
        <w:rPr>
          <w:rFonts w:asciiTheme="majorHAnsi" w:hAnsiTheme="majorHAnsi"/>
          <w:sz w:val="18"/>
          <w:szCs w:val="22"/>
        </w:rPr>
      </w:pPr>
    </w:p>
    <w:p w14:paraId="7806A2B0" w14:textId="77777777" w:rsidR="00A50FCF" w:rsidRPr="00FB36E4" w:rsidRDefault="00A50FCF" w:rsidP="00040C3A">
      <w:pPr>
        <w:tabs>
          <w:tab w:val="center" w:pos="5400"/>
        </w:tabs>
        <w:suppressAutoHyphens/>
        <w:jc w:val="center"/>
        <w:rPr>
          <w:rFonts w:asciiTheme="majorHAnsi" w:hAnsiTheme="majorHAnsi"/>
          <w:sz w:val="18"/>
          <w:szCs w:val="22"/>
        </w:rPr>
      </w:pPr>
    </w:p>
    <w:p w14:paraId="319C392B" w14:textId="77777777" w:rsidR="00A50FCF" w:rsidRPr="00FB36E4" w:rsidRDefault="00A50FCF" w:rsidP="00040C3A">
      <w:pPr>
        <w:tabs>
          <w:tab w:val="center" w:pos="5400"/>
        </w:tabs>
        <w:suppressAutoHyphens/>
        <w:jc w:val="center"/>
        <w:rPr>
          <w:rFonts w:asciiTheme="majorHAnsi" w:hAnsiTheme="majorHAnsi"/>
          <w:sz w:val="18"/>
          <w:szCs w:val="22"/>
        </w:rPr>
      </w:pPr>
    </w:p>
    <w:p w14:paraId="514A0182" w14:textId="77777777" w:rsidR="00A50FCF" w:rsidRPr="00FB36E4" w:rsidRDefault="0090270B" w:rsidP="00040C3A">
      <w:pPr>
        <w:tabs>
          <w:tab w:val="center" w:pos="5400"/>
        </w:tabs>
        <w:suppressAutoHyphens/>
        <w:jc w:val="center"/>
        <w:rPr>
          <w:rFonts w:asciiTheme="majorHAnsi" w:hAnsiTheme="majorHAnsi"/>
          <w:sz w:val="18"/>
          <w:szCs w:val="22"/>
        </w:rPr>
      </w:pPr>
      <w:r w:rsidRPr="00FB36E4">
        <w:rPr>
          <w:rFonts w:asciiTheme="majorHAnsi" w:hAnsiTheme="majorHAnsi"/>
          <w:noProof/>
          <w:sz w:val="22"/>
          <w:szCs w:val="22"/>
          <w:lang w:eastAsia="es-EC"/>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7798478" w:rsidR="00107599" w:rsidRPr="001D604E" w:rsidRDefault="00E81C5D"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107599" w:rsidRPr="001D604E">
                              <w:rPr>
                                <w:rFonts w:asciiTheme="majorHAnsi" w:hAnsiTheme="majorHAnsi"/>
                                <w:color w:val="0D0D0D" w:themeColor="text1" w:themeTint="F2"/>
                                <w:sz w:val="18"/>
                                <w:szCs w:val="22"/>
                              </w:rPr>
                              <w:t xml:space="preserve">lectronically by the Commission on </w:t>
                            </w:r>
                            <w:r>
                              <w:rPr>
                                <w:rFonts w:asciiTheme="majorHAnsi" w:hAnsiTheme="majorHAnsi"/>
                                <w:color w:val="0D0D0D" w:themeColor="text1" w:themeTint="F2"/>
                                <w:sz w:val="18"/>
                                <w:szCs w:val="22"/>
                              </w:rPr>
                              <w:t>March 5, 2022.</w:t>
                            </w:r>
                          </w:p>
                          <w:p w14:paraId="4BDF3581" w14:textId="77777777" w:rsidR="00107599" w:rsidRPr="001D604E" w:rsidRDefault="00107599"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107599" w:rsidRPr="001D604E" w:rsidRDefault="00107599"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07798478" w:rsidR="00107599" w:rsidRPr="001D604E" w:rsidRDefault="00E81C5D"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107599" w:rsidRPr="001D604E">
                        <w:rPr>
                          <w:rFonts w:asciiTheme="majorHAnsi" w:hAnsiTheme="majorHAnsi"/>
                          <w:color w:val="0D0D0D" w:themeColor="text1" w:themeTint="F2"/>
                          <w:sz w:val="18"/>
                          <w:szCs w:val="22"/>
                        </w:rPr>
                        <w:t xml:space="preserve">lectronically by the Commission on </w:t>
                      </w:r>
                      <w:r>
                        <w:rPr>
                          <w:rFonts w:asciiTheme="majorHAnsi" w:hAnsiTheme="majorHAnsi"/>
                          <w:color w:val="0D0D0D" w:themeColor="text1" w:themeTint="F2"/>
                          <w:sz w:val="18"/>
                          <w:szCs w:val="22"/>
                        </w:rPr>
                        <w:t>March 5, 2022.</w:t>
                      </w:r>
                    </w:p>
                    <w:p w14:paraId="4BDF3581" w14:textId="77777777" w:rsidR="00107599" w:rsidRPr="001D604E" w:rsidRDefault="00107599"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107599" w:rsidRPr="001D604E" w:rsidRDefault="00107599"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FB36E4" w:rsidRDefault="00A50FCF" w:rsidP="00040C3A">
      <w:pPr>
        <w:tabs>
          <w:tab w:val="center" w:pos="5400"/>
        </w:tabs>
        <w:suppressAutoHyphens/>
        <w:jc w:val="center"/>
        <w:rPr>
          <w:rFonts w:asciiTheme="majorHAnsi" w:hAnsiTheme="majorHAnsi"/>
          <w:sz w:val="18"/>
          <w:szCs w:val="22"/>
        </w:rPr>
      </w:pPr>
    </w:p>
    <w:p w14:paraId="7929D1FD" w14:textId="77777777" w:rsidR="00A50FCF" w:rsidRPr="00FB36E4" w:rsidRDefault="00A50FCF" w:rsidP="00040C3A">
      <w:pPr>
        <w:tabs>
          <w:tab w:val="center" w:pos="5400"/>
        </w:tabs>
        <w:suppressAutoHyphens/>
        <w:jc w:val="center"/>
        <w:rPr>
          <w:rFonts w:asciiTheme="majorHAnsi" w:hAnsiTheme="majorHAnsi"/>
          <w:sz w:val="18"/>
          <w:szCs w:val="22"/>
        </w:rPr>
      </w:pPr>
    </w:p>
    <w:p w14:paraId="5469D0BE" w14:textId="77777777" w:rsidR="00A50FCF" w:rsidRPr="00FB36E4" w:rsidRDefault="00A50FCF" w:rsidP="00040C3A">
      <w:pPr>
        <w:tabs>
          <w:tab w:val="center" w:pos="5400"/>
        </w:tabs>
        <w:suppressAutoHyphens/>
        <w:jc w:val="center"/>
        <w:rPr>
          <w:rFonts w:asciiTheme="majorHAnsi" w:hAnsiTheme="majorHAnsi"/>
          <w:sz w:val="18"/>
          <w:szCs w:val="22"/>
        </w:rPr>
      </w:pPr>
    </w:p>
    <w:p w14:paraId="7A79F059" w14:textId="77777777" w:rsidR="00A50FCF" w:rsidRPr="00FB36E4" w:rsidRDefault="00A50FCF" w:rsidP="00040C3A">
      <w:pPr>
        <w:tabs>
          <w:tab w:val="center" w:pos="5400"/>
        </w:tabs>
        <w:suppressAutoHyphens/>
        <w:jc w:val="center"/>
        <w:rPr>
          <w:rFonts w:asciiTheme="majorHAnsi" w:hAnsiTheme="majorHAnsi"/>
          <w:sz w:val="18"/>
          <w:szCs w:val="22"/>
        </w:rPr>
      </w:pPr>
    </w:p>
    <w:p w14:paraId="330672AE" w14:textId="77777777" w:rsidR="00A50FCF" w:rsidRPr="00FB36E4" w:rsidRDefault="0090270B" w:rsidP="00040C3A">
      <w:pPr>
        <w:tabs>
          <w:tab w:val="center" w:pos="5400"/>
        </w:tabs>
        <w:suppressAutoHyphens/>
        <w:jc w:val="center"/>
        <w:rPr>
          <w:rFonts w:asciiTheme="majorHAnsi" w:hAnsiTheme="majorHAnsi"/>
          <w:sz w:val="18"/>
          <w:szCs w:val="22"/>
        </w:rPr>
      </w:pPr>
      <w:r w:rsidRPr="00FB36E4">
        <w:rPr>
          <w:rFonts w:asciiTheme="majorHAnsi" w:hAnsiTheme="majorHAnsi"/>
          <w:noProof/>
          <w:sz w:val="18"/>
          <w:szCs w:val="22"/>
          <w:lang w:eastAsia="es-EC"/>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C365FF" w14:textId="77777777" w:rsidR="00E81C5D" w:rsidRDefault="00107599" w:rsidP="00113F73">
                            <w:pPr>
                              <w:spacing w:line="276" w:lineRule="auto"/>
                              <w:rPr>
                                <w:rFonts w:asciiTheme="majorHAnsi" w:hAnsiTheme="majorHAnsi"/>
                                <w:color w:val="595959" w:themeColor="text1" w:themeTint="A6"/>
                                <w:sz w:val="18"/>
                                <w:szCs w:val="18"/>
                                <w:lang w:val="pt-BR"/>
                              </w:rPr>
                            </w:pPr>
                            <w:r w:rsidRPr="00010A9B">
                              <w:rPr>
                                <w:rFonts w:asciiTheme="majorHAnsi" w:hAnsiTheme="majorHAnsi"/>
                                <w:b/>
                                <w:color w:val="595959" w:themeColor="text1" w:themeTint="A6"/>
                                <w:sz w:val="18"/>
                                <w:szCs w:val="18"/>
                                <w:lang w:val="pt-BR"/>
                              </w:rPr>
                              <w:t>Cite as:</w:t>
                            </w:r>
                            <w:r w:rsidRPr="00010A9B">
                              <w:rPr>
                                <w:rFonts w:asciiTheme="majorHAnsi" w:hAnsiTheme="majorHAnsi"/>
                                <w:color w:val="595959" w:themeColor="text1" w:themeTint="A6"/>
                                <w:sz w:val="18"/>
                                <w:szCs w:val="18"/>
                                <w:lang w:val="pt-BR"/>
                              </w:rPr>
                              <w:t xml:space="preserve"> IACHR, Report No. </w:t>
                            </w:r>
                            <w:r w:rsidR="00E81C5D" w:rsidRPr="00010A9B">
                              <w:rPr>
                                <w:rFonts w:asciiTheme="majorHAnsi" w:hAnsiTheme="majorHAnsi"/>
                                <w:color w:val="595959" w:themeColor="text1" w:themeTint="A6"/>
                                <w:sz w:val="18"/>
                                <w:szCs w:val="18"/>
                                <w:lang w:val="pt-BR"/>
                              </w:rPr>
                              <w:t>225</w:t>
                            </w:r>
                            <w:r w:rsidRPr="00010A9B">
                              <w:rPr>
                                <w:rFonts w:asciiTheme="majorHAnsi" w:hAnsiTheme="majorHAnsi"/>
                                <w:color w:val="595959" w:themeColor="text1" w:themeTint="A6"/>
                                <w:sz w:val="18"/>
                                <w:szCs w:val="18"/>
                                <w:lang w:val="pt-BR"/>
                              </w:rPr>
                              <w:t>/</w:t>
                            </w:r>
                            <w:r w:rsidR="00E81C5D" w:rsidRPr="00010A9B">
                              <w:rPr>
                                <w:rFonts w:asciiTheme="majorHAnsi" w:hAnsiTheme="majorHAnsi"/>
                                <w:color w:val="595959" w:themeColor="text1" w:themeTint="A6"/>
                                <w:sz w:val="18"/>
                                <w:szCs w:val="18"/>
                                <w:lang w:val="pt-BR"/>
                              </w:rPr>
                              <w:t>22</w:t>
                            </w:r>
                            <w:r w:rsidRPr="00010A9B">
                              <w:rPr>
                                <w:rFonts w:asciiTheme="majorHAnsi" w:hAnsiTheme="majorHAnsi"/>
                                <w:color w:val="595959" w:themeColor="text1" w:themeTint="A6"/>
                                <w:sz w:val="18"/>
                                <w:szCs w:val="18"/>
                                <w:lang w:val="pt-BR"/>
                              </w:rPr>
                              <w:t xml:space="preserve">. </w:t>
                            </w:r>
                            <w:r w:rsidRPr="00E81C5D">
                              <w:rPr>
                                <w:rFonts w:asciiTheme="majorHAnsi" w:hAnsiTheme="majorHAnsi"/>
                                <w:color w:val="595959" w:themeColor="text1" w:themeTint="A6"/>
                                <w:sz w:val="18"/>
                                <w:szCs w:val="18"/>
                                <w:lang w:val="pt-BR"/>
                              </w:rPr>
                              <w:t xml:space="preserve">Admissibility. Víctor Manuel Iruegas García. </w:t>
                            </w:r>
                          </w:p>
                          <w:p w14:paraId="0D1B22CF" w14:textId="48E4B467" w:rsidR="00107599" w:rsidRPr="009C67EF" w:rsidRDefault="00107599" w:rsidP="00113F73">
                            <w:pPr>
                              <w:spacing w:line="276" w:lineRule="auto"/>
                              <w:rPr>
                                <w:rFonts w:asciiTheme="majorHAnsi" w:hAnsiTheme="majorHAnsi"/>
                                <w:color w:val="595959" w:themeColor="text1" w:themeTint="A6"/>
                                <w:sz w:val="18"/>
                                <w:szCs w:val="18"/>
                              </w:rPr>
                            </w:pPr>
                            <w:r w:rsidRPr="00010A9B">
                              <w:rPr>
                                <w:rFonts w:asciiTheme="majorHAnsi" w:hAnsiTheme="majorHAnsi"/>
                                <w:color w:val="595959" w:themeColor="text1" w:themeTint="A6"/>
                                <w:sz w:val="18"/>
                                <w:szCs w:val="18"/>
                                <w:lang w:val="pt-BR"/>
                              </w:rPr>
                              <w:t xml:space="preserve">Mexico. </w:t>
                            </w:r>
                            <w:r w:rsidR="00E81C5D">
                              <w:rPr>
                                <w:rFonts w:asciiTheme="majorHAnsi" w:hAnsiTheme="majorHAnsi"/>
                                <w:color w:val="595959" w:themeColor="text1" w:themeTint="A6"/>
                                <w:sz w:val="18"/>
                                <w:szCs w:val="18"/>
                              </w:rPr>
                              <w:t>March 5, 2022</w:t>
                            </w:r>
                            <w:r w:rsidRPr="009C67EF">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6C365FF" w14:textId="77777777" w:rsidR="00E81C5D" w:rsidRDefault="00107599" w:rsidP="00113F73">
                      <w:pPr>
                        <w:spacing w:line="276" w:lineRule="auto"/>
                        <w:rPr>
                          <w:rFonts w:asciiTheme="majorHAnsi" w:hAnsiTheme="majorHAnsi"/>
                          <w:color w:val="595959" w:themeColor="text1" w:themeTint="A6"/>
                          <w:sz w:val="18"/>
                          <w:szCs w:val="18"/>
                          <w:lang w:val="pt-BR"/>
                        </w:rPr>
                      </w:pPr>
                      <w:r w:rsidRPr="00010A9B">
                        <w:rPr>
                          <w:rFonts w:asciiTheme="majorHAnsi" w:hAnsiTheme="majorHAnsi"/>
                          <w:b/>
                          <w:color w:val="595959" w:themeColor="text1" w:themeTint="A6"/>
                          <w:sz w:val="18"/>
                          <w:szCs w:val="18"/>
                          <w:lang w:val="pt-BR"/>
                        </w:rPr>
                        <w:t>Cite as:</w:t>
                      </w:r>
                      <w:r w:rsidRPr="00010A9B">
                        <w:rPr>
                          <w:rFonts w:asciiTheme="majorHAnsi" w:hAnsiTheme="majorHAnsi"/>
                          <w:color w:val="595959" w:themeColor="text1" w:themeTint="A6"/>
                          <w:sz w:val="18"/>
                          <w:szCs w:val="18"/>
                          <w:lang w:val="pt-BR"/>
                        </w:rPr>
                        <w:t xml:space="preserve"> IACHR, Report No. </w:t>
                      </w:r>
                      <w:r w:rsidR="00E81C5D" w:rsidRPr="00010A9B">
                        <w:rPr>
                          <w:rFonts w:asciiTheme="majorHAnsi" w:hAnsiTheme="majorHAnsi"/>
                          <w:color w:val="595959" w:themeColor="text1" w:themeTint="A6"/>
                          <w:sz w:val="18"/>
                          <w:szCs w:val="18"/>
                          <w:lang w:val="pt-BR"/>
                        </w:rPr>
                        <w:t>225</w:t>
                      </w:r>
                      <w:r w:rsidRPr="00010A9B">
                        <w:rPr>
                          <w:rFonts w:asciiTheme="majorHAnsi" w:hAnsiTheme="majorHAnsi"/>
                          <w:color w:val="595959" w:themeColor="text1" w:themeTint="A6"/>
                          <w:sz w:val="18"/>
                          <w:szCs w:val="18"/>
                          <w:lang w:val="pt-BR"/>
                        </w:rPr>
                        <w:t>/</w:t>
                      </w:r>
                      <w:r w:rsidR="00E81C5D" w:rsidRPr="00010A9B">
                        <w:rPr>
                          <w:rFonts w:asciiTheme="majorHAnsi" w:hAnsiTheme="majorHAnsi"/>
                          <w:color w:val="595959" w:themeColor="text1" w:themeTint="A6"/>
                          <w:sz w:val="18"/>
                          <w:szCs w:val="18"/>
                          <w:lang w:val="pt-BR"/>
                        </w:rPr>
                        <w:t>22</w:t>
                      </w:r>
                      <w:r w:rsidRPr="00010A9B">
                        <w:rPr>
                          <w:rFonts w:asciiTheme="majorHAnsi" w:hAnsiTheme="majorHAnsi"/>
                          <w:color w:val="595959" w:themeColor="text1" w:themeTint="A6"/>
                          <w:sz w:val="18"/>
                          <w:szCs w:val="18"/>
                          <w:lang w:val="pt-BR"/>
                        </w:rPr>
                        <w:t xml:space="preserve">. </w:t>
                      </w:r>
                      <w:r w:rsidRPr="00E81C5D">
                        <w:rPr>
                          <w:rFonts w:asciiTheme="majorHAnsi" w:hAnsiTheme="majorHAnsi"/>
                          <w:color w:val="595959" w:themeColor="text1" w:themeTint="A6"/>
                          <w:sz w:val="18"/>
                          <w:szCs w:val="18"/>
                          <w:lang w:val="pt-BR"/>
                        </w:rPr>
                        <w:t xml:space="preserve">Admissibility. Víctor Manuel Iruegas García. </w:t>
                      </w:r>
                    </w:p>
                    <w:p w14:paraId="0D1B22CF" w14:textId="48E4B467" w:rsidR="00107599" w:rsidRPr="009C67EF" w:rsidRDefault="00107599" w:rsidP="00113F73">
                      <w:pPr>
                        <w:spacing w:line="276" w:lineRule="auto"/>
                        <w:rPr>
                          <w:rFonts w:asciiTheme="majorHAnsi" w:hAnsiTheme="majorHAnsi"/>
                          <w:color w:val="595959" w:themeColor="text1" w:themeTint="A6"/>
                          <w:sz w:val="18"/>
                          <w:szCs w:val="18"/>
                        </w:rPr>
                      </w:pPr>
                      <w:r w:rsidRPr="00010A9B">
                        <w:rPr>
                          <w:rFonts w:asciiTheme="majorHAnsi" w:hAnsiTheme="majorHAnsi"/>
                          <w:color w:val="595959" w:themeColor="text1" w:themeTint="A6"/>
                          <w:sz w:val="18"/>
                          <w:szCs w:val="18"/>
                          <w:lang w:val="pt-BR"/>
                        </w:rPr>
                        <w:t xml:space="preserve">Mexico. </w:t>
                      </w:r>
                      <w:r w:rsidR="00E81C5D">
                        <w:rPr>
                          <w:rFonts w:asciiTheme="majorHAnsi" w:hAnsiTheme="majorHAnsi"/>
                          <w:color w:val="595959" w:themeColor="text1" w:themeTint="A6"/>
                          <w:sz w:val="18"/>
                          <w:szCs w:val="18"/>
                        </w:rPr>
                        <w:t>March 5, 2022</w:t>
                      </w:r>
                      <w:r w:rsidRPr="009C67EF">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FB36E4" w:rsidRDefault="00A50FCF" w:rsidP="00040C3A">
      <w:pPr>
        <w:tabs>
          <w:tab w:val="center" w:pos="5400"/>
        </w:tabs>
        <w:suppressAutoHyphens/>
        <w:jc w:val="center"/>
        <w:rPr>
          <w:rFonts w:asciiTheme="majorHAnsi" w:hAnsiTheme="majorHAnsi"/>
          <w:sz w:val="18"/>
          <w:szCs w:val="22"/>
        </w:rPr>
      </w:pPr>
    </w:p>
    <w:p w14:paraId="1DA07629" w14:textId="79105BAA" w:rsidR="0090270B" w:rsidRPr="00FB36E4" w:rsidRDefault="00D306D1" w:rsidP="005516A1">
      <w:pPr>
        <w:tabs>
          <w:tab w:val="center" w:pos="5400"/>
        </w:tabs>
        <w:suppressAutoHyphens/>
        <w:jc w:val="center"/>
        <w:rPr>
          <w:rFonts w:asciiTheme="majorHAnsi" w:hAnsiTheme="majorHAnsi"/>
          <w:b/>
          <w:sz w:val="20"/>
        </w:rPr>
      </w:pPr>
      <w:r w:rsidRPr="00FB36E4">
        <w:rPr>
          <w:rFonts w:asciiTheme="majorHAnsi" w:hAnsiTheme="majorHAnsi"/>
          <w:noProof/>
          <w:sz w:val="22"/>
          <w:szCs w:val="22"/>
          <w:lang w:eastAsia="es-EC"/>
        </w:rPr>
        <mc:AlternateContent>
          <mc:Choice Requires="wps">
            <w:drawing>
              <wp:anchor distT="0" distB="0" distL="114300" distR="114300" simplePos="0" relativeHeight="251682816" behindDoc="0" locked="0" layoutInCell="1" allowOverlap="1" wp14:anchorId="02EDA5EE" wp14:editId="3575881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4BB45637" w:rsidR="00107599" w:rsidRPr="004B7EB6" w:rsidRDefault="0010759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E81C5D">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4BB45637" w:rsidR="00107599" w:rsidRPr="004B7EB6" w:rsidRDefault="0010759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E81C5D">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2FE1B253" w14:textId="039991A8" w:rsidR="0070697F" w:rsidRPr="00FB36E4" w:rsidRDefault="00E81C5D" w:rsidP="005516A1">
      <w:pPr>
        <w:tabs>
          <w:tab w:val="center" w:pos="5400"/>
        </w:tabs>
        <w:suppressAutoHyphens/>
        <w:jc w:val="center"/>
        <w:rPr>
          <w:rFonts w:asciiTheme="majorHAnsi" w:hAnsiTheme="majorHAnsi"/>
          <w:b/>
          <w:sz w:val="20"/>
        </w:rPr>
        <w:sectPr w:rsidR="0070697F" w:rsidRPr="00FB36E4"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FB36E4">
        <w:rPr>
          <w:rFonts w:asciiTheme="majorHAnsi" w:hAnsiTheme="majorHAnsi"/>
          <w:noProof/>
          <w:sz w:val="18"/>
          <w:szCs w:val="22"/>
          <w:lang w:eastAsia="es-EC"/>
        </w:rPr>
        <mc:AlternateContent>
          <mc:Choice Requires="wps">
            <w:drawing>
              <wp:anchor distT="0" distB="0" distL="114300" distR="114300" simplePos="0" relativeHeight="251680768" behindDoc="0" locked="0" layoutInCell="1" allowOverlap="1" wp14:anchorId="50472543" wp14:editId="7CDBC118">
                <wp:simplePos x="0" y="0"/>
                <wp:positionH relativeFrom="column">
                  <wp:posOffset>1301115</wp:posOffset>
                </wp:positionH>
                <wp:positionV relativeFrom="paragraph">
                  <wp:posOffset>561068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DE554D0" w:rsidR="00107599" w:rsidRPr="00D72DC6" w:rsidRDefault="009C67EF" w:rsidP="00F02AD1">
                            <w:pPr>
                              <w:rPr>
                                <w:color w:val="FFFFFF" w:themeColor="background1"/>
                                <w14:textFill>
                                  <w14:noFill/>
                                </w14:textFill>
                              </w:rPr>
                            </w:pPr>
                            <w:r>
                              <w:rPr>
                                <w:noProof/>
                              </w:rPr>
                              <w:drawing>
                                <wp:inline distT="0" distB="0" distL="0" distR="0" wp14:anchorId="01F376D3" wp14:editId="74222629">
                                  <wp:extent cx="1824355" cy="465913"/>
                                  <wp:effectExtent l="0" t="0" r="444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a:fillRect/>
                                          </a:stretch>
                                        </pic:blipFill>
                                        <pic:spPr>
                                          <a:xfrm>
                                            <a:off x="0" y="0"/>
                                            <a:ext cx="1824355" cy="4659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2.45pt;margin-top:44.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" fillcolor="white [3201]" stroked="f" strokeweight=".5pt">
                <v:textbox>
                  <w:txbxContent>
                    <w:p w14:paraId="2A1ECD3C" w14:textId="1DE554D0" w:rsidR="00107599" w:rsidRPr="00D72DC6" w:rsidRDefault="009C67EF" w:rsidP="00F02AD1">
                      <w:pPr>
                        <w:rPr>
                          <w:color w:val="FFFFFF" w:themeColor="background1"/>
                          <w14:textFill>
                            <w14:noFill/>
                          </w14:textFill>
                        </w:rPr>
                      </w:pPr>
                      <w:r>
                        <w:rPr>
                          <w:noProof/>
                        </w:rPr>
                        <w:drawing>
                          <wp:inline distT="0" distB="0" distL="0" distR="0" wp14:anchorId="01F376D3" wp14:editId="74222629">
                            <wp:extent cx="1824355" cy="465913"/>
                            <wp:effectExtent l="0" t="0" r="444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a:fillRect/>
                                    </a:stretch>
                                  </pic:blipFill>
                                  <pic:spPr>
                                    <a:xfrm>
                                      <a:off x="0" y="0"/>
                                      <a:ext cx="1824355" cy="465913"/>
                                    </a:xfrm>
                                    <a:prstGeom prst="rect">
                                      <a:avLst/>
                                    </a:prstGeom>
                                  </pic:spPr>
                                </pic:pic>
                              </a:graphicData>
                            </a:graphic>
                          </wp:inline>
                        </w:drawing>
                      </w:r>
                    </w:p>
                  </w:txbxContent>
                </v:textbox>
              </v:shape>
            </w:pict>
          </mc:Fallback>
        </mc:AlternateContent>
      </w:r>
      <w:r w:rsidR="004A6A54" w:rsidRPr="00FB36E4">
        <w:rPr>
          <w:rFonts w:asciiTheme="majorHAnsi" w:hAnsiTheme="majorHAnsi"/>
          <w:b/>
          <w:sz w:val="20"/>
        </w:rPr>
        <w:tab/>
      </w:r>
    </w:p>
    <w:p w14:paraId="376DDC8B" w14:textId="099CBC21" w:rsidR="003239B8" w:rsidRPr="00FB36E4" w:rsidRDefault="001D604E" w:rsidP="007C402A">
      <w:pPr>
        <w:spacing w:after="120"/>
        <w:ind w:firstLine="720"/>
        <w:jc w:val="both"/>
        <w:rPr>
          <w:rFonts w:asciiTheme="majorHAnsi" w:hAnsiTheme="majorHAnsi"/>
          <w:b/>
          <w:bCs/>
          <w:sz w:val="20"/>
          <w:szCs w:val="20"/>
        </w:rPr>
      </w:pPr>
      <w:r w:rsidRPr="00FB36E4">
        <w:rPr>
          <w:rFonts w:asciiTheme="majorHAnsi" w:hAnsiTheme="majorHAnsi"/>
          <w:b/>
          <w:bCs/>
          <w:sz w:val="20"/>
          <w:szCs w:val="20"/>
        </w:rPr>
        <w:lastRenderedPageBreak/>
        <w:t>I.</w:t>
      </w:r>
      <w:r w:rsidRPr="00FB36E4">
        <w:rPr>
          <w:rFonts w:asciiTheme="majorHAnsi" w:hAnsiTheme="majorHAnsi"/>
          <w:b/>
          <w:bCs/>
          <w:sz w:val="20"/>
          <w:szCs w:val="20"/>
        </w:rPr>
        <w:tab/>
      </w:r>
      <w:r w:rsidR="00E047DF" w:rsidRPr="00FB36E4">
        <w:rPr>
          <w:rFonts w:asciiTheme="majorHAnsi" w:hAnsiTheme="majorHAnsi"/>
          <w:b/>
          <w:bCs/>
          <w:sz w:val="20"/>
          <w:szCs w:val="20"/>
        </w:rPr>
        <w:t xml:space="preserve">INFORMATION ABOUT THE </w:t>
      </w:r>
      <w:r w:rsidRPr="00FB36E4">
        <w:rPr>
          <w:rFonts w:asciiTheme="majorHAnsi" w:hAnsiTheme="majorHAnsi"/>
          <w:b/>
          <w:bCs/>
          <w:sz w:val="20"/>
          <w:szCs w:val="20"/>
        </w:rPr>
        <w:t>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7"/>
        <w:gridCol w:w="5783"/>
      </w:tblGrid>
      <w:tr w:rsidR="003239B8" w:rsidRPr="00FB36E4" w14:paraId="5A79D1F7" w14:textId="77777777" w:rsidTr="009C67EF">
        <w:tc>
          <w:tcPr>
            <w:tcW w:w="3577" w:type="dxa"/>
            <w:tcBorders>
              <w:top w:val="single" w:sz="4" w:space="0" w:color="auto"/>
              <w:bottom w:val="single" w:sz="6" w:space="0" w:color="auto"/>
            </w:tcBorders>
            <w:shd w:val="clear" w:color="auto" w:fill="67AE3C"/>
            <w:vAlign w:val="center"/>
          </w:tcPr>
          <w:p w14:paraId="0CB2A43B" w14:textId="3594AF27" w:rsidR="003239B8" w:rsidRPr="009C67EF" w:rsidRDefault="001D604E" w:rsidP="001D604E">
            <w:pPr>
              <w:jc w:val="center"/>
              <w:rPr>
                <w:rFonts w:asciiTheme="majorHAnsi" w:hAnsiTheme="majorHAnsi"/>
                <w:b/>
                <w:color w:val="FFFFFF" w:themeColor="background1"/>
                <w:sz w:val="20"/>
                <w:szCs w:val="20"/>
              </w:rPr>
            </w:pPr>
            <w:r w:rsidRPr="009C67EF">
              <w:rPr>
                <w:rFonts w:asciiTheme="majorHAnsi" w:hAnsiTheme="majorHAnsi"/>
                <w:b/>
                <w:color w:val="FFFFFF" w:themeColor="background1"/>
                <w:sz w:val="20"/>
                <w:szCs w:val="20"/>
              </w:rPr>
              <w:t>Petitioner</w:t>
            </w:r>
          </w:p>
        </w:tc>
        <w:tc>
          <w:tcPr>
            <w:tcW w:w="5783" w:type="dxa"/>
            <w:vAlign w:val="center"/>
          </w:tcPr>
          <w:p w14:paraId="3C5315D8" w14:textId="1F90ABF4" w:rsidR="003239B8" w:rsidRPr="00FB36E4" w:rsidRDefault="00191006" w:rsidP="00107599">
            <w:pPr>
              <w:jc w:val="both"/>
              <w:rPr>
                <w:rFonts w:asciiTheme="majorHAnsi" w:hAnsiTheme="majorHAnsi"/>
                <w:bCs/>
                <w:sz w:val="20"/>
                <w:szCs w:val="20"/>
              </w:rPr>
            </w:pPr>
            <w:r w:rsidRPr="00FB36E4">
              <w:rPr>
                <w:rFonts w:asciiTheme="majorHAnsi" w:hAnsiTheme="majorHAnsi"/>
                <w:bCs/>
                <w:sz w:val="20"/>
                <w:szCs w:val="20"/>
              </w:rPr>
              <w:t>Ví</w:t>
            </w:r>
            <w:r w:rsidR="00A07A4D" w:rsidRPr="00FB36E4">
              <w:rPr>
                <w:rFonts w:asciiTheme="majorHAnsi" w:hAnsiTheme="majorHAnsi"/>
                <w:bCs/>
                <w:sz w:val="20"/>
                <w:szCs w:val="20"/>
              </w:rPr>
              <w:t>ctor Manuel Iruegas García</w:t>
            </w:r>
          </w:p>
        </w:tc>
      </w:tr>
      <w:tr w:rsidR="003239B8" w:rsidRPr="00FB36E4" w14:paraId="593A7E45" w14:textId="77777777" w:rsidTr="009C67EF">
        <w:tc>
          <w:tcPr>
            <w:tcW w:w="3577" w:type="dxa"/>
            <w:tcBorders>
              <w:top w:val="single" w:sz="6" w:space="0" w:color="auto"/>
              <w:bottom w:val="single" w:sz="6" w:space="0" w:color="auto"/>
            </w:tcBorders>
            <w:shd w:val="clear" w:color="auto" w:fill="67AE3C"/>
            <w:vAlign w:val="center"/>
          </w:tcPr>
          <w:p w14:paraId="0E78CA0C" w14:textId="7ABF5602" w:rsidR="003239B8" w:rsidRPr="009C67EF" w:rsidRDefault="001D604E" w:rsidP="00107599">
            <w:pPr>
              <w:jc w:val="center"/>
              <w:rPr>
                <w:rFonts w:asciiTheme="majorHAnsi" w:hAnsiTheme="majorHAnsi"/>
                <w:b/>
                <w:color w:val="FFFFFF" w:themeColor="background1"/>
                <w:sz w:val="20"/>
                <w:szCs w:val="20"/>
              </w:rPr>
            </w:pPr>
            <w:r w:rsidRPr="009C67EF">
              <w:rPr>
                <w:rFonts w:asciiTheme="majorHAnsi" w:hAnsiTheme="majorHAnsi"/>
                <w:b/>
                <w:color w:val="FFFFFF" w:themeColor="background1"/>
                <w:sz w:val="20"/>
                <w:szCs w:val="20"/>
              </w:rPr>
              <w:t>Alleged victim</w:t>
            </w:r>
          </w:p>
        </w:tc>
        <w:tc>
          <w:tcPr>
            <w:tcW w:w="5783" w:type="dxa"/>
            <w:vAlign w:val="center"/>
          </w:tcPr>
          <w:p w14:paraId="4AEBF59E" w14:textId="5346EE57" w:rsidR="003239B8" w:rsidRPr="00FB36E4" w:rsidRDefault="00191006" w:rsidP="005B6D22">
            <w:pPr>
              <w:jc w:val="both"/>
              <w:rPr>
                <w:rFonts w:asciiTheme="majorHAnsi" w:hAnsiTheme="majorHAnsi"/>
                <w:bCs/>
                <w:sz w:val="20"/>
                <w:szCs w:val="20"/>
              </w:rPr>
            </w:pPr>
            <w:r w:rsidRPr="00FB36E4">
              <w:rPr>
                <w:rFonts w:asciiTheme="majorHAnsi" w:hAnsiTheme="majorHAnsi"/>
                <w:bCs/>
                <w:sz w:val="20"/>
                <w:szCs w:val="20"/>
              </w:rPr>
              <w:t>Ví</w:t>
            </w:r>
            <w:r w:rsidR="00A07A4D" w:rsidRPr="00FB36E4">
              <w:rPr>
                <w:rFonts w:asciiTheme="majorHAnsi" w:hAnsiTheme="majorHAnsi"/>
                <w:bCs/>
                <w:sz w:val="20"/>
                <w:szCs w:val="20"/>
              </w:rPr>
              <w:t>ctor Manuel Iruegas García</w:t>
            </w:r>
          </w:p>
        </w:tc>
      </w:tr>
      <w:tr w:rsidR="003239B8" w:rsidRPr="00FB36E4" w14:paraId="3E62E1D3" w14:textId="77777777" w:rsidTr="009C67EF">
        <w:tc>
          <w:tcPr>
            <w:tcW w:w="3577" w:type="dxa"/>
            <w:tcBorders>
              <w:top w:val="single" w:sz="6" w:space="0" w:color="auto"/>
              <w:bottom w:val="single" w:sz="6" w:space="0" w:color="auto"/>
            </w:tcBorders>
            <w:shd w:val="clear" w:color="auto" w:fill="67AE3C"/>
            <w:vAlign w:val="center"/>
          </w:tcPr>
          <w:p w14:paraId="340B0F09" w14:textId="13144308" w:rsidR="003239B8" w:rsidRPr="009C67EF" w:rsidRDefault="00E047DF" w:rsidP="00E047DF">
            <w:pPr>
              <w:jc w:val="center"/>
              <w:rPr>
                <w:rFonts w:asciiTheme="majorHAnsi" w:hAnsiTheme="majorHAnsi"/>
                <w:b/>
                <w:color w:val="FFFFFF" w:themeColor="background1"/>
                <w:sz w:val="20"/>
                <w:szCs w:val="20"/>
              </w:rPr>
            </w:pPr>
            <w:r w:rsidRPr="009C67EF">
              <w:rPr>
                <w:rFonts w:asciiTheme="majorHAnsi" w:hAnsiTheme="majorHAnsi"/>
                <w:b/>
                <w:color w:val="FFFFFF" w:themeColor="background1"/>
                <w:sz w:val="20"/>
                <w:szCs w:val="20"/>
              </w:rPr>
              <w:t>Respondent state</w:t>
            </w:r>
          </w:p>
        </w:tc>
        <w:tc>
          <w:tcPr>
            <w:tcW w:w="5783" w:type="dxa"/>
            <w:vAlign w:val="center"/>
          </w:tcPr>
          <w:p w14:paraId="274C8A50" w14:textId="24DAEBE5" w:rsidR="003239B8" w:rsidRPr="00FB36E4" w:rsidRDefault="00A07A4D" w:rsidP="00107599">
            <w:pPr>
              <w:jc w:val="both"/>
              <w:rPr>
                <w:rFonts w:asciiTheme="majorHAnsi" w:hAnsiTheme="majorHAnsi"/>
                <w:bCs/>
                <w:sz w:val="20"/>
                <w:szCs w:val="20"/>
              </w:rPr>
            </w:pPr>
            <w:r w:rsidRPr="00FB36E4">
              <w:rPr>
                <w:rFonts w:asciiTheme="majorHAnsi" w:hAnsiTheme="majorHAnsi"/>
                <w:bCs/>
                <w:sz w:val="20"/>
                <w:szCs w:val="20"/>
              </w:rPr>
              <w:t>M</w:t>
            </w:r>
            <w:r w:rsidR="001D604E" w:rsidRPr="00FB36E4">
              <w:rPr>
                <w:rFonts w:asciiTheme="majorHAnsi" w:hAnsiTheme="majorHAnsi"/>
                <w:bCs/>
                <w:sz w:val="20"/>
                <w:szCs w:val="20"/>
              </w:rPr>
              <w:t>e</w:t>
            </w:r>
            <w:r w:rsidRPr="00FB36E4">
              <w:rPr>
                <w:rFonts w:asciiTheme="majorHAnsi" w:hAnsiTheme="majorHAnsi"/>
                <w:bCs/>
                <w:sz w:val="20"/>
                <w:szCs w:val="20"/>
              </w:rPr>
              <w:t>xico</w:t>
            </w:r>
            <w:r w:rsidR="004A6A54" w:rsidRPr="00FB36E4">
              <w:rPr>
                <w:rStyle w:val="FootnoteReference"/>
                <w:rFonts w:asciiTheme="majorHAnsi" w:hAnsiTheme="majorHAnsi"/>
                <w:bCs/>
                <w:sz w:val="20"/>
                <w:szCs w:val="20"/>
              </w:rPr>
              <w:footnoteReference w:id="2"/>
            </w:r>
          </w:p>
        </w:tc>
      </w:tr>
      <w:tr w:rsidR="00223A29" w:rsidRPr="00FB36E4" w14:paraId="632511BC" w14:textId="77777777" w:rsidTr="009C67EF">
        <w:tc>
          <w:tcPr>
            <w:tcW w:w="3577" w:type="dxa"/>
            <w:tcBorders>
              <w:top w:val="single" w:sz="6" w:space="0" w:color="auto"/>
              <w:bottom w:val="single" w:sz="6" w:space="0" w:color="auto"/>
            </w:tcBorders>
            <w:shd w:val="clear" w:color="auto" w:fill="67AE3C"/>
            <w:vAlign w:val="center"/>
          </w:tcPr>
          <w:p w14:paraId="727E2F6B" w14:textId="2290ADAA" w:rsidR="00223A29" w:rsidRPr="009C67EF" w:rsidRDefault="00E047DF" w:rsidP="00E047DF">
            <w:pPr>
              <w:jc w:val="center"/>
              <w:rPr>
                <w:rFonts w:asciiTheme="majorHAnsi" w:hAnsiTheme="majorHAnsi"/>
                <w:b/>
                <w:color w:val="FFFFFF" w:themeColor="background1"/>
                <w:sz w:val="20"/>
                <w:szCs w:val="20"/>
              </w:rPr>
            </w:pPr>
            <w:r w:rsidRPr="009C67EF">
              <w:rPr>
                <w:rFonts w:asciiTheme="majorHAnsi" w:hAnsiTheme="majorHAnsi"/>
                <w:b/>
                <w:color w:val="FFFFFF" w:themeColor="background1"/>
                <w:sz w:val="20"/>
                <w:szCs w:val="20"/>
              </w:rPr>
              <w:t>Rights invoked</w:t>
            </w:r>
          </w:p>
        </w:tc>
        <w:tc>
          <w:tcPr>
            <w:tcW w:w="5783" w:type="dxa"/>
            <w:vAlign w:val="center"/>
          </w:tcPr>
          <w:p w14:paraId="6DEE1EEB" w14:textId="3065B697" w:rsidR="00223A29" w:rsidRPr="00FB36E4" w:rsidRDefault="00BF514A" w:rsidP="00F74355">
            <w:pPr>
              <w:jc w:val="both"/>
              <w:rPr>
                <w:rFonts w:asciiTheme="majorHAnsi" w:hAnsiTheme="majorHAnsi"/>
                <w:bCs/>
                <w:sz w:val="20"/>
                <w:szCs w:val="20"/>
              </w:rPr>
            </w:pPr>
            <w:r w:rsidRPr="00FB36E4">
              <w:rPr>
                <w:rFonts w:asciiTheme="majorHAnsi" w:hAnsiTheme="majorHAnsi"/>
                <w:bCs/>
                <w:sz w:val="20"/>
                <w:szCs w:val="20"/>
              </w:rPr>
              <w:t>Art</w:t>
            </w:r>
            <w:r w:rsidR="001D604E" w:rsidRPr="00FB36E4">
              <w:rPr>
                <w:rFonts w:asciiTheme="majorHAnsi" w:hAnsiTheme="majorHAnsi"/>
                <w:bCs/>
                <w:sz w:val="20"/>
                <w:szCs w:val="20"/>
              </w:rPr>
              <w:t>icles</w:t>
            </w:r>
            <w:r w:rsidRPr="00FB36E4">
              <w:rPr>
                <w:rFonts w:asciiTheme="majorHAnsi" w:hAnsiTheme="majorHAnsi"/>
                <w:bCs/>
                <w:sz w:val="20"/>
                <w:szCs w:val="20"/>
              </w:rPr>
              <w:t xml:space="preserve"> </w:t>
            </w:r>
            <w:r w:rsidR="00B22CD0" w:rsidRPr="00FB36E4">
              <w:rPr>
                <w:rFonts w:asciiTheme="majorHAnsi" w:hAnsiTheme="majorHAnsi"/>
                <w:bCs/>
                <w:sz w:val="20"/>
                <w:szCs w:val="20"/>
              </w:rPr>
              <w:t>II</w:t>
            </w:r>
            <w:r w:rsidR="00F74355" w:rsidRPr="00FB36E4">
              <w:rPr>
                <w:rFonts w:asciiTheme="majorHAnsi" w:hAnsiTheme="majorHAnsi"/>
                <w:bCs/>
                <w:sz w:val="20"/>
                <w:szCs w:val="20"/>
              </w:rPr>
              <w:t xml:space="preserve"> (equality</w:t>
            </w:r>
            <w:r w:rsidR="001D604E" w:rsidRPr="00FB36E4">
              <w:rPr>
                <w:rFonts w:asciiTheme="majorHAnsi" w:hAnsiTheme="majorHAnsi"/>
                <w:bCs/>
                <w:sz w:val="20"/>
                <w:szCs w:val="20"/>
              </w:rPr>
              <w:t xml:space="preserve"> before the law</w:t>
            </w:r>
            <w:r w:rsidR="00C7343D" w:rsidRPr="00FB36E4">
              <w:rPr>
                <w:rFonts w:asciiTheme="majorHAnsi" w:hAnsiTheme="majorHAnsi"/>
                <w:bCs/>
                <w:sz w:val="20"/>
                <w:szCs w:val="20"/>
              </w:rPr>
              <w:t>)</w:t>
            </w:r>
            <w:r w:rsidR="00B22CD0" w:rsidRPr="00FB36E4">
              <w:rPr>
                <w:rFonts w:asciiTheme="majorHAnsi" w:hAnsiTheme="majorHAnsi"/>
                <w:bCs/>
                <w:sz w:val="20"/>
                <w:szCs w:val="20"/>
              </w:rPr>
              <w:t>, XVI</w:t>
            </w:r>
            <w:r w:rsidR="00C7343D" w:rsidRPr="00FB36E4">
              <w:rPr>
                <w:rFonts w:asciiTheme="majorHAnsi" w:hAnsiTheme="majorHAnsi"/>
                <w:bCs/>
                <w:sz w:val="20"/>
                <w:szCs w:val="20"/>
              </w:rPr>
              <w:t xml:space="preserve"> (</w:t>
            </w:r>
            <w:r w:rsidR="001D604E" w:rsidRPr="00FB36E4">
              <w:rPr>
                <w:rFonts w:asciiTheme="majorHAnsi" w:hAnsiTheme="majorHAnsi"/>
                <w:bCs/>
                <w:sz w:val="20"/>
                <w:szCs w:val="20"/>
              </w:rPr>
              <w:t>social security</w:t>
            </w:r>
            <w:r w:rsidR="00C7343D" w:rsidRPr="00FB36E4">
              <w:rPr>
                <w:rFonts w:asciiTheme="majorHAnsi" w:hAnsiTheme="majorHAnsi"/>
                <w:bCs/>
                <w:sz w:val="20"/>
                <w:szCs w:val="20"/>
              </w:rPr>
              <w:t>)</w:t>
            </w:r>
            <w:r w:rsidR="00B22CD0" w:rsidRPr="00FB36E4">
              <w:rPr>
                <w:rFonts w:asciiTheme="majorHAnsi" w:hAnsiTheme="majorHAnsi"/>
                <w:bCs/>
                <w:sz w:val="20"/>
                <w:szCs w:val="20"/>
              </w:rPr>
              <w:t>, XVIII</w:t>
            </w:r>
            <w:r w:rsidR="00F74355" w:rsidRPr="00FB36E4">
              <w:rPr>
                <w:rFonts w:asciiTheme="majorHAnsi" w:hAnsiTheme="majorHAnsi"/>
                <w:bCs/>
                <w:sz w:val="20"/>
                <w:szCs w:val="20"/>
              </w:rPr>
              <w:t xml:space="preserve"> (fair trial</w:t>
            </w:r>
            <w:r w:rsidR="00C7343D" w:rsidRPr="00FB36E4">
              <w:rPr>
                <w:rFonts w:asciiTheme="majorHAnsi" w:hAnsiTheme="majorHAnsi"/>
                <w:bCs/>
                <w:sz w:val="20"/>
                <w:szCs w:val="20"/>
              </w:rPr>
              <w:t>)</w:t>
            </w:r>
            <w:r w:rsidR="001D604E" w:rsidRPr="00FB36E4">
              <w:rPr>
                <w:rFonts w:asciiTheme="majorHAnsi" w:hAnsiTheme="majorHAnsi"/>
                <w:bCs/>
                <w:sz w:val="20"/>
                <w:szCs w:val="20"/>
              </w:rPr>
              <w:t>, and</w:t>
            </w:r>
            <w:r w:rsidR="00B22CD0" w:rsidRPr="00FB36E4">
              <w:rPr>
                <w:rFonts w:asciiTheme="majorHAnsi" w:hAnsiTheme="majorHAnsi"/>
                <w:bCs/>
                <w:sz w:val="20"/>
                <w:szCs w:val="20"/>
              </w:rPr>
              <w:t xml:space="preserve"> XXIV</w:t>
            </w:r>
            <w:r w:rsidR="00C7343D" w:rsidRPr="00FB36E4">
              <w:rPr>
                <w:rFonts w:asciiTheme="majorHAnsi" w:hAnsiTheme="majorHAnsi"/>
                <w:bCs/>
                <w:sz w:val="20"/>
                <w:szCs w:val="20"/>
              </w:rPr>
              <w:t xml:space="preserve"> (peti</w:t>
            </w:r>
            <w:r w:rsidR="001D604E" w:rsidRPr="00FB36E4">
              <w:rPr>
                <w:rFonts w:asciiTheme="majorHAnsi" w:hAnsiTheme="majorHAnsi"/>
                <w:bCs/>
                <w:sz w:val="20"/>
                <w:szCs w:val="20"/>
              </w:rPr>
              <w:t>tion</w:t>
            </w:r>
            <w:r w:rsidR="00C7343D" w:rsidRPr="00FB36E4">
              <w:rPr>
                <w:rFonts w:asciiTheme="majorHAnsi" w:hAnsiTheme="majorHAnsi"/>
                <w:bCs/>
                <w:sz w:val="20"/>
                <w:szCs w:val="20"/>
              </w:rPr>
              <w:t>)</w:t>
            </w:r>
            <w:r w:rsidR="00B22CD0" w:rsidRPr="00FB36E4">
              <w:rPr>
                <w:rFonts w:asciiTheme="majorHAnsi" w:hAnsiTheme="majorHAnsi"/>
                <w:bCs/>
                <w:sz w:val="20"/>
                <w:szCs w:val="20"/>
              </w:rPr>
              <w:t xml:space="preserve"> </w:t>
            </w:r>
            <w:r w:rsidR="001D604E" w:rsidRPr="00FB36E4">
              <w:rPr>
                <w:rFonts w:asciiTheme="majorHAnsi" w:hAnsiTheme="majorHAnsi"/>
                <w:bCs/>
                <w:sz w:val="20"/>
                <w:szCs w:val="20"/>
              </w:rPr>
              <w:t xml:space="preserve">of the American </w:t>
            </w:r>
            <w:r w:rsidR="00F74355" w:rsidRPr="00FB36E4">
              <w:rPr>
                <w:rFonts w:asciiTheme="majorHAnsi" w:hAnsiTheme="majorHAnsi"/>
                <w:bCs/>
                <w:sz w:val="20"/>
                <w:szCs w:val="20"/>
              </w:rPr>
              <w:t>Declaration of</w:t>
            </w:r>
            <w:r w:rsidR="001D604E" w:rsidRPr="00FB36E4">
              <w:rPr>
                <w:rFonts w:asciiTheme="majorHAnsi" w:hAnsiTheme="majorHAnsi"/>
                <w:bCs/>
                <w:sz w:val="20"/>
                <w:szCs w:val="20"/>
              </w:rPr>
              <w:t xml:space="preserve"> the Rights and Duties of Man;</w:t>
            </w:r>
            <w:r w:rsidR="00B22CD0" w:rsidRPr="00FB36E4">
              <w:rPr>
                <w:rStyle w:val="FootnoteReference"/>
                <w:rFonts w:asciiTheme="majorHAnsi" w:hAnsiTheme="majorHAnsi"/>
                <w:bCs/>
                <w:sz w:val="20"/>
                <w:szCs w:val="20"/>
              </w:rPr>
              <w:footnoteReference w:id="3"/>
            </w:r>
            <w:r w:rsidR="001D604E" w:rsidRPr="00FB36E4">
              <w:rPr>
                <w:rFonts w:asciiTheme="majorHAnsi" w:hAnsiTheme="majorHAnsi"/>
                <w:bCs/>
                <w:sz w:val="20"/>
                <w:szCs w:val="20"/>
              </w:rPr>
              <w:t xml:space="preserve"> and other international instruments.</w:t>
            </w:r>
            <w:r w:rsidR="00C7343D" w:rsidRPr="00FB36E4">
              <w:rPr>
                <w:rStyle w:val="FootnoteReference"/>
                <w:rFonts w:asciiTheme="majorHAnsi" w:hAnsiTheme="majorHAnsi"/>
                <w:bCs/>
                <w:sz w:val="20"/>
                <w:szCs w:val="20"/>
              </w:rPr>
              <w:footnoteReference w:id="4"/>
            </w:r>
          </w:p>
        </w:tc>
      </w:tr>
    </w:tbl>
    <w:p w14:paraId="20263696" w14:textId="5A8DB250" w:rsidR="003239B8" w:rsidRPr="00FB36E4" w:rsidRDefault="001D604E" w:rsidP="007C402A">
      <w:pPr>
        <w:spacing w:before="120" w:after="120"/>
        <w:ind w:firstLine="720"/>
        <w:jc w:val="both"/>
        <w:rPr>
          <w:rFonts w:asciiTheme="majorHAnsi" w:hAnsiTheme="majorHAnsi"/>
          <w:b/>
          <w:bCs/>
          <w:sz w:val="20"/>
          <w:szCs w:val="20"/>
        </w:rPr>
      </w:pPr>
      <w:r w:rsidRPr="00FB36E4">
        <w:rPr>
          <w:rFonts w:asciiTheme="majorHAnsi" w:hAnsiTheme="majorHAnsi"/>
          <w:b/>
          <w:bCs/>
          <w:sz w:val="20"/>
          <w:szCs w:val="20"/>
        </w:rPr>
        <w:t>II.</w:t>
      </w:r>
      <w:r w:rsidRPr="00FB36E4">
        <w:rPr>
          <w:rFonts w:asciiTheme="majorHAnsi" w:hAnsiTheme="majorHAnsi"/>
          <w:b/>
          <w:bCs/>
          <w:sz w:val="20"/>
          <w:szCs w:val="20"/>
        </w:rPr>
        <w:tab/>
        <w:t xml:space="preserve">PROCEEDINGS </w:t>
      </w:r>
      <w:r w:rsidR="00E047DF" w:rsidRPr="00FB36E4">
        <w:rPr>
          <w:rFonts w:asciiTheme="majorHAnsi" w:hAnsiTheme="majorHAnsi"/>
          <w:b/>
          <w:bCs/>
          <w:sz w:val="20"/>
          <w:szCs w:val="20"/>
        </w:rPr>
        <w:t>BEFORE</w:t>
      </w:r>
      <w:r w:rsidRPr="00FB36E4">
        <w:rPr>
          <w:rFonts w:asciiTheme="majorHAnsi" w:hAnsiTheme="majorHAnsi"/>
          <w:b/>
          <w:bCs/>
          <w:sz w:val="20"/>
          <w:szCs w:val="20"/>
        </w:rPr>
        <w:t xml:space="preserve"> THE IACHR</w:t>
      </w:r>
      <w:r w:rsidR="008E3BFE" w:rsidRPr="00FB36E4">
        <w:rPr>
          <w:rStyle w:val="FootnoteReference"/>
          <w:rFonts w:asciiTheme="majorHAnsi" w:hAnsiTheme="majorHAnsi"/>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7"/>
        <w:gridCol w:w="5783"/>
      </w:tblGrid>
      <w:tr w:rsidR="004C2312" w:rsidRPr="00FB36E4" w14:paraId="306EFCB0" w14:textId="77777777" w:rsidTr="009C67EF">
        <w:tc>
          <w:tcPr>
            <w:tcW w:w="3577" w:type="dxa"/>
            <w:tcBorders>
              <w:top w:val="single" w:sz="6" w:space="0" w:color="auto"/>
              <w:bottom w:val="single" w:sz="6" w:space="0" w:color="auto"/>
            </w:tcBorders>
            <w:shd w:val="clear" w:color="auto" w:fill="67AE3C"/>
            <w:vAlign w:val="center"/>
          </w:tcPr>
          <w:p w14:paraId="7508D16F" w14:textId="04EAD186" w:rsidR="004C2312" w:rsidRPr="00FB36E4" w:rsidRDefault="00E047DF" w:rsidP="00E047DF">
            <w:pPr>
              <w:jc w:val="center"/>
              <w:rPr>
                <w:rFonts w:asciiTheme="majorHAnsi" w:hAnsiTheme="majorHAnsi"/>
                <w:b/>
                <w:color w:val="FFFFFF" w:themeColor="background1"/>
                <w:sz w:val="20"/>
                <w:szCs w:val="20"/>
              </w:rPr>
            </w:pPr>
            <w:r w:rsidRPr="00FB36E4">
              <w:rPr>
                <w:rFonts w:asciiTheme="majorHAnsi" w:hAnsiTheme="majorHAnsi"/>
                <w:b/>
                <w:color w:val="FFFFFF" w:themeColor="background1"/>
                <w:sz w:val="20"/>
                <w:szCs w:val="20"/>
              </w:rPr>
              <w:t xml:space="preserve">Filing of </w:t>
            </w:r>
            <w:r w:rsidR="001D604E" w:rsidRPr="00FB36E4">
              <w:rPr>
                <w:rFonts w:asciiTheme="majorHAnsi" w:hAnsiTheme="majorHAnsi"/>
                <w:b/>
                <w:color w:val="FFFFFF" w:themeColor="background1"/>
                <w:sz w:val="20"/>
                <w:szCs w:val="20"/>
              </w:rPr>
              <w:t>the petition</w:t>
            </w:r>
          </w:p>
        </w:tc>
        <w:tc>
          <w:tcPr>
            <w:tcW w:w="5783" w:type="dxa"/>
            <w:vAlign w:val="center"/>
          </w:tcPr>
          <w:p w14:paraId="6E579153" w14:textId="7925E9B6" w:rsidR="004C2312" w:rsidRPr="00FB36E4" w:rsidRDefault="001D604E" w:rsidP="001D604E">
            <w:pPr>
              <w:jc w:val="both"/>
              <w:rPr>
                <w:rFonts w:asciiTheme="majorHAnsi" w:hAnsiTheme="majorHAnsi"/>
                <w:bCs/>
                <w:sz w:val="20"/>
                <w:szCs w:val="20"/>
              </w:rPr>
            </w:pPr>
            <w:r w:rsidRPr="00FB36E4">
              <w:rPr>
                <w:rFonts w:asciiTheme="majorHAnsi" w:hAnsiTheme="majorHAnsi"/>
                <w:bCs/>
                <w:sz w:val="20"/>
                <w:szCs w:val="20"/>
              </w:rPr>
              <w:t xml:space="preserve">December </w:t>
            </w:r>
            <w:r w:rsidR="0006118A" w:rsidRPr="00FB36E4">
              <w:rPr>
                <w:rFonts w:asciiTheme="majorHAnsi" w:hAnsiTheme="majorHAnsi"/>
                <w:bCs/>
                <w:sz w:val="20"/>
                <w:szCs w:val="20"/>
              </w:rPr>
              <w:t>30</w:t>
            </w:r>
            <w:r w:rsidRPr="00FB36E4">
              <w:rPr>
                <w:rFonts w:asciiTheme="majorHAnsi" w:hAnsiTheme="majorHAnsi"/>
                <w:bCs/>
                <w:sz w:val="20"/>
                <w:szCs w:val="20"/>
              </w:rPr>
              <w:t>,</w:t>
            </w:r>
            <w:r w:rsidR="0006118A" w:rsidRPr="00FB36E4">
              <w:rPr>
                <w:rFonts w:asciiTheme="majorHAnsi" w:hAnsiTheme="majorHAnsi"/>
                <w:bCs/>
                <w:sz w:val="20"/>
                <w:szCs w:val="20"/>
              </w:rPr>
              <w:t xml:space="preserve"> 2012</w:t>
            </w:r>
          </w:p>
        </w:tc>
      </w:tr>
      <w:tr w:rsidR="004C2312" w:rsidRPr="00FB36E4" w14:paraId="1BDCD5C6" w14:textId="77777777" w:rsidTr="009C67EF">
        <w:tc>
          <w:tcPr>
            <w:tcW w:w="3577" w:type="dxa"/>
            <w:tcBorders>
              <w:top w:val="single" w:sz="6" w:space="0" w:color="auto"/>
              <w:bottom w:val="single" w:sz="6" w:space="0" w:color="auto"/>
            </w:tcBorders>
            <w:shd w:val="clear" w:color="auto" w:fill="67AE3C"/>
            <w:vAlign w:val="center"/>
          </w:tcPr>
          <w:p w14:paraId="7A18664F" w14:textId="3F74B42F" w:rsidR="004C2312" w:rsidRPr="00FB36E4" w:rsidRDefault="004A6A54" w:rsidP="001D604E">
            <w:pPr>
              <w:jc w:val="center"/>
              <w:rPr>
                <w:rFonts w:asciiTheme="majorHAnsi" w:hAnsiTheme="majorHAnsi"/>
                <w:b/>
                <w:color w:val="FFFFFF" w:themeColor="background1"/>
                <w:sz w:val="20"/>
                <w:szCs w:val="20"/>
              </w:rPr>
            </w:pPr>
            <w:r w:rsidRPr="00FB36E4">
              <w:rPr>
                <w:rFonts w:asciiTheme="majorHAnsi" w:hAnsiTheme="majorHAnsi"/>
                <w:b/>
                <w:color w:val="FFFFFF" w:themeColor="background1"/>
                <w:sz w:val="20"/>
                <w:szCs w:val="20"/>
              </w:rPr>
              <w:t>N</w:t>
            </w:r>
            <w:r w:rsidR="004C2312" w:rsidRPr="00FB36E4">
              <w:rPr>
                <w:rFonts w:asciiTheme="majorHAnsi" w:hAnsiTheme="majorHAnsi"/>
                <w:b/>
                <w:color w:val="FFFFFF" w:themeColor="background1"/>
                <w:sz w:val="20"/>
                <w:szCs w:val="20"/>
              </w:rPr>
              <w:t>otifica</w:t>
            </w:r>
            <w:r w:rsidR="001D604E" w:rsidRPr="00FB36E4">
              <w:rPr>
                <w:rFonts w:asciiTheme="majorHAnsi" w:hAnsiTheme="majorHAnsi"/>
                <w:b/>
                <w:color w:val="FFFFFF" w:themeColor="background1"/>
                <w:sz w:val="20"/>
                <w:szCs w:val="20"/>
              </w:rPr>
              <w:t>tion of the petition</w:t>
            </w:r>
            <w:r w:rsidR="00E047DF" w:rsidRPr="00FB36E4">
              <w:rPr>
                <w:rFonts w:asciiTheme="majorHAnsi" w:hAnsiTheme="majorHAnsi"/>
                <w:b/>
                <w:color w:val="FFFFFF" w:themeColor="background1"/>
                <w:sz w:val="20"/>
                <w:szCs w:val="20"/>
              </w:rPr>
              <w:t xml:space="preserve"> to the state</w:t>
            </w:r>
          </w:p>
        </w:tc>
        <w:tc>
          <w:tcPr>
            <w:tcW w:w="5783" w:type="dxa"/>
            <w:vAlign w:val="center"/>
          </w:tcPr>
          <w:p w14:paraId="1519DA6A" w14:textId="3A726A78" w:rsidR="004C2312" w:rsidRPr="00FB36E4" w:rsidRDefault="001D604E" w:rsidP="001D604E">
            <w:pPr>
              <w:jc w:val="both"/>
              <w:rPr>
                <w:rFonts w:asciiTheme="majorHAnsi" w:hAnsiTheme="majorHAnsi"/>
                <w:bCs/>
                <w:sz w:val="20"/>
                <w:szCs w:val="20"/>
              </w:rPr>
            </w:pPr>
            <w:r w:rsidRPr="00FB36E4">
              <w:rPr>
                <w:rFonts w:asciiTheme="majorHAnsi" w:hAnsiTheme="majorHAnsi"/>
                <w:bCs/>
                <w:sz w:val="20"/>
                <w:szCs w:val="20"/>
              </w:rPr>
              <w:t xml:space="preserve">October </w:t>
            </w:r>
            <w:r w:rsidR="00F862A1" w:rsidRPr="00FB36E4">
              <w:rPr>
                <w:rFonts w:asciiTheme="majorHAnsi" w:hAnsiTheme="majorHAnsi"/>
                <w:bCs/>
                <w:sz w:val="20"/>
                <w:szCs w:val="20"/>
              </w:rPr>
              <w:t>4</w:t>
            </w:r>
            <w:r w:rsidRPr="00FB36E4">
              <w:rPr>
                <w:rFonts w:asciiTheme="majorHAnsi" w:hAnsiTheme="majorHAnsi"/>
                <w:bCs/>
                <w:sz w:val="20"/>
                <w:szCs w:val="20"/>
              </w:rPr>
              <w:t>,</w:t>
            </w:r>
            <w:r w:rsidR="00F862A1" w:rsidRPr="00FB36E4">
              <w:rPr>
                <w:rFonts w:asciiTheme="majorHAnsi" w:hAnsiTheme="majorHAnsi"/>
                <w:bCs/>
                <w:sz w:val="20"/>
                <w:szCs w:val="20"/>
              </w:rPr>
              <w:t xml:space="preserve"> 2017</w:t>
            </w:r>
          </w:p>
        </w:tc>
      </w:tr>
      <w:tr w:rsidR="00F06354" w:rsidRPr="00FB36E4" w14:paraId="6147A8D5" w14:textId="77777777" w:rsidTr="009C67EF">
        <w:tc>
          <w:tcPr>
            <w:tcW w:w="3577" w:type="dxa"/>
            <w:tcBorders>
              <w:top w:val="single" w:sz="6" w:space="0" w:color="auto"/>
              <w:bottom w:val="single" w:sz="6" w:space="0" w:color="auto"/>
            </w:tcBorders>
            <w:shd w:val="clear" w:color="auto" w:fill="67AE3C"/>
            <w:vAlign w:val="center"/>
          </w:tcPr>
          <w:p w14:paraId="0201C86D" w14:textId="67EABFAE" w:rsidR="00F06354" w:rsidRPr="00FB36E4" w:rsidRDefault="00E047DF" w:rsidP="00E047DF">
            <w:pPr>
              <w:jc w:val="center"/>
              <w:rPr>
                <w:rFonts w:asciiTheme="majorHAnsi" w:hAnsiTheme="majorHAnsi"/>
                <w:b/>
                <w:color w:val="FFFFFF" w:themeColor="background1"/>
                <w:sz w:val="20"/>
                <w:szCs w:val="20"/>
              </w:rPr>
            </w:pPr>
            <w:r w:rsidRPr="00FB36E4">
              <w:rPr>
                <w:rFonts w:asciiTheme="majorHAnsi" w:hAnsiTheme="majorHAnsi"/>
                <w:b/>
                <w:color w:val="FFFFFF" w:themeColor="background1"/>
                <w:sz w:val="20"/>
                <w:szCs w:val="20"/>
              </w:rPr>
              <w:t>State’s f</w:t>
            </w:r>
            <w:r w:rsidR="001D604E" w:rsidRPr="00FB36E4">
              <w:rPr>
                <w:rFonts w:asciiTheme="majorHAnsi" w:hAnsiTheme="majorHAnsi"/>
                <w:b/>
                <w:color w:val="FFFFFF" w:themeColor="background1"/>
                <w:sz w:val="20"/>
                <w:szCs w:val="20"/>
              </w:rPr>
              <w:t>irst response</w:t>
            </w:r>
          </w:p>
        </w:tc>
        <w:tc>
          <w:tcPr>
            <w:tcW w:w="5783" w:type="dxa"/>
            <w:vAlign w:val="center"/>
          </w:tcPr>
          <w:p w14:paraId="1972B99E" w14:textId="43D2D180" w:rsidR="00F06354" w:rsidRPr="00FB36E4" w:rsidRDefault="001D604E" w:rsidP="001D604E">
            <w:pPr>
              <w:jc w:val="both"/>
              <w:rPr>
                <w:rFonts w:asciiTheme="majorHAnsi" w:hAnsiTheme="majorHAnsi"/>
                <w:bCs/>
                <w:sz w:val="20"/>
                <w:szCs w:val="20"/>
              </w:rPr>
            </w:pPr>
            <w:r w:rsidRPr="00FB36E4">
              <w:rPr>
                <w:rFonts w:asciiTheme="majorHAnsi" w:hAnsiTheme="majorHAnsi"/>
                <w:bCs/>
                <w:sz w:val="20"/>
                <w:szCs w:val="20"/>
              </w:rPr>
              <w:t xml:space="preserve">March </w:t>
            </w:r>
            <w:r w:rsidR="00F862A1" w:rsidRPr="00FB36E4">
              <w:rPr>
                <w:rFonts w:asciiTheme="majorHAnsi" w:hAnsiTheme="majorHAnsi"/>
                <w:bCs/>
                <w:sz w:val="20"/>
                <w:szCs w:val="20"/>
              </w:rPr>
              <w:t>13</w:t>
            </w:r>
            <w:r w:rsidRPr="00FB36E4">
              <w:rPr>
                <w:rFonts w:asciiTheme="majorHAnsi" w:hAnsiTheme="majorHAnsi"/>
                <w:bCs/>
                <w:sz w:val="20"/>
                <w:szCs w:val="20"/>
              </w:rPr>
              <w:t>,</w:t>
            </w:r>
            <w:r w:rsidR="00F862A1" w:rsidRPr="00FB36E4">
              <w:rPr>
                <w:rFonts w:asciiTheme="majorHAnsi" w:hAnsiTheme="majorHAnsi"/>
                <w:bCs/>
                <w:sz w:val="20"/>
                <w:szCs w:val="20"/>
              </w:rPr>
              <w:t xml:space="preserve"> 2018</w:t>
            </w:r>
          </w:p>
        </w:tc>
      </w:tr>
      <w:tr w:rsidR="00F06354" w:rsidRPr="00FB36E4" w14:paraId="322668B6" w14:textId="77777777" w:rsidTr="009C67EF">
        <w:tc>
          <w:tcPr>
            <w:tcW w:w="3577" w:type="dxa"/>
            <w:tcBorders>
              <w:top w:val="single" w:sz="6" w:space="0" w:color="auto"/>
              <w:bottom w:val="single" w:sz="6" w:space="0" w:color="auto"/>
            </w:tcBorders>
            <w:shd w:val="clear" w:color="auto" w:fill="67AE3C"/>
            <w:vAlign w:val="center"/>
          </w:tcPr>
          <w:p w14:paraId="1524DA55" w14:textId="54FAA69E" w:rsidR="00F06354" w:rsidRPr="00FB36E4" w:rsidRDefault="00A72A00" w:rsidP="00A72A00">
            <w:pPr>
              <w:jc w:val="center"/>
              <w:rPr>
                <w:rFonts w:asciiTheme="majorHAnsi" w:hAnsiTheme="majorHAnsi"/>
                <w:b/>
                <w:color w:val="FFFFFF" w:themeColor="background1"/>
                <w:sz w:val="20"/>
                <w:szCs w:val="20"/>
              </w:rPr>
            </w:pPr>
            <w:r w:rsidRPr="00FB36E4">
              <w:rPr>
                <w:rFonts w:asciiTheme="majorHAnsi" w:hAnsiTheme="majorHAnsi"/>
                <w:b/>
                <w:color w:val="FFFFFF" w:themeColor="background1"/>
                <w:sz w:val="20"/>
                <w:szCs w:val="20"/>
              </w:rPr>
              <w:t>Additional observations from the petitioner</w:t>
            </w:r>
          </w:p>
        </w:tc>
        <w:tc>
          <w:tcPr>
            <w:tcW w:w="5783" w:type="dxa"/>
            <w:vAlign w:val="center"/>
          </w:tcPr>
          <w:p w14:paraId="41D8B862" w14:textId="618A20DF" w:rsidR="00F06354" w:rsidRPr="00FB36E4" w:rsidRDefault="001D604E" w:rsidP="00A72A00">
            <w:pPr>
              <w:jc w:val="both"/>
              <w:rPr>
                <w:rFonts w:asciiTheme="majorHAnsi" w:hAnsiTheme="majorHAnsi"/>
                <w:bCs/>
                <w:sz w:val="20"/>
                <w:szCs w:val="20"/>
              </w:rPr>
            </w:pPr>
            <w:r w:rsidRPr="00FB36E4">
              <w:rPr>
                <w:rFonts w:asciiTheme="majorHAnsi" w:hAnsiTheme="majorHAnsi"/>
                <w:bCs/>
                <w:sz w:val="20"/>
                <w:szCs w:val="20"/>
              </w:rPr>
              <w:t xml:space="preserve">January </w:t>
            </w:r>
            <w:r w:rsidR="00607300" w:rsidRPr="00FB36E4">
              <w:rPr>
                <w:rFonts w:asciiTheme="majorHAnsi" w:hAnsiTheme="majorHAnsi"/>
                <w:bCs/>
                <w:sz w:val="20"/>
                <w:szCs w:val="20"/>
              </w:rPr>
              <w:t>4</w:t>
            </w:r>
            <w:r w:rsidR="00160599" w:rsidRPr="00FB36E4">
              <w:rPr>
                <w:rFonts w:asciiTheme="majorHAnsi" w:hAnsiTheme="majorHAnsi"/>
                <w:bCs/>
                <w:sz w:val="20"/>
                <w:szCs w:val="20"/>
              </w:rPr>
              <w:t>,</w:t>
            </w:r>
            <w:r w:rsidR="00E93F06" w:rsidRPr="00FB36E4">
              <w:rPr>
                <w:rFonts w:asciiTheme="majorHAnsi" w:hAnsiTheme="majorHAnsi"/>
                <w:bCs/>
                <w:sz w:val="20"/>
                <w:szCs w:val="20"/>
              </w:rPr>
              <w:t xml:space="preserve"> </w:t>
            </w:r>
            <w:r w:rsidRPr="00FB36E4">
              <w:rPr>
                <w:rFonts w:asciiTheme="majorHAnsi" w:hAnsiTheme="majorHAnsi"/>
                <w:bCs/>
                <w:sz w:val="20"/>
                <w:szCs w:val="20"/>
              </w:rPr>
              <w:t xml:space="preserve">April </w:t>
            </w:r>
            <w:r w:rsidR="00E93F06" w:rsidRPr="00FB36E4">
              <w:rPr>
                <w:rFonts w:asciiTheme="majorHAnsi" w:hAnsiTheme="majorHAnsi"/>
                <w:bCs/>
                <w:sz w:val="20"/>
                <w:szCs w:val="20"/>
              </w:rPr>
              <w:t>29</w:t>
            </w:r>
            <w:r w:rsidRPr="00FB36E4">
              <w:rPr>
                <w:rFonts w:asciiTheme="majorHAnsi" w:hAnsiTheme="majorHAnsi"/>
                <w:bCs/>
                <w:sz w:val="20"/>
                <w:szCs w:val="20"/>
              </w:rPr>
              <w:t>, and December</w:t>
            </w:r>
            <w:r w:rsidR="00160599" w:rsidRPr="00FB36E4">
              <w:rPr>
                <w:rFonts w:asciiTheme="majorHAnsi" w:hAnsiTheme="majorHAnsi"/>
                <w:bCs/>
                <w:sz w:val="20"/>
                <w:szCs w:val="20"/>
              </w:rPr>
              <w:t xml:space="preserve"> 17</w:t>
            </w:r>
            <w:r w:rsidRPr="00FB36E4">
              <w:rPr>
                <w:rFonts w:asciiTheme="majorHAnsi" w:hAnsiTheme="majorHAnsi"/>
                <w:bCs/>
                <w:sz w:val="20"/>
                <w:szCs w:val="20"/>
              </w:rPr>
              <w:t>,</w:t>
            </w:r>
            <w:r w:rsidR="00607300" w:rsidRPr="00FB36E4">
              <w:rPr>
                <w:rFonts w:asciiTheme="majorHAnsi" w:hAnsiTheme="majorHAnsi"/>
                <w:bCs/>
                <w:sz w:val="20"/>
                <w:szCs w:val="20"/>
              </w:rPr>
              <w:t xml:space="preserve"> 2013</w:t>
            </w:r>
            <w:r w:rsidR="0069376F" w:rsidRPr="00FB36E4">
              <w:rPr>
                <w:rFonts w:asciiTheme="majorHAnsi" w:hAnsiTheme="majorHAnsi"/>
                <w:bCs/>
                <w:sz w:val="20"/>
                <w:szCs w:val="20"/>
              </w:rPr>
              <w:t xml:space="preserve">; </w:t>
            </w:r>
            <w:r w:rsidRPr="00FB36E4">
              <w:rPr>
                <w:rFonts w:asciiTheme="majorHAnsi" w:hAnsiTheme="majorHAnsi"/>
                <w:bCs/>
                <w:sz w:val="20"/>
                <w:szCs w:val="20"/>
              </w:rPr>
              <w:t xml:space="preserve">December </w:t>
            </w:r>
            <w:r w:rsidR="00C36087" w:rsidRPr="00FB36E4">
              <w:rPr>
                <w:rFonts w:asciiTheme="majorHAnsi" w:hAnsiTheme="majorHAnsi"/>
                <w:bCs/>
                <w:sz w:val="20"/>
                <w:szCs w:val="20"/>
              </w:rPr>
              <w:t>12</w:t>
            </w:r>
            <w:r w:rsidRPr="00FB36E4">
              <w:rPr>
                <w:rFonts w:asciiTheme="majorHAnsi" w:hAnsiTheme="majorHAnsi"/>
                <w:bCs/>
                <w:sz w:val="20"/>
                <w:szCs w:val="20"/>
              </w:rPr>
              <w:t>,</w:t>
            </w:r>
            <w:r w:rsidR="00C36087" w:rsidRPr="00FB36E4">
              <w:rPr>
                <w:rFonts w:asciiTheme="majorHAnsi" w:hAnsiTheme="majorHAnsi"/>
                <w:bCs/>
                <w:sz w:val="20"/>
                <w:szCs w:val="20"/>
              </w:rPr>
              <w:t xml:space="preserve"> 2014</w:t>
            </w:r>
            <w:r w:rsidR="00C7592D" w:rsidRPr="00FB36E4">
              <w:rPr>
                <w:rFonts w:asciiTheme="majorHAnsi" w:hAnsiTheme="majorHAnsi"/>
                <w:bCs/>
                <w:sz w:val="20"/>
                <w:szCs w:val="20"/>
              </w:rPr>
              <w:t xml:space="preserve">; </w:t>
            </w:r>
            <w:r w:rsidRPr="00FB36E4">
              <w:rPr>
                <w:rFonts w:asciiTheme="majorHAnsi" w:hAnsiTheme="majorHAnsi"/>
                <w:bCs/>
                <w:sz w:val="20"/>
                <w:szCs w:val="20"/>
              </w:rPr>
              <w:t xml:space="preserve">August </w:t>
            </w:r>
            <w:r w:rsidR="00C7592D" w:rsidRPr="00FB36E4">
              <w:rPr>
                <w:rFonts w:asciiTheme="majorHAnsi" w:hAnsiTheme="majorHAnsi"/>
                <w:bCs/>
                <w:sz w:val="20"/>
                <w:szCs w:val="20"/>
              </w:rPr>
              <w:t>4</w:t>
            </w:r>
            <w:r w:rsidRPr="00FB36E4">
              <w:rPr>
                <w:rFonts w:asciiTheme="majorHAnsi" w:hAnsiTheme="majorHAnsi"/>
                <w:bCs/>
                <w:sz w:val="20"/>
                <w:szCs w:val="20"/>
              </w:rPr>
              <w:t>,</w:t>
            </w:r>
            <w:r w:rsidR="00C7592D" w:rsidRPr="00FB36E4">
              <w:rPr>
                <w:rFonts w:asciiTheme="majorHAnsi" w:hAnsiTheme="majorHAnsi"/>
                <w:bCs/>
                <w:sz w:val="20"/>
                <w:szCs w:val="20"/>
              </w:rPr>
              <w:t xml:space="preserve"> 2015; </w:t>
            </w:r>
            <w:r w:rsidRPr="00FB36E4">
              <w:rPr>
                <w:rFonts w:asciiTheme="majorHAnsi" w:hAnsiTheme="majorHAnsi"/>
                <w:bCs/>
                <w:sz w:val="20"/>
                <w:szCs w:val="20"/>
              </w:rPr>
              <w:t xml:space="preserve">May </w:t>
            </w:r>
            <w:r w:rsidR="001E31D4" w:rsidRPr="00FB36E4">
              <w:rPr>
                <w:rFonts w:asciiTheme="majorHAnsi" w:hAnsiTheme="majorHAnsi"/>
                <w:bCs/>
                <w:sz w:val="20"/>
                <w:szCs w:val="20"/>
              </w:rPr>
              <w:t>17</w:t>
            </w:r>
            <w:r w:rsidRPr="00FB36E4">
              <w:rPr>
                <w:rFonts w:asciiTheme="majorHAnsi" w:hAnsiTheme="majorHAnsi"/>
                <w:bCs/>
                <w:sz w:val="20"/>
                <w:szCs w:val="20"/>
              </w:rPr>
              <w:t>, November 9, 14, 15, and</w:t>
            </w:r>
            <w:r w:rsidR="004F3567" w:rsidRPr="00FB36E4">
              <w:rPr>
                <w:rFonts w:asciiTheme="majorHAnsi" w:hAnsiTheme="majorHAnsi"/>
                <w:bCs/>
                <w:sz w:val="20"/>
                <w:szCs w:val="20"/>
              </w:rPr>
              <w:t xml:space="preserve"> 25</w:t>
            </w:r>
            <w:r w:rsidRPr="00FB36E4">
              <w:rPr>
                <w:rFonts w:asciiTheme="majorHAnsi" w:hAnsiTheme="majorHAnsi"/>
                <w:bCs/>
                <w:sz w:val="20"/>
                <w:szCs w:val="20"/>
              </w:rPr>
              <w:t xml:space="preserve">, and December 16, </w:t>
            </w:r>
            <w:r w:rsidR="00C7592D" w:rsidRPr="00FB36E4">
              <w:rPr>
                <w:rFonts w:asciiTheme="majorHAnsi" w:hAnsiTheme="majorHAnsi"/>
                <w:bCs/>
                <w:sz w:val="20"/>
                <w:szCs w:val="20"/>
              </w:rPr>
              <w:t xml:space="preserve">2016; </w:t>
            </w:r>
            <w:r w:rsidRPr="00FB36E4">
              <w:rPr>
                <w:rFonts w:asciiTheme="majorHAnsi" w:hAnsiTheme="majorHAnsi"/>
                <w:bCs/>
                <w:sz w:val="20"/>
                <w:szCs w:val="20"/>
              </w:rPr>
              <w:t>August 17,</w:t>
            </w:r>
            <w:r w:rsidR="00C53143" w:rsidRPr="00FB36E4">
              <w:rPr>
                <w:rFonts w:asciiTheme="majorHAnsi" w:hAnsiTheme="majorHAnsi"/>
                <w:bCs/>
                <w:sz w:val="20"/>
                <w:szCs w:val="20"/>
              </w:rPr>
              <w:t xml:space="preserve"> 2018</w:t>
            </w:r>
            <w:r w:rsidR="007070B4" w:rsidRPr="00FB36E4">
              <w:rPr>
                <w:rFonts w:asciiTheme="majorHAnsi" w:hAnsiTheme="majorHAnsi"/>
                <w:bCs/>
                <w:sz w:val="20"/>
                <w:szCs w:val="20"/>
              </w:rPr>
              <w:t xml:space="preserve">; </w:t>
            </w:r>
            <w:r w:rsidRPr="00FB36E4">
              <w:rPr>
                <w:rFonts w:asciiTheme="majorHAnsi" w:hAnsiTheme="majorHAnsi"/>
                <w:bCs/>
                <w:sz w:val="20"/>
                <w:szCs w:val="20"/>
              </w:rPr>
              <w:t>and April</w:t>
            </w:r>
            <w:r w:rsidR="00191006" w:rsidRPr="00FB36E4">
              <w:rPr>
                <w:rFonts w:asciiTheme="majorHAnsi" w:hAnsiTheme="majorHAnsi"/>
                <w:bCs/>
                <w:sz w:val="20"/>
                <w:szCs w:val="20"/>
              </w:rPr>
              <w:t xml:space="preserve"> 30</w:t>
            </w:r>
            <w:r w:rsidRPr="00FB36E4">
              <w:rPr>
                <w:rFonts w:asciiTheme="majorHAnsi" w:hAnsiTheme="majorHAnsi"/>
                <w:bCs/>
                <w:sz w:val="20"/>
                <w:szCs w:val="20"/>
              </w:rPr>
              <w:t>,</w:t>
            </w:r>
            <w:r w:rsidR="00191006" w:rsidRPr="00FB36E4">
              <w:rPr>
                <w:rFonts w:asciiTheme="majorHAnsi" w:hAnsiTheme="majorHAnsi"/>
                <w:bCs/>
                <w:sz w:val="20"/>
                <w:szCs w:val="20"/>
              </w:rPr>
              <w:t xml:space="preserve"> 2019</w:t>
            </w:r>
            <w:r w:rsidR="00996444" w:rsidRPr="00FB36E4">
              <w:rPr>
                <w:rFonts w:asciiTheme="majorHAnsi" w:hAnsiTheme="majorHAnsi"/>
                <w:bCs/>
                <w:sz w:val="20"/>
                <w:szCs w:val="20"/>
              </w:rPr>
              <w:t>;</w:t>
            </w:r>
            <w:r w:rsidR="000F3966" w:rsidRPr="00FB36E4">
              <w:rPr>
                <w:rFonts w:asciiTheme="majorHAnsi" w:hAnsiTheme="majorHAnsi"/>
                <w:bCs/>
                <w:sz w:val="20"/>
                <w:szCs w:val="20"/>
              </w:rPr>
              <w:t xml:space="preserve"> </w:t>
            </w:r>
            <w:r w:rsidRPr="00FB36E4">
              <w:rPr>
                <w:rFonts w:asciiTheme="majorHAnsi" w:hAnsiTheme="majorHAnsi"/>
                <w:bCs/>
                <w:sz w:val="20"/>
                <w:szCs w:val="20"/>
              </w:rPr>
              <w:t xml:space="preserve">February </w:t>
            </w:r>
            <w:r w:rsidR="000F3966" w:rsidRPr="00FB36E4">
              <w:rPr>
                <w:rFonts w:asciiTheme="majorHAnsi" w:hAnsiTheme="majorHAnsi"/>
                <w:bCs/>
                <w:sz w:val="20"/>
                <w:szCs w:val="20"/>
              </w:rPr>
              <w:t>11</w:t>
            </w:r>
            <w:r w:rsidRPr="00FB36E4">
              <w:rPr>
                <w:rFonts w:asciiTheme="majorHAnsi" w:hAnsiTheme="majorHAnsi"/>
                <w:bCs/>
                <w:sz w:val="20"/>
                <w:szCs w:val="20"/>
              </w:rPr>
              <w:t>,</w:t>
            </w:r>
            <w:r w:rsidR="000F3966" w:rsidRPr="00FB36E4">
              <w:rPr>
                <w:rFonts w:asciiTheme="majorHAnsi" w:hAnsiTheme="majorHAnsi"/>
                <w:bCs/>
                <w:sz w:val="20"/>
                <w:szCs w:val="20"/>
              </w:rPr>
              <w:t xml:space="preserve"> 2020; </w:t>
            </w:r>
            <w:r w:rsidRPr="00FB36E4">
              <w:rPr>
                <w:rFonts w:asciiTheme="majorHAnsi" w:hAnsiTheme="majorHAnsi"/>
                <w:bCs/>
                <w:sz w:val="20"/>
                <w:szCs w:val="20"/>
              </w:rPr>
              <w:t>February 10, 14, and</w:t>
            </w:r>
            <w:r w:rsidR="000F3966" w:rsidRPr="00FB36E4">
              <w:rPr>
                <w:rFonts w:asciiTheme="majorHAnsi" w:hAnsiTheme="majorHAnsi"/>
                <w:bCs/>
                <w:sz w:val="20"/>
                <w:szCs w:val="20"/>
              </w:rPr>
              <w:t xml:space="preserve"> 17</w:t>
            </w:r>
            <w:r w:rsidR="00A72A00" w:rsidRPr="00FB36E4">
              <w:rPr>
                <w:rFonts w:asciiTheme="majorHAnsi" w:hAnsiTheme="majorHAnsi"/>
                <w:bCs/>
                <w:sz w:val="20"/>
                <w:szCs w:val="20"/>
              </w:rPr>
              <w:t>, May</w:t>
            </w:r>
            <w:r w:rsidR="0088344D" w:rsidRPr="00FB36E4">
              <w:rPr>
                <w:rFonts w:asciiTheme="majorHAnsi" w:hAnsiTheme="majorHAnsi"/>
                <w:bCs/>
                <w:sz w:val="20"/>
                <w:szCs w:val="20"/>
              </w:rPr>
              <w:t xml:space="preserve"> 7</w:t>
            </w:r>
            <w:r w:rsidR="00A72A00" w:rsidRPr="00FB36E4">
              <w:rPr>
                <w:rFonts w:asciiTheme="majorHAnsi" w:hAnsiTheme="majorHAnsi"/>
                <w:bCs/>
                <w:sz w:val="20"/>
                <w:szCs w:val="20"/>
              </w:rPr>
              <w:t xml:space="preserve">, and November </w:t>
            </w:r>
            <w:r w:rsidR="00E448D2" w:rsidRPr="00FB36E4">
              <w:rPr>
                <w:rFonts w:asciiTheme="majorHAnsi" w:hAnsiTheme="majorHAnsi"/>
                <w:bCs/>
                <w:sz w:val="20"/>
                <w:szCs w:val="20"/>
              </w:rPr>
              <w:t>30</w:t>
            </w:r>
            <w:r w:rsidR="00A72A00" w:rsidRPr="00FB36E4">
              <w:rPr>
                <w:rFonts w:asciiTheme="majorHAnsi" w:hAnsiTheme="majorHAnsi"/>
                <w:bCs/>
                <w:sz w:val="20"/>
                <w:szCs w:val="20"/>
              </w:rPr>
              <w:t>,</w:t>
            </w:r>
            <w:r w:rsidR="000F3966" w:rsidRPr="00FB36E4">
              <w:rPr>
                <w:rFonts w:asciiTheme="majorHAnsi" w:hAnsiTheme="majorHAnsi"/>
                <w:bCs/>
                <w:sz w:val="20"/>
                <w:szCs w:val="20"/>
              </w:rPr>
              <w:t xml:space="preserve"> 2021</w:t>
            </w:r>
            <w:r w:rsidR="00A72A00" w:rsidRPr="00FB36E4">
              <w:rPr>
                <w:rFonts w:asciiTheme="majorHAnsi" w:hAnsiTheme="majorHAnsi"/>
                <w:bCs/>
                <w:sz w:val="20"/>
                <w:szCs w:val="20"/>
              </w:rPr>
              <w:t>.</w:t>
            </w:r>
          </w:p>
        </w:tc>
      </w:tr>
    </w:tbl>
    <w:p w14:paraId="21DAA666" w14:textId="017302C6" w:rsidR="003239B8" w:rsidRPr="00FB36E4" w:rsidRDefault="003239B8" w:rsidP="007C402A">
      <w:pPr>
        <w:spacing w:before="120" w:after="120"/>
        <w:ind w:firstLine="720"/>
        <w:jc w:val="both"/>
        <w:rPr>
          <w:rFonts w:asciiTheme="majorHAnsi" w:hAnsiTheme="majorHAnsi"/>
          <w:b/>
          <w:bCs/>
          <w:sz w:val="20"/>
          <w:szCs w:val="20"/>
        </w:rPr>
      </w:pPr>
      <w:r w:rsidRPr="00FB36E4">
        <w:rPr>
          <w:rFonts w:asciiTheme="majorHAnsi" w:hAnsiTheme="majorHAnsi"/>
          <w:b/>
          <w:bCs/>
          <w:sz w:val="20"/>
          <w:szCs w:val="20"/>
        </w:rPr>
        <w:t xml:space="preserve">III. </w:t>
      </w:r>
      <w:r w:rsidRPr="00FB36E4">
        <w:rPr>
          <w:rFonts w:asciiTheme="majorHAnsi" w:hAnsiTheme="majorHAnsi"/>
          <w:b/>
          <w:bCs/>
          <w:sz w:val="20"/>
          <w:szCs w:val="20"/>
        </w:rPr>
        <w:tab/>
        <w:t>COMPETENC</w:t>
      </w:r>
      <w:r w:rsidR="00A72A00" w:rsidRPr="00FB36E4">
        <w:rPr>
          <w:rFonts w:asciiTheme="majorHAnsi" w:hAnsiTheme="majorHAnsi"/>
          <w:b/>
          <w:bCs/>
          <w:sz w:val="20"/>
          <w:szCs w:val="20"/>
        </w:rPr>
        <w:t>E</w:t>
      </w:r>
      <w:r w:rsidR="00EE00E9" w:rsidRPr="00FB36E4">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77"/>
        <w:gridCol w:w="5665"/>
      </w:tblGrid>
      <w:tr w:rsidR="003239B8" w:rsidRPr="00FB36E4" w14:paraId="072532AD" w14:textId="77777777" w:rsidTr="009C67EF">
        <w:trPr>
          <w:cantSplit/>
        </w:trPr>
        <w:tc>
          <w:tcPr>
            <w:tcW w:w="3577" w:type="dxa"/>
            <w:tcBorders>
              <w:top w:val="single" w:sz="4" w:space="0" w:color="auto"/>
              <w:bottom w:val="single" w:sz="6" w:space="0" w:color="auto"/>
            </w:tcBorders>
            <w:shd w:val="clear" w:color="auto" w:fill="67AE3C"/>
            <w:vAlign w:val="center"/>
          </w:tcPr>
          <w:p w14:paraId="5C2E4B34" w14:textId="7281AAF8" w:rsidR="003239B8" w:rsidRPr="00FB36E4" w:rsidRDefault="00D77503" w:rsidP="00107599">
            <w:pPr>
              <w:jc w:val="center"/>
              <w:rPr>
                <w:rFonts w:asciiTheme="majorHAnsi" w:hAnsiTheme="majorHAnsi"/>
                <w:b/>
                <w:i/>
                <w:color w:val="FFFFFF" w:themeColor="background1"/>
                <w:sz w:val="20"/>
                <w:szCs w:val="20"/>
              </w:rPr>
            </w:pPr>
            <w:r w:rsidRPr="00FB36E4">
              <w:rPr>
                <w:rFonts w:asciiTheme="majorHAnsi" w:hAnsiTheme="majorHAnsi"/>
                <w:b/>
                <w:i/>
                <w:color w:val="FFFFFF" w:themeColor="background1"/>
                <w:sz w:val="20"/>
                <w:szCs w:val="20"/>
              </w:rPr>
              <w:t>Ratione personae</w:t>
            </w:r>
          </w:p>
        </w:tc>
        <w:tc>
          <w:tcPr>
            <w:tcW w:w="5665" w:type="dxa"/>
            <w:vAlign w:val="center"/>
          </w:tcPr>
          <w:p w14:paraId="7707F3E9" w14:textId="6EC06944" w:rsidR="003239B8" w:rsidRPr="00FB36E4" w:rsidRDefault="00A72A00" w:rsidP="00107599">
            <w:pPr>
              <w:rPr>
                <w:rFonts w:asciiTheme="majorHAnsi" w:hAnsiTheme="majorHAnsi"/>
                <w:bCs/>
                <w:sz w:val="20"/>
                <w:szCs w:val="20"/>
              </w:rPr>
            </w:pPr>
            <w:r w:rsidRPr="00FB36E4">
              <w:rPr>
                <w:rFonts w:asciiTheme="majorHAnsi" w:hAnsiTheme="majorHAnsi"/>
                <w:bCs/>
                <w:sz w:val="20"/>
                <w:szCs w:val="20"/>
              </w:rPr>
              <w:t>Yes</w:t>
            </w:r>
          </w:p>
        </w:tc>
      </w:tr>
      <w:tr w:rsidR="003239B8" w:rsidRPr="00FB36E4" w14:paraId="4B8802DA" w14:textId="77777777" w:rsidTr="009C67EF">
        <w:trPr>
          <w:cantSplit/>
        </w:trPr>
        <w:tc>
          <w:tcPr>
            <w:tcW w:w="3577" w:type="dxa"/>
            <w:tcBorders>
              <w:top w:val="single" w:sz="6" w:space="0" w:color="auto"/>
              <w:bottom w:val="single" w:sz="6" w:space="0" w:color="auto"/>
            </w:tcBorders>
            <w:shd w:val="clear" w:color="auto" w:fill="67AE3C"/>
            <w:vAlign w:val="center"/>
          </w:tcPr>
          <w:p w14:paraId="3915C23B" w14:textId="629F623D" w:rsidR="003239B8" w:rsidRPr="00FB36E4" w:rsidRDefault="003239B8" w:rsidP="00D77503">
            <w:pPr>
              <w:jc w:val="center"/>
              <w:rPr>
                <w:rFonts w:asciiTheme="majorHAnsi" w:hAnsiTheme="majorHAnsi"/>
                <w:b/>
                <w:i/>
                <w:color w:val="FFFFFF" w:themeColor="background1"/>
                <w:sz w:val="20"/>
                <w:szCs w:val="20"/>
              </w:rPr>
            </w:pPr>
            <w:r w:rsidRPr="00FB36E4">
              <w:rPr>
                <w:rFonts w:asciiTheme="majorHAnsi" w:hAnsiTheme="majorHAnsi"/>
                <w:b/>
                <w:i/>
                <w:color w:val="FFFFFF" w:themeColor="background1"/>
                <w:sz w:val="20"/>
                <w:szCs w:val="20"/>
              </w:rPr>
              <w:t>Ratione loci</w:t>
            </w:r>
          </w:p>
        </w:tc>
        <w:tc>
          <w:tcPr>
            <w:tcW w:w="5665" w:type="dxa"/>
            <w:vAlign w:val="center"/>
          </w:tcPr>
          <w:p w14:paraId="12C931CB" w14:textId="44C1B53E" w:rsidR="003239B8" w:rsidRPr="00FB36E4" w:rsidRDefault="00A72A00" w:rsidP="00107599">
            <w:pPr>
              <w:rPr>
                <w:rFonts w:asciiTheme="majorHAnsi" w:hAnsiTheme="majorHAnsi"/>
                <w:bCs/>
                <w:sz w:val="20"/>
                <w:szCs w:val="20"/>
              </w:rPr>
            </w:pPr>
            <w:r w:rsidRPr="00FB36E4">
              <w:rPr>
                <w:rFonts w:asciiTheme="majorHAnsi" w:hAnsiTheme="majorHAnsi"/>
                <w:bCs/>
                <w:sz w:val="20"/>
                <w:szCs w:val="20"/>
              </w:rPr>
              <w:t>Yes</w:t>
            </w:r>
          </w:p>
        </w:tc>
      </w:tr>
      <w:tr w:rsidR="003239B8" w:rsidRPr="00FB36E4" w14:paraId="4362FDF3" w14:textId="77777777" w:rsidTr="009C67EF">
        <w:trPr>
          <w:cantSplit/>
        </w:trPr>
        <w:tc>
          <w:tcPr>
            <w:tcW w:w="3577" w:type="dxa"/>
            <w:tcBorders>
              <w:top w:val="single" w:sz="6" w:space="0" w:color="auto"/>
              <w:bottom w:val="single" w:sz="6" w:space="0" w:color="auto"/>
            </w:tcBorders>
            <w:shd w:val="clear" w:color="auto" w:fill="67AE3C"/>
            <w:vAlign w:val="center"/>
          </w:tcPr>
          <w:p w14:paraId="3BE23153" w14:textId="1788B5D3" w:rsidR="003239B8" w:rsidRPr="00FB36E4" w:rsidRDefault="003239B8" w:rsidP="00107599">
            <w:pPr>
              <w:jc w:val="center"/>
              <w:rPr>
                <w:rFonts w:asciiTheme="majorHAnsi" w:hAnsiTheme="majorHAnsi"/>
                <w:b/>
                <w:i/>
                <w:color w:val="FFFFFF" w:themeColor="background1"/>
                <w:sz w:val="20"/>
                <w:szCs w:val="20"/>
              </w:rPr>
            </w:pPr>
            <w:r w:rsidRPr="00FB36E4">
              <w:rPr>
                <w:rFonts w:asciiTheme="majorHAnsi" w:hAnsiTheme="majorHAnsi"/>
                <w:b/>
                <w:i/>
                <w:color w:val="FFFFFF" w:themeColor="background1"/>
                <w:sz w:val="20"/>
                <w:szCs w:val="20"/>
              </w:rPr>
              <w:t>Ratione temporis</w:t>
            </w:r>
          </w:p>
        </w:tc>
        <w:tc>
          <w:tcPr>
            <w:tcW w:w="5665" w:type="dxa"/>
            <w:vAlign w:val="center"/>
          </w:tcPr>
          <w:p w14:paraId="6F8B059B" w14:textId="4796324C" w:rsidR="003239B8" w:rsidRPr="00FB36E4" w:rsidRDefault="00A72A00" w:rsidP="00107599">
            <w:pPr>
              <w:rPr>
                <w:rFonts w:asciiTheme="majorHAnsi" w:hAnsiTheme="majorHAnsi"/>
                <w:bCs/>
                <w:sz w:val="20"/>
                <w:szCs w:val="20"/>
              </w:rPr>
            </w:pPr>
            <w:r w:rsidRPr="00FB36E4">
              <w:rPr>
                <w:rFonts w:asciiTheme="majorHAnsi" w:hAnsiTheme="majorHAnsi"/>
                <w:bCs/>
                <w:sz w:val="20"/>
                <w:szCs w:val="20"/>
              </w:rPr>
              <w:t>Yes</w:t>
            </w:r>
          </w:p>
        </w:tc>
      </w:tr>
      <w:tr w:rsidR="003239B8" w:rsidRPr="00FB36E4" w14:paraId="30ABEC3E" w14:textId="77777777" w:rsidTr="009C67EF">
        <w:trPr>
          <w:cantSplit/>
        </w:trPr>
        <w:tc>
          <w:tcPr>
            <w:tcW w:w="3577" w:type="dxa"/>
            <w:tcBorders>
              <w:top w:val="single" w:sz="6" w:space="0" w:color="auto"/>
              <w:bottom w:val="single" w:sz="6" w:space="0" w:color="auto"/>
            </w:tcBorders>
            <w:shd w:val="clear" w:color="auto" w:fill="67AE3C"/>
            <w:vAlign w:val="center"/>
          </w:tcPr>
          <w:p w14:paraId="47B529D2" w14:textId="72B41633" w:rsidR="003239B8" w:rsidRPr="00FB36E4" w:rsidRDefault="003239B8" w:rsidP="00107599">
            <w:pPr>
              <w:jc w:val="center"/>
              <w:rPr>
                <w:rFonts w:asciiTheme="majorHAnsi" w:hAnsiTheme="majorHAnsi"/>
                <w:b/>
                <w:i/>
                <w:color w:val="FFFFFF" w:themeColor="background1"/>
                <w:sz w:val="20"/>
                <w:szCs w:val="20"/>
              </w:rPr>
            </w:pPr>
            <w:r w:rsidRPr="00FB36E4">
              <w:rPr>
                <w:rFonts w:asciiTheme="majorHAnsi" w:hAnsiTheme="majorHAnsi"/>
                <w:b/>
                <w:i/>
                <w:color w:val="FFFFFF" w:themeColor="background1"/>
                <w:sz w:val="20"/>
                <w:szCs w:val="20"/>
              </w:rPr>
              <w:t>Ratione materia</w:t>
            </w:r>
            <w:r w:rsidR="00EE00E9" w:rsidRPr="00FB36E4">
              <w:rPr>
                <w:rFonts w:asciiTheme="majorHAnsi" w:hAnsiTheme="majorHAnsi"/>
                <w:b/>
                <w:i/>
                <w:color w:val="FFFFFF" w:themeColor="background1"/>
                <w:sz w:val="20"/>
                <w:szCs w:val="20"/>
              </w:rPr>
              <w:t>e</w:t>
            </w:r>
          </w:p>
        </w:tc>
        <w:tc>
          <w:tcPr>
            <w:tcW w:w="5665" w:type="dxa"/>
            <w:vAlign w:val="center"/>
          </w:tcPr>
          <w:p w14:paraId="0C122F44" w14:textId="0EE6E2E2" w:rsidR="003239B8" w:rsidRPr="00FB36E4" w:rsidRDefault="00A72A00" w:rsidP="00A72A00">
            <w:pPr>
              <w:jc w:val="both"/>
              <w:rPr>
                <w:rFonts w:asciiTheme="majorHAnsi" w:hAnsiTheme="majorHAnsi"/>
                <w:bCs/>
                <w:sz w:val="20"/>
                <w:szCs w:val="20"/>
              </w:rPr>
            </w:pPr>
            <w:r w:rsidRPr="00FB36E4">
              <w:rPr>
                <w:rFonts w:asciiTheme="majorHAnsi" w:hAnsiTheme="majorHAnsi"/>
                <w:bCs/>
                <w:sz w:val="20"/>
                <w:szCs w:val="20"/>
              </w:rPr>
              <w:t>Yes</w:t>
            </w:r>
            <w:r w:rsidR="00A74C09" w:rsidRPr="00FB36E4">
              <w:rPr>
                <w:rFonts w:asciiTheme="majorHAnsi" w:hAnsiTheme="majorHAnsi"/>
                <w:bCs/>
                <w:sz w:val="20"/>
                <w:szCs w:val="20"/>
              </w:rPr>
              <w:t xml:space="preserve">, </w:t>
            </w:r>
            <w:r w:rsidRPr="00FB36E4">
              <w:rPr>
                <w:rFonts w:asciiTheme="majorHAnsi" w:hAnsiTheme="majorHAnsi"/>
                <w:bCs/>
                <w:sz w:val="20"/>
                <w:szCs w:val="20"/>
              </w:rPr>
              <w:t>American Convention</w:t>
            </w:r>
            <w:r w:rsidR="00A74C09" w:rsidRPr="00FB36E4">
              <w:rPr>
                <w:rFonts w:asciiTheme="majorHAnsi" w:hAnsiTheme="majorHAnsi"/>
                <w:bCs/>
                <w:sz w:val="20"/>
                <w:szCs w:val="20"/>
              </w:rPr>
              <w:t xml:space="preserve"> (</w:t>
            </w:r>
            <w:r w:rsidRPr="00FB36E4">
              <w:rPr>
                <w:rFonts w:asciiTheme="majorHAnsi" w:hAnsiTheme="majorHAnsi"/>
                <w:bCs/>
                <w:sz w:val="20"/>
                <w:szCs w:val="20"/>
              </w:rPr>
              <w:t>r</w:t>
            </w:r>
            <w:r w:rsidR="00F74355" w:rsidRPr="00FB36E4">
              <w:rPr>
                <w:rFonts w:asciiTheme="majorHAnsi" w:hAnsiTheme="majorHAnsi"/>
                <w:bCs/>
                <w:sz w:val="20"/>
                <w:szCs w:val="20"/>
              </w:rPr>
              <w:t>atification instrument deposite</w:t>
            </w:r>
            <w:r w:rsidRPr="00FB36E4">
              <w:rPr>
                <w:rFonts w:asciiTheme="majorHAnsi" w:hAnsiTheme="majorHAnsi"/>
                <w:bCs/>
                <w:sz w:val="20"/>
                <w:szCs w:val="20"/>
              </w:rPr>
              <w:t>d</w:t>
            </w:r>
            <w:r w:rsidR="00F74355" w:rsidRPr="00FB36E4">
              <w:rPr>
                <w:rFonts w:asciiTheme="majorHAnsi" w:hAnsiTheme="majorHAnsi"/>
                <w:bCs/>
                <w:sz w:val="20"/>
                <w:szCs w:val="20"/>
              </w:rPr>
              <w:t xml:space="preserve"> </w:t>
            </w:r>
            <w:r w:rsidRPr="00FB36E4">
              <w:rPr>
                <w:rFonts w:asciiTheme="majorHAnsi" w:hAnsiTheme="majorHAnsi"/>
                <w:bCs/>
                <w:sz w:val="20"/>
                <w:szCs w:val="20"/>
              </w:rPr>
              <w:t xml:space="preserve">on March 24, </w:t>
            </w:r>
            <w:r w:rsidR="00A74C09" w:rsidRPr="00FB36E4">
              <w:rPr>
                <w:rFonts w:asciiTheme="majorHAnsi" w:hAnsiTheme="majorHAnsi"/>
                <w:bCs/>
                <w:sz w:val="20"/>
                <w:szCs w:val="20"/>
              </w:rPr>
              <w:t>1981)</w:t>
            </w:r>
          </w:p>
        </w:tc>
      </w:tr>
    </w:tbl>
    <w:p w14:paraId="4E92C444" w14:textId="284C9ABD" w:rsidR="003239B8" w:rsidRPr="00FB36E4" w:rsidRDefault="003239B8" w:rsidP="007C402A">
      <w:pPr>
        <w:spacing w:before="120" w:after="120"/>
        <w:ind w:firstLine="720"/>
        <w:jc w:val="both"/>
        <w:rPr>
          <w:rFonts w:asciiTheme="majorHAnsi" w:hAnsiTheme="majorHAnsi"/>
          <w:b/>
          <w:bCs/>
          <w:sz w:val="20"/>
          <w:szCs w:val="20"/>
        </w:rPr>
      </w:pPr>
      <w:r w:rsidRPr="00FB36E4">
        <w:rPr>
          <w:rFonts w:asciiTheme="majorHAnsi" w:hAnsiTheme="majorHAnsi"/>
          <w:b/>
          <w:bCs/>
          <w:sz w:val="20"/>
          <w:szCs w:val="20"/>
        </w:rPr>
        <w:t xml:space="preserve">IV. </w:t>
      </w:r>
      <w:r w:rsidRPr="00FB36E4">
        <w:rPr>
          <w:rFonts w:asciiTheme="majorHAnsi" w:hAnsiTheme="majorHAnsi"/>
          <w:b/>
          <w:bCs/>
          <w:sz w:val="20"/>
          <w:szCs w:val="20"/>
        </w:rPr>
        <w:tab/>
      </w:r>
      <w:r w:rsidR="00EE00E9" w:rsidRPr="00FB36E4">
        <w:rPr>
          <w:rFonts w:asciiTheme="majorHAnsi" w:hAnsiTheme="majorHAnsi"/>
          <w:b/>
          <w:bCs/>
          <w:sz w:val="20"/>
          <w:szCs w:val="20"/>
        </w:rPr>
        <w:t>DUPLICA</w:t>
      </w:r>
      <w:r w:rsidR="00A72A00" w:rsidRPr="00FB36E4">
        <w:rPr>
          <w:rFonts w:asciiTheme="majorHAnsi" w:hAnsiTheme="majorHAnsi"/>
          <w:b/>
          <w:bCs/>
          <w:sz w:val="20"/>
          <w:szCs w:val="20"/>
        </w:rPr>
        <w:t xml:space="preserve">TION OF PROCEEDINGS AND INTERNATIONAL </w:t>
      </w:r>
      <w:r w:rsidR="00A72A00" w:rsidRPr="00FB36E4">
        <w:rPr>
          <w:rFonts w:asciiTheme="majorHAnsi" w:hAnsiTheme="majorHAnsi"/>
          <w:b/>
          <w:bCs/>
          <w:i/>
          <w:sz w:val="20"/>
          <w:szCs w:val="20"/>
        </w:rPr>
        <w:t>RES JUDICATA,</w:t>
      </w:r>
      <w:r w:rsidR="00A72A00" w:rsidRPr="00FB36E4">
        <w:rPr>
          <w:rFonts w:asciiTheme="majorHAnsi" w:hAnsiTheme="majorHAnsi"/>
          <w:b/>
          <w:bCs/>
          <w:sz w:val="20"/>
          <w:szCs w:val="20"/>
        </w:rPr>
        <w:t xml:space="preserve"> C</w:t>
      </w:r>
      <w:r w:rsidR="00E047DF" w:rsidRPr="00FB36E4">
        <w:rPr>
          <w:rFonts w:asciiTheme="majorHAnsi" w:hAnsiTheme="majorHAnsi"/>
          <w:b/>
          <w:bCs/>
          <w:sz w:val="20"/>
          <w:szCs w:val="20"/>
        </w:rPr>
        <w:t>OLORABLE CLAIM</w:t>
      </w:r>
      <w:r w:rsidR="00A72A00" w:rsidRPr="00FB36E4">
        <w:rPr>
          <w:rFonts w:asciiTheme="majorHAnsi" w:hAnsiTheme="majorHAnsi"/>
          <w:b/>
          <w:bCs/>
          <w:sz w:val="20"/>
          <w:szCs w:val="20"/>
        </w:rPr>
        <w:t xml:space="preserve">, EXHAUSTION OF </w:t>
      </w:r>
      <w:r w:rsidR="00E047DF" w:rsidRPr="00FB36E4">
        <w:rPr>
          <w:rFonts w:asciiTheme="majorHAnsi" w:hAnsiTheme="majorHAnsi"/>
          <w:b/>
          <w:bCs/>
          <w:sz w:val="20"/>
          <w:szCs w:val="20"/>
        </w:rPr>
        <w:t xml:space="preserve">DOMESTIC </w:t>
      </w:r>
      <w:r w:rsidR="00A72A00" w:rsidRPr="00FB36E4">
        <w:rPr>
          <w:rFonts w:asciiTheme="majorHAnsi" w:hAnsiTheme="majorHAnsi"/>
          <w:b/>
          <w:bCs/>
          <w:sz w:val="20"/>
          <w:szCs w:val="20"/>
        </w:rPr>
        <w:t>REMEDIES, AND TIMELINESS OF P</w:t>
      </w:r>
      <w:r w:rsidR="00E047DF" w:rsidRPr="00FB36E4">
        <w:rPr>
          <w:rFonts w:asciiTheme="majorHAnsi" w:hAnsiTheme="majorHAnsi"/>
          <w:b/>
          <w:bCs/>
          <w:sz w:val="20"/>
          <w:szCs w:val="20"/>
        </w:rPr>
        <w:t>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77"/>
        <w:gridCol w:w="5665"/>
      </w:tblGrid>
      <w:tr w:rsidR="00EE00E9" w:rsidRPr="00FB36E4" w14:paraId="1231C988" w14:textId="77777777" w:rsidTr="009C67EF">
        <w:trPr>
          <w:cantSplit/>
        </w:trPr>
        <w:tc>
          <w:tcPr>
            <w:tcW w:w="3577" w:type="dxa"/>
            <w:tcBorders>
              <w:top w:val="single" w:sz="4" w:space="0" w:color="auto"/>
              <w:bottom w:val="single" w:sz="6" w:space="0" w:color="auto"/>
            </w:tcBorders>
            <w:shd w:val="clear" w:color="auto" w:fill="67AE3C"/>
            <w:vAlign w:val="center"/>
          </w:tcPr>
          <w:p w14:paraId="6F8031F4" w14:textId="29A57204" w:rsidR="00EE00E9" w:rsidRPr="00FB36E4" w:rsidRDefault="00EE00E9" w:rsidP="00A72A00">
            <w:pPr>
              <w:jc w:val="center"/>
              <w:rPr>
                <w:rFonts w:asciiTheme="majorHAnsi" w:hAnsiTheme="majorHAnsi"/>
                <w:b/>
                <w:color w:val="FFFFFF" w:themeColor="background1"/>
                <w:sz w:val="20"/>
                <w:szCs w:val="20"/>
              </w:rPr>
            </w:pPr>
            <w:r w:rsidRPr="00FB36E4">
              <w:rPr>
                <w:rFonts w:asciiTheme="majorHAnsi" w:hAnsiTheme="majorHAnsi"/>
                <w:b/>
                <w:color w:val="FFFFFF" w:themeColor="background1"/>
                <w:sz w:val="20"/>
                <w:szCs w:val="20"/>
              </w:rPr>
              <w:t>Du</w:t>
            </w:r>
            <w:r w:rsidR="00A72A00" w:rsidRPr="00FB36E4">
              <w:rPr>
                <w:rFonts w:asciiTheme="majorHAnsi" w:hAnsiTheme="majorHAnsi"/>
                <w:b/>
                <w:color w:val="FFFFFF" w:themeColor="background1"/>
                <w:sz w:val="20"/>
                <w:szCs w:val="20"/>
              </w:rPr>
              <w:t>plication</w:t>
            </w:r>
            <w:r w:rsidR="00E047DF" w:rsidRPr="00FB36E4">
              <w:rPr>
                <w:rFonts w:asciiTheme="majorHAnsi" w:hAnsiTheme="majorHAnsi"/>
                <w:b/>
                <w:color w:val="FFFFFF" w:themeColor="background1"/>
                <w:sz w:val="20"/>
                <w:szCs w:val="20"/>
              </w:rPr>
              <w:t xml:space="preserve"> of proceedings</w:t>
            </w:r>
            <w:r w:rsidR="00A72A00" w:rsidRPr="00FB36E4">
              <w:rPr>
                <w:rFonts w:asciiTheme="majorHAnsi" w:hAnsiTheme="majorHAnsi"/>
                <w:b/>
                <w:color w:val="FFFFFF" w:themeColor="background1"/>
                <w:sz w:val="20"/>
                <w:szCs w:val="20"/>
              </w:rPr>
              <w:t xml:space="preserve"> and international </w:t>
            </w:r>
            <w:r w:rsidR="00A72A00" w:rsidRPr="00FB36E4">
              <w:rPr>
                <w:rFonts w:asciiTheme="majorHAnsi" w:hAnsiTheme="majorHAnsi"/>
                <w:b/>
                <w:i/>
                <w:color w:val="FFFFFF" w:themeColor="background1"/>
                <w:sz w:val="20"/>
                <w:szCs w:val="20"/>
              </w:rPr>
              <w:t>res judicata</w:t>
            </w:r>
          </w:p>
        </w:tc>
        <w:tc>
          <w:tcPr>
            <w:tcW w:w="5665" w:type="dxa"/>
            <w:vAlign w:val="center"/>
          </w:tcPr>
          <w:p w14:paraId="240941E6" w14:textId="0B196BFA" w:rsidR="00EE00E9" w:rsidRPr="00FB36E4" w:rsidRDefault="00A74C09" w:rsidP="00107599">
            <w:pPr>
              <w:jc w:val="both"/>
              <w:rPr>
                <w:rFonts w:asciiTheme="majorHAnsi" w:hAnsiTheme="majorHAnsi"/>
                <w:bCs/>
                <w:sz w:val="20"/>
                <w:szCs w:val="20"/>
              </w:rPr>
            </w:pPr>
            <w:r w:rsidRPr="00FB36E4">
              <w:rPr>
                <w:rFonts w:asciiTheme="majorHAnsi" w:hAnsiTheme="majorHAnsi"/>
                <w:bCs/>
                <w:sz w:val="20"/>
                <w:szCs w:val="20"/>
              </w:rPr>
              <w:t>No</w:t>
            </w:r>
          </w:p>
        </w:tc>
      </w:tr>
      <w:tr w:rsidR="003239B8" w:rsidRPr="00FB36E4" w14:paraId="15FAA7D1" w14:textId="77777777" w:rsidTr="009C67EF">
        <w:trPr>
          <w:cantSplit/>
        </w:trPr>
        <w:tc>
          <w:tcPr>
            <w:tcW w:w="3577" w:type="dxa"/>
            <w:tcBorders>
              <w:top w:val="single" w:sz="4" w:space="0" w:color="auto"/>
              <w:bottom w:val="single" w:sz="6" w:space="0" w:color="auto"/>
            </w:tcBorders>
            <w:shd w:val="clear" w:color="auto" w:fill="67AE3C"/>
            <w:vAlign w:val="center"/>
          </w:tcPr>
          <w:p w14:paraId="1B0D29FF" w14:textId="503234B9" w:rsidR="003239B8" w:rsidRPr="00FB36E4" w:rsidRDefault="00E047DF" w:rsidP="00E047DF">
            <w:pPr>
              <w:jc w:val="center"/>
              <w:rPr>
                <w:rFonts w:asciiTheme="majorHAnsi" w:hAnsiTheme="majorHAnsi"/>
                <w:b/>
                <w:i/>
                <w:color w:val="FFFFFF" w:themeColor="background1"/>
                <w:sz w:val="20"/>
                <w:szCs w:val="20"/>
              </w:rPr>
            </w:pPr>
            <w:r w:rsidRPr="00FB36E4">
              <w:rPr>
                <w:rFonts w:asciiTheme="majorHAnsi" w:hAnsiTheme="majorHAnsi"/>
                <w:b/>
                <w:color w:val="FFFFFF" w:themeColor="background1"/>
                <w:sz w:val="20"/>
                <w:szCs w:val="20"/>
              </w:rPr>
              <w:t>Rights declared a</w:t>
            </w:r>
            <w:r w:rsidR="00A72A00" w:rsidRPr="00FB36E4">
              <w:rPr>
                <w:rFonts w:asciiTheme="majorHAnsi" w:hAnsiTheme="majorHAnsi"/>
                <w:b/>
                <w:color w:val="FFFFFF" w:themeColor="background1"/>
                <w:sz w:val="20"/>
                <w:szCs w:val="20"/>
              </w:rPr>
              <w:t>dmiss</w:t>
            </w:r>
            <w:r w:rsidRPr="00FB36E4">
              <w:rPr>
                <w:rFonts w:asciiTheme="majorHAnsi" w:hAnsiTheme="majorHAnsi"/>
                <w:b/>
                <w:color w:val="FFFFFF" w:themeColor="background1"/>
                <w:sz w:val="20"/>
                <w:szCs w:val="20"/>
              </w:rPr>
              <w:t>i</w:t>
            </w:r>
            <w:r w:rsidR="00A72A00" w:rsidRPr="00FB36E4">
              <w:rPr>
                <w:rFonts w:asciiTheme="majorHAnsi" w:hAnsiTheme="majorHAnsi"/>
                <w:b/>
                <w:color w:val="FFFFFF" w:themeColor="background1"/>
                <w:sz w:val="20"/>
                <w:szCs w:val="20"/>
              </w:rPr>
              <w:t>ble</w:t>
            </w:r>
          </w:p>
        </w:tc>
        <w:tc>
          <w:tcPr>
            <w:tcW w:w="5665" w:type="dxa"/>
            <w:vAlign w:val="center"/>
          </w:tcPr>
          <w:p w14:paraId="6310C8F7" w14:textId="43CFB325" w:rsidR="003239B8" w:rsidRPr="00FB36E4" w:rsidRDefault="00A74C09" w:rsidP="00A72A00">
            <w:pPr>
              <w:jc w:val="both"/>
              <w:rPr>
                <w:rFonts w:asciiTheme="majorHAnsi" w:hAnsiTheme="majorHAnsi"/>
                <w:bCs/>
                <w:sz w:val="20"/>
                <w:szCs w:val="20"/>
              </w:rPr>
            </w:pPr>
            <w:r w:rsidRPr="00FB36E4">
              <w:rPr>
                <w:rFonts w:asciiTheme="majorHAnsi" w:hAnsiTheme="majorHAnsi"/>
                <w:bCs/>
                <w:sz w:val="20"/>
                <w:szCs w:val="20"/>
              </w:rPr>
              <w:t>Art</w:t>
            </w:r>
            <w:r w:rsidR="00A72A00" w:rsidRPr="00FB36E4">
              <w:rPr>
                <w:rFonts w:asciiTheme="majorHAnsi" w:hAnsiTheme="majorHAnsi"/>
                <w:bCs/>
                <w:sz w:val="20"/>
                <w:szCs w:val="20"/>
              </w:rPr>
              <w:t>icles</w:t>
            </w:r>
            <w:r w:rsidRPr="00FB36E4">
              <w:rPr>
                <w:rFonts w:asciiTheme="majorHAnsi" w:hAnsiTheme="majorHAnsi"/>
                <w:bCs/>
                <w:sz w:val="20"/>
                <w:szCs w:val="20"/>
              </w:rPr>
              <w:t xml:space="preserve"> 8 (</w:t>
            </w:r>
            <w:r w:rsidR="00A72A00" w:rsidRPr="00FB36E4">
              <w:rPr>
                <w:rFonts w:asciiTheme="majorHAnsi" w:hAnsiTheme="majorHAnsi"/>
                <w:bCs/>
                <w:sz w:val="20"/>
                <w:szCs w:val="20"/>
              </w:rPr>
              <w:t>fair trial</w:t>
            </w:r>
            <w:r w:rsidRPr="00FB36E4">
              <w:rPr>
                <w:rFonts w:asciiTheme="majorHAnsi" w:hAnsiTheme="majorHAnsi"/>
                <w:bCs/>
                <w:sz w:val="20"/>
                <w:szCs w:val="20"/>
              </w:rPr>
              <w:t>),</w:t>
            </w:r>
            <w:r w:rsidR="00352066" w:rsidRPr="00FB36E4">
              <w:rPr>
                <w:rFonts w:asciiTheme="majorHAnsi" w:hAnsiTheme="majorHAnsi"/>
                <w:bCs/>
                <w:sz w:val="20"/>
                <w:szCs w:val="20"/>
              </w:rPr>
              <w:t xml:space="preserve"> 24 (</w:t>
            </w:r>
            <w:r w:rsidR="00A72A00" w:rsidRPr="00FB36E4">
              <w:rPr>
                <w:rFonts w:asciiTheme="majorHAnsi" w:hAnsiTheme="majorHAnsi"/>
                <w:bCs/>
                <w:sz w:val="20"/>
                <w:szCs w:val="20"/>
              </w:rPr>
              <w:t>equality before the law</w:t>
            </w:r>
            <w:r w:rsidR="00352066" w:rsidRPr="00FB36E4">
              <w:rPr>
                <w:rFonts w:asciiTheme="majorHAnsi" w:hAnsiTheme="majorHAnsi"/>
                <w:bCs/>
                <w:sz w:val="20"/>
                <w:szCs w:val="20"/>
              </w:rPr>
              <w:t>),</w:t>
            </w:r>
            <w:r w:rsidRPr="00FB36E4">
              <w:rPr>
                <w:rFonts w:asciiTheme="majorHAnsi" w:hAnsiTheme="majorHAnsi"/>
                <w:bCs/>
                <w:sz w:val="20"/>
                <w:szCs w:val="20"/>
              </w:rPr>
              <w:t xml:space="preserve"> 25 (</w:t>
            </w:r>
            <w:r w:rsidR="00A72A00" w:rsidRPr="00FB36E4">
              <w:rPr>
                <w:rFonts w:asciiTheme="majorHAnsi" w:hAnsiTheme="majorHAnsi"/>
                <w:bCs/>
                <w:sz w:val="20"/>
                <w:szCs w:val="20"/>
              </w:rPr>
              <w:t>judicial protection</w:t>
            </w:r>
            <w:r w:rsidRPr="00FB36E4">
              <w:rPr>
                <w:rFonts w:asciiTheme="majorHAnsi" w:hAnsiTheme="majorHAnsi"/>
                <w:bCs/>
                <w:sz w:val="20"/>
                <w:szCs w:val="20"/>
              </w:rPr>
              <w:t>)</w:t>
            </w:r>
            <w:r w:rsidR="00A72A00" w:rsidRPr="00FB36E4">
              <w:rPr>
                <w:rFonts w:asciiTheme="majorHAnsi" w:hAnsiTheme="majorHAnsi"/>
                <w:bCs/>
                <w:sz w:val="20"/>
                <w:szCs w:val="20"/>
              </w:rPr>
              <w:t>, and</w:t>
            </w:r>
            <w:r w:rsidRPr="00FB36E4">
              <w:rPr>
                <w:rFonts w:asciiTheme="majorHAnsi" w:hAnsiTheme="majorHAnsi"/>
                <w:bCs/>
                <w:sz w:val="20"/>
                <w:szCs w:val="20"/>
              </w:rPr>
              <w:t xml:space="preserve"> 26 (</w:t>
            </w:r>
            <w:r w:rsidR="00A72A00" w:rsidRPr="00FB36E4">
              <w:rPr>
                <w:rFonts w:asciiTheme="majorHAnsi" w:hAnsiTheme="majorHAnsi"/>
                <w:bCs/>
                <w:sz w:val="20"/>
                <w:szCs w:val="20"/>
              </w:rPr>
              <w:t>economic, social, and cultural rights) of the Inter-American Convention on Human Rights,</w:t>
            </w:r>
            <w:r w:rsidRPr="00FB36E4">
              <w:rPr>
                <w:rStyle w:val="FootnoteReference"/>
                <w:rFonts w:asciiTheme="majorHAnsi" w:hAnsiTheme="majorHAnsi"/>
                <w:bCs/>
                <w:sz w:val="20"/>
                <w:szCs w:val="20"/>
              </w:rPr>
              <w:footnoteReference w:id="6"/>
            </w:r>
            <w:r w:rsidR="00A72A00" w:rsidRPr="00FB36E4">
              <w:rPr>
                <w:rFonts w:asciiTheme="majorHAnsi" w:hAnsiTheme="majorHAnsi"/>
                <w:bCs/>
                <w:sz w:val="20"/>
                <w:szCs w:val="20"/>
              </w:rPr>
              <w:t xml:space="preserve"> in connection with its Article </w:t>
            </w:r>
            <w:r w:rsidR="00F20FDA" w:rsidRPr="00FB36E4">
              <w:rPr>
                <w:rFonts w:asciiTheme="majorHAnsi" w:hAnsiTheme="majorHAnsi"/>
                <w:bCs/>
                <w:sz w:val="20"/>
                <w:szCs w:val="20"/>
              </w:rPr>
              <w:t>1.1 (obliga</w:t>
            </w:r>
            <w:r w:rsidR="00A72A00" w:rsidRPr="00FB36E4">
              <w:rPr>
                <w:rFonts w:asciiTheme="majorHAnsi" w:hAnsiTheme="majorHAnsi"/>
                <w:bCs/>
                <w:sz w:val="20"/>
                <w:szCs w:val="20"/>
              </w:rPr>
              <w:t>tion to respect rights</w:t>
            </w:r>
            <w:r w:rsidR="00F20FDA" w:rsidRPr="00FB36E4">
              <w:rPr>
                <w:rFonts w:asciiTheme="majorHAnsi" w:hAnsiTheme="majorHAnsi"/>
                <w:bCs/>
                <w:sz w:val="20"/>
                <w:szCs w:val="20"/>
              </w:rPr>
              <w:t>)</w:t>
            </w:r>
            <w:r w:rsidR="00A72A00" w:rsidRPr="00FB36E4">
              <w:rPr>
                <w:rFonts w:asciiTheme="majorHAnsi" w:hAnsiTheme="majorHAnsi"/>
                <w:bCs/>
                <w:sz w:val="20"/>
                <w:szCs w:val="20"/>
              </w:rPr>
              <w:t>, and Article X</w:t>
            </w:r>
            <w:r w:rsidR="00CA567F" w:rsidRPr="00FB36E4">
              <w:rPr>
                <w:rFonts w:asciiTheme="majorHAnsi" w:hAnsiTheme="majorHAnsi"/>
                <w:bCs/>
                <w:sz w:val="20"/>
                <w:szCs w:val="20"/>
              </w:rPr>
              <w:t xml:space="preserve">VI </w:t>
            </w:r>
            <w:r w:rsidR="000E04D4" w:rsidRPr="00FB36E4">
              <w:rPr>
                <w:rFonts w:asciiTheme="majorHAnsi" w:hAnsiTheme="majorHAnsi"/>
                <w:bCs/>
                <w:sz w:val="20"/>
                <w:szCs w:val="20"/>
              </w:rPr>
              <w:t>(</w:t>
            </w:r>
            <w:r w:rsidR="00A72A00" w:rsidRPr="00FB36E4">
              <w:rPr>
                <w:rFonts w:asciiTheme="majorHAnsi" w:hAnsiTheme="majorHAnsi"/>
                <w:bCs/>
                <w:sz w:val="20"/>
                <w:szCs w:val="20"/>
              </w:rPr>
              <w:t>social security</w:t>
            </w:r>
            <w:r w:rsidR="000E04D4" w:rsidRPr="00FB36E4">
              <w:rPr>
                <w:rFonts w:asciiTheme="majorHAnsi" w:hAnsiTheme="majorHAnsi"/>
                <w:bCs/>
                <w:sz w:val="20"/>
                <w:szCs w:val="20"/>
              </w:rPr>
              <w:t xml:space="preserve">) </w:t>
            </w:r>
            <w:r w:rsidR="00A72A00" w:rsidRPr="00FB36E4">
              <w:rPr>
                <w:rFonts w:asciiTheme="majorHAnsi" w:hAnsiTheme="majorHAnsi"/>
                <w:bCs/>
                <w:sz w:val="20"/>
                <w:szCs w:val="20"/>
              </w:rPr>
              <w:t>of the American Declaration.</w:t>
            </w:r>
          </w:p>
        </w:tc>
      </w:tr>
      <w:tr w:rsidR="003239B8" w:rsidRPr="00FB36E4" w14:paraId="4EFD141E" w14:textId="77777777" w:rsidTr="009C67EF">
        <w:trPr>
          <w:cantSplit/>
        </w:trPr>
        <w:tc>
          <w:tcPr>
            <w:tcW w:w="3577" w:type="dxa"/>
            <w:tcBorders>
              <w:top w:val="single" w:sz="6" w:space="0" w:color="auto"/>
              <w:bottom w:val="single" w:sz="6" w:space="0" w:color="auto"/>
            </w:tcBorders>
            <w:shd w:val="clear" w:color="auto" w:fill="67AE3C"/>
            <w:vAlign w:val="center"/>
          </w:tcPr>
          <w:p w14:paraId="4C04A89C" w14:textId="5191C1E4" w:rsidR="003239B8" w:rsidRPr="00FB36E4" w:rsidRDefault="00A72A00" w:rsidP="00E047DF">
            <w:pPr>
              <w:jc w:val="center"/>
              <w:rPr>
                <w:rFonts w:asciiTheme="majorHAnsi" w:hAnsiTheme="majorHAnsi"/>
                <w:b/>
                <w:color w:val="FFFFFF" w:themeColor="background1"/>
                <w:sz w:val="20"/>
                <w:szCs w:val="20"/>
              </w:rPr>
            </w:pPr>
            <w:r w:rsidRPr="00FB36E4">
              <w:rPr>
                <w:rFonts w:asciiTheme="majorHAnsi" w:hAnsiTheme="majorHAnsi"/>
                <w:b/>
                <w:color w:val="FFFFFF" w:themeColor="background1"/>
                <w:sz w:val="20"/>
                <w:szCs w:val="20"/>
              </w:rPr>
              <w:t xml:space="preserve">Exhaustion of </w:t>
            </w:r>
            <w:r w:rsidR="00E047DF" w:rsidRPr="00FB36E4">
              <w:rPr>
                <w:rFonts w:asciiTheme="majorHAnsi" w:hAnsiTheme="majorHAnsi"/>
                <w:b/>
                <w:color w:val="FFFFFF" w:themeColor="background1"/>
                <w:sz w:val="20"/>
                <w:szCs w:val="20"/>
              </w:rPr>
              <w:t xml:space="preserve">domestic </w:t>
            </w:r>
            <w:r w:rsidRPr="00FB36E4">
              <w:rPr>
                <w:rFonts w:asciiTheme="majorHAnsi" w:hAnsiTheme="majorHAnsi"/>
                <w:b/>
                <w:color w:val="FFFFFF" w:themeColor="background1"/>
                <w:sz w:val="20"/>
                <w:szCs w:val="20"/>
              </w:rPr>
              <w:t xml:space="preserve">remedies and </w:t>
            </w:r>
            <w:r w:rsidR="00E047DF" w:rsidRPr="00FB36E4">
              <w:rPr>
                <w:rFonts w:asciiTheme="majorHAnsi" w:hAnsiTheme="majorHAnsi"/>
                <w:b/>
                <w:color w:val="FFFFFF" w:themeColor="background1"/>
                <w:sz w:val="20"/>
                <w:szCs w:val="20"/>
              </w:rPr>
              <w:t>applicability</w:t>
            </w:r>
            <w:r w:rsidRPr="00FB36E4">
              <w:rPr>
                <w:rFonts w:asciiTheme="majorHAnsi" w:hAnsiTheme="majorHAnsi"/>
                <w:b/>
                <w:color w:val="FFFFFF" w:themeColor="background1"/>
                <w:sz w:val="20"/>
                <w:szCs w:val="20"/>
              </w:rPr>
              <w:t xml:space="preserve"> of an exception</w:t>
            </w:r>
            <w:r w:rsidR="00E047DF" w:rsidRPr="00FB36E4">
              <w:rPr>
                <w:rFonts w:asciiTheme="majorHAnsi" w:hAnsiTheme="majorHAnsi"/>
                <w:b/>
                <w:color w:val="FFFFFF" w:themeColor="background1"/>
                <w:sz w:val="20"/>
                <w:szCs w:val="20"/>
              </w:rPr>
              <w:t xml:space="preserve"> to the rule</w:t>
            </w:r>
          </w:p>
        </w:tc>
        <w:tc>
          <w:tcPr>
            <w:tcW w:w="5665" w:type="dxa"/>
            <w:vAlign w:val="center"/>
          </w:tcPr>
          <w:p w14:paraId="69C53E8A" w14:textId="38AD104B" w:rsidR="003239B8" w:rsidRPr="00FB36E4" w:rsidRDefault="00A72A00" w:rsidP="00A72A00">
            <w:pPr>
              <w:jc w:val="both"/>
              <w:rPr>
                <w:rFonts w:asciiTheme="majorHAnsi" w:hAnsiTheme="majorHAnsi"/>
                <w:bCs/>
                <w:sz w:val="20"/>
                <w:szCs w:val="20"/>
              </w:rPr>
            </w:pPr>
            <w:r w:rsidRPr="00FB36E4">
              <w:rPr>
                <w:rFonts w:asciiTheme="majorHAnsi" w:hAnsiTheme="majorHAnsi"/>
                <w:bCs/>
                <w:sz w:val="20"/>
                <w:szCs w:val="20"/>
              </w:rPr>
              <w:t>Yes, the exception enshrined in Article</w:t>
            </w:r>
            <w:r w:rsidR="00F74355" w:rsidRPr="00FB36E4">
              <w:rPr>
                <w:rFonts w:asciiTheme="majorHAnsi" w:hAnsiTheme="majorHAnsi"/>
                <w:bCs/>
                <w:sz w:val="20"/>
                <w:szCs w:val="20"/>
              </w:rPr>
              <w:t xml:space="preserve"> 46(</w:t>
            </w:r>
            <w:r w:rsidR="00E40551" w:rsidRPr="00FB36E4">
              <w:rPr>
                <w:rFonts w:asciiTheme="majorHAnsi" w:hAnsiTheme="majorHAnsi"/>
                <w:bCs/>
                <w:sz w:val="20"/>
                <w:szCs w:val="20"/>
              </w:rPr>
              <w:t>1</w:t>
            </w:r>
            <w:r w:rsidR="00F74355" w:rsidRPr="00FB36E4">
              <w:rPr>
                <w:rFonts w:asciiTheme="majorHAnsi" w:hAnsiTheme="majorHAnsi"/>
                <w:bCs/>
                <w:sz w:val="20"/>
                <w:szCs w:val="20"/>
              </w:rPr>
              <w:t>)</w:t>
            </w:r>
            <w:r w:rsidR="00BA4740" w:rsidRPr="00FB36E4">
              <w:rPr>
                <w:rFonts w:asciiTheme="majorHAnsi" w:hAnsiTheme="majorHAnsi"/>
                <w:bCs/>
                <w:sz w:val="20"/>
                <w:szCs w:val="20"/>
              </w:rPr>
              <w:t>(</w:t>
            </w:r>
            <w:r w:rsidR="00E40551" w:rsidRPr="00FB36E4">
              <w:rPr>
                <w:rFonts w:asciiTheme="majorHAnsi" w:hAnsiTheme="majorHAnsi"/>
                <w:bCs/>
                <w:sz w:val="20"/>
                <w:szCs w:val="20"/>
              </w:rPr>
              <w:t>c)</w:t>
            </w:r>
            <w:r w:rsidRPr="00FB36E4">
              <w:rPr>
                <w:rFonts w:asciiTheme="majorHAnsi" w:hAnsiTheme="majorHAnsi"/>
                <w:bCs/>
                <w:sz w:val="20"/>
                <w:szCs w:val="20"/>
              </w:rPr>
              <w:t xml:space="preserve"> of the American Convention is applicable.</w:t>
            </w:r>
          </w:p>
        </w:tc>
      </w:tr>
      <w:tr w:rsidR="003239B8" w:rsidRPr="00FB36E4" w14:paraId="52B5BA17" w14:textId="77777777" w:rsidTr="009C67EF">
        <w:trPr>
          <w:cantSplit/>
        </w:trPr>
        <w:tc>
          <w:tcPr>
            <w:tcW w:w="3577" w:type="dxa"/>
            <w:tcBorders>
              <w:top w:val="single" w:sz="6" w:space="0" w:color="auto"/>
              <w:bottom w:val="single" w:sz="6" w:space="0" w:color="auto"/>
            </w:tcBorders>
            <w:shd w:val="clear" w:color="auto" w:fill="67AE3C"/>
            <w:vAlign w:val="center"/>
          </w:tcPr>
          <w:p w14:paraId="5DF99086" w14:textId="38AA6927" w:rsidR="003239B8" w:rsidRPr="00FB36E4" w:rsidRDefault="00E047DF" w:rsidP="00E047DF">
            <w:pPr>
              <w:jc w:val="center"/>
              <w:rPr>
                <w:rFonts w:asciiTheme="majorHAnsi" w:hAnsiTheme="majorHAnsi"/>
                <w:b/>
                <w:color w:val="FFFFFF" w:themeColor="background1"/>
                <w:sz w:val="20"/>
                <w:szCs w:val="20"/>
              </w:rPr>
            </w:pPr>
            <w:r w:rsidRPr="00FB36E4">
              <w:rPr>
                <w:rFonts w:asciiTheme="majorHAnsi" w:hAnsiTheme="majorHAnsi"/>
                <w:b/>
                <w:color w:val="FFFFFF" w:themeColor="background1"/>
                <w:sz w:val="20"/>
                <w:szCs w:val="20"/>
              </w:rPr>
              <w:t>Timely filing</w:t>
            </w:r>
          </w:p>
        </w:tc>
        <w:tc>
          <w:tcPr>
            <w:tcW w:w="5665" w:type="dxa"/>
            <w:vAlign w:val="center"/>
          </w:tcPr>
          <w:p w14:paraId="4A2A4569" w14:textId="3FED70A7" w:rsidR="003239B8" w:rsidRPr="00FB36E4" w:rsidRDefault="00A72A00" w:rsidP="00A72A00">
            <w:pPr>
              <w:rPr>
                <w:rFonts w:asciiTheme="majorHAnsi" w:hAnsiTheme="majorHAnsi"/>
                <w:bCs/>
                <w:sz w:val="20"/>
                <w:szCs w:val="20"/>
              </w:rPr>
            </w:pPr>
            <w:r w:rsidRPr="00FB36E4">
              <w:rPr>
                <w:rFonts w:asciiTheme="majorHAnsi" w:hAnsiTheme="majorHAnsi"/>
                <w:bCs/>
                <w:sz w:val="20"/>
                <w:szCs w:val="20"/>
              </w:rPr>
              <w:t>Yes</w:t>
            </w:r>
            <w:r w:rsidR="00191006" w:rsidRPr="00FB36E4">
              <w:rPr>
                <w:rFonts w:asciiTheme="majorHAnsi" w:hAnsiTheme="majorHAnsi"/>
                <w:bCs/>
                <w:sz w:val="20"/>
                <w:szCs w:val="20"/>
              </w:rPr>
              <w:t xml:space="preserve">, </w:t>
            </w:r>
            <w:r w:rsidRPr="00FB36E4">
              <w:rPr>
                <w:rFonts w:asciiTheme="majorHAnsi" w:hAnsiTheme="majorHAnsi"/>
                <w:bCs/>
                <w:sz w:val="20"/>
                <w:szCs w:val="20"/>
              </w:rPr>
              <w:t>in terms of Article</w:t>
            </w:r>
            <w:r w:rsidR="00F74355" w:rsidRPr="00FB36E4">
              <w:rPr>
                <w:rFonts w:asciiTheme="majorHAnsi" w:hAnsiTheme="majorHAnsi"/>
                <w:bCs/>
                <w:sz w:val="20"/>
                <w:szCs w:val="20"/>
              </w:rPr>
              <w:t xml:space="preserve"> 32(</w:t>
            </w:r>
            <w:r w:rsidR="00E40551" w:rsidRPr="00FB36E4">
              <w:rPr>
                <w:rFonts w:asciiTheme="majorHAnsi" w:hAnsiTheme="majorHAnsi"/>
                <w:bCs/>
                <w:sz w:val="20"/>
                <w:szCs w:val="20"/>
              </w:rPr>
              <w:t>2</w:t>
            </w:r>
            <w:r w:rsidR="00F74355" w:rsidRPr="00FB36E4">
              <w:rPr>
                <w:rFonts w:asciiTheme="majorHAnsi" w:hAnsiTheme="majorHAnsi"/>
                <w:bCs/>
                <w:sz w:val="20"/>
                <w:szCs w:val="20"/>
              </w:rPr>
              <w:t>)</w:t>
            </w:r>
            <w:r w:rsidR="00E40551" w:rsidRPr="00FB36E4">
              <w:rPr>
                <w:rFonts w:asciiTheme="majorHAnsi" w:hAnsiTheme="majorHAnsi"/>
                <w:bCs/>
                <w:sz w:val="20"/>
                <w:szCs w:val="20"/>
              </w:rPr>
              <w:t xml:space="preserve"> </w:t>
            </w:r>
            <w:r w:rsidRPr="00FB36E4">
              <w:rPr>
                <w:rFonts w:asciiTheme="majorHAnsi" w:hAnsiTheme="majorHAnsi"/>
                <w:bCs/>
                <w:sz w:val="20"/>
                <w:szCs w:val="20"/>
              </w:rPr>
              <w:t>of the IACHR Rules of Procedure.</w:t>
            </w:r>
          </w:p>
        </w:tc>
      </w:tr>
    </w:tbl>
    <w:p w14:paraId="64EB314A" w14:textId="77777777" w:rsidR="00E81C5D" w:rsidRDefault="00E81C5D" w:rsidP="00BA4740">
      <w:pPr>
        <w:ind w:firstLine="720"/>
        <w:jc w:val="both"/>
        <w:rPr>
          <w:rFonts w:asciiTheme="majorHAnsi" w:hAnsiTheme="majorHAnsi"/>
          <w:b/>
          <w:sz w:val="20"/>
          <w:szCs w:val="20"/>
        </w:rPr>
      </w:pPr>
    </w:p>
    <w:p w14:paraId="18E6423B" w14:textId="32EDB951" w:rsidR="003239B8" w:rsidRPr="00FB36E4" w:rsidRDefault="00223A29" w:rsidP="00BA4740">
      <w:pPr>
        <w:ind w:firstLine="720"/>
        <w:jc w:val="both"/>
        <w:rPr>
          <w:rFonts w:asciiTheme="majorHAnsi" w:hAnsiTheme="majorHAnsi"/>
          <w:b/>
          <w:sz w:val="20"/>
          <w:szCs w:val="20"/>
        </w:rPr>
      </w:pPr>
      <w:r w:rsidRPr="00FB36E4">
        <w:rPr>
          <w:rFonts w:asciiTheme="majorHAnsi" w:hAnsiTheme="majorHAnsi"/>
          <w:b/>
          <w:sz w:val="20"/>
          <w:szCs w:val="20"/>
        </w:rPr>
        <w:t xml:space="preserve">V. </w:t>
      </w:r>
      <w:r w:rsidRPr="00FB36E4">
        <w:rPr>
          <w:rFonts w:asciiTheme="majorHAnsi" w:hAnsiTheme="majorHAnsi"/>
          <w:b/>
          <w:sz w:val="20"/>
          <w:szCs w:val="20"/>
        </w:rPr>
        <w:tab/>
      </w:r>
      <w:r w:rsidR="00A737AA" w:rsidRPr="00FB36E4">
        <w:rPr>
          <w:rFonts w:asciiTheme="majorHAnsi" w:hAnsiTheme="majorHAnsi"/>
          <w:b/>
          <w:sz w:val="20"/>
          <w:szCs w:val="20"/>
        </w:rPr>
        <w:t>SUMMARY OF THE</w:t>
      </w:r>
      <w:r w:rsidR="00900BED" w:rsidRPr="00FB36E4">
        <w:rPr>
          <w:rFonts w:asciiTheme="majorHAnsi" w:hAnsiTheme="majorHAnsi"/>
          <w:b/>
          <w:sz w:val="20"/>
          <w:szCs w:val="20"/>
        </w:rPr>
        <w:t xml:space="preserve"> FACTS</w:t>
      </w:r>
      <w:r w:rsidR="00A737AA" w:rsidRPr="00FB36E4">
        <w:rPr>
          <w:rFonts w:asciiTheme="majorHAnsi" w:hAnsiTheme="majorHAnsi"/>
          <w:b/>
          <w:sz w:val="20"/>
          <w:szCs w:val="20"/>
        </w:rPr>
        <w:t xml:space="preserve"> ALLEGED</w:t>
      </w:r>
    </w:p>
    <w:p w14:paraId="2FE15D9E" w14:textId="77777777" w:rsidR="00BA4740" w:rsidRPr="00FB36E4" w:rsidRDefault="00BA4740" w:rsidP="00BA4740">
      <w:pPr>
        <w:ind w:firstLine="720"/>
        <w:jc w:val="both"/>
        <w:rPr>
          <w:rFonts w:asciiTheme="majorHAnsi" w:hAnsiTheme="majorHAnsi"/>
          <w:b/>
          <w:sz w:val="20"/>
          <w:szCs w:val="20"/>
        </w:rPr>
      </w:pPr>
    </w:p>
    <w:p w14:paraId="7E9786B5" w14:textId="7EB13F45" w:rsidR="00D15D73" w:rsidRPr="00FB36E4" w:rsidRDefault="00BA4740"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B36E4">
        <w:rPr>
          <w:rFonts w:asciiTheme="majorHAnsi" w:hAnsiTheme="majorHAnsi"/>
          <w:bCs/>
          <w:sz w:val="20"/>
          <w:szCs w:val="20"/>
        </w:rPr>
        <w:t>Víctor Manuel Iruegas García</w:t>
      </w:r>
      <w:r w:rsidRPr="00FB36E4">
        <w:rPr>
          <w:rFonts w:ascii="Cambria" w:hAnsi="Cambria"/>
          <w:sz w:val="20"/>
          <w:szCs w:val="20"/>
        </w:rPr>
        <w:t xml:space="preserve"> (</w:t>
      </w:r>
      <w:r w:rsidR="00900BED" w:rsidRPr="00FB36E4">
        <w:rPr>
          <w:rFonts w:ascii="Cambria" w:hAnsi="Cambria"/>
          <w:sz w:val="20"/>
          <w:szCs w:val="20"/>
        </w:rPr>
        <w:t>hereinafter the petitioner</w:t>
      </w:r>
      <w:r w:rsidRPr="00FB36E4">
        <w:rPr>
          <w:rFonts w:ascii="Cambria" w:hAnsi="Cambria"/>
          <w:sz w:val="20"/>
          <w:szCs w:val="20"/>
        </w:rPr>
        <w:t>)</w:t>
      </w:r>
      <w:r w:rsidR="00D15D73" w:rsidRPr="00FB36E4">
        <w:rPr>
          <w:rFonts w:ascii="Cambria" w:hAnsi="Cambria"/>
          <w:sz w:val="20"/>
          <w:szCs w:val="20"/>
        </w:rPr>
        <w:t xml:space="preserve"> </w:t>
      </w:r>
      <w:r w:rsidR="00900BED" w:rsidRPr="00FB36E4">
        <w:rPr>
          <w:rFonts w:ascii="Cambria" w:hAnsi="Cambria"/>
          <w:sz w:val="20"/>
          <w:szCs w:val="20"/>
        </w:rPr>
        <w:t>alleged he w</w:t>
      </w:r>
      <w:r w:rsidR="00393C41" w:rsidRPr="00FB36E4">
        <w:rPr>
          <w:rFonts w:ascii="Cambria" w:hAnsi="Cambria"/>
          <w:sz w:val="20"/>
          <w:szCs w:val="20"/>
        </w:rPr>
        <w:t xml:space="preserve">as working for a Mexican state enterprise when he had a motor vehicle </w:t>
      </w:r>
      <w:r w:rsidR="00900BED" w:rsidRPr="00FB36E4">
        <w:rPr>
          <w:rFonts w:ascii="Cambria" w:hAnsi="Cambria"/>
          <w:sz w:val="20"/>
          <w:szCs w:val="20"/>
        </w:rPr>
        <w:t xml:space="preserve">accident while discharging his duties as an employee and that he was not deemed admissible for </w:t>
      </w:r>
      <w:r w:rsidR="00393C41" w:rsidRPr="00FB36E4">
        <w:rPr>
          <w:rFonts w:ascii="Cambria" w:hAnsi="Cambria"/>
          <w:sz w:val="20"/>
          <w:szCs w:val="20"/>
        </w:rPr>
        <w:t>o</w:t>
      </w:r>
      <w:r w:rsidR="00900BED" w:rsidRPr="00FB36E4">
        <w:rPr>
          <w:rFonts w:ascii="Cambria" w:hAnsi="Cambria"/>
          <w:sz w:val="20"/>
          <w:szCs w:val="20"/>
        </w:rPr>
        <w:t>ccupational hazard compensation</w:t>
      </w:r>
      <w:r w:rsidR="00D15D73" w:rsidRPr="00FB36E4">
        <w:rPr>
          <w:rFonts w:ascii="Cambria" w:hAnsi="Cambria"/>
          <w:sz w:val="20"/>
          <w:szCs w:val="20"/>
        </w:rPr>
        <w:t xml:space="preserve">. </w:t>
      </w:r>
      <w:r w:rsidR="00900BED" w:rsidRPr="00FB36E4">
        <w:rPr>
          <w:rFonts w:ascii="Cambria" w:hAnsi="Cambria"/>
          <w:sz w:val="20"/>
          <w:szCs w:val="20"/>
        </w:rPr>
        <w:t>He also repo</w:t>
      </w:r>
      <w:r w:rsidR="00E107AA" w:rsidRPr="00FB36E4">
        <w:rPr>
          <w:rFonts w:ascii="Cambria" w:hAnsi="Cambria"/>
          <w:sz w:val="20"/>
          <w:szCs w:val="20"/>
        </w:rPr>
        <w:t>r</w:t>
      </w:r>
      <w:r w:rsidR="00900BED" w:rsidRPr="00FB36E4">
        <w:rPr>
          <w:rFonts w:ascii="Cambria" w:hAnsi="Cambria"/>
          <w:sz w:val="20"/>
          <w:szCs w:val="20"/>
        </w:rPr>
        <w:t xml:space="preserve">ted that the court </w:t>
      </w:r>
      <w:r w:rsidR="00900BED" w:rsidRPr="00FB36E4">
        <w:rPr>
          <w:rFonts w:ascii="Cambria" w:hAnsi="Cambria"/>
          <w:sz w:val="20"/>
          <w:szCs w:val="20"/>
        </w:rPr>
        <w:lastRenderedPageBreak/>
        <w:t>proceedings to claim this compensation were conducted irregular</w:t>
      </w:r>
      <w:r w:rsidR="00E107AA" w:rsidRPr="00FB36E4">
        <w:rPr>
          <w:rFonts w:ascii="Cambria" w:hAnsi="Cambria"/>
          <w:sz w:val="20"/>
          <w:szCs w:val="20"/>
        </w:rPr>
        <w:t>ly and</w:t>
      </w:r>
      <w:r w:rsidR="00900BED" w:rsidRPr="00FB36E4">
        <w:rPr>
          <w:rFonts w:ascii="Cambria" w:hAnsi="Cambria"/>
          <w:sz w:val="20"/>
          <w:szCs w:val="20"/>
        </w:rPr>
        <w:t xml:space="preserve"> have not been settled within a reasonable </w:t>
      </w:r>
      <w:r w:rsidR="00E107AA" w:rsidRPr="00FB36E4">
        <w:rPr>
          <w:rFonts w:ascii="Cambria" w:hAnsi="Cambria"/>
          <w:sz w:val="20"/>
          <w:szCs w:val="20"/>
        </w:rPr>
        <w:t>period of time</w:t>
      </w:r>
      <w:r w:rsidR="00D15D73" w:rsidRPr="00FB36E4">
        <w:rPr>
          <w:rFonts w:ascii="Cambria" w:hAnsi="Cambria"/>
          <w:sz w:val="20"/>
          <w:szCs w:val="20"/>
        </w:rPr>
        <w:t xml:space="preserve">. </w:t>
      </w:r>
    </w:p>
    <w:p w14:paraId="3F3F7A00" w14:textId="77777777" w:rsidR="00BA4740" w:rsidRPr="00FB36E4" w:rsidRDefault="00BA4740" w:rsidP="00BA474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15F264C5" w14:textId="51DAA495" w:rsidR="00CC1118" w:rsidRPr="00FB36E4" w:rsidRDefault="00E107AA"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B36E4">
        <w:rPr>
          <w:rFonts w:ascii="Cambria" w:hAnsi="Cambria"/>
          <w:sz w:val="20"/>
          <w:szCs w:val="20"/>
        </w:rPr>
        <w:t xml:space="preserve">The petitioner indicated that he worked as a </w:t>
      </w:r>
      <w:r w:rsidR="00393C41" w:rsidRPr="00FB36E4">
        <w:rPr>
          <w:rFonts w:ascii="Cambria" w:hAnsi="Cambria"/>
          <w:sz w:val="20"/>
          <w:szCs w:val="20"/>
        </w:rPr>
        <w:t>dependable member of the personnel</w:t>
      </w:r>
      <w:r w:rsidRPr="00FB36E4">
        <w:rPr>
          <w:rFonts w:ascii="Cambria" w:hAnsi="Cambria"/>
          <w:sz w:val="20"/>
          <w:szCs w:val="20"/>
        </w:rPr>
        <w:t xml:space="preserve"> in the Gulf Center Division of the Federal Electric Power Commission (</w:t>
      </w:r>
      <w:r w:rsidR="008A0EFC" w:rsidRPr="00FB36E4">
        <w:rPr>
          <w:rFonts w:ascii="Cambria" w:hAnsi="Cambria"/>
          <w:i/>
          <w:sz w:val="20"/>
          <w:szCs w:val="20"/>
        </w:rPr>
        <w:t>Comisión Federal de Electricidad</w:t>
      </w:r>
      <w:r w:rsidR="00393C41" w:rsidRPr="00FB36E4">
        <w:rPr>
          <w:rFonts w:ascii="Cambria" w:hAnsi="Cambria"/>
          <w:i/>
          <w:sz w:val="20"/>
          <w:szCs w:val="20"/>
        </w:rPr>
        <w:t>—</w:t>
      </w:r>
      <w:r w:rsidR="00BC44C7" w:rsidRPr="00FB36E4">
        <w:rPr>
          <w:rFonts w:ascii="Cambria" w:hAnsi="Cambria"/>
          <w:i/>
          <w:sz w:val="20"/>
          <w:szCs w:val="20"/>
        </w:rPr>
        <w:t>CFE)</w:t>
      </w:r>
      <w:r w:rsidR="00DA260E" w:rsidRPr="00FB36E4">
        <w:rPr>
          <w:rFonts w:ascii="Cambria" w:hAnsi="Cambria"/>
          <w:sz w:val="20"/>
          <w:szCs w:val="20"/>
        </w:rPr>
        <w:t>,</w:t>
      </w:r>
      <w:r w:rsidRPr="00FB36E4">
        <w:rPr>
          <w:rFonts w:ascii="Cambria" w:hAnsi="Cambria"/>
          <w:sz w:val="20"/>
          <w:szCs w:val="20"/>
        </w:rPr>
        <w:t xml:space="preserve"> in the state of Tampico</w:t>
      </w:r>
      <w:r w:rsidR="00DA260E" w:rsidRPr="00FB36E4">
        <w:rPr>
          <w:rFonts w:ascii="Cambria" w:hAnsi="Cambria"/>
          <w:sz w:val="20"/>
          <w:szCs w:val="20"/>
        </w:rPr>
        <w:t xml:space="preserve">. </w:t>
      </w:r>
      <w:r w:rsidRPr="00FB36E4">
        <w:rPr>
          <w:rFonts w:ascii="Cambria" w:hAnsi="Cambria"/>
          <w:sz w:val="20"/>
          <w:szCs w:val="20"/>
        </w:rPr>
        <w:t>He contended that he was subjected to extreme working conditions with an approximate workday extending from</w:t>
      </w:r>
      <w:r w:rsidR="005F2D35" w:rsidRPr="00FB36E4">
        <w:rPr>
          <w:rFonts w:ascii="Cambria" w:hAnsi="Cambria"/>
          <w:sz w:val="20"/>
          <w:szCs w:val="20"/>
        </w:rPr>
        <w:t xml:space="preserve"> 6:47 am </w:t>
      </w:r>
      <w:r w:rsidRPr="00FB36E4">
        <w:rPr>
          <w:rFonts w:ascii="Cambria" w:hAnsi="Cambria"/>
          <w:sz w:val="20"/>
          <w:szCs w:val="20"/>
        </w:rPr>
        <w:t>to</w:t>
      </w:r>
      <w:r w:rsidR="005F2D35" w:rsidRPr="00FB36E4">
        <w:rPr>
          <w:rFonts w:ascii="Cambria" w:hAnsi="Cambria"/>
          <w:sz w:val="20"/>
          <w:szCs w:val="20"/>
        </w:rPr>
        <w:t xml:space="preserve"> 23:23 pm, </w:t>
      </w:r>
      <w:r w:rsidRPr="00FB36E4">
        <w:rPr>
          <w:rFonts w:ascii="Cambria" w:hAnsi="Cambria"/>
          <w:sz w:val="20"/>
          <w:szCs w:val="20"/>
        </w:rPr>
        <w:t>including weekends and holidays</w:t>
      </w:r>
      <w:r w:rsidR="00D443BD" w:rsidRPr="00FB36E4">
        <w:rPr>
          <w:rFonts w:ascii="Cambria" w:hAnsi="Cambria"/>
          <w:sz w:val="20"/>
          <w:szCs w:val="20"/>
        </w:rPr>
        <w:t>;</w:t>
      </w:r>
      <w:r w:rsidR="005F2D35" w:rsidRPr="00FB36E4">
        <w:rPr>
          <w:rFonts w:ascii="Cambria" w:hAnsi="Cambria"/>
          <w:sz w:val="20"/>
          <w:szCs w:val="20"/>
        </w:rPr>
        <w:t xml:space="preserve"> </w:t>
      </w:r>
      <w:r w:rsidRPr="00FB36E4">
        <w:rPr>
          <w:rFonts w:ascii="Cambria" w:hAnsi="Cambria"/>
          <w:sz w:val="20"/>
          <w:szCs w:val="20"/>
        </w:rPr>
        <w:t xml:space="preserve">that </w:t>
      </w:r>
      <w:r w:rsidR="00480735" w:rsidRPr="00FB36E4">
        <w:rPr>
          <w:rFonts w:ascii="Cambria" w:hAnsi="Cambria"/>
          <w:sz w:val="20"/>
          <w:szCs w:val="20"/>
        </w:rPr>
        <w:t>he was not allowed to leave his assignment perimeter; and that he was required to spend the night in the office to safeguard the agency’s property. He also allege</w:t>
      </w:r>
      <w:r w:rsidR="00393C41" w:rsidRPr="00FB36E4">
        <w:rPr>
          <w:rFonts w:ascii="Cambria" w:hAnsi="Cambria"/>
          <w:sz w:val="20"/>
          <w:szCs w:val="20"/>
        </w:rPr>
        <w:t>d that he was not being paid</w:t>
      </w:r>
      <w:r w:rsidR="00480735" w:rsidRPr="00FB36E4">
        <w:rPr>
          <w:rFonts w:ascii="Cambria" w:hAnsi="Cambria"/>
          <w:sz w:val="20"/>
          <w:szCs w:val="20"/>
        </w:rPr>
        <w:t xml:space="preserve"> overtime, which he identifies as forced labor</w:t>
      </w:r>
      <w:r w:rsidR="00191006" w:rsidRPr="00FB36E4">
        <w:rPr>
          <w:rFonts w:asciiTheme="majorHAnsi" w:hAnsiTheme="majorHAnsi"/>
          <w:sz w:val="20"/>
          <w:szCs w:val="20"/>
        </w:rPr>
        <w:t>.</w:t>
      </w:r>
      <w:r w:rsidR="008A0EFC" w:rsidRPr="00FB36E4">
        <w:rPr>
          <w:rFonts w:ascii="Cambria" w:hAnsi="Cambria"/>
          <w:sz w:val="20"/>
          <w:szCs w:val="20"/>
        </w:rPr>
        <w:t xml:space="preserve">  </w:t>
      </w:r>
    </w:p>
    <w:p w14:paraId="25129605" w14:textId="77777777" w:rsidR="003F2F2D" w:rsidRPr="00FB36E4"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0D32F936" w14:textId="22503833" w:rsidR="004C616A" w:rsidRPr="00FB36E4" w:rsidRDefault="004D606F"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B36E4">
        <w:rPr>
          <w:rFonts w:ascii="Cambria" w:hAnsi="Cambria"/>
          <w:sz w:val="20"/>
          <w:szCs w:val="20"/>
        </w:rPr>
        <w:t>As a result of physical exhaustion from overworking, on March 13, 2008, the petitioner had an accident while driving a motor vehicle of the CFE, which led</w:t>
      </w:r>
      <w:r w:rsidR="00393C41" w:rsidRPr="00FB36E4">
        <w:rPr>
          <w:rFonts w:ascii="Cambria" w:hAnsi="Cambria"/>
          <w:sz w:val="20"/>
          <w:szCs w:val="20"/>
        </w:rPr>
        <w:t xml:space="preserve"> to a severe</w:t>
      </w:r>
      <w:r w:rsidRPr="00FB36E4">
        <w:rPr>
          <w:rFonts w:ascii="Cambria" w:hAnsi="Cambria"/>
          <w:sz w:val="20"/>
          <w:szCs w:val="20"/>
        </w:rPr>
        <w:t xml:space="preserve"> traumatic brain injury (TBI)</w:t>
      </w:r>
      <w:r w:rsidR="00760AD1" w:rsidRPr="00FB36E4">
        <w:rPr>
          <w:rFonts w:ascii="Cambria" w:hAnsi="Cambria"/>
          <w:sz w:val="20"/>
          <w:szCs w:val="20"/>
        </w:rPr>
        <w:t>,</w:t>
      </w:r>
      <w:r w:rsidRPr="00FB36E4">
        <w:rPr>
          <w:rFonts w:ascii="Cambria" w:hAnsi="Cambria"/>
          <w:sz w:val="20"/>
          <w:szCs w:val="20"/>
        </w:rPr>
        <w:t xml:space="preserve"> permanent damage to the spinal column, and psychological and psychiatric </w:t>
      </w:r>
      <w:r w:rsidR="00547634" w:rsidRPr="00FB36E4">
        <w:rPr>
          <w:rFonts w:ascii="Cambria" w:hAnsi="Cambria"/>
          <w:sz w:val="20"/>
          <w:szCs w:val="20"/>
        </w:rPr>
        <w:t>impairments wh</w:t>
      </w:r>
      <w:r w:rsidRPr="00FB36E4">
        <w:rPr>
          <w:rFonts w:ascii="Cambria" w:hAnsi="Cambria"/>
          <w:sz w:val="20"/>
          <w:szCs w:val="20"/>
        </w:rPr>
        <w:t xml:space="preserve">ich, for the rest of his life, prevented him from </w:t>
      </w:r>
      <w:r w:rsidR="00C1753A" w:rsidRPr="00FB36E4">
        <w:rPr>
          <w:rFonts w:ascii="Cambria" w:hAnsi="Cambria"/>
          <w:sz w:val="20"/>
          <w:szCs w:val="20"/>
        </w:rPr>
        <w:t xml:space="preserve">engaging in </w:t>
      </w:r>
      <w:r w:rsidRPr="00FB36E4">
        <w:rPr>
          <w:rFonts w:ascii="Cambria" w:hAnsi="Cambria"/>
          <w:sz w:val="20"/>
          <w:szCs w:val="20"/>
        </w:rPr>
        <w:t>the professional activity he had until then</w:t>
      </w:r>
      <w:r w:rsidR="00760AD1" w:rsidRPr="00FB36E4">
        <w:rPr>
          <w:rFonts w:ascii="Cambria" w:hAnsi="Cambria"/>
          <w:sz w:val="20"/>
          <w:szCs w:val="20"/>
        </w:rPr>
        <w:t>.</w:t>
      </w:r>
      <w:r w:rsidR="00F604EC" w:rsidRPr="00FB36E4">
        <w:rPr>
          <w:rFonts w:ascii="Cambria" w:hAnsi="Cambria"/>
          <w:sz w:val="20"/>
          <w:szCs w:val="20"/>
        </w:rPr>
        <w:t xml:space="preserve"> </w:t>
      </w:r>
      <w:r w:rsidR="00C1753A" w:rsidRPr="00FB36E4">
        <w:rPr>
          <w:rFonts w:ascii="Cambria" w:hAnsi="Cambria"/>
          <w:sz w:val="20"/>
          <w:szCs w:val="20"/>
        </w:rPr>
        <w:t xml:space="preserve">He reported that, while he was convalescing, the CFE demanded that he continue working under threat of requiring him to pay for the damage </w:t>
      </w:r>
      <w:r w:rsidR="00107599" w:rsidRPr="00FB36E4">
        <w:rPr>
          <w:rFonts w:ascii="Cambria" w:hAnsi="Cambria"/>
          <w:sz w:val="20"/>
          <w:szCs w:val="20"/>
        </w:rPr>
        <w:t>to</w:t>
      </w:r>
      <w:r w:rsidR="00C1753A" w:rsidRPr="00FB36E4">
        <w:rPr>
          <w:rFonts w:ascii="Cambria" w:hAnsi="Cambria"/>
          <w:sz w:val="20"/>
          <w:szCs w:val="20"/>
        </w:rPr>
        <w:t xml:space="preserve"> the motor vehicle, which worsened his health condition.</w:t>
      </w:r>
    </w:p>
    <w:p w14:paraId="05263701" w14:textId="77777777" w:rsidR="003F2F2D" w:rsidRPr="00FB36E4" w:rsidRDefault="003F2F2D" w:rsidP="00D443B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7745B6FE" w14:textId="7AE81FF6" w:rsidR="001C68B3" w:rsidRPr="00FB36E4" w:rsidRDefault="00107599" w:rsidP="001C3B9A">
      <w:pPr>
        <w:pStyle w:val="NoSpacing"/>
        <w:numPr>
          <w:ilvl w:val="0"/>
          <w:numId w:val="103"/>
        </w:numPr>
        <w:jc w:val="both"/>
        <w:rPr>
          <w:rFonts w:asciiTheme="majorHAnsi" w:hAnsiTheme="majorHAnsi"/>
          <w:sz w:val="20"/>
          <w:szCs w:val="20"/>
        </w:rPr>
      </w:pPr>
      <w:r w:rsidRPr="00FB36E4">
        <w:rPr>
          <w:rFonts w:asciiTheme="majorHAnsi" w:hAnsiTheme="majorHAnsi"/>
          <w:sz w:val="20"/>
          <w:szCs w:val="20"/>
        </w:rPr>
        <w:t>He added that he was taken to the hospital closest to the site of the accident</w:t>
      </w:r>
      <w:r w:rsidR="00547634" w:rsidRPr="00FB36E4">
        <w:rPr>
          <w:rFonts w:asciiTheme="majorHAnsi" w:hAnsiTheme="majorHAnsi"/>
          <w:sz w:val="20"/>
          <w:szCs w:val="20"/>
        </w:rPr>
        <w:t>,</w:t>
      </w:r>
      <w:r w:rsidRPr="00FB36E4">
        <w:rPr>
          <w:rFonts w:asciiTheme="majorHAnsi" w:hAnsiTheme="majorHAnsi"/>
          <w:sz w:val="20"/>
          <w:szCs w:val="20"/>
        </w:rPr>
        <w:t xml:space="preserve"> and then from there he was transferred to the Mexican Social Security Institute (</w:t>
      </w:r>
      <w:r w:rsidR="00CF3344" w:rsidRPr="00FB36E4">
        <w:rPr>
          <w:rFonts w:asciiTheme="majorHAnsi" w:hAnsiTheme="majorHAnsi"/>
          <w:i/>
          <w:sz w:val="20"/>
          <w:szCs w:val="20"/>
        </w:rPr>
        <w:t>Insti</w:t>
      </w:r>
      <w:r w:rsidRPr="00FB36E4">
        <w:rPr>
          <w:rFonts w:asciiTheme="majorHAnsi" w:hAnsiTheme="majorHAnsi"/>
          <w:i/>
          <w:sz w:val="20"/>
          <w:szCs w:val="20"/>
        </w:rPr>
        <w:t>tuto Mexicano del Seguro Social—</w:t>
      </w:r>
      <w:r w:rsidR="00CF3344" w:rsidRPr="00FB36E4">
        <w:rPr>
          <w:rFonts w:asciiTheme="majorHAnsi" w:hAnsiTheme="majorHAnsi"/>
          <w:i/>
          <w:sz w:val="20"/>
          <w:szCs w:val="20"/>
        </w:rPr>
        <w:t>IMSS</w:t>
      </w:r>
      <w:r w:rsidR="00CF3344" w:rsidRPr="00FB36E4">
        <w:rPr>
          <w:rFonts w:asciiTheme="majorHAnsi" w:hAnsiTheme="majorHAnsi"/>
          <w:sz w:val="20"/>
          <w:szCs w:val="20"/>
        </w:rPr>
        <w:t>)</w:t>
      </w:r>
      <w:r w:rsidR="002E44A0" w:rsidRPr="00FB36E4">
        <w:rPr>
          <w:rFonts w:asciiTheme="majorHAnsi" w:hAnsiTheme="majorHAnsi"/>
          <w:sz w:val="20"/>
          <w:szCs w:val="20"/>
        </w:rPr>
        <w:t>.</w:t>
      </w:r>
      <w:r w:rsidR="00CF3344" w:rsidRPr="00FB36E4">
        <w:rPr>
          <w:rFonts w:asciiTheme="majorHAnsi" w:hAnsiTheme="majorHAnsi"/>
          <w:sz w:val="20"/>
          <w:szCs w:val="20"/>
        </w:rPr>
        <w:t xml:space="preserve"> </w:t>
      </w:r>
      <w:r w:rsidR="001C3B9A" w:rsidRPr="00FB36E4">
        <w:rPr>
          <w:rFonts w:asciiTheme="majorHAnsi" w:hAnsiTheme="majorHAnsi"/>
          <w:sz w:val="20"/>
          <w:szCs w:val="20"/>
        </w:rPr>
        <w:t>According to the petitioner, in that unit, his admission was not logged in nor was any medical diagnosis made</w:t>
      </w:r>
      <w:r w:rsidR="00547634" w:rsidRPr="00FB36E4">
        <w:rPr>
          <w:rFonts w:asciiTheme="majorHAnsi" w:hAnsiTheme="majorHAnsi"/>
          <w:sz w:val="20"/>
          <w:szCs w:val="20"/>
        </w:rPr>
        <w:t xml:space="preserve">, </w:t>
      </w:r>
      <w:r w:rsidR="001C3B9A" w:rsidRPr="00FB36E4">
        <w:rPr>
          <w:rFonts w:asciiTheme="majorHAnsi" w:hAnsiTheme="majorHAnsi"/>
          <w:sz w:val="20"/>
          <w:szCs w:val="20"/>
        </w:rPr>
        <w:t xml:space="preserve">to avoid recording the </w:t>
      </w:r>
      <w:r w:rsidR="00547634" w:rsidRPr="00FB36E4">
        <w:rPr>
          <w:rFonts w:asciiTheme="majorHAnsi" w:hAnsiTheme="majorHAnsi"/>
          <w:sz w:val="20"/>
          <w:szCs w:val="20"/>
        </w:rPr>
        <w:t>occupational</w:t>
      </w:r>
      <w:r w:rsidR="001C3B9A" w:rsidRPr="00FB36E4">
        <w:rPr>
          <w:rFonts w:asciiTheme="majorHAnsi" w:hAnsiTheme="majorHAnsi"/>
          <w:sz w:val="20"/>
          <w:szCs w:val="20"/>
        </w:rPr>
        <w:t xml:space="preserve"> hazard. The Health Secretariat, however, did issue a doc</w:t>
      </w:r>
      <w:r w:rsidR="00547634" w:rsidRPr="00FB36E4">
        <w:rPr>
          <w:rFonts w:asciiTheme="majorHAnsi" w:hAnsiTheme="majorHAnsi"/>
          <w:sz w:val="20"/>
          <w:szCs w:val="20"/>
        </w:rPr>
        <w:t>ument that specifies that he had been</w:t>
      </w:r>
      <w:r w:rsidR="001C3B9A" w:rsidRPr="00FB36E4">
        <w:rPr>
          <w:rFonts w:asciiTheme="majorHAnsi" w:hAnsiTheme="majorHAnsi"/>
          <w:sz w:val="20"/>
          <w:szCs w:val="20"/>
        </w:rPr>
        <w:t xml:space="preserve"> transferred to the IMSS hospital. Thereafter he was transferred to a private hospital where the injuries stemming from the accident were put on the record, although it was not registered as a</w:t>
      </w:r>
      <w:r w:rsidR="00547634" w:rsidRPr="00FB36E4">
        <w:rPr>
          <w:rFonts w:asciiTheme="majorHAnsi" w:hAnsiTheme="majorHAnsi"/>
          <w:sz w:val="20"/>
          <w:szCs w:val="20"/>
        </w:rPr>
        <w:t>n</w:t>
      </w:r>
      <w:r w:rsidR="001C3B9A" w:rsidRPr="00FB36E4">
        <w:rPr>
          <w:rFonts w:asciiTheme="majorHAnsi" w:hAnsiTheme="majorHAnsi"/>
          <w:sz w:val="20"/>
          <w:szCs w:val="20"/>
        </w:rPr>
        <w:t xml:space="preserve"> occupation</w:t>
      </w:r>
      <w:r w:rsidR="00547634" w:rsidRPr="00FB36E4">
        <w:rPr>
          <w:rFonts w:asciiTheme="majorHAnsi" w:hAnsiTheme="majorHAnsi"/>
          <w:sz w:val="20"/>
          <w:szCs w:val="20"/>
        </w:rPr>
        <w:t>al</w:t>
      </w:r>
      <w:r w:rsidR="001C3B9A" w:rsidRPr="00FB36E4">
        <w:rPr>
          <w:rFonts w:asciiTheme="majorHAnsi" w:hAnsiTheme="majorHAnsi"/>
          <w:sz w:val="20"/>
          <w:szCs w:val="20"/>
        </w:rPr>
        <w:t xml:space="preserve"> hazard accident. The petitioner claimed that the CFE failed to observe the law </w:t>
      </w:r>
      <w:r w:rsidR="00547634" w:rsidRPr="00FB36E4">
        <w:rPr>
          <w:rFonts w:asciiTheme="majorHAnsi" w:hAnsiTheme="majorHAnsi"/>
          <w:sz w:val="20"/>
          <w:szCs w:val="20"/>
        </w:rPr>
        <w:t>that requires</w:t>
      </w:r>
      <w:r w:rsidR="001C3B9A" w:rsidRPr="00FB36E4">
        <w:rPr>
          <w:rFonts w:asciiTheme="majorHAnsi" w:hAnsiTheme="majorHAnsi"/>
          <w:sz w:val="20"/>
          <w:szCs w:val="20"/>
        </w:rPr>
        <w:t xml:space="preserve"> employers to register any occupation</w:t>
      </w:r>
      <w:r w:rsidR="00F736A6" w:rsidRPr="00FB36E4">
        <w:rPr>
          <w:rFonts w:asciiTheme="majorHAnsi" w:hAnsiTheme="majorHAnsi"/>
          <w:sz w:val="20"/>
          <w:szCs w:val="20"/>
        </w:rPr>
        <w:t>al</w:t>
      </w:r>
      <w:r w:rsidR="001C3B9A" w:rsidRPr="00FB36E4">
        <w:rPr>
          <w:rFonts w:asciiTheme="majorHAnsi" w:hAnsiTheme="majorHAnsi"/>
          <w:sz w:val="20"/>
          <w:szCs w:val="20"/>
        </w:rPr>
        <w:t xml:space="preserve"> accident within seventy-two hours of its occurrence</w:t>
      </w:r>
      <w:r w:rsidR="00F736A6" w:rsidRPr="00FB36E4">
        <w:rPr>
          <w:rFonts w:asciiTheme="majorHAnsi" w:hAnsiTheme="majorHAnsi"/>
          <w:sz w:val="20"/>
          <w:szCs w:val="20"/>
        </w:rPr>
        <w:t xml:space="preserve"> an</w:t>
      </w:r>
      <w:r w:rsidR="001C3B9A" w:rsidRPr="00FB36E4">
        <w:rPr>
          <w:rFonts w:asciiTheme="majorHAnsi" w:hAnsiTheme="majorHAnsi"/>
          <w:sz w:val="20"/>
          <w:szCs w:val="20"/>
        </w:rPr>
        <w:t>d that the enterprise had an incentive to conceal the occupational accident, because it received productivity bonuses based on a performance indicator</w:t>
      </w:r>
      <w:r w:rsidR="004918E5" w:rsidRPr="00FB36E4">
        <w:rPr>
          <w:rFonts w:asciiTheme="majorHAnsi" w:hAnsiTheme="majorHAnsi"/>
          <w:sz w:val="20"/>
          <w:szCs w:val="20"/>
        </w:rPr>
        <w:t xml:space="preserve"> that shows low accident rates</w:t>
      </w:r>
      <w:r w:rsidR="00E21B39" w:rsidRPr="00FB36E4">
        <w:rPr>
          <w:rFonts w:asciiTheme="majorHAnsi" w:hAnsiTheme="majorHAnsi"/>
          <w:sz w:val="20"/>
          <w:szCs w:val="20"/>
        </w:rPr>
        <w:t xml:space="preserve">. </w:t>
      </w:r>
    </w:p>
    <w:p w14:paraId="488A384B" w14:textId="77777777" w:rsidR="001C68B3" w:rsidRPr="00FB36E4" w:rsidRDefault="001C68B3" w:rsidP="001C68B3">
      <w:pPr>
        <w:pStyle w:val="ListParagraph"/>
        <w:rPr>
          <w:rFonts w:asciiTheme="majorHAnsi" w:hAnsiTheme="majorHAnsi"/>
          <w:sz w:val="20"/>
          <w:szCs w:val="20"/>
        </w:rPr>
      </w:pPr>
    </w:p>
    <w:p w14:paraId="39404350" w14:textId="2C77C5A9" w:rsidR="00D51C70" w:rsidRPr="00FB36E4" w:rsidRDefault="004918E5" w:rsidP="0010759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B36E4">
        <w:rPr>
          <w:rFonts w:ascii="Cambria" w:hAnsi="Cambria"/>
          <w:sz w:val="20"/>
          <w:szCs w:val="20"/>
        </w:rPr>
        <w:t xml:space="preserve">On September </w:t>
      </w:r>
      <w:r w:rsidR="00360D1D" w:rsidRPr="00FB36E4">
        <w:rPr>
          <w:rFonts w:ascii="Cambria" w:hAnsi="Cambria"/>
          <w:sz w:val="20"/>
          <w:szCs w:val="20"/>
        </w:rPr>
        <w:t>25</w:t>
      </w:r>
      <w:r w:rsidRPr="00FB36E4">
        <w:rPr>
          <w:rFonts w:ascii="Cambria" w:hAnsi="Cambria"/>
          <w:sz w:val="20"/>
          <w:szCs w:val="20"/>
        </w:rPr>
        <w:t>,</w:t>
      </w:r>
      <w:r w:rsidR="00360D1D" w:rsidRPr="00FB36E4">
        <w:rPr>
          <w:rFonts w:ascii="Cambria" w:hAnsi="Cambria"/>
          <w:sz w:val="20"/>
          <w:szCs w:val="20"/>
        </w:rPr>
        <w:t xml:space="preserve"> 2009</w:t>
      </w:r>
      <w:r w:rsidRPr="00FB36E4">
        <w:rPr>
          <w:rFonts w:ascii="Cambria" w:hAnsi="Cambria"/>
          <w:sz w:val="20"/>
          <w:szCs w:val="20"/>
        </w:rPr>
        <w:t xml:space="preserve">, he filed a </w:t>
      </w:r>
      <w:r w:rsidR="00C93ED4" w:rsidRPr="00FB36E4">
        <w:rPr>
          <w:rFonts w:ascii="Cambria" w:hAnsi="Cambria"/>
          <w:sz w:val="20"/>
          <w:szCs w:val="20"/>
        </w:rPr>
        <w:t>worker rights</w:t>
      </w:r>
      <w:r w:rsidRPr="00FB36E4">
        <w:rPr>
          <w:rFonts w:ascii="Cambria" w:hAnsi="Cambria"/>
          <w:sz w:val="20"/>
          <w:szCs w:val="20"/>
        </w:rPr>
        <w:t xml:space="preserve"> complaint in which he requested payment of his employee be</w:t>
      </w:r>
      <w:r w:rsidR="00C93ED4" w:rsidRPr="00FB36E4">
        <w:rPr>
          <w:rFonts w:ascii="Cambria" w:hAnsi="Cambria"/>
          <w:sz w:val="20"/>
          <w:szCs w:val="20"/>
        </w:rPr>
        <w:t>n</w:t>
      </w:r>
      <w:r w:rsidRPr="00FB36E4">
        <w:rPr>
          <w:rFonts w:ascii="Cambria" w:hAnsi="Cambria"/>
          <w:sz w:val="20"/>
          <w:szCs w:val="20"/>
        </w:rPr>
        <w:t>efits and admissibility for receiving the occupational hazard compensation.</w:t>
      </w:r>
      <w:r w:rsidR="001C68B3" w:rsidRPr="00FB36E4">
        <w:rPr>
          <w:rStyle w:val="FootnoteReference"/>
          <w:rFonts w:ascii="Cambria" w:hAnsi="Cambria"/>
          <w:sz w:val="20"/>
          <w:szCs w:val="20"/>
        </w:rPr>
        <w:footnoteReference w:id="7"/>
      </w:r>
      <w:r w:rsidRPr="00FB36E4">
        <w:rPr>
          <w:rFonts w:ascii="Cambria" w:hAnsi="Cambria"/>
          <w:sz w:val="20"/>
          <w:szCs w:val="20"/>
        </w:rPr>
        <w:t xml:space="preserve"> </w:t>
      </w:r>
      <w:r w:rsidR="00C93ED4" w:rsidRPr="00FB36E4">
        <w:rPr>
          <w:rFonts w:ascii="Cambria" w:hAnsi="Cambria"/>
          <w:sz w:val="20"/>
          <w:szCs w:val="20"/>
        </w:rPr>
        <w:t>The petiti</w:t>
      </w:r>
      <w:r w:rsidRPr="00FB36E4">
        <w:rPr>
          <w:rFonts w:ascii="Cambria" w:hAnsi="Cambria"/>
          <w:sz w:val="20"/>
          <w:szCs w:val="20"/>
        </w:rPr>
        <w:t>oner also filed a motion on constitutional grounds (</w:t>
      </w:r>
      <w:r w:rsidRPr="00FB36E4">
        <w:rPr>
          <w:rFonts w:ascii="Cambria" w:hAnsi="Cambria"/>
          <w:i/>
          <w:sz w:val="20"/>
          <w:szCs w:val="20"/>
        </w:rPr>
        <w:t>amparo</w:t>
      </w:r>
      <w:r w:rsidRPr="00FB36E4">
        <w:rPr>
          <w:rFonts w:ascii="Cambria" w:hAnsi="Cambria"/>
          <w:sz w:val="20"/>
          <w:szCs w:val="20"/>
        </w:rPr>
        <w:t xml:space="preserve">) so that the </w:t>
      </w:r>
      <w:r w:rsidR="00900BED" w:rsidRPr="00FB36E4">
        <w:rPr>
          <w:rFonts w:ascii="Cambria" w:hAnsi="Cambria"/>
          <w:sz w:val="20"/>
          <w:szCs w:val="20"/>
        </w:rPr>
        <w:t>Fede</w:t>
      </w:r>
      <w:r w:rsidRPr="00FB36E4">
        <w:rPr>
          <w:rFonts w:ascii="Cambria" w:hAnsi="Cambria"/>
          <w:sz w:val="20"/>
          <w:szCs w:val="20"/>
        </w:rPr>
        <w:t>ral Labor Mediation and Arbitrat</w:t>
      </w:r>
      <w:r w:rsidR="00900BED" w:rsidRPr="00FB36E4">
        <w:rPr>
          <w:rFonts w:ascii="Cambria" w:hAnsi="Cambria"/>
          <w:sz w:val="20"/>
          <w:szCs w:val="20"/>
        </w:rPr>
        <w:t>ion Board (</w:t>
      </w:r>
      <w:r w:rsidR="00D52C77" w:rsidRPr="00FB36E4">
        <w:rPr>
          <w:rFonts w:ascii="Cambria" w:hAnsi="Cambria"/>
          <w:i/>
          <w:sz w:val="20"/>
          <w:szCs w:val="20"/>
        </w:rPr>
        <w:t>Junta Feder</w:t>
      </w:r>
      <w:r w:rsidR="00900BED" w:rsidRPr="00FB36E4">
        <w:rPr>
          <w:rFonts w:ascii="Cambria" w:hAnsi="Cambria"/>
          <w:i/>
          <w:sz w:val="20"/>
          <w:szCs w:val="20"/>
        </w:rPr>
        <w:t>al de Conciliación y Arbitraje—</w:t>
      </w:r>
      <w:r w:rsidR="00093FB1" w:rsidRPr="00FB36E4">
        <w:rPr>
          <w:rFonts w:ascii="Cambria" w:hAnsi="Cambria"/>
          <w:i/>
          <w:sz w:val="20"/>
          <w:szCs w:val="20"/>
        </w:rPr>
        <w:t>JFCA</w:t>
      </w:r>
      <w:r w:rsidR="00D52C77" w:rsidRPr="00FB36E4">
        <w:rPr>
          <w:rFonts w:ascii="Cambria" w:hAnsi="Cambria"/>
          <w:sz w:val="20"/>
          <w:szCs w:val="20"/>
        </w:rPr>
        <w:t>)</w:t>
      </w:r>
      <w:r w:rsidR="00093FB1" w:rsidRPr="00FB36E4">
        <w:rPr>
          <w:rFonts w:ascii="Cambria" w:hAnsi="Cambria"/>
          <w:sz w:val="20"/>
          <w:szCs w:val="20"/>
        </w:rPr>
        <w:t xml:space="preserve"> </w:t>
      </w:r>
      <w:r w:rsidRPr="00FB36E4">
        <w:rPr>
          <w:rFonts w:ascii="Cambria" w:hAnsi="Cambria"/>
          <w:sz w:val="20"/>
          <w:szCs w:val="20"/>
        </w:rPr>
        <w:t>would be ordered to issue a ruling in his case. The motion was dismissed on May 7, 2015 by the judge hearing the case, because he deemed that, before the ruling, various types of evidence had to be</w:t>
      </w:r>
      <w:r w:rsidR="00547634" w:rsidRPr="00FB36E4">
        <w:rPr>
          <w:rFonts w:ascii="Cambria" w:hAnsi="Cambria"/>
          <w:sz w:val="20"/>
          <w:szCs w:val="20"/>
        </w:rPr>
        <w:t xml:space="preserve"> examined</w:t>
      </w:r>
      <w:r w:rsidRPr="00FB36E4">
        <w:rPr>
          <w:rFonts w:ascii="Cambria" w:hAnsi="Cambria"/>
          <w:sz w:val="20"/>
          <w:szCs w:val="20"/>
        </w:rPr>
        <w:t>. Furthermore, the petitioner recognized that, on July 20, 2010,</w:t>
      </w:r>
      <w:r w:rsidR="00547634" w:rsidRPr="00FB36E4">
        <w:rPr>
          <w:rFonts w:ascii="Cambria" w:hAnsi="Cambria"/>
          <w:sz w:val="20"/>
          <w:szCs w:val="20"/>
        </w:rPr>
        <w:t xml:space="preserve"> they granted him a general ill health </w:t>
      </w:r>
      <w:r w:rsidRPr="00FB36E4">
        <w:rPr>
          <w:rFonts w:ascii="Cambria" w:hAnsi="Cambria"/>
          <w:sz w:val="20"/>
          <w:szCs w:val="20"/>
        </w:rPr>
        <w:t xml:space="preserve">pension although it was eleven months after requesting the occupational hazard </w:t>
      </w:r>
      <w:r w:rsidR="00547634" w:rsidRPr="00FB36E4">
        <w:rPr>
          <w:rFonts w:ascii="Cambria" w:hAnsi="Cambria"/>
          <w:sz w:val="20"/>
          <w:szCs w:val="20"/>
        </w:rPr>
        <w:t>compensation</w:t>
      </w:r>
      <w:r w:rsidR="00C336BE" w:rsidRPr="00FB36E4">
        <w:rPr>
          <w:rFonts w:ascii="Cambria" w:hAnsi="Cambria"/>
          <w:sz w:val="20"/>
          <w:szCs w:val="20"/>
        </w:rPr>
        <w:t xml:space="preserve">. </w:t>
      </w:r>
      <w:r w:rsidR="0007744A" w:rsidRPr="00FB36E4">
        <w:rPr>
          <w:rFonts w:ascii="Cambria" w:hAnsi="Cambria"/>
          <w:sz w:val="20"/>
          <w:szCs w:val="20"/>
        </w:rPr>
        <w:t>He contended that both of these benefits are mutually compatible and independent, which means that granting a general ill</w:t>
      </w:r>
      <w:r w:rsidR="00547634" w:rsidRPr="00FB36E4">
        <w:rPr>
          <w:rFonts w:ascii="Cambria" w:hAnsi="Cambria"/>
          <w:sz w:val="20"/>
          <w:szCs w:val="20"/>
        </w:rPr>
        <w:t xml:space="preserve"> health</w:t>
      </w:r>
      <w:r w:rsidR="0007744A" w:rsidRPr="00FB36E4">
        <w:rPr>
          <w:rFonts w:ascii="Cambria" w:hAnsi="Cambria"/>
          <w:sz w:val="20"/>
          <w:szCs w:val="20"/>
        </w:rPr>
        <w:t xml:space="preserve"> pension </w:t>
      </w:r>
      <w:r w:rsidR="00547634" w:rsidRPr="00FB36E4">
        <w:rPr>
          <w:rFonts w:ascii="Cambria" w:hAnsi="Cambria"/>
          <w:sz w:val="20"/>
          <w:szCs w:val="20"/>
        </w:rPr>
        <w:t>is not the same as</w:t>
      </w:r>
      <w:r w:rsidR="0007744A" w:rsidRPr="00FB36E4">
        <w:rPr>
          <w:rFonts w:ascii="Cambria" w:hAnsi="Cambria"/>
          <w:sz w:val="20"/>
          <w:szCs w:val="20"/>
        </w:rPr>
        <w:t xml:space="preserve"> qualifying for an occupational</w:t>
      </w:r>
      <w:r w:rsidR="00547634" w:rsidRPr="00FB36E4">
        <w:rPr>
          <w:rFonts w:ascii="Cambria" w:hAnsi="Cambria"/>
          <w:sz w:val="20"/>
          <w:szCs w:val="20"/>
        </w:rPr>
        <w:t xml:space="preserve"> hazard</w:t>
      </w:r>
      <w:r w:rsidR="0007744A" w:rsidRPr="00FB36E4">
        <w:rPr>
          <w:rFonts w:ascii="Cambria" w:hAnsi="Cambria"/>
          <w:sz w:val="20"/>
          <w:szCs w:val="20"/>
        </w:rPr>
        <w:t xml:space="preserve"> </w:t>
      </w:r>
      <w:r w:rsidR="00547634" w:rsidRPr="00FB36E4">
        <w:rPr>
          <w:rFonts w:ascii="Cambria" w:hAnsi="Cambria"/>
          <w:sz w:val="20"/>
          <w:szCs w:val="20"/>
        </w:rPr>
        <w:t>compensation</w:t>
      </w:r>
      <w:r w:rsidR="00E71518" w:rsidRPr="00FB36E4">
        <w:rPr>
          <w:rFonts w:ascii="Cambria" w:hAnsi="Cambria"/>
          <w:sz w:val="20"/>
          <w:szCs w:val="20"/>
        </w:rPr>
        <w:t>.</w:t>
      </w:r>
      <w:r w:rsidR="00E77D8C" w:rsidRPr="00FB36E4">
        <w:rPr>
          <w:rFonts w:ascii="Cambria" w:hAnsi="Cambria"/>
          <w:sz w:val="20"/>
          <w:szCs w:val="20"/>
        </w:rPr>
        <w:t xml:space="preserve"> </w:t>
      </w:r>
      <w:r w:rsidR="0007744A" w:rsidRPr="00FB36E4">
        <w:rPr>
          <w:rFonts w:ascii="Cambria" w:hAnsi="Cambria"/>
          <w:sz w:val="20"/>
          <w:szCs w:val="20"/>
        </w:rPr>
        <w:t>He also underscored that the medical examinations establish</w:t>
      </w:r>
      <w:r w:rsidR="00547634" w:rsidRPr="00FB36E4">
        <w:rPr>
          <w:rFonts w:ascii="Cambria" w:hAnsi="Cambria"/>
          <w:sz w:val="20"/>
          <w:szCs w:val="20"/>
        </w:rPr>
        <w:t>ed</w:t>
      </w:r>
      <w:r w:rsidR="0007744A" w:rsidRPr="00FB36E4">
        <w:rPr>
          <w:rFonts w:ascii="Cambria" w:hAnsi="Cambria"/>
          <w:sz w:val="20"/>
          <w:szCs w:val="20"/>
        </w:rPr>
        <w:t xml:space="preserve"> a linkage between the clinical depression that was at the origin of the general</w:t>
      </w:r>
      <w:r w:rsidR="00547634" w:rsidRPr="00FB36E4">
        <w:rPr>
          <w:rFonts w:ascii="Cambria" w:hAnsi="Cambria"/>
          <w:sz w:val="20"/>
          <w:szCs w:val="20"/>
        </w:rPr>
        <w:t xml:space="preserve"> ill health pension with</w:t>
      </w:r>
      <w:r w:rsidR="0007744A" w:rsidRPr="00FB36E4">
        <w:rPr>
          <w:rFonts w:ascii="Cambria" w:hAnsi="Cambria"/>
          <w:sz w:val="20"/>
          <w:szCs w:val="20"/>
        </w:rPr>
        <w:t xml:space="preserve"> the TBI from the work-related accident</w:t>
      </w:r>
      <w:r w:rsidR="00E77D8C" w:rsidRPr="00FB36E4">
        <w:rPr>
          <w:rFonts w:ascii="Cambria" w:hAnsi="Cambria"/>
          <w:sz w:val="20"/>
          <w:szCs w:val="20"/>
        </w:rPr>
        <w:t xml:space="preserve">. </w:t>
      </w:r>
    </w:p>
    <w:p w14:paraId="56A5636D" w14:textId="77777777" w:rsidR="003F2F2D" w:rsidRPr="00FB36E4"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5CA8557A" w14:textId="2BA1D79F" w:rsidR="00A15A29" w:rsidRPr="00FB36E4" w:rsidRDefault="00314AC8"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B36E4">
        <w:rPr>
          <w:rFonts w:ascii="Cambria" w:hAnsi="Cambria"/>
          <w:sz w:val="20"/>
          <w:szCs w:val="20"/>
        </w:rPr>
        <w:t>The petitioner</w:t>
      </w:r>
      <w:r w:rsidR="0007744A" w:rsidRPr="00FB36E4">
        <w:rPr>
          <w:rFonts w:ascii="Cambria" w:hAnsi="Cambria"/>
          <w:sz w:val="20"/>
          <w:szCs w:val="20"/>
        </w:rPr>
        <w:t xml:space="preserve"> also claimed that the proceedings </w:t>
      </w:r>
      <w:r w:rsidR="007F6021" w:rsidRPr="00FB36E4">
        <w:rPr>
          <w:rFonts w:ascii="Cambria" w:hAnsi="Cambria"/>
          <w:sz w:val="20"/>
          <w:szCs w:val="20"/>
        </w:rPr>
        <w:t>in</w:t>
      </w:r>
      <w:r w:rsidR="0007744A" w:rsidRPr="00FB36E4">
        <w:rPr>
          <w:rFonts w:ascii="Cambria" w:hAnsi="Cambria"/>
          <w:sz w:val="20"/>
          <w:szCs w:val="20"/>
        </w:rPr>
        <w:t xml:space="preserve"> </w:t>
      </w:r>
      <w:r w:rsidR="00E77D8C" w:rsidRPr="00FB36E4">
        <w:rPr>
          <w:rFonts w:ascii="Cambria" w:hAnsi="Cambria"/>
          <w:sz w:val="20"/>
          <w:szCs w:val="20"/>
        </w:rPr>
        <w:t xml:space="preserve">JFCA 39 </w:t>
      </w:r>
      <w:r w:rsidRPr="00FB36E4">
        <w:rPr>
          <w:rFonts w:ascii="Cambria" w:hAnsi="Cambria"/>
          <w:sz w:val="20"/>
          <w:szCs w:val="20"/>
        </w:rPr>
        <w:t>had been plagued with</w:t>
      </w:r>
      <w:r w:rsidR="0007744A" w:rsidRPr="00FB36E4">
        <w:rPr>
          <w:rFonts w:ascii="Cambria" w:hAnsi="Cambria"/>
          <w:sz w:val="20"/>
          <w:szCs w:val="20"/>
        </w:rPr>
        <w:t xml:space="preserve"> irregul</w:t>
      </w:r>
      <w:r w:rsidRPr="00FB36E4">
        <w:rPr>
          <w:rFonts w:ascii="Cambria" w:hAnsi="Cambria"/>
          <w:sz w:val="20"/>
          <w:szCs w:val="20"/>
        </w:rPr>
        <w:t>arities, such as the loss of Form</w:t>
      </w:r>
      <w:r w:rsidR="0007744A" w:rsidRPr="00FB36E4">
        <w:rPr>
          <w:rFonts w:ascii="Cambria" w:hAnsi="Cambria"/>
          <w:sz w:val="20"/>
          <w:szCs w:val="20"/>
        </w:rPr>
        <w:t xml:space="preserve"> ST7 that qualified the accident as an occupational </w:t>
      </w:r>
      <w:r w:rsidR="007F6021" w:rsidRPr="00FB36E4">
        <w:rPr>
          <w:rFonts w:ascii="Cambria" w:hAnsi="Cambria"/>
          <w:sz w:val="20"/>
          <w:szCs w:val="20"/>
        </w:rPr>
        <w:t>hazard incident and its replacement by</w:t>
      </w:r>
      <w:r w:rsidR="0007744A" w:rsidRPr="00FB36E4">
        <w:rPr>
          <w:rFonts w:ascii="Cambria" w:hAnsi="Cambria"/>
          <w:sz w:val="20"/>
          <w:szCs w:val="20"/>
        </w:rPr>
        <w:t xml:space="preserve"> a form</w:t>
      </w:r>
      <w:r w:rsidR="007F6021" w:rsidRPr="00FB36E4">
        <w:rPr>
          <w:rFonts w:ascii="Cambria" w:hAnsi="Cambria"/>
          <w:sz w:val="20"/>
          <w:szCs w:val="20"/>
        </w:rPr>
        <w:t xml:space="preserve"> characterizing the accident</w:t>
      </w:r>
      <w:r w:rsidR="008E1892" w:rsidRPr="00FB36E4">
        <w:rPr>
          <w:rFonts w:ascii="Cambria" w:hAnsi="Cambria"/>
          <w:sz w:val="20"/>
          <w:szCs w:val="20"/>
        </w:rPr>
        <w:t xml:space="preserve"> as the opposite, which was signed by a person whom the petitioner does not know and who belongs to the </w:t>
      </w:r>
      <w:r w:rsidR="008E1892" w:rsidRPr="00FB36E4">
        <w:rPr>
          <w:rFonts w:asciiTheme="majorHAnsi" w:hAnsiTheme="majorHAnsi"/>
          <w:sz w:val="20"/>
          <w:szCs w:val="20"/>
        </w:rPr>
        <w:t>IMSS of</w:t>
      </w:r>
      <w:r w:rsidR="00F604EC" w:rsidRPr="00FB36E4">
        <w:rPr>
          <w:rFonts w:asciiTheme="majorHAnsi" w:hAnsiTheme="majorHAnsi"/>
          <w:sz w:val="20"/>
          <w:szCs w:val="20"/>
        </w:rPr>
        <w:t xml:space="preserve"> Pachuca de Soto</w:t>
      </w:r>
      <w:r w:rsidR="003B4753" w:rsidRPr="00FB36E4">
        <w:rPr>
          <w:rFonts w:asciiTheme="majorHAnsi" w:hAnsiTheme="majorHAnsi"/>
          <w:sz w:val="20"/>
          <w:szCs w:val="20"/>
        </w:rPr>
        <w:t>,</w:t>
      </w:r>
      <w:r w:rsidR="00F604EC" w:rsidRPr="00FB36E4">
        <w:rPr>
          <w:rFonts w:asciiTheme="majorHAnsi" w:hAnsiTheme="majorHAnsi"/>
          <w:sz w:val="20"/>
          <w:szCs w:val="20"/>
        </w:rPr>
        <w:t xml:space="preserve"> loca</w:t>
      </w:r>
      <w:r w:rsidR="008E1892" w:rsidRPr="00FB36E4">
        <w:rPr>
          <w:rFonts w:asciiTheme="majorHAnsi" w:hAnsiTheme="majorHAnsi"/>
          <w:sz w:val="20"/>
          <w:szCs w:val="20"/>
        </w:rPr>
        <w:t>ted 560 km from the place where he was convalescing</w:t>
      </w:r>
      <w:r w:rsidR="00A15A29" w:rsidRPr="00FB36E4">
        <w:rPr>
          <w:rFonts w:ascii="Cambria" w:hAnsi="Cambria"/>
          <w:sz w:val="20"/>
          <w:szCs w:val="20"/>
        </w:rPr>
        <w:t xml:space="preserve">. </w:t>
      </w:r>
      <w:r w:rsidR="008E1892" w:rsidRPr="00FB36E4">
        <w:rPr>
          <w:rFonts w:ascii="Cambria" w:hAnsi="Cambria"/>
          <w:sz w:val="20"/>
          <w:szCs w:val="20"/>
        </w:rPr>
        <w:t>The petitioner also viewed as highly irregular the fact that the medical expert designated to examine him did not issue her expertise report until more than six years later</w:t>
      </w:r>
      <w:r w:rsidR="002710E4" w:rsidRPr="00FB36E4">
        <w:rPr>
          <w:rFonts w:ascii="Cambria" w:hAnsi="Cambria"/>
          <w:sz w:val="20"/>
          <w:szCs w:val="20"/>
        </w:rPr>
        <w:t>,</w:t>
      </w:r>
      <w:r w:rsidR="008E1892" w:rsidRPr="00FB36E4">
        <w:rPr>
          <w:rFonts w:ascii="Cambria" w:hAnsi="Cambria"/>
          <w:sz w:val="20"/>
          <w:szCs w:val="20"/>
        </w:rPr>
        <w:t xml:space="preserve"> although he had been punctual when showing up for his appointment with her on January 30, 2012, and had provided her with the original medical exams that were required for the diagnosis, and he also had urged her to do so in 2017</w:t>
      </w:r>
      <w:r w:rsidR="00E01149" w:rsidRPr="00FB36E4">
        <w:rPr>
          <w:rFonts w:ascii="Cambria" w:hAnsi="Cambria"/>
          <w:sz w:val="20"/>
          <w:szCs w:val="20"/>
        </w:rPr>
        <w:t xml:space="preserve">. </w:t>
      </w:r>
      <w:r w:rsidR="008E1892" w:rsidRPr="00FB36E4">
        <w:rPr>
          <w:rFonts w:ascii="Cambria" w:hAnsi="Cambria"/>
          <w:sz w:val="20"/>
          <w:szCs w:val="20"/>
        </w:rPr>
        <w:t>Despite all of the above, the expert was not notified, fined, or replaced by the court</w:t>
      </w:r>
      <w:r w:rsidR="00A50F99" w:rsidRPr="00FB36E4">
        <w:rPr>
          <w:rFonts w:ascii="Cambria" w:hAnsi="Cambria"/>
          <w:sz w:val="20"/>
          <w:szCs w:val="20"/>
        </w:rPr>
        <w:t>.</w:t>
      </w:r>
      <w:r w:rsidR="004D57C6" w:rsidRPr="00FB36E4">
        <w:rPr>
          <w:rFonts w:ascii="Cambria" w:hAnsi="Cambria"/>
          <w:sz w:val="20"/>
          <w:szCs w:val="20"/>
        </w:rPr>
        <w:t xml:space="preserve"> </w:t>
      </w:r>
      <w:r w:rsidR="008E1892" w:rsidRPr="00FB36E4">
        <w:rPr>
          <w:rFonts w:ascii="Cambria" w:hAnsi="Cambria"/>
          <w:sz w:val="20"/>
          <w:szCs w:val="20"/>
        </w:rPr>
        <w:t xml:space="preserve">The petitioner provided a copy of the medical expertise that was drawn up on January 8, 2021 in the context of his </w:t>
      </w:r>
      <w:r w:rsidR="00C93ED4" w:rsidRPr="00FB36E4">
        <w:rPr>
          <w:rFonts w:ascii="Cambria" w:hAnsi="Cambria"/>
          <w:sz w:val="20"/>
          <w:szCs w:val="20"/>
        </w:rPr>
        <w:t>worker rights</w:t>
      </w:r>
      <w:r w:rsidR="008E1892" w:rsidRPr="00FB36E4">
        <w:rPr>
          <w:rFonts w:ascii="Cambria" w:hAnsi="Cambria"/>
          <w:sz w:val="20"/>
          <w:szCs w:val="20"/>
        </w:rPr>
        <w:t xml:space="preserve"> complaint, but it does not specify whether or not prior expertise examinations had been conducted previously</w:t>
      </w:r>
      <w:r w:rsidR="00215268" w:rsidRPr="00FB36E4">
        <w:rPr>
          <w:rFonts w:ascii="Cambria" w:hAnsi="Cambria"/>
          <w:sz w:val="20"/>
          <w:szCs w:val="20"/>
        </w:rPr>
        <w:t>.</w:t>
      </w:r>
    </w:p>
    <w:p w14:paraId="59FAA5F6" w14:textId="77777777" w:rsidR="003F2F2D" w:rsidRPr="00FB36E4"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2CB6CCCE" w14:textId="764A566D" w:rsidR="00E77D8C" w:rsidRPr="00FB36E4" w:rsidRDefault="00AC0B84"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B36E4">
        <w:rPr>
          <w:rFonts w:ascii="Cambria" w:hAnsi="Cambria"/>
          <w:sz w:val="20"/>
          <w:szCs w:val="20"/>
        </w:rPr>
        <w:lastRenderedPageBreak/>
        <w:t>Furthermore, the petitioner claimed that the state had not full</w:t>
      </w:r>
      <w:r w:rsidR="00B2542B" w:rsidRPr="00FB36E4">
        <w:rPr>
          <w:rFonts w:ascii="Cambria" w:hAnsi="Cambria"/>
          <w:sz w:val="20"/>
          <w:szCs w:val="20"/>
        </w:rPr>
        <w:t>y complied with the general ill health</w:t>
      </w:r>
      <w:r w:rsidRPr="00FB36E4">
        <w:rPr>
          <w:rFonts w:ascii="Cambria" w:hAnsi="Cambria"/>
          <w:sz w:val="20"/>
          <w:szCs w:val="20"/>
        </w:rPr>
        <w:t xml:space="preserve"> pension that had been granted, because of wh</w:t>
      </w:r>
      <w:r w:rsidR="00C93ED4" w:rsidRPr="00FB36E4">
        <w:rPr>
          <w:rFonts w:ascii="Cambria" w:hAnsi="Cambria"/>
          <w:sz w:val="20"/>
          <w:szCs w:val="20"/>
        </w:rPr>
        <w:t>ich, in 2011, he filed another worker rights</w:t>
      </w:r>
      <w:r w:rsidRPr="00FB36E4">
        <w:rPr>
          <w:rFonts w:ascii="Cambria" w:hAnsi="Cambria"/>
          <w:sz w:val="20"/>
          <w:szCs w:val="20"/>
        </w:rPr>
        <w:t xml:space="preserve"> complaint, which was also</w:t>
      </w:r>
      <w:r w:rsidR="00B2542B" w:rsidRPr="00FB36E4">
        <w:rPr>
          <w:rFonts w:ascii="Cambria" w:hAnsi="Cambria"/>
          <w:sz w:val="20"/>
          <w:szCs w:val="20"/>
        </w:rPr>
        <w:t xml:space="preserve"> delayed</w:t>
      </w:r>
      <w:r w:rsidRPr="00FB36E4">
        <w:rPr>
          <w:rFonts w:ascii="Cambria" w:hAnsi="Cambria"/>
          <w:sz w:val="20"/>
          <w:szCs w:val="20"/>
        </w:rPr>
        <w:t xml:space="preserve"> for more than six years. As al</w:t>
      </w:r>
      <w:r w:rsidR="00C93ED4" w:rsidRPr="00FB36E4">
        <w:rPr>
          <w:rFonts w:ascii="Cambria" w:hAnsi="Cambria"/>
          <w:sz w:val="20"/>
          <w:szCs w:val="20"/>
        </w:rPr>
        <w:t>l</w:t>
      </w:r>
      <w:r w:rsidRPr="00FB36E4">
        <w:rPr>
          <w:rFonts w:ascii="Cambria" w:hAnsi="Cambria"/>
          <w:sz w:val="20"/>
          <w:szCs w:val="20"/>
        </w:rPr>
        <w:t>eged by him, from September 12, 2012 to February 11, 2016, JFCA 37, in charge of his complaint filed for failure to provide him with the general ill</w:t>
      </w:r>
      <w:r w:rsidR="00B2542B" w:rsidRPr="00FB36E4">
        <w:rPr>
          <w:rFonts w:ascii="Cambria" w:hAnsi="Cambria"/>
          <w:sz w:val="20"/>
          <w:szCs w:val="20"/>
        </w:rPr>
        <w:t xml:space="preserve"> health</w:t>
      </w:r>
      <w:r w:rsidRPr="00FB36E4">
        <w:rPr>
          <w:rFonts w:ascii="Cambria" w:hAnsi="Cambria"/>
          <w:sz w:val="20"/>
          <w:szCs w:val="20"/>
        </w:rPr>
        <w:t xml:space="preserve"> pension, </w:t>
      </w:r>
      <w:r w:rsidR="00274EC7" w:rsidRPr="00FB36E4">
        <w:rPr>
          <w:rFonts w:ascii="Cambria" w:hAnsi="Cambria"/>
          <w:sz w:val="20"/>
          <w:szCs w:val="20"/>
        </w:rPr>
        <w:t>filed 10 requests with</w:t>
      </w:r>
      <w:r w:rsidRPr="00FB36E4">
        <w:rPr>
          <w:rFonts w:ascii="Cambria" w:hAnsi="Cambria"/>
          <w:sz w:val="20"/>
          <w:szCs w:val="20"/>
        </w:rPr>
        <w:t xml:space="preserve"> </w:t>
      </w:r>
      <w:r w:rsidR="00713D9C" w:rsidRPr="00FB36E4">
        <w:rPr>
          <w:rFonts w:asciiTheme="majorHAnsi" w:hAnsiTheme="majorHAnsi"/>
          <w:sz w:val="20"/>
          <w:szCs w:val="20"/>
        </w:rPr>
        <w:t xml:space="preserve">JFCA 39 </w:t>
      </w:r>
      <w:r w:rsidRPr="00FB36E4">
        <w:rPr>
          <w:rFonts w:asciiTheme="majorHAnsi" w:hAnsiTheme="majorHAnsi"/>
          <w:sz w:val="20"/>
          <w:szCs w:val="20"/>
        </w:rPr>
        <w:t xml:space="preserve">so that they would notify the </w:t>
      </w:r>
      <w:r w:rsidR="00B2542B" w:rsidRPr="00FB36E4">
        <w:rPr>
          <w:rFonts w:asciiTheme="majorHAnsi" w:hAnsiTheme="majorHAnsi"/>
          <w:sz w:val="20"/>
          <w:szCs w:val="20"/>
        </w:rPr>
        <w:t>CFE’s General Manager as a co-respondent party</w:t>
      </w:r>
      <w:r w:rsidRPr="00FB36E4">
        <w:rPr>
          <w:rFonts w:asciiTheme="majorHAnsi" w:hAnsiTheme="majorHAnsi"/>
          <w:sz w:val="20"/>
          <w:szCs w:val="20"/>
        </w:rPr>
        <w:t xml:space="preserve">. </w:t>
      </w:r>
      <w:r w:rsidR="00274EC7" w:rsidRPr="00FB36E4">
        <w:rPr>
          <w:rFonts w:asciiTheme="majorHAnsi" w:hAnsiTheme="majorHAnsi"/>
          <w:sz w:val="20"/>
          <w:szCs w:val="20"/>
        </w:rPr>
        <w:t>The petitioner</w:t>
      </w:r>
      <w:r w:rsidRPr="00FB36E4">
        <w:rPr>
          <w:rFonts w:asciiTheme="majorHAnsi" w:hAnsiTheme="majorHAnsi"/>
          <w:sz w:val="20"/>
          <w:szCs w:val="20"/>
        </w:rPr>
        <w:t xml:space="preserve"> contended that </w:t>
      </w:r>
      <w:r w:rsidR="00713D9C" w:rsidRPr="00FB36E4">
        <w:rPr>
          <w:rFonts w:asciiTheme="majorHAnsi" w:hAnsiTheme="majorHAnsi"/>
          <w:sz w:val="20"/>
          <w:szCs w:val="20"/>
        </w:rPr>
        <w:t xml:space="preserve">JFCA 39 </w:t>
      </w:r>
      <w:r w:rsidRPr="00FB36E4">
        <w:rPr>
          <w:rFonts w:asciiTheme="majorHAnsi" w:hAnsiTheme="majorHAnsi"/>
          <w:sz w:val="20"/>
          <w:szCs w:val="20"/>
        </w:rPr>
        <w:t>failed to take these re</w:t>
      </w:r>
      <w:r w:rsidR="00B2542B" w:rsidRPr="00FB36E4">
        <w:rPr>
          <w:rFonts w:asciiTheme="majorHAnsi" w:hAnsiTheme="majorHAnsi"/>
          <w:sz w:val="20"/>
          <w:szCs w:val="20"/>
        </w:rPr>
        <w:t>quests</w:t>
      </w:r>
      <w:r w:rsidRPr="00FB36E4">
        <w:rPr>
          <w:rFonts w:asciiTheme="majorHAnsi" w:hAnsiTheme="majorHAnsi"/>
          <w:sz w:val="20"/>
          <w:szCs w:val="20"/>
        </w:rPr>
        <w:t xml:space="preserve"> into account and brought the proceedings to a stand</w:t>
      </w:r>
      <w:r w:rsidR="00B2542B" w:rsidRPr="00FB36E4">
        <w:rPr>
          <w:rFonts w:asciiTheme="majorHAnsi" w:hAnsiTheme="majorHAnsi"/>
          <w:sz w:val="20"/>
          <w:szCs w:val="20"/>
        </w:rPr>
        <w:t>still until said manager retire</w:t>
      </w:r>
      <w:r w:rsidRPr="00FB36E4">
        <w:rPr>
          <w:rFonts w:asciiTheme="majorHAnsi" w:hAnsiTheme="majorHAnsi"/>
          <w:sz w:val="20"/>
          <w:szCs w:val="20"/>
        </w:rPr>
        <w:t>d</w:t>
      </w:r>
      <w:r w:rsidR="00B2542B" w:rsidRPr="00FB36E4">
        <w:rPr>
          <w:rFonts w:asciiTheme="majorHAnsi" w:hAnsiTheme="majorHAnsi"/>
          <w:sz w:val="20"/>
          <w:szCs w:val="20"/>
        </w:rPr>
        <w:t xml:space="preserve"> </w:t>
      </w:r>
      <w:r w:rsidR="00274EC7" w:rsidRPr="00FB36E4">
        <w:rPr>
          <w:rFonts w:asciiTheme="majorHAnsi" w:hAnsiTheme="majorHAnsi"/>
          <w:sz w:val="20"/>
          <w:szCs w:val="20"/>
        </w:rPr>
        <w:t>on April 28, 2016. It then passed on to the plaintiff the responsibility for</w:t>
      </w:r>
      <w:r w:rsidRPr="00FB36E4">
        <w:rPr>
          <w:rFonts w:asciiTheme="majorHAnsi" w:hAnsiTheme="majorHAnsi"/>
          <w:sz w:val="20"/>
          <w:szCs w:val="20"/>
        </w:rPr>
        <w:t xml:space="preserve"> looking for </w:t>
      </w:r>
      <w:r w:rsidR="00274EC7" w:rsidRPr="00FB36E4">
        <w:rPr>
          <w:rFonts w:asciiTheme="majorHAnsi" w:hAnsiTheme="majorHAnsi"/>
          <w:sz w:val="20"/>
          <w:szCs w:val="20"/>
        </w:rPr>
        <w:t>the manager throughout</w:t>
      </w:r>
      <w:r w:rsidRPr="00FB36E4">
        <w:rPr>
          <w:rFonts w:asciiTheme="majorHAnsi" w:hAnsiTheme="majorHAnsi"/>
          <w:sz w:val="20"/>
          <w:szCs w:val="20"/>
        </w:rPr>
        <w:t xml:space="preserve"> the country so that he could be notified. The petitioner argued that all of this highlights the </w:t>
      </w:r>
      <w:r w:rsidR="00274EC7" w:rsidRPr="00FB36E4">
        <w:rPr>
          <w:rFonts w:asciiTheme="majorHAnsi" w:hAnsiTheme="majorHAnsi"/>
          <w:sz w:val="20"/>
          <w:szCs w:val="20"/>
        </w:rPr>
        <w:t xml:space="preserve">bias of </w:t>
      </w:r>
      <w:r w:rsidRPr="00FB36E4">
        <w:rPr>
          <w:rFonts w:asciiTheme="majorHAnsi" w:hAnsiTheme="majorHAnsi"/>
          <w:sz w:val="20"/>
          <w:szCs w:val="20"/>
        </w:rPr>
        <w:t>J</w:t>
      </w:r>
      <w:r w:rsidR="00713D9C" w:rsidRPr="00FB36E4">
        <w:rPr>
          <w:rFonts w:asciiTheme="majorHAnsi" w:hAnsiTheme="majorHAnsi"/>
          <w:sz w:val="20"/>
          <w:szCs w:val="20"/>
        </w:rPr>
        <w:t xml:space="preserve">FCA 39 </w:t>
      </w:r>
      <w:r w:rsidR="00274EC7" w:rsidRPr="00FB36E4">
        <w:rPr>
          <w:rFonts w:asciiTheme="majorHAnsi" w:hAnsiTheme="majorHAnsi"/>
          <w:sz w:val="20"/>
          <w:szCs w:val="20"/>
        </w:rPr>
        <w:t xml:space="preserve">in favor of </w:t>
      </w:r>
      <w:r w:rsidRPr="00FB36E4">
        <w:rPr>
          <w:rFonts w:asciiTheme="majorHAnsi" w:hAnsiTheme="majorHAnsi"/>
          <w:sz w:val="20"/>
          <w:szCs w:val="20"/>
        </w:rPr>
        <w:t>the CFE</w:t>
      </w:r>
      <w:r w:rsidR="00713D9C" w:rsidRPr="00FB36E4">
        <w:rPr>
          <w:rFonts w:asciiTheme="majorHAnsi" w:hAnsiTheme="majorHAnsi"/>
          <w:sz w:val="20"/>
          <w:szCs w:val="20"/>
        </w:rPr>
        <w:t xml:space="preserve">. </w:t>
      </w:r>
      <w:r w:rsidRPr="00FB36E4">
        <w:rPr>
          <w:rFonts w:asciiTheme="majorHAnsi" w:hAnsiTheme="majorHAnsi"/>
          <w:sz w:val="20"/>
          <w:szCs w:val="20"/>
        </w:rPr>
        <w:t>In his latest communication, on November</w:t>
      </w:r>
      <w:r w:rsidR="00274EC7" w:rsidRPr="00FB36E4">
        <w:rPr>
          <w:rFonts w:asciiTheme="majorHAnsi" w:hAnsiTheme="majorHAnsi"/>
          <w:sz w:val="20"/>
          <w:szCs w:val="20"/>
        </w:rPr>
        <w:t xml:space="preserve"> 30</w:t>
      </w:r>
      <w:r w:rsidRPr="00FB36E4">
        <w:rPr>
          <w:rFonts w:asciiTheme="majorHAnsi" w:hAnsiTheme="majorHAnsi"/>
          <w:sz w:val="20"/>
          <w:szCs w:val="20"/>
        </w:rPr>
        <w:t>, 2021, the petitioner provided documentation indicat</w:t>
      </w:r>
      <w:r w:rsidR="00274EC7" w:rsidRPr="00FB36E4">
        <w:rPr>
          <w:rFonts w:asciiTheme="majorHAnsi" w:hAnsiTheme="majorHAnsi"/>
          <w:sz w:val="20"/>
          <w:szCs w:val="20"/>
        </w:rPr>
        <w:t>ing</w:t>
      </w:r>
      <w:r w:rsidRPr="00FB36E4">
        <w:rPr>
          <w:rFonts w:asciiTheme="majorHAnsi" w:hAnsiTheme="majorHAnsi"/>
          <w:sz w:val="20"/>
          <w:szCs w:val="20"/>
        </w:rPr>
        <w:t xml:space="preserve"> that the second complaint was </w:t>
      </w:r>
      <w:r w:rsidR="00C93ED4" w:rsidRPr="00FB36E4">
        <w:rPr>
          <w:rFonts w:asciiTheme="majorHAnsi" w:hAnsiTheme="majorHAnsi"/>
          <w:sz w:val="20"/>
          <w:szCs w:val="20"/>
        </w:rPr>
        <w:t>consolidated</w:t>
      </w:r>
      <w:r w:rsidRPr="00FB36E4">
        <w:rPr>
          <w:rFonts w:asciiTheme="majorHAnsi" w:hAnsiTheme="majorHAnsi"/>
          <w:sz w:val="20"/>
          <w:szCs w:val="20"/>
        </w:rPr>
        <w:t xml:space="preserve"> with the proceedings involving the first complaint and that a hearing was held on November 19, 2021 in the proceedings for both complaints, which are still under way</w:t>
      </w:r>
      <w:r w:rsidR="000B3520" w:rsidRPr="00FB36E4">
        <w:rPr>
          <w:rFonts w:ascii="Cambria" w:hAnsi="Cambria"/>
          <w:sz w:val="20"/>
          <w:szCs w:val="20"/>
        </w:rPr>
        <w:t xml:space="preserve">. </w:t>
      </w:r>
    </w:p>
    <w:p w14:paraId="1361E977" w14:textId="77777777" w:rsidR="003F2F2D" w:rsidRPr="00FB36E4"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rPr>
      </w:pPr>
    </w:p>
    <w:p w14:paraId="05DC69E1" w14:textId="34D36383" w:rsidR="000A5164" w:rsidRPr="00FB36E4" w:rsidRDefault="00CB0E67"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rPr>
      </w:pPr>
      <w:r w:rsidRPr="00FB36E4">
        <w:rPr>
          <w:rFonts w:ascii="Cambria" w:hAnsi="Cambria"/>
          <w:sz w:val="20"/>
          <w:szCs w:val="20"/>
        </w:rPr>
        <w:t xml:space="preserve">The petitioner stated that he filed a petition with the Inter-American Commission because of the time that had elapsed without the </w:t>
      </w:r>
      <w:r w:rsidR="00B2542B" w:rsidRPr="00FB36E4">
        <w:rPr>
          <w:rFonts w:ascii="Cambria" w:hAnsi="Cambria"/>
          <w:sz w:val="20"/>
          <w:szCs w:val="20"/>
        </w:rPr>
        <w:t xml:space="preserve">competent </w:t>
      </w:r>
      <w:r w:rsidRPr="00FB36E4">
        <w:rPr>
          <w:rFonts w:ascii="Cambria" w:hAnsi="Cambria"/>
          <w:sz w:val="20"/>
          <w:szCs w:val="20"/>
        </w:rPr>
        <w:t xml:space="preserve">authorities </w:t>
      </w:r>
      <w:r w:rsidR="00B2542B" w:rsidRPr="00FB36E4">
        <w:rPr>
          <w:rFonts w:ascii="Cambria" w:hAnsi="Cambria"/>
          <w:sz w:val="20"/>
          <w:szCs w:val="20"/>
        </w:rPr>
        <w:t>deciding on</w:t>
      </w:r>
      <w:r w:rsidRPr="00FB36E4">
        <w:rPr>
          <w:rFonts w:ascii="Cambria" w:hAnsi="Cambria"/>
          <w:sz w:val="20"/>
          <w:szCs w:val="20"/>
        </w:rPr>
        <w:t xml:space="preserve"> or completing the examination of the evidence required to </w:t>
      </w:r>
      <w:r w:rsidR="00C93ED4" w:rsidRPr="00FB36E4">
        <w:rPr>
          <w:rFonts w:ascii="Cambria" w:hAnsi="Cambria"/>
          <w:sz w:val="20"/>
          <w:szCs w:val="20"/>
        </w:rPr>
        <w:t>render</w:t>
      </w:r>
      <w:r w:rsidRPr="00FB36E4">
        <w:rPr>
          <w:rFonts w:ascii="Cambria" w:hAnsi="Cambria"/>
          <w:sz w:val="20"/>
          <w:szCs w:val="20"/>
        </w:rPr>
        <w:t xml:space="preserve"> a judgment on the complaint filed on September 25, 2009. He underscored that he has met all the requirements that JFCA 39 has requested, including the provision of the medical </w:t>
      </w:r>
      <w:r w:rsidR="00B2542B" w:rsidRPr="00FB36E4">
        <w:rPr>
          <w:rFonts w:ascii="Cambria" w:hAnsi="Cambria"/>
          <w:sz w:val="20"/>
          <w:szCs w:val="20"/>
        </w:rPr>
        <w:t>tests</w:t>
      </w:r>
      <w:r w:rsidRPr="00FB36E4">
        <w:rPr>
          <w:rFonts w:ascii="Cambria" w:hAnsi="Cambria"/>
          <w:sz w:val="20"/>
          <w:szCs w:val="20"/>
        </w:rPr>
        <w:t xml:space="preserve"> that were requested</w:t>
      </w:r>
      <w:r w:rsidR="00215268" w:rsidRPr="00FB36E4">
        <w:rPr>
          <w:rFonts w:ascii="Cambria" w:hAnsi="Cambria"/>
          <w:sz w:val="20"/>
          <w:szCs w:val="20"/>
        </w:rPr>
        <w:t xml:space="preserve">. </w:t>
      </w:r>
    </w:p>
    <w:p w14:paraId="53ECFA97" w14:textId="77777777" w:rsidR="003F2F2D" w:rsidRPr="00FB36E4"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rPr>
      </w:pPr>
    </w:p>
    <w:p w14:paraId="027A427F" w14:textId="2640AC61" w:rsidR="00655FE3" w:rsidRPr="00FB36E4" w:rsidRDefault="00CB0E67"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rPr>
      </w:pPr>
      <w:r w:rsidRPr="00FB36E4">
        <w:rPr>
          <w:rFonts w:ascii="Cambria" w:hAnsi="Cambria"/>
          <w:sz w:val="20"/>
          <w:szCs w:val="20"/>
        </w:rPr>
        <w:t>The petitioner also alleged that he was unable to file a motion of appeal or review with respect to Form ST7</w:t>
      </w:r>
      <w:r w:rsidR="00107AB6" w:rsidRPr="00FB36E4">
        <w:rPr>
          <w:rFonts w:ascii="Cambria" w:hAnsi="Cambria"/>
          <w:sz w:val="20"/>
          <w:szCs w:val="20"/>
        </w:rPr>
        <w:t>,</w:t>
      </w:r>
      <w:r w:rsidRPr="00FB36E4">
        <w:rPr>
          <w:rFonts w:ascii="Cambria" w:hAnsi="Cambria"/>
          <w:sz w:val="20"/>
          <w:szCs w:val="20"/>
        </w:rPr>
        <w:t xml:space="preserve"> w</w:t>
      </w:r>
      <w:r w:rsidR="009037A7" w:rsidRPr="00FB36E4">
        <w:rPr>
          <w:rFonts w:ascii="Cambria" w:hAnsi="Cambria"/>
          <w:sz w:val="20"/>
          <w:szCs w:val="20"/>
        </w:rPr>
        <w:t>hich qualifies</w:t>
      </w:r>
      <w:r w:rsidRPr="00FB36E4">
        <w:rPr>
          <w:rFonts w:ascii="Cambria" w:hAnsi="Cambria"/>
          <w:sz w:val="20"/>
          <w:szCs w:val="20"/>
        </w:rPr>
        <w:t xml:space="preserve"> his </w:t>
      </w:r>
      <w:r w:rsidR="007E2140" w:rsidRPr="00FB36E4">
        <w:rPr>
          <w:rFonts w:ascii="Cambria" w:hAnsi="Cambria"/>
          <w:sz w:val="20"/>
          <w:szCs w:val="20"/>
        </w:rPr>
        <w:t xml:space="preserve">health </w:t>
      </w:r>
      <w:r w:rsidRPr="00FB36E4">
        <w:rPr>
          <w:rFonts w:ascii="Cambria" w:hAnsi="Cambria"/>
          <w:sz w:val="20"/>
          <w:szCs w:val="20"/>
        </w:rPr>
        <w:t>status as “not work-related</w:t>
      </w:r>
      <w:r w:rsidR="00107AB6" w:rsidRPr="00FB36E4">
        <w:rPr>
          <w:rFonts w:ascii="Cambria" w:hAnsi="Cambria"/>
          <w:sz w:val="20"/>
          <w:szCs w:val="20"/>
        </w:rPr>
        <w:t>,</w:t>
      </w:r>
      <w:r w:rsidRPr="00FB36E4">
        <w:rPr>
          <w:rFonts w:ascii="Cambria" w:hAnsi="Cambria"/>
          <w:sz w:val="20"/>
          <w:szCs w:val="20"/>
        </w:rPr>
        <w:t>” because the s</w:t>
      </w:r>
      <w:r w:rsidR="00107AB6" w:rsidRPr="00FB36E4">
        <w:rPr>
          <w:rFonts w:ascii="Cambria" w:hAnsi="Cambria"/>
          <w:sz w:val="20"/>
          <w:szCs w:val="20"/>
        </w:rPr>
        <w:t>tate “disappeared”</w:t>
      </w:r>
      <w:r w:rsidR="00175881" w:rsidRPr="00FB36E4">
        <w:rPr>
          <w:rFonts w:ascii="Cambria" w:hAnsi="Cambria"/>
          <w:sz w:val="20"/>
          <w:szCs w:val="20"/>
        </w:rPr>
        <w:t xml:space="preserve"> the original form corre</w:t>
      </w:r>
      <w:r w:rsidR="00107AB6" w:rsidRPr="00FB36E4">
        <w:rPr>
          <w:rFonts w:ascii="Cambria" w:hAnsi="Cambria"/>
          <w:sz w:val="20"/>
          <w:szCs w:val="20"/>
        </w:rPr>
        <w:t>ctly specifying his true status</w:t>
      </w:r>
      <w:r w:rsidR="00B2542B" w:rsidRPr="00FB36E4">
        <w:rPr>
          <w:rFonts w:ascii="Cambria" w:hAnsi="Cambria"/>
          <w:sz w:val="20"/>
          <w:szCs w:val="20"/>
        </w:rPr>
        <w:t>,</w:t>
      </w:r>
      <w:r w:rsidR="00175881" w:rsidRPr="00FB36E4">
        <w:rPr>
          <w:rFonts w:ascii="Cambria" w:hAnsi="Cambria"/>
          <w:sz w:val="20"/>
          <w:szCs w:val="20"/>
        </w:rPr>
        <w:t xml:space="preserve"> and he was never formally notified about the second form. Regarding the second Form ST7, he contended that he has not had access to the </w:t>
      </w:r>
      <w:r w:rsidR="00B2542B" w:rsidRPr="00FB36E4">
        <w:rPr>
          <w:rFonts w:ascii="Cambria" w:hAnsi="Cambria"/>
          <w:sz w:val="20"/>
          <w:szCs w:val="20"/>
        </w:rPr>
        <w:t>document’s original, only mere</w:t>
      </w:r>
      <w:r w:rsidR="00175881" w:rsidRPr="00FB36E4">
        <w:rPr>
          <w:rFonts w:ascii="Cambria" w:hAnsi="Cambria"/>
          <w:sz w:val="20"/>
          <w:szCs w:val="20"/>
        </w:rPr>
        <w:t xml:space="preserve"> copies that are not officially valid according to the applicable statutes</w:t>
      </w:r>
      <w:r w:rsidR="00713D9C" w:rsidRPr="00FB36E4">
        <w:rPr>
          <w:rFonts w:asciiTheme="majorHAnsi" w:hAnsiTheme="majorHAnsi"/>
          <w:sz w:val="20"/>
          <w:szCs w:val="20"/>
        </w:rPr>
        <w:t xml:space="preserve">. </w:t>
      </w:r>
      <w:r w:rsidR="00175881" w:rsidRPr="00FB36E4">
        <w:rPr>
          <w:rFonts w:asciiTheme="majorHAnsi" w:hAnsiTheme="majorHAnsi"/>
          <w:sz w:val="20"/>
          <w:szCs w:val="20"/>
        </w:rPr>
        <w:t>He added that, in the copy of the document, there is a signature of receipt supposedly by his spo</w:t>
      </w:r>
      <w:r w:rsidR="00B2542B" w:rsidRPr="00FB36E4">
        <w:rPr>
          <w:rFonts w:asciiTheme="majorHAnsi" w:hAnsiTheme="majorHAnsi"/>
          <w:sz w:val="20"/>
          <w:szCs w:val="20"/>
        </w:rPr>
        <w:t>use, but he argued that it wa</w:t>
      </w:r>
      <w:r w:rsidR="00107AB6" w:rsidRPr="00FB36E4">
        <w:rPr>
          <w:rFonts w:asciiTheme="majorHAnsi" w:hAnsiTheme="majorHAnsi"/>
          <w:sz w:val="20"/>
          <w:szCs w:val="20"/>
        </w:rPr>
        <w:t>s a forgery</w:t>
      </w:r>
      <w:r w:rsidR="00175881" w:rsidRPr="00FB36E4">
        <w:rPr>
          <w:rFonts w:asciiTheme="majorHAnsi" w:hAnsiTheme="majorHAnsi"/>
          <w:sz w:val="20"/>
          <w:szCs w:val="20"/>
        </w:rPr>
        <w:t xml:space="preserve"> because it d</w:t>
      </w:r>
      <w:r w:rsidR="00B2542B" w:rsidRPr="00FB36E4">
        <w:rPr>
          <w:rFonts w:asciiTheme="majorHAnsi" w:hAnsiTheme="majorHAnsi"/>
          <w:sz w:val="20"/>
          <w:szCs w:val="20"/>
        </w:rPr>
        <w:t>id</w:t>
      </w:r>
      <w:r w:rsidR="00175881" w:rsidRPr="00FB36E4">
        <w:rPr>
          <w:rFonts w:asciiTheme="majorHAnsi" w:hAnsiTheme="majorHAnsi"/>
          <w:sz w:val="20"/>
          <w:szCs w:val="20"/>
        </w:rPr>
        <w:t xml:space="preserve"> not match her signature on her identity card. He also indicated that, in any case, it would not be valid because his spouse does not act as his legal representative and is therefore not autho</w:t>
      </w:r>
      <w:r w:rsidR="00107AB6" w:rsidRPr="00FB36E4">
        <w:rPr>
          <w:rFonts w:asciiTheme="majorHAnsi" w:hAnsiTheme="majorHAnsi"/>
          <w:sz w:val="20"/>
          <w:szCs w:val="20"/>
        </w:rPr>
        <w:t>rized to receive notifications o</w:t>
      </w:r>
      <w:r w:rsidR="00175881" w:rsidRPr="00FB36E4">
        <w:rPr>
          <w:rFonts w:asciiTheme="majorHAnsi" w:hAnsiTheme="majorHAnsi"/>
          <w:sz w:val="20"/>
          <w:szCs w:val="20"/>
        </w:rPr>
        <w:t>n his behalf</w:t>
      </w:r>
      <w:r w:rsidR="00713D9C" w:rsidRPr="00FB36E4">
        <w:rPr>
          <w:rFonts w:asciiTheme="majorHAnsi" w:hAnsiTheme="majorHAnsi"/>
          <w:sz w:val="20"/>
          <w:szCs w:val="20"/>
        </w:rPr>
        <w:t>.</w:t>
      </w:r>
      <w:r w:rsidR="00655FE3" w:rsidRPr="00FB36E4">
        <w:rPr>
          <w:rFonts w:ascii="Cambria" w:hAnsi="Cambria"/>
          <w:sz w:val="20"/>
          <w:szCs w:val="20"/>
        </w:rPr>
        <w:t xml:space="preserve"> </w:t>
      </w:r>
    </w:p>
    <w:p w14:paraId="1D2D5ECB" w14:textId="77777777" w:rsidR="003F2F2D" w:rsidRPr="00FB36E4"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547946C2" w14:textId="52E9214F" w:rsidR="00655FE3" w:rsidRPr="00FB36E4" w:rsidRDefault="00175881"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B36E4">
        <w:rPr>
          <w:rFonts w:ascii="Cambria" w:hAnsi="Cambria"/>
          <w:sz w:val="20"/>
          <w:szCs w:val="20"/>
        </w:rPr>
        <w:t>The state, however, pointed out that, on October 13, 2008, the petitioner went to a social security hospital because he had headaches and dizziness and requested a pension, which was granted to him for general ill</w:t>
      </w:r>
      <w:r w:rsidR="00E116C3" w:rsidRPr="00FB36E4">
        <w:rPr>
          <w:rFonts w:ascii="Cambria" w:hAnsi="Cambria"/>
          <w:sz w:val="20"/>
          <w:szCs w:val="20"/>
        </w:rPr>
        <w:t xml:space="preserve"> health</w:t>
      </w:r>
      <w:r w:rsidRPr="00FB36E4">
        <w:rPr>
          <w:rFonts w:ascii="Cambria" w:hAnsi="Cambria"/>
          <w:sz w:val="20"/>
          <w:szCs w:val="20"/>
        </w:rPr>
        <w:t>, because it was ascertained that he presented severe clinical depression that prevented him from carrying out work</w:t>
      </w:r>
      <w:r w:rsidR="00E116C3" w:rsidRPr="00FB36E4">
        <w:rPr>
          <w:rFonts w:ascii="Cambria" w:hAnsi="Cambria"/>
          <w:sz w:val="20"/>
          <w:szCs w:val="20"/>
        </w:rPr>
        <w:t>-related</w:t>
      </w:r>
      <w:r w:rsidRPr="00FB36E4">
        <w:rPr>
          <w:rFonts w:ascii="Cambria" w:hAnsi="Cambria"/>
          <w:sz w:val="20"/>
          <w:szCs w:val="20"/>
        </w:rPr>
        <w:t xml:space="preserve"> activities</w:t>
      </w:r>
      <w:r w:rsidR="00830A12" w:rsidRPr="00FB36E4">
        <w:rPr>
          <w:rFonts w:ascii="Cambria" w:hAnsi="Cambria"/>
          <w:sz w:val="20"/>
          <w:szCs w:val="20"/>
        </w:rPr>
        <w:t xml:space="preserve">. </w:t>
      </w:r>
      <w:r w:rsidRPr="00FB36E4">
        <w:rPr>
          <w:rFonts w:ascii="Cambria" w:hAnsi="Cambria"/>
          <w:sz w:val="20"/>
          <w:szCs w:val="20"/>
        </w:rPr>
        <w:t>Afterwards, in January 2009, the petitioner request</w:t>
      </w:r>
      <w:r w:rsidR="009307FA" w:rsidRPr="00FB36E4">
        <w:rPr>
          <w:rFonts w:ascii="Cambria" w:hAnsi="Cambria"/>
          <w:sz w:val="20"/>
          <w:szCs w:val="20"/>
        </w:rPr>
        <w:t>ed</w:t>
      </w:r>
      <w:r w:rsidRPr="00FB36E4">
        <w:rPr>
          <w:rFonts w:ascii="Cambria" w:hAnsi="Cambria"/>
          <w:sz w:val="20"/>
          <w:szCs w:val="20"/>
        </w:rPr>
        <w:t xml:space="preserve"> an additional occupational </w:t>
      </w:r>
      <w:r w:rsidR="00E116C3" w:rsidRPr="00FB36E4">
        <w:rPr>
          <w:rFonts w:ascii="Cambria" w:hAnsi="Cambria"/>
          <w:sz w:val="20"/>
          <w:szCs w:val="20"/>
        </w:rPr>
        <w:t>hazard</w:t>
      </w:r>
      <w:r w:rsidR="009307FA" w:rsidRPr="00FB36E4">
        <w:rPr>
          <w:rFonts w:ascii="Cambria" w:hAnsi="Cambria"/>
          <w:sz w:val="20"/>
          <w:szCs w:val="20"/>
        </w:rPr>
        <w:t xml:space="preserve"> </w:t>
      </w:r>
      <w:r w:rsidR="00E116C3" w:rsidRPr="00FB36E4">
        <w:rPr>
          <w:rFonts w:ascii="Cambria" w:hAnsi="Cambria"/>
          <w:sz w:val="20"/>
          <w:szCs w:val="20"/>
        </w:rPr>
        <w:t>compensation</w:t>
      </w:r>
      <w:r w:rsidRPr="00FB36E4">
        <w:rPr>
          <w:rFonts w:ascii="Cambria" w:hAnsi="Cambria"/>
          <w:sz w:val="20"/>
          <w:szCs w:val="20"/>
        </w:rPr>
        <w:t>, which the IMSS ruled inadmissible, because</w:t>
      </w:r>
      <w:r w:rsidR="009307FA" w:rsidRPr="00FB36E4">
        <w:rPr>
          <w:rFonts w:ascii="Cambria" w:hAnsi="Cambria"/>
          <w:sz w:val="20"/>
          <w:szCs w:val="20"/>
        </w:rPr>
        <w:t xml:space="preserve"> it had not been able to establish</w:t>
      </w:r>
      <w:r w:rsidRPr="00FB36E4">
        <w:rPr>
          <w:rFonts w:ascii="Cambria" w:hAnsi="Cambria"/>
          <w:sz w:val="20"/>
          <w:szCs w:val="20"/>
        </w:rPr>
        <w:t xml:space="preserve"> the cause-and-effect</w:t>
      </w:r>
      <w:r w:rsidR="009307FA" w:rsidRPr="00FB36E4">
        <w:rPr>
          <w:rFonts w:ascii="Cambria" w:hAnsi="Cambria"/>
          <w:sz w:val="20"/>
          <w:szCs w:val="20"/>
        </w:rPr>
        <w:t xml:space="preserve"> relationship</w:t>
      </w:r>
      <w:r w:rsidR="00E116C3" w:rsidRPr="00FB36E4">
        <w:rPr>
          <w:rFonts w:ascii="Cambria" w:hAnsi="Cambria"/>
          <w:sz w:val="20"/>
          <w:szCs w:val="20"/>
        </w:rPr>
        <w:t xml:space="preserve"> between his ailments</w:t>
      </w:r>
      <w:r w:rsidRPr="00FB36E4">
        <w:rPr>
          <w:rFonts w:ascii="Cambria" w:hAnsi="Cambria"/>
          <w:sz w:val="20"/>
          <w:szCs w:val="20"/>
        </w:rPr>
        <w:t xml:space="preserve"> and the accident sustained</w:t>
      </w:r>
      <w:r w:rsidR="009307FA" w:rsidRPr="00FB36E4">
        <w:rPr>
          <w:rFonts w:ascii="Cambria" w:hAnsi="Cambria"/>
          <w:sz w:val="20"/>
          <w:szCs w:val="20"/>
        </w:rPr>
        <w:t xml:space="preserve">. It indicated </w:t>
      </w:r>
      <w:r w:rsidR="00E116C3" w:rsidRPr="00FB36E4">
        <w:rPr>
          <w:rFonts w:ascii="Cambria" w:hAnsi="Cambria"/>
          <w:sz w:val="20"/>
          <w:szCs w:val="20"/>
        </w:rPr>
        <w:t xml:space="preserve">that the petitioner had </w:t>
      </w:r>
      <w:r w:rsidR="009307FA" w:rsidRPr="00FB36E4">
        <w:rPr>
          <w:rFonts w:ascii="Cambria" w:hAnsi="Cambria"/>
          <w:sz w:val="20"/>
          <w:szCs w:val="20"/>
        </w:rPr>
        <w:t>subsequently</w:t>
      </w:r>
      <w:r w:rsidR="00E116C3" w:rsidRPr="00FB36E4">
        <w:rPr>
          <w:rFonts w:ascii="Cambria" w:hAnsi="Cambria"/>
          <w:sz w:val="20"/>
          <w:szCs w:val="20"/>
        </w:rPr>
        <w:t xml:space="preserve"> requested, using For</w:t>
      </w:r>
      <w:r w:rsidR="009307FA" w:rsidRPr="00FB36E4">
        <w:rPr>
          <w:rFonts w:ascii="Cambria" w:hAnsi="Cambria"/>
          <w:sz w:val="20"/>
          <w:szCs w:val="20"/>
        </w:rPr>
        <w:t>m ST7, the occupation</w:t>
      </w:r>
      <w:r w:rsidR="00E116C3" w:rsidRPr="00FB36E4">
        <w:rPr>
          <w:rFonts w:ascii="Cambria" w:hAnsi="Cambria"/>
          <w:sz w:val="20"/>
          <w:szCs w:val="20"/>
        </w:rPr>
        <w:t>al</w:t>
      </w:r>
      <w:r w:rsidR="009307FA" w:rsidRPr="00FB36E4">
        <w:rPr>
          <w:rFonts w:ascii="Cambria" w:hAnsi="Cambria"/>
          <w:sz w:val="20"/>
          <w:szCs w:val="20"/>
        </w:rPr>
        <w:t xml:space="preserve"> hazard status with the corresponding compensation</w:t>
      </w:r>
      <w:r w:rsidR="00AA1177" w:rsidRPr="00FB36E4">
        <w:rPr>
          <w:rFonts w:ascii="Cambria" w:hAnsi="Cambria"/>
          <w:sz w:val="20"/>
          <w:szCs w:val="20"/>
        </w:rPr>
        <w:t>,</w:t>
      </w:r>
      <w:r w:rsidR="009307FA" w:rsidRPr="00FB36E4">
        <w:rPr>
          <w:rFonts w:ascii="Cambria" w:hAnsi="Cambria"/>
          <w:sz w:val="20"/>
          <w:szCs w:val="20"/>
        </w:rPr>
        <w:t xml:space="preserve"> which was once again ruled inadmissible</w:t>
      </w:r>
      <w:r w:rsidR="00E116C3" w:rsidRPr="00FB36E4">
        <w:rPr>
          <w:rFonts w:ascii="Cambria" w:hAnsi="Cambria"/>
          <w:sz w:val="20"/>
          <w:szCs w:val="20"/>
        </w:rPr>
        <w:t xml:space="preserve"> because</w:t>
      </w:r>
      <w:r w:rsidR="009307FA" w:rsidRPr="00FB36E4">
        <w:rPr>
          <w:rFonts w:ascii="Cambria" w:hAnsi="Cambria"/>
          <w:sz w:val="20"/>
          <w:szCs w:val="20"/>
        </w:rPr>
        <w:t xml:space="preserve"> the Family</w:t>
      </w:r>
      <w:r w:rsidR="00E116C3" w:rsidRPr="00FB36E4">
        <w:rPr>
          <w:rFonts w:ascii="Cambria" w:hAnsi="Cambria"/>
          <w:sz w:val="20"/>
          <w:szCs w:val="20"/>
        </w:rPr>
        <w:t xml:space="preserve"> Medical</w:t>
      </w:r>
      <w:r w:rsidR="009307FA" w:rsidRPr="00FB36E4">
        <w:rPr>
          <w:rFonts w:ascii="Cambria" w:hAnsi="Cambria"/>
          <w:sz w:val="20"/>
          <w:szCs w:val="20"/>
        </w:rPr>
        <w:t xml:space="preserve"> Unit qualified the case as “not work-related.” In the view of the state, the petitioner is not unprotected, because he is receiving a general ill</w:t>
      </w:r>
      <w:r w:rsidR="00E116C3" w:rsidRPr="00FB36E4">
        <w:rPr>
          <w:rFonts w:ascii="Cambria" w:hAnsi="Cambria"/>
          <w:sz w:val="20"/>
          <w:szCs w:val="20"/>
        </w:rPr>
        <w:t xml:space="preserve"> health</w:t>
      </w:r>
      <w:r w:rsidR="009307FA" w:rsidRPr="00FB36E4">
        <w:rPr>
          <w:rFonts w:ascii="Cambria" w:hAnsi="Cambria"/>
          <w:sz w:val="20"/>
          <w:szCs w:val="20"/>
        </w:rPr>
        <w:t xml:space="preserve"> pension and being supplied with the medicines he needs. Therefore, it considers that he has opted to label certain rulings or proceedings as violating his rights simply because they were contrary to his claims</w:t>
      </w:r>
      <w:r w:rsidR="00A57721" w:rsidRPr="00FB36E4">
        <w:rPr>
          <w:rFonts w:ascii="Cambria" w:hAnsi="Cambria"/>
          <w:sz w:val="20"/>
          <w:szCs w:val="20"/>
        </w:rPr>
        <w:t xml:space="preserve">. </w:t>
      </w:r>
    </w:p>
    <w:p w14:paraId="69FC8644" w14:textId="77777777" w:rsidR="003F2F2D" w:rsidRPr="00FB36E4"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2203D44E" w14:textId="177CA61E" w:rsidR="00A57721" w:rsidRPr="00FB36E4" w:rsidRDefault="007131C3"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B36E4">
        <w:rPr>
          <w:rFonts w:ascii="Cambria" w:hAnsi="Cambria"/>
          <w:sz w:val="20"/>
          <w:szCs w:val="20"/>
        </w:rPr>
        <w:t>The state also indicated</w:t>
      </w:r>
      <w:r w:rsidR="00F3537E" w:rsidRPr="00FB36E4">
        <w:rPr>
          <w:rFonts w:ascii="Cambria" w:hAnsi="Cambria"/>
          <w:sz w:val="20"/>
          <w:szCs w:val="20"/>
        </w:rPr>
        <w:t xml:space="preserve"> that the petitioner filed a work</w:t>
      </w:r>
      <w:r w:rsidR="00C93ED4" w:rsidRPr="00FB36E4">
        <w:rPr>
          <w:rFonts w:ascii="Cambria" w:hAnsi="Cambria"/>
          <w:sz w:val="20"/>
          <w:szCs w:val="20"/>
        </w:rPr>
        <w:t>er rights</w:t>
      </w:r>
      <w:r w:rsidR="00F3537E" w:rsidRPr="00FB36E4">
        <w:rPr>
          <w:rFonts w:ascii="Cambria" w:hAnsi="Cambria"/>
          <w:sz w:val="20"/>
          <w:szCs w:val="20"/>
        </w:rPr>
        <w:t xml:space="preserve"> complaint on September 25, 2009</w:t>
      </w:r>
      <w:r w:rsidRPr="00FB36E4">
        <w:rPr>
          <w:rFonts w:ascii="Cambria" w:hAnsi="Cambria"/>
          <w:sz w:val="20"/>
          <w:szCs w:val="20"/>
        </w:rPr>
        <w:t>,</w:t>
      </w:r>
      <w:r w:rsidR="00F3537E" w:rsidRPr="00FB36E4">
        <w:rPr>
          <w:rFonts w:ascii="Cambria" w:hAnsi="Cambria"/>
          <w:sz w:val="20"/>
          <w:szCs w:val="20"/>
        </w:rPr>
        <w:t xml:space="preserve"> in which he requested diverse benefits, including severance pay for wrongful dismissal</w:t>
      </w:r>
      <w:r w:rsidR="00352026" w:rsidRPr="00FB36E4">
        <w:rPr>
          <w:rFonts w:ascii="Cambria" w:hAnsi="Cambria"/>
          <w:sz w:val="20"/>
          <w:szCs w:val="20"/>
        </w:rPr>
        <w:t xml:space="preserve"> and the occupational hazard compensation</w:t>
      </w:r>
      <w:r w:rsidR="00927825" w:rsidRPr="00FB36E4">
        <w:rPr>
          <w:rFonts w:ascii="Cambria" w:hAnsi="Cambria"/>
          <w:sz w:val="20"/>
          <w:szCs w:val="20"/>
        </w:rPr>
        <w:t>.</w:t>
      </w:r>
      <w:r w:rsidR="00A57721" w:rsidRPr="00FB36E4">
        <w:rPr>
          <w:rFonts w:ascii="Cambria" w:hAnsi="Cambria"/>
          <w:sz w:val="20"/>
          <w:szCs w:val="20"/>
        </w:rPr>
        <w:t xml:space="preserve"> </w:t>
      </w:r>
      <w:r w:rsidR="00352026" w:rsidRPr="00FB36E4">
        <w:rPr>
          <w:rFonts w:ascii="Cambria" w:hAnsi="Cambria"/>
          <w:sz w:val="20"/>
          <w:szCs w:val="20"/>
        </w:rPr>
        <w:t>This complaint continue</w:t>
      </w:r>
      <w:r w:rsidRPr="00FB36E4">
        <w:rPr>
          <w:rFonts w:ascii="Cambria" w:hAnsi="Cambria"/>
          <w:sz w:val="20"/>
          <w:szCs w:val="20"/>
        </w:rPr>
        <w:t>s to remain in the investigation</w:t>
      </w:r>
      <w:r w:rsidR="00352026" w:rsidRPr="00FB36E4">
        <w:rPr>
          <w:rFonts w:ascii="Cambria" w:hAnsi="Cambria"/>
          <w:sz w:val="20"/>
          <w:szCs w:val="20"/>
        </w:rPr>
        <w:t xml:space="preserve"> stage for reasons attributa</w:t>
      </w:r>
      <w:r w:rsidRPr="00FB36E4">
        <w:rPr>
          <w:rFonts w:ascii="Cambria" w:hAnsi="Cambria"/>
          <w:sz w:val="20"/>
          <w:szCs w:val="20"/>
        </w:rPr>
        <w:t>b</w:t>
      </w:r>
      <w:r w:rsidR="00352026" w:rsidRPr="00FB36E4">
        <w:rPr>
          <w:rFonts w:ascii="Cambria" w:hAnsi="Cambria"/>
          <w:sz w:val="20"/>
          <w:szCs w:val="20"/>
        </w:rPr>
        <w:t>le t</w:t>
      </w:r>
      <w:r w:rsidRPr="00FB36E4">
        <w:rPr>
          <w:rFonts w:ascii="Cambria" w:hAnsi="Cambria"/>
          <w:sz w:val="20"/>
          <w:szCs w:val="20"/>
        </w:rPr>
        <w:t>o t</w:t>
      </w:r>
      <w:r w:rsidR="00352026" w:rsidRPr="00FB36E4">
        <w:rPr>
          <w:rFonts w:ascii="Cambria" w:hAnsi="Cambria"/>
          <w:sz w:val="20"/>
          <w:szCs w:val="20"/>
        </w:rPr>
        <w:t>he petitioner himself, because in January 2012 he was requested</w:t>
      </w:r>
      <w:r w:rsidRPr="00FB36E4">
        <w:rPr>
          <w:rFonts w:ascii="Cambria" w:hAnsi="Cambria"/>
          <w:sz w:val="20"/>
          <w:szCs w:val="20"/>
        </w:rPr>
        <w:t xml:space="preserve"> to undergo radiology</w:t>
      </w:r>
      <w:r w:rsidR="00352026" w:rsidRPr="00FB36E4">
        <w:rPr>
          <w:rFonts w:ascii="Cambria" w:hAnsi="Cambria"/>
          <w:sz w:val="20"/>
          <w:szCs w:val="20"/>
        </w:rPr>
        <w:t xml:space="preserve"> </w:t>
      </w:r>
      <w:r w:rsidRPr="00FB36E4">
        <w:rPr>
          <w:rFonts w:ascii="Cambria" w:hAnsi="Cambria"/>
          <w:sz w:val="20"/>
          <w:szCs w:val="20"/>
        </w:rPr>
        <w:t>tests</w:t>
      </w:r>
      <w:r w:rsidR="00352026" w:rsidRPr="00FB36E4">
        <w:rPr>
          <w:rFonts w:ascii="Cambria" w:hAnsi="Cambria"/>
          <w:sz w:val="20"/>
          <w:szCs w:val="20"/>
        </w:rPr>
        <w:t xml:space="preserve"> and related specializ</w:t>
      </w:r>
      <w:r w:rsidRPr="00FB36E4">
        <w:rPr>
          <w:rFonts w:ascii="Cambria" w:hAnsi="Cambria"/>
          <w:sz w:val="20"/>
          <w:szCs w:val="20"/>
        </w:rPr>
        <w:t>ed exams</w:t>
      </w:r>
      <w:r w:rsidR="00352026" w:rsidRPr="00FB36E4">
        <w:rPr>
          <w:rFonts w:ascii="Cambria" w:hAnsi="Cambria"/>
          <w:sz w:val="20"/>
          <w:szCs w:val="20"/>
        </w:rPr>
        <w:t>, as well as an audiometry</w:t>
      </w:r>
      <w:r w:rsidRPr="00FB36E4">
        <w:rPr>
          <w:rFonts w:ascii="Cambria" w:hAnsi="Cambria"/>
          <w:sz w:val="20"/>
          <w:szCs w:val="20"/>
        </w:rPr>
        <w:t xml:space="preserve"> test</w:t>
      </w:r>
      <w:r w:rsidR="00352026" w:rsidRPr="00FB36E4">
        <w:rPr>
          <w:rFonts w:ascii="Cambria" w:hAnsi="Cambria"/>
          <w:sz w:val="20"/>
          <w:szCs w:val="20"/>
        </w:rPr>
        <w:t>, but according to the state, the petitioner failed to submit to these examinations</w:t>
      </w:r>
      <w:r w:rsidR="00927825" w:rsidRPr="00FB36E4">
        <w:rPr>
          <w:rFonts w:ascii="Cambria" w:hAnsi="Cambria"/>
          <w:sz w:val="20"/>
          <w:szCs w:val="20"/>
        </w:rPr>
        <w:t xml:space="preserve">. </w:t>
      </w:r>
      <w:r w:rsidR="00DC33D7" w:rsidRPr="00FB36E4">
        <w:rPr>
          <w:rFonts w:ascii="Cambria" w:hAnsi="Cambria"/>
          <w:sz w:val="20"/>
          <w:szCs w:val="20"/>
        </w:rPr>
        <w:t>I</w:t>
      </w:r>
      <w:r w:rsidR="00352026" w:rsidRPr="00FB36E4">
        <w:rPr>
          <w:rFonts w:ascii="Cambria" w:hAnsi="Cambria"/>
          <w:sz w:val="20"/>
          <w:szCs w:val="20"/>
        </w:rPr>
        <w:t xml:space="preserve">t indicated that the petitioner objected to the request arguing that he had no money to cover the costs of the </w:t>
      </w:r>
      <w:r w:rsidRPr="00FB36E4">
        <w:rPr>
          <w:rFonts w:ascii="Cambria" w:hAnsi="Cambria"/>
          <w:sz w:val="20"/>
          <w:szCs w:val="20"/>
        </w:rPr>
        <w:t>tests</w:t>
      </w:r>
      <w:r w:rsidR="00352026" w:rsidRPr="00FB36E4">
        <w:rPr>
          <w:rFonts w:ascii="Cambria" w:hAnsi="Cambria"/>
          <w:sz w:val="20"/>
          <w:szCs w:val="20"/>
        </w:rPr>
        <w:t xml:space="preserve"> in the National Respiratory Diseases Institute (</w:t>
      </w:r>
      <w:r w:rsidR="00DB09BA" w:rsidRPr="00FB36E4">
        <w:rPr>
          <w:rFonts w:asciiTheme="majorHAnsi" w:hAnsiTheme="majorHAnsi"/>
          <w:i/>
          <w:sz w:val="20"/>
          <w:szCs w:val="20"/>
        </w:rPr>
        <w:t>Instituto Nacional</w:t>
      </w:r>
      <w:r w:rsidR="00352026" w:rsidRPr="00FB36E4">
        <w:rPr>
          <w:rFonts w:asciiTheme="majorHAnsi" w:hAnsiTheme="majorHAnsi"/>
          <w:i/>
          <w:sz w:val="20"/>
          <w:szCs w:val="20"/>
        </w:rPr>
        <w:t xml:space="preserve"> de Enfermedades Respiratorias—</w:t>
      </w:r>
      <w:r w:rsidR="00DB09BA" w:rsidRPr="00FB36E4">
        <w:rPr>
          <w:rFonts w:asciiTheme="majorHAnsi" w:hAnsiTheme="majorHAnsi"/>
          <w:i/>
          <w:sz w:val="20"/>
          <w:szCs w:val="20"/>
        </w:rPr>
        <w:t>INER</w:t>
      </w:r>
      <w:r w:rsidR="00DB09BA" w:rsidRPr="00FB36E4">
        <w:rPr>
          <w:rFonts w:asciiTheme="majorHAnsi" w:hAnsiTheme="majorHAnsi"/>
          <w:sz w:val="20"/>
          <w:szCs w:val="20"/>
        </w:rPr>
        <w:t>)</w:t>
      </w:r>
      <w:r w:rsidR="00352026" w:rsidRPr="00FB36E4">
        <w:rPr>
          <w:rFonts w:asciiTheme="majorHAnsi" w:hAnsiTheme="majorHAnsi"/>
          <w:sz w:val="20"/>
          <w:szCs w:val="20"/>
        </w:rPr>
        <w:t xml:space="preserve"> or to travel to Mexico City where the</w:t>
      </w:r>
      <w:r w:rsidRPr="00FB36E4">
        <w:rPr>
          <w:rFonts w:asciiTheme="majorHAnsi" w:hAnsiTheme="majorHAnsi"/>
          <w:sz w:val="20"/>
          <w:szCs w:val="20"/>
        </w:rPr>
        <w:t>y</w:t>
      </w:r>
      <w:r w:rsidR="00352026" w:rsidRPr="00FB36E4">
        <w:rPr>
          <w:rFonts w:asciiTheme="majorHAnsi" w:hAnsiTheme="majorHAnsi"/>
          <w:sz w:val="20"/>
          <w:szCs w:val="20"/>
        </w:rPr>
        <w:t xml:space="preserve"> would</w:t>
      </w:r>
      <w:r w:rsidRPr="00FB36E4">
        <w:rPr>
          <w:rFonts w:asciiTheme="majorHAnsi" w:hAnsiTheme="majorHAnsi"/>
          <w:sz w:val="20"/>
          <w:szCs w:val="20"/>
        </w:rPr>
        <w:t xml:space="preserve"> have taken</w:t>
      </w:r>
      <w:r w:rsidR="00352026" w:rsidRPr="00FB36E4">
        <w:rPr>
          <w:rFonts w:asciiTheme="majorHAnsi" w:hAnsiTheme="majorHAnsi"/>
          <w:sz w:val="20"/>
          <w:szCs w:val="20"/>
        </w:rPr>
        <w:t xml:space="preserve"> place</w:t>
      </w:r>
      <w:r w:rsidR="0096194F" w:rsidRPr="00FB36E4">
        <w:rPr>
          <w:rFonts w:asciiTheme="majorHAnsi" w:hAnsiTheme="majorHAnsi"/>
          <w:sz w:val="20"/>
          <w:szCs w:val="20"/>
        </w:rPr>
        <w:t>.</w:t>
      </w:r>
      <w:r w:rsidR="00713D9C" w:rsidRPr="00FB36E4">
        <w:rPr>
          <w:rFonts w:asciiTheme="majorHAnsi" w:hAnsiTheme="majorHAnsi"/>
          <w:sz w:val="20"/>
          <w:szCs w:val="20"/>
        </w:rPr>
        <w:t xml:space="preserve"> </w:t>
      </w:r>
      <w:r w:rsidR="00352026" w:rsidRPr="00FB36E4">
        <w:rPr>
          <w:rFonts w:asciiTheme="majorHAnsi" w:hAnsiTheme="majorHAnsi"/>
          <w:sz w:val="20"/>
          <w:szCs w:val="20"/>
        </w:rPr>
        <w:t xml:space="preserve">The state contended that he was told that the INER was a public institution </w:t>
      </w:r>
      <w:r w:rsidRPr="00FB36E4">
        <w:rPr>
          <w:rFonts w:asciiTheme="majorHAnsi" w:hAnsiTheme="majorHAnsi"/>
          <w:sz w:val="20"/>
          <w:szCs w:val="20"/>
        </w:rPr>
        <w:t>and that therefore the tests</w:t>
      </w:r>
      <w:r w:rsidR="00352026" w:rsidRPr="00FB36E4">
        <w:rPr>
          <w:rFonts w:asciiTheme="majorHAnsi" w:hAnsiTheme="majorHAnsi"/>
          <w:sz w:val="20"/>
          <w:szCs w:val="20"/>
        </w:rPr>
        <w:t xml:space="preserve"> would be free of charge. Despite this and the fact that the request was reiterated, the state asserts that the petitioner has not provided said </w:t>
      </w:r>
      <w:r w:rsidRPr="00FB36E4">
        <w:rPr>
          <w:rFonts w:asciiTheme="majorHAnsi" w:hAnsiTheme="majorHAnsi"/>
          <w:sz w:val="20"/>
          <w:szCs w:val="20"/>
        </w:rPr>
        <w:t>tests</w:t>
      </w:r>
      <w:r w:rsidR="00352026" w:rsidRPr="00FB36E4">
        <w:rPr>
          <w:rFonts w:asciiTheme="majorHAnsi" w:hAnsiTheme="majorHAnsi"/>
          <w:sz w:val="20"/>
          <w:szCs w:val="20"/>
        </w:rPr>
        <w:t xml:space="preserve"> in more than six years, nor has he provided updates to the other medical examinations. T</w:t>
      </w:r>
      <w:r w:rsidR="00456CC8" w:rsidRPr="00FB36E4">
        <w:rPr>
          <w:rFonts w:asciiTheme="majorHAnsi" w:hAnsiTheme="majorHAnsi"/>
          <w:sz w:val="20"/>
          <w:szCs w:val="20"/>
        </w:rPr>
        <w:t>hese omissions</w:t>
      </w:r>
      <w:r w:rsidR="00352026" w:rsidRPr="00FB36E4">
        <w:rPr>
          <w:rFonts w:asciiTheme="majorHAnsi" w:hAnsiTheme="majorHAnsi"/>
          <w:sz w:val="20"/>
          <w:szCs w:val="20"/>
        </w:rPr>
        <w:t xml:space="preserve"> made it impossible to issue the medical report that was needed to cl</w:t>
      </w:r>
      <w:r w:rsidR="00E116C3" w:rsidRPr="00FB36E4">
        <w:rPr>
          <w:rFonts w:asciiTheme="majorHAnsi" w:hAnsiTheme="majorHAnsi"/>
          <w:sz w:val="20"/>
          <w:szCs w:val="20"/>
        </w:rPr>
        <w:t xml:space="preserve">arify </w:t>
      </w:r>
      <w:r w:rsidR="00352026" w:rsidRPr="00FB36E4">
        <w:rPr>
          <w:rFonts w:asciiTheme="majorHAnsi" w:hAnsiTheme="majorHAnsi"/>
          <w:sz w:val="20"/>
          <w:szCs w:val="20"/>
        </w:rPr>
        <w:t>his work</w:t>
      </w:r>
      <w:r w:rsidR="00C93ED4" w:rsidRPr="00FB36E4">
        <w:rPr>
          <w:rFonts w:asciiTheme="majorHAnsi" w:hAnsiTheme="majorHAnsi"/>
          <w:sz w:val="20"/>
          <w:szCs w:val="20"/>
        </w:rPr>
        <w:t>er rights</w:t>
      </w:r>
      <w:r w:rsidR="00352026" w:rsidRPr="00FB36E4">
        <w:rPr>
          <w:rFonts w:asciiTheme="majorHAnsi" w:hAnsiTheme="majorHAnsi"/>
          <w:sz w:val="20"/>
          <w:szCs w:val="20"/>
        </w:rPr>
        <w:t xml:space="preserve"> complaint</w:t>
      </w:r>
      <w:r w:rsidR="003919FB" w:rsidRPr="00FB36E4">
        <w:rPr>
          <w:rFonts w:ascii="Cambria" w:hAnsi="Cambria"/>
          <w:sz w:val="20"/>
          <w:szCs w:val="20"/>
        </w:rPr>
        <w:t>.</w:t>
      </w:r>
    </w:p>
    <w:p w14:paraId="7EA838BC" w14:textId="77777777" w:rsidR="003F2F2D" w:rsidRPr="00FB36E4"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66312B9E" w14:textId="6ECC020E" w:rsidR="00655FE3" w:rsidRPr="00FB36E4" w:rsidRDefault="00456CC8"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B36E4">
        <w:rPr>
          <w:rFonts w:asciiTheme="majorHAnsi" w:hAnsiTheme="majorHAnsi"/>
          <w:sz w:val="20"/>
          <w:szCs w:val="20"/>
        </w:rPr>
        <w:t>The state added that, even if the proceedings concluded with a</w:t>
      </w:r>
      <w:r w:rsidR="002D0D72" w:rsidRPr="00FB36E4">
        <w:rPr>
          <w:rFonts w:asciiTheme="majorHAnsi" w:hAnsiTheme="majorHAnsi"/>
          <w:sz w:val="20"/>
          <w:szCs w:val="20"/>
        </w:rPr>
        <w:t xml:space="preserve"> ruling that was unfavorable to</w:t>
      </w:r>
      <w:r w:rsidRPr="00FB36E4">
        <w:rPr>
          <w:rFonts w:asciiTheme="majorHAnsi" w:hAnsiTheme="majorHAnsi"/>
          <w:sz w:val="20"/>
          <w:szCs w:val="20"/>
        </w:rPr>
        <w:t xml:space="preserve"> the petitioner, he would have the opportunity to challenge it by filing a motion on constitutional grounds (</w:t>
      </w:r>
      <w:r w:rsidRPr="00FB36E4">
        <w:rPr>
          <w:rFonts w:asciiTheme="majorHAnsi" w:hAnsiTheme="majorHAnsi"/>
          <w:i/>
          <w:sz w:val="20"/>
          <w:szCs w:val="20"/>
        </w:rPr>
        <w:t>amparo</w:t>
      </w:r>
      <w:r w:rsidRPr="00FB36E4">
        <w:rPr>
          <w:rFonts w:asciiTheme="majorHAnsi" w:hAnsiTheme="majorHAnsi"/>
          <w:sz w:val="20"/>
          <w:szCs w:val="20"/>
        </w:rPr>
        <w:t>)</w:t>
      </w:r>
      <w:r w:rsidR="00DC66B5" w:rsidRPr="00FB36E4">
        <w:rPr>
          <w:rFonts w:asciiTheme="majorHAnsi" w:hAnsiTheme="majorHAnsi"/>
          <w:sz w:val="20"/>
          <w:szCs w:val="20"/>
        </w:rPr>
        <w:t>, which in turn has its own remedies for challenging rulings</w:t>
      </w:r>
      <w:r w:rsidR="00F604EC" w:rsidRPr="00FB36E4">
        <w:rPr>
          <w:rFonts w:asciiTheme="majorHAnsi" w:hAnsiTheme="majorHAnsi"/>
          <w:sz w:val="20"/>
          <w:szCs w:val="20"/>
        </w:rPr>
        <w:t>.</w:t>
      </w:r>
      <w:r w:rsidR="00927825" w:rsidRPr="00FB36E4">
        <w:rPr>
          <w:rFonts w:ascii="Cambria" w:hAnsi="Cambria"/>
          <w:sz w:val="20"/>
          <w:szCs w:val="20"/>
        </w:rPr>
        <w:t xml:space="preserve"> </w:t>
      </w:r>
      <w:r w:rsidR="00DC66B5" w:rsidRPr="00FB36E4">
        <w:rPr>
          <w:rFonts w:ascii="Cambria" w:hAnsi="Cambria"/>
          <w:sz w:val="20"/>
          <w:szCs w:val="20"/>
        </w:rPr>
        <w:t>It also pointed</w:t>
      </w:r>
      <w:r w:rsidR="002D0D72" w:rsidRPr="00FB36E4">
        <w:rPr>
          <w:rFonts w:ascii="Cambria" w:hAnsi="Cambria"/>
          <w:sz w:val="20"/>
          <w:szCs w:val="20"/>
        </w:rPr>
        <w:t xml:space="preserve"> out</w:t>
      </w:r>
      <w:r w:rsidR="00DC66B5" w:rsidRPr="00FB36E4">
        <w:rPr>
          <w:rFonts w:ascii="Cambria" w:hAnsi="Cambria"/>
          <w:sz w:val="20"/>
          <w:szCs w:val="20"/>
        </w:rPr>
        <w:t xml:space="preserve"> that the petitioner did not exhaust the suitable </w:t>
      </w:r>
      <w:r w:rsidR="002D0D72" w:rsidRPr="00FB36E4">
        <w:rPr>
          <w:rFonts w:ascii="Cambria" w:hAnsi="Cambria"/>
          <w:sz w:val="20"/>
          <w:szCs w:val="20"/>
        </w:rPr>
        <w:t>remedy</w:t>
      </w:r>
      <w:r w:rsidR="00DC66B5" w:rsidRPr="00FB36E4">
        <w:rPr>
          <w:rFonts w:ascii="Cambria" w:hAnsi="Cambria"/>
          <w:sz w:val="20"/>
          <w:szCs w:val="20"/>
        </w:rPr>
        <w:t xml:space="preserve"> that could have settled the claims being filed with the IACHR, because he did not </w:t>
      </w:r>
      <w:r w:rsidR="002D0D72" w:rsidRPr="00FB36E4">
        <w:rPr>
          <w:rFonts w:ascii="Cambria" w:hAnsi="Cambria"/>
          <w:sz w:val="20"/>
          <w:szCs w:val="20"/>
        </w:rPr>
        <w:t>exercise his right to file—</w:t>
      </w:r>
      <w:r w:rsidR="00DC66B5" w:rsidRPr="00FB36E4">
        <w:rPr>
          <w:rFonts w:ascii="Cambria" w:hAnsi="Cambria"/>
          <w:sz w:val="20"/>
          <w:szCs w:val="20"/>
        </w:rPr>
        <w:t>within the statutory limits of fifteen days</w:t>
      </w:r>
      <w:r w:rsidR="002D0D72" w:rsidRPr="00FB36E4">
        <w:rPr>
          <w:rFonts w:ascii="Cambria" w:hAnsi="Cambria"/>
          <w:sz w:val="20"/>
          <w:szCs w:val="20"/>
        </w:rPr>
        <w:t>—</w:t>
      </w:r>
      <w:r w:rsidR="00DC66B5" w:rsidRPr="00FB36E4">
        <w:rPr>
          <w:rFonts w:ascii="Cambria" w:hAnsi="Cambria"/>
          <w:sz w:val="20"/>
          <w:szCs w:val="20"/>
        </w:rPr>
        <w:t xml:space="preserve">the appeal challenging the ruling that did not recognize that his </w:t>
      </w:r>
      <w:r w:rsidR="007131C3" w:rsidRPr="00FB36E4">
        <w:rPr>
          <w:rFonts w:ascii="Cambria" w:hAnsi="Cambria"/>
          <w:sz w:val="20"/>
          <w:szCs w:val="20"/>
        </w:rPr>
        <w:t>ailments</w:t>
      </w:r>
      <w:r w:rsidR="00DC66B5" w:rsidRPr="00FB36E4">
        <w:rPr>
          <w:rFonts w:ascii="Cambria" w:hAnsi="Cambria"/>
          <w:sz w:val="20"/>
          <w:szCs w:val="20"/>
        </w:rPr>
        <w:t xml:space="preserve"> came from a work-related hazard</w:t>
      </w:r>
      <w:r w:rsidR="00927825" w:rsidRPr="00FB36E4">
        <w:rPr>
          <w:rFonts w:ascii="Cambria" w:hAnsi="Cambria"/>
          <w:sz w:val="20"/>
          <w:szCs w:val="20"/>
        </w:rPr>
        <w:t>.</w:t>
      </w:r>
    </w:p>
    <w:p w14:paraId="52806295" w14:textId="77777777" w:rsidR="009D1438" w:rsidRPr="00FB36E4" w:rsidRDefault="009D1438" w:rsidP="00BA4740">
      <w:pPr>
        <w:pStyle w:val="ListParagraph"/>
        <w:jc w:val="both"/>
        <w:rPr>
          <w:rFonts w:asciiTheme="majorHAnsi" w:hAnsiTheme="majorHAnsi"/>
          <w:b/>
          <w:bCs/>
          <w:sz w:val="20"/>
          <w:szCs w:val="20"/>
        </w:rPr>
      </w:pPr>
    </w:p>
    <w:p w14:paraId="3FE6F5AE" w14:textId="62EB7F0A" w:rsidR="004C616A" w:rsidRPr="00FB36E4" w:rsidRDefault="004C616A" w:rsidP="00BA4740">
      <w:pPr>
        <w:pStyle w:val="ListParagraph"/>
        <w:jc w:val="both"/>
        <w:rPr>
          <w:rFonts w:asciiTheme="majorHAnsi" w:hAnsiTheme="majorHAnsi"/>
          <w:b/>
          <w:bCs/>
          <w:sz w:val="20"/>
          <w:szCs w:val="20"/>
        </w:rPr>
      </w:pPr>
      <w:r w:rsidRPr="00FB36E4">
        <w:rPr>
          <w:rFonts w:asciiTheme="majorHAnsi" w:hAnsiTheme="majorHAnsi"/>
          <w:b/>
          <w:bCs/>
          <w:sz w:val="20"/>
          <w:szCs w:val="20"/>
        </w:rPr>
        <w:t xml:space="preserve">VI. </w:t>
      </w:r>
      <w:r w:rsidRPr="00FB36E4">
        <w:rPr>
          <w:rFonts w:asciiTheme="majorHAnsi" w:hAnsiTheme="majorHAnsi"/>
          <w:b/>
          <w:bCs/>
          <w:sz w:val="20"/>
          <w:szCs w:val="20"/>
        </w:rPr>
        <w:tab/>
      </w:r>
      <w:r w:rsidR="00DC66B5" w:rsidRPr="00FB36E4">
        <w:rPr>
          <w:rFonts w:asciiTheme="majorHAnsi" w:hAnsiTheme="majorHAnsi"/>
          <w:b/>
          <w:bCs/>
          <w:sz w:val="20"/>
          <w:szCs w:val="20"/>
        </w:rPr>
        <w:t>EXHAUSTION OF DOMESTIC REMEDIES AND TIMELINESS</w:t>
      </w:r>
    </w:p>
    <w:p w14:paraId="7E0696E7" w14:textId="77777777" w:rsidR="003F2F2D" w:rsidRPr="00FB36E4"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rPr>
      </w:pPr>
    </w:p>
    <w:p w14:paraId="5519DA3D" w14:textId="52F29A66" w:rsidR="00D47B88" w:rsidRPr="00FB36E4" w:rsidRDefault="00DC66B5"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rPr>
      </w:pPr>
      <w:r w:rsidRPr="00FB36E4">
        <w:rPr>
          <w:rFonts w:asciiTheme="majorHAnsi" w:hAnsiTheme="majorHAnsi"/>
          <w:bCs/>
          <w:sz w:val="20"/>
          <w:szCs w:val="20"/>
        </w:rPr>
        <w:t>The petitioner denounced the un</w:t>
      </w:r>
      <w:r w:rsidR="00C548BA" w:rsidRPr="00FB36E4">
        <w:rPr>
          <w:rFonts w:asciiTheme="majorHAnsi" w:hAnsiTheme="majorHAnsi"/>
          <w:bCs/>
          <w:sz w:val="20"/>
          <w:szCs w:val="20"/>
        </w:rPr>
        <w:t>warranted</w:t>
      </w:r>
      <w:r w:rsidR="00C93ED4" w:rsidRPr="00FB36E4">
        <w:rPr>
          <w:rFonts w:asciiTheme="majorHAnsi" w:hAnsiTheme="majorHAnsi"/>
          <w:bCs/>
          <w:sz w:val="20"/>
          <w:szCs w:val="20"/>
        </w:rPr>
        <w:t xml:space="preserve"> delay in settling the worker rights</w:t>
      </w:r>
      <w:r w:rsidRPr="00FB36E4">
        <w:rPr>
          <w:rFonts w:asciiTheme="majorHAnsi" w:hAnsiTheme="majorHAnsi"/>
          <w:bCs/>
          <w:sz w:val="20"/>
          <w:szCs w:val="20"/>
        </w:rPr>
        <w:t xml:space="preserve"> complaints and the fact that he was not notified of the document that qualified his injury as “not work-related,” because of which he was prevented from filing the corresponding appeal</w:t>
      </w:r>
      <w:r w:rsidR="00D47B88" w:rsidRPr="00FB36E4">
        <w:rPr>
          <w:rFonts w:asciiTheme="majorHAnsi" w:hAnsiTheme="majorHAnsi"/>
          <w:bCs/>
          <w:sz w:val="20"/>
          <w:szCs w:val="20"/>
        </w:rPr>
        <w:t xml:space="preserve">. </w:t>
      </w:r>
      <w:r w:rsidRPr="00FB36E4">
        <w:rPr>
          <w:rFonts w:asciiTheme="majorHAnsi" w:hAnsiTheme="majorHAnsi"/>
          <w:bCs/>
          <w:sz w:val="20"/>
          <w:szCs w:val="20"/>
        </w:rPr>
        <w:t>As for the state</w:t>
      </w:r>
      <w:r w:rsidR="002D0D72" w:rsidRPr="00FB36E4">
        <w:rPr>
          <w:rFonts w:asciiTheme="majorHAnsi" w:hAnsiTheme="majorHAnsi"/>
          <w:bCs/>
          <w:sz w:val="20"/>
          <w:szCs w:val="20"/>
        </w:rPr>
        <w:t>, it</w:t>
      </w:r>
      <w:r w:rsidRPr="00FB36E4">
        <w:rPr>
          <w:rFonts w:asciiTheme="majorHAnsi" w:hAnsiTheme="majorHAnsi"/>
          <w:bCs/>
          <w:sz w:val="20"/>
          <w:szCs w:val="20"/>
        </w:rPr>
        <w:t xml:space="preserve"> contended that the delay in ruling on the </w:t>
      </w:r>
      <w:r w:rsidR="002D0D72" w:rsidRPr="00FB36E4">
        <w:rPr>
          <w:rFonts w:asciiTheme="majorHAnsi" w:hAnsiTheme="majorHAnsi"/>
          <w:bCs/>
          <w:sz w:val="20"/>
          <w:szCs w:val="20"/>
        </w:rPr>
        <w:t>worker rights proceedings is attributable</w:t>
      </w:r>
      <w:r w:rsidRPr="00FB36E4">
        <w:rPr>
          <w:rFonts w:asciiTheme="majorHAnsi" w:hAnsiTheme="majorHAnsi"/>
          <w:bCs/>
          <w:sz w:val="20"/>
          <w:szCs w:val="20"/>
        </w:rPr>
        <w:t xml:space="preserve"> to the petitione</w:t>
      </w:r>
      <w:r w:rsidR="002D0D72" w:rsidRPr="00FB36E4">
        <w:rPr>
          <w:rFonts w:asciiTheme="majorHAnsi" w:hAnsiTheme="majorHAnsi"/>
          <w:bCs/>
          <w:sz w:val="20"/>
          <w:szCs w:val="20"/>
        </w:rPr>
        <w:t>r, who in addition did not meet</w:t>
      </w:r>
      <w:r w:rsidRPr="00FB36E4">
        <w:rPr>
          <w:rFonts w:asciiTheme="majorHAnsi" w:hAnsiTheme="majorHAnsi"/>
          <w:bCs/>
          <w:sz w:val="20"/>
          <w:szCs w:val="20"/>
        </w:rPr>
        <w:t xml:space="preserve"> the requirement for exhausting domestic remedies because he did not </w:t>
      </w:r>
      <w:r w:rsidR="002D0D72" w:rsidRPr="00FB36E4">
        <w:rPr>
          <w:rFonts w:asciiTheme="majorHAnsi" w:hAnsiTheme="majorHAnsi"/>
          <w:bCs/>
          <w:sz w:val="20"/>
          <w:szCs w:val="20"/>
        </w:rPr>
        <w:t>exercise his right to file the remedy of appeal</w:t>
      </w:r>
      <w:r w:rsidRPr="00FB36E4">
        <w:rPr>
          <w:rFonts w:asciiTheme="majorHAnsi" w:hAnsiTheme="majorHAnsi"/>
          <w:bCs/>
          <w:sz w:val="20"/>
          <w:szCs w:val="20"/>
        </w:rPr>
        <w:t xml:space="preserve"> w</w:t>
      </w:r>
      <w:r w:rsidR="002D0D72" w:rsidRPr="00FB36E4">
        <w:rPr>
          <w:rFonts w:asciiTheme="majorHAnsi" w:hAnsiTheme="majorHAnsi"/>
          <w:bCs/>
          <w:sz w:val="20"/>
          <w:szCs w:val="20"/>
        </w:rPr>
        <w:t>ithin the statutory time-limits</w:t>
      </w:r>
      <w:r w:rsidR="00D47B88" w:rsidRPr="00FB36E4">
        <w:rPr>
          <w:rFonts w:asciiTheme="majorHAnsi" w:hAnsiTheme="majorHAnsi"/>
          <w:bCs/>
          <w:sz w:val="20"/>
          <w:szCs w:val="20"/>
        </w:rPr>
        <w:t>.</w:t>
      </w:r>
    </w:p>
    <w:p w14:paraId="467F45CD" w14:textId="77777777" w:rsidR="003F2F2D" w:rsidRPr="00FB36E4"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rPr>
      </w:pPr>
    </w:p>
    <w:p w14:paraId="7948EEE4" w14:textId="75EE9A84" w:rsidR="00D47B88" w:rsidRPr="00FB36E4" w:rsidRDefault="00DC66B5"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rPr>
      </w:pPr>
      <w:r w:rsidRPr="00FB36E4">
        <w:rPr>
          <w:rFonts w:asciiTheme="majorHAnsi" w:hAnsiTheme="majorHAnsi"/>
          <w:bCs/>
          <w:sz w:val="20"/>
          <w:szCs w:val="20"/>
        </w:rPr>
        <w:t xml:space="preserve">The IACHR points out, first, that the provisions of the American Convention relative to </w:t>
      </w:r>
      <w:r w:rsidR="00C258A0" w:rsidRPr="00FB36E4">
        <w:rPr>
          <w:rFonts w:asciiTheme="majorHAnsi" w:hAnsiTheme="majorHAnsi"/>
          <w:bCs/>
          <w:sz w:val="20"/>
          <w:szCs w:val="20"/>
        </w:rPr>
        <w:t>the exceptions to the requirement of exhaustion of domestic remedies, by their nature and purpose, are norms with autonomous content with respect to the treaty’s substantive norms</w:t>
      </w:r>
      <w:r w:rsidR="00530EC6" w:rsidRPr="00FB36E4">
        <w:rPr>
          <w:rFonts w:ascii="Cambria" w:hAnsi="Cambria" w:cs="Calibri"/>
          <w:sz w:val="20"/>
          <w:szCs w:val="20"/>
        </w:rPr>
        <w:t xml:space="preserve">. </w:t>
      </w:r>
      <w:r w:rsidR="00C258A0" w:rsidRPr="00FB36E4">
        <w:rPr>
          <w:rFonts w:ascii="Cambria" w:hAnsi="Cambria" w:cs="Calibri"/>
          <w:sz w:val="20"/>
          <w:szCs w:val="20"/>
        </w:rPr>
        <w:t>Therefore, ascertainment of the applicability of the corresponding exceptions must be undertaken previously and separately from the review of the merits of the case, because it relies on a standard of appreciation that is different from the one used to ascertain the violation of Articles 8 and 25 of the American Convention</w:t>
      </w:r>
      <w:r w:rsidR="008C09CE" w:rsidRPr="00FB36E4">
        <w:rPr>
          <w:rFonts w:ascii="Cambria" w:hAnsi="Cambria" w:cs="Calibri"/>
          <w:sz w:val="20"/>
          <w:szCs w:val="20"/>
        </w:rPr>
        <w:t>.</w:t>
      </w:r>
    </w:p>
    <w:p w14:paraId="3A353FBB" w14:textId="77777777" w:rsidR="003F2F2D" w:rsidRPr="00FB36E4"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rPr>
      </w:pPr>
    </w:p>
    <w:p w14:paraId="71ACB1E0" w14:textId="1789C7BC" w:rsidR="00B1078B" w:rsidRPr="00FB36E4" w:rsidRDefault="00C258A0"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rPr>
      </w:pPr>
      <w:r w:rsidRPr="00FB36E4">
        <w:rPr>
          <w:rFonts w:ascii="Cambria" w:hAnsi="Cambria"/>
          <w:sz w:val="20"/>
          <w:szCs w:val="20"/>
        </w:rPr>
        <w:t xml:space="preserve">The case file for the instant case reveals that the </w:t>
      </w:r>
      <w:r w:rsidR="009710CE" w:rsidRPr="00FB36E4">
        <w:rPr>
          <w:rFonts w:ascii="Cambria" w:hAnsi="Cambria"/>
          <w:sz w:val="20"/>
          <w:szCs w:val="20"/>
        </w:rPr>
        <w:t>petitioner filed his first worker rights</w:t>
      </w:r>
      <w:r w:rsidRPr="00FB36E4">
        <w:rPr>
          <w:rFonts w:ascii="Cambria" w:hAnsi="Cambria"/>
          <w:sz w:val="20"/>
          <w:szCs w:val="20"/>
        </w:rPr>
        <w:t xml:space="preserve"> complaint in 2009 and the second one in 2011. According to the latest documentation provided, both complaints were consolidated and the proceedings are still under way: on November 19, 2021, a hear</w:t>
      </w:r>
      <w:r w:rsidR="009710CE" w:rsidRPr="00FB36E4">
        <w:rPr>
          <w:rFonts w:ascii="Cambria" w:hAnsi="Cambria"/>
          <w:sz w:val="20"/>
          <w:szCs w:val="20"/>
        </w:rPr>
        <w:t>ing</w:t>
      </w:r>
      <w:r w:rsidRPr="00FB36E4">
        <w:rPr>
          <w:rFonts w:ascii="Cambria" w:hAnsi="Cambria"/>
          <w:sz w:val="20"/>
          <w:szCs w:val="20"/>
        </w:rPr>
        <w:t xml:space="preserve"> was held as part of the proceedings, that is, a final judgment has not yet been </w:t>
      </w:r>
      <w:r w:rsidR="009710CE" w:rsidRPr="00FB36E4">
        <w:rPr>
          <w:rFonts w:ascii="Cambria" w:hAnsi="Cambria"/>
          <w:sz w:val="20"/>
          <w:szCs w:val="20"/>
        </w:rPr>
        <w:t>rendered</w:t>
      </w:r>
      <w:r w:rsidR="00B1078B" w:rsidRPr="00FB36E4">
        <w:rPr>
          <w:rFonts w:ascii="Cambria" w:hAnsi="Cambria"/>
          <w:sz w:val="20"/>
          <w:szCs w:val="20"/>
        </w:rPr>
        <w:t>.</w:t>
      </w:r>
    </w:p>
    <w:p w14:paraId="0C04F369" w14:textId="77777777" w:rsidR="003F2F2D" w:rsidRPr="00FB36E4"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rPr>
      </w:pPr>
    </w:p>
    <w:p w14:paraId="2A39FEE0" w14:textId="27372188" w:rsidR="008C09CE" w:rsidRPr="00FB36E4" w:rsidRDefault="00C258A0"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rPr>
      </w:pPr>
      <w:r w:rsidRPr="00FB36E4">
        <w:rPr>
          <w:rFonts w:ascii="Cambria" w:hAnsi="Cambria"/>
          <w:sz w:val="20"/>
          <w:szCs w:val="20"/>
        </w:rPr>
        <w:t xml:space="preserve">As for the first complaint, the Inter-American Commission takes note that the parties have presented contradictory arguments regarding the responsibility for the delay. Without detriment to the merits of the case, the IACHR </w:t>
      </w:r>
      <w:r w:rsidR="00E618C6" w:rsidRPr="00FB36E4">
        <w:rPr>
          <w:rFonts w:ascii="Cambria" w:hAnsi="Cambria"/>
          <w:sz w:val="20"/>
          <w:szCs w:val="20"/>
        </w:rPr>
        <w:t>deems that the</w:t>
      </w:r>
      <w:r w:rsidR="00746660" w:rsidRPr="00FB36E4">
        <w:rPr>
          <w:rFonts w:ascii="Cambria" w:hAnsi="Cambria"/>
          <w:sz w:val="20"/>
          <w:szCs w:val="20"/>
        </w:rPr>
        <w:t xml:space="preserve"> court of</w:t>
      </w:r>
      <w:r w:rsidR="00E618C6" w:rsidRPr="00FB36E4">
        <w:rPr>
          <w:rFonts w:ascii="Cambria" w:hAnsi="Cambria"/>
          <w:sz w:val="20"/>
          <w:szCs w:val="20"/>
        </w:rPr>
        <w:t xml:space="preserve"> first instanc</w:t>
      </w:r>
      <w:r w:rsidR="00746660" w:rsidRPr="00FB36E4">
        <w:rPr>
          <w:rFonts w:ascii="Cambria" w:hAnsi="Cambria"/>
          <w:sz w:val="20"/>
          <w:szCs w:val="20"/>
        </w:rPr>
        <w:t>e’s failure to rule on the worker rights</w:t>
      </w:r>
      <w:r w:rsidR="00E618C6" w:rsidRPr="00FB36E4">
        <w:rPr>
          <w:rFonts w:ascii="Cambria" w:hAnsi="Cambria"/>
          <w:sz w:val="20"/>
          <w:szCs w:val="20"/>
        </w:rPr>
        <w:t xml:space="preserve"> complaints</w:t>
      </w:r>
      <w:r w:rsidR="009710CE" w:rsidRPr="00FB36E4">
        <w:rPr>
          <w:rFonts w:ascii="Cambria" w:hAnsi="Cambria"/>
          <w:sz w:val="20"/>
          <w:szCs w:val="20"/>
        </w:rPr>
        <w:t>—</w:t>
      </w:r>
      <w:r w:rsidR="00E618C6" w:rsidRPr="00FB36E4">
        <w:rPr>
          <w:rFonts w:ascii="Cambria" w:hAnsi="Cambria"/>
          <w:sz w:val="20"/>
          <w:szCs w:val="20"/>
        </w:rPr>
        <w:t>after more than twelve years since the filing of the first complaint and more than ten years since the second</w:t>
      </w:r>
      <w:r w:rsidR="009710CE" w:rsidRPr="00FB36E4">
        <w:rPr>
          <w:rFonts w:ascii="Cambria" w:hAnsi="Cambria"/>
          <w:sz w:val="20"/>
          <w:szCs w:val="20"/>
        </w:rPr>
        <w:t>—</w:t>
      </w:r>
      <w:r w:rsidR="00E618C6" w:rsidRPr="00FB36E4">
        <w:rPr>
          <w:rFonts w:ascii="Cambria" w:hAnsi="Cambria"/>
          <w:sz w:val="20"/>
          <w:szCs w:val="20"/>
        </w:rPr>
        <w:t>justifies the applicability of the exception to the rule of exhaustion enshrined in Article 46(</w:t>
      </w:r>
      <w:r w:rsidR="0032513A" w:rsidRPr="00FB36E4">
        <w:rPr>
          <w:rFonts w:ascii="Cambria" w:hAnsi="Cambria"/>
          <w:sz w:val="20"/>
          <w:szCs w:val="20"/>
        </w:rPr>
        <w:t>2</w:t>
      </w:r>
      <w:r w:rsidR="00E618C6" w:rsidRPr="00FB36E4">
        <w:rPr>
          <w:rFonts w:ascii="Cambria" w:hAnsi="Cambria"/>
          <w:sz w:val="20"/>
          <w:szCs w:val="20"/>
        </w:rPr>
        <w:t>)</w:t>
      </w:r>
      <w:r w:rsidR="00455261" w:rsidRPr="00FB36E4">
        <w:rPr>
          <w:rFonts w:ascii="Cambria" w:hAnsi="Cambria"/>
          <w:sz w:val="20"/>
          <w:szCs w:val="20"/>
        </w:rPr>
        <w:t>(</w:t>
      </w:r>
      <w:r w:rsidR="0032513A" w:rsidRPr="00FB36E4">
        <w:rPr>
          <w:rFonts w:ascii="Cambria" w:hAnsi="Cambria"/>
          <w:sz w:val="20"/>
          <w:szCs w:val="20"/>
        </w:rPr>
        <w:t xml:space="preserve">c) </w:t>
      </w:r>
      <w:r w:rsidR="00E618C6" w:rsidRPr="00FB36E4">
        <w:rPr>
          <w:rFonts w:ascii="Cambria" w:hAnsi="Cambria"/>
          <w:sz w:val="20"/>
          <w:szCs w:val="20"/>
        </w:rPr>
        <w:t>of the American Convention. The Inter-American Co</w:t>
      </w:r>
      <w:r w:rsidR="009710CE" w:rsidRPr="00FB36E4">
        <w:rPr>
          <w:rFonts w:ascii="Cambria" w:hAnsi="Cambria"/>
          <w:sz w:val="20"/>
          <w:szCs w:val="20"/>
        </w:rPr>
        <w:t>mmission</w:t>
      </w:r>
      <w:r w:rsidR="00E618C6" w:rsidRPr="00FB36E4">
        <w:rPr>
          <w:rFonts w:ascii="Cambria" w:hAnsi="Cambria"/>
          <w:sz w:val="20"/>
          <w:szCs w:val="20"/>
        </w:rPr>
        <w:t xml:space="preserve"> shall examine, in the merits stage, the state’s allegations regarding the petitioner’s responsibility for the delay</w:t>
      </w:r>
      <w:r w:rsidR="00A2593B" w:rsidRPr="00FB36E4">
        <w:rPr>
          <w:rFonts w:ascii="Cambria" w:hAnsi="Cambria"/>
          <w:sz w:val="20"/>
          <w:szCs w:val="20"/>
        </w:rPr>
        <w:t>.</w:t>
      </w:r>
    </w:p>
    <w:p w14:paraId="11B85DE0" w14:textId="77777777" w:rsidR="003F2F2D" w:rsidRPr="00FB36E4"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rPr>
      </w:pPr>
    </w:p>
    <w:p w14:paraId="1DE6C631" w14:textId="1D2C00E5" w:rsidR="00EB588E" w:rsidRPr="00FB36E4" w:rsidRDefault="006D1DD6"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rPr>
      </w:pPr>
      <w:r w:rsidRPr="00FB36E4">
        <w:rPr>
          <w:rFonts w:ascii="Cambria" w:hAnsi="Cambria"/>
          <w:sz w:val="20"/>
          <w:szCs w:val="20"/>
        </w:rPr>
        <w:t xml:space="preserve">As for the deadline to present </w:t>
      </w:r>
      <w:r w:rsidR="00E618C6" w:rsidRPr="00FB36E4">
        <w:rPr>
          <w:rFonts w:ascii="Cambria" w:hAnsi="Cambria"/>
          <w:sz w:val="20"/>
          <w:szCs w:val="20"/>
        </w:rPr>
        <w:t xml:space="preserve">the petition, the proceedings in </w:t>
      </w:r>
      <w:r w:rsidRPr="00FB36E4">
        <w:rPr>
          <w:rFonts w:ascii="Cambria" w:hAnsi="Cambria"/>
          <w:sz w:val="20"/>
          <w:szCs w:val="20"/>
        </w:rPr>
        <w:t xml:space="preserve">which there might have been an </w:t>
      </w:r>
      <w:r w:rsidR="00E618C6" w:rsidRPr="00FB36E4">
        <w:rPr>
          <w:rFonts w:ascii="Cambria" w:hAnsi="Cambria"/>
          <w:sz w:val="20"/>
          <w:szCs w:val="20"/>
        </w:rPr>
        <w:t>un</w:t>
      </w:r>
      <w:r w:rsidR="005501FE" w:rsidRPr="00FB36E4">
        <w:rPr>
          <w:rFonts w:ascii="Cambria" w:hAnsi="Cambria"/>
          <w:sz w:val="20"/>
          <w:szCs w:val="20"/>
        </w:rPr>
        <w:t>warranted</w:t>
      </w:r>
      <w:r w:rsidR="00E618C6" w:rsidRPr="00FB36E4">
        <w:rPr>
          <w:rFonts w:ascii="Cambria" w:hAnsi="Cambria"/>
          <w:sz w:val="20"/>
          <w:szCs w:val="20"/>
        </w:rPr>
        <w:t xml:space="preserve"> delay started in 2009 and 2011</w:t>
      </w:r>
      <w:r w:rsidR="0000047E" w:rsidRPr="00FB36E4">
        <w:rPr>
          <w:rFonts w:ascii="Cambria" w:hAnsi="Cambria"/>
          <w:sz w:val="20"/>
          <w:szCs w:val="20"/>
        </w:rPr>
        <w:t>.</w:t>
      </w:r>
      <w:r w:rsidR="003061AA" w:rsidRPr="00FB36E4">
        <w:rPr>
          <w:rFonts w:ascii="Cambria" w:hAnsi="Cambria"/>
          <w:sz w:val="20"/>
          <w:szCs w:val="20"/>
        </w:rPr>
        <w:t xml:space="preserve"> </w:t>
      </w:r>
      <w:r w:rsidR="00E618C6" w:rsidRPr="00FB36E4">
        <w:rPr>
          <w:rFonts w:ascii="Cambria" w:hAnsi="Cambria"/>
          <w:sz w:val="20"/>
          <w:szCs w:val="20"/>
        </w:rPr>
        <w:t>The petition was filed on November 30,</w:t>
      </w:r>
      <w:r w:rsidR="00EB588E" w:rsidRPr="00FB36E4">
        <w:rPr>
          <w:rFonts w:ascii="Cambria" w:hAnsi="Cambria"/>
          <w:sz w:val="20"/>
          <w:szCs w:val="20"/>
        </w:rPr>
        <w:t xml:space="preserve"> 2012</w:t>
      </w:r>
      <w:r w:rsidR="0000047E" w:rsidRPr="00FB36E4">
        <w:rPr>
          <w:rFonts w:ascii="Cambria" w:hAnsi="Cambria"/>
          <w:sz w:val="20"/>
          <w:szCs w:val="20"/>
        </w:rPr>
        <w:t xml:space="preserve">, </w:t>
      </w:r>
      <w:r w:rsidR="00E618C6" w:rsidRPr="00FB36E4">
        <w:rPr>
          <w:rFonts w:ascii="Cambria" w:hAnsi="Cambria"/>
          <w:sz w:val="20"/>
          <w:szCs w:val="20"/>
        </w:rPr>
        <w:t xml:space="preserve">and therefore the IACHR concludes that the reasonable </w:t>
      </w:r>
      <w:r w:rsidRPr="00FB36E4">
        <w:rPr>
          <w:rFonts w:ascii="Cambria" w:hAnsi="Cambria"/>
          <w:sz w:val="20"/>
          <w:szCs w:val="20"/>
        </w:rPr>
        <w:t>period of time</w:t>
      </w:r>
      <w:r w:rsidR="00E618C6" w:rsidRPr="00FB36E4">
        <w:rPr>
          <w:rFonts w:ascii="Cambria" w:hAnsi="Cambria"/>
          <w:sz w:val="20"/>
          <w:szCs w:val="20"/>
        </w:rPr>
        <w:t xml:space="preserve"> stipulated in Article 32(2) of its Rules of Procedures </w:t>
      </w:r>
      <w:r w:rsidRPr="00FB36E4">
        <w:rPr>
          <w:rFonts w:ascii="Cambria" w:hAnsi="Cambria"/>
          <w:sz w:val="20"/>
          <w:szCs w:val="20"/>
        </w:rPr>
        <w:t xml:space="preserve">has </w:t>
      </w:r>
      <w:r w:rsidR="00E618C6" w:rsidRPr="00FB36E4">
        <w:rPr>
          <w:rFonts w:ascii="Cambria" w:hAnsi="Cambria"/>
          <w:sz w:val="20"/>
          <w:szCs w:val="20"/>
        </w:rPr>
        <w:t>been complied with</w:t>
      </w:r>
      <w:r w:rsidR="003061AA" w:rsidRPr="00FB36E4">
        <w:rPr>
          <w:rFonts w:ascii="Cambria" w:hAnsi="Cambria"/>
          <w:sz w:val="20"/>
          <w:szCs w:val="20"/>
        </w:rPr>
        <w:t>.</w:t>
      </w:r>
    </w:p>
    <w:p w14:paraId="449D7D6D" w14:textId="77777777" w:rsidR="003F2F2D" w:rsidRPr="00FB36E4"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rPr>
      </w:pPr>
    </w:p>
    <w:p w14:paraId="1BA57788" w14:textId="22E51B86" w:rsidR="00A2593B" w:rsidRPr="00E81C5D" w:rsidRDefault="00E618C6"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rPr>
      </w:pPr>
      <w:r w:rsidRPr="00FB36E4">
        <w:rPr>
          <w:rFonts w:ascii="Cambria" w:hAnsi="Cambria"/>
          <w:sz w:val="20"/>
          <w:szCs w:val="20"/>
        </w:rPr>
        <w:t>The parties have presented contradictory factual accounts regarding the filing of appeals against the document that qualified the petitioner’s status. Bearing in mind the conclusions of the paragraph above, the Inter-American Commission does not deem it necessary to settle this controversy in the admissibili</w:t>
      </w:r>
      <w:r w:rsidR="006D1DD6" w:rsidRPr="00FB36E4">
        <w:rPr>
          <w:rFonts w:ascii="Cambria" w:hAnsi="Cambria"/>
          <w:sz w:val="20"/>
          <w:szCs w:val="20"/>
        </w:rPr>
        <w:t>ty stage</w:t>
      </w:r>
      <w:r w:rsidR="00746660" w:rsidRPr="00FB36E4">
        <w:rPr>
          <w:rFonts w:ascii="Cambria" w:hAnsi="Cambria"/>
          <w:sz w:val="20"/>
          <w:szCs w:val="20"/>
        </w:rPr>
        <w:t xml:space="preserve"> and therefore shall examine it</w:t>
      </w:r>
      <w:r w:rsidRPr="00FB36E4">
        <w:rPr>
          <w:rFonts w:ascii="Cambria" w:hAnsi="Cambria"/>
          <w:sz w:val="20"/>
          <w:szCs w:val="20"/>
        </w:rPr>
        <w:t xml:space="preserve"> in the merits stage</w:t>
      </w:r>
      <w:r w:rsidR="00A2593B" w:rsidRPr="00FB36E4">
        <w:rPr>
          <w:rFonts w:ascii="Cambria" w:hAnsi="Cambria"/>
          <w:sz w:val="20"/>
          <w:szCs w:val="20"/>
        </w:rPr>
        <w:t>.</w:t>
      </w:r>
    </w:p>
    <w:p w14:paraId="33266F1D" w14:textId="77777777" w:rsidR="00E81C5D" w:rsidRDefault="00E81C5D" w:rsidP="00E81C5D">
      <w:pPr>
        <w:pStyle w:val="ListParagraph"/>
        <w:rPr>
          <w:rFonts w:asciiTheme="majorHAnsi" w:hAnsiTheme="majorHAnsi"/>
          <w:b/>
          <w:bCs/>
          <w:sz w:val="20"/>
          <w:szCs w:val="20"/>
        </w:rPr>
      </w:pPr>
    </w:p>
    <w:p w14:paraId="7090A929" w14:textId="0618743A" w:rsidR="00F04591" w:rsidRPr="00FB36E4" w:rsidRDefault="00F04591" w:rsidP="00E81C5D">
      <w:pPr>
        <w:ind w:firstLine="720"/>
        <w:rPr>
          <w:rFonts w:asciiTheme="majorHAnsi" w:hAnsiTheme="majorHAnsi"/>
          <w:b/>
          <w:bCs/>
          <w:sz w:val="20"/>
          <w:szCs w:val="20"/>
        </w:rPr>
      </w:pPr>
      <w:r w:rsidRPr="00FB36E4">
        <w:rPr>
          <w:rFonts w:asciiTheme="majorHAnsi" w:hAnsiTheme="majorHAnsi"/>
          <w:b/>
          <w:bCs/>
          <w:sz w:val="20"/>
          <w:szCs w:val="20"/>
        </w:rPr>
        <w:t>V</w:t>
      </w:r>
      <w:r w:rsidR="000E2789" w:rsidRPr="00FB36E4">
        <w:rPr>
          <w:rFonts w:asciiTheme="majorHAnsi" w:hAnsiTheme="majorHAnsi"/>
          <w:b/>
          <w:bCs/>
          <w:sz w:val="20"/>
          <w:szCs w:val="20"/>
        </w:rPr>
        <w:t>I</w:t>
      </w:r>
      <w:r w:rsidRPr="00FB36E4">
        <w:rPr>
          <w:rFonts w:asciiTheme="majorHAnsi" w:hAnsiTheme="majorHAnsi"/>
          <w:b/>
          <w:bCs/>
          <w:sz w:val="20"/>
          <w:szCs w:val="20"/>
        </w:rPr>
        <w:t xml:space="preserve">I. </w:t>
      </w:r>
      <w:r w:rsidRPr="00FB36E4">
        <w:rPr>
          <w:rFonts w:asciiTheme="majorHAnsi" w:hAnsiTheme="majorHAnsi"/>
          <w:b/>
          <w:bCs/>
          <w:sz w:val="20"/>
          <w:szCs w:val="20"/>
        </w:rPr>
        <w:tab/>
        <w:t>C</w:t>
      </w:r>
      <w:r w:rsidR="00E618C6" w:rsidRPr="00FB36E4">
        <w:rPr>
          <w:rFonts w:asciiTheme="majorHAnsi" w:hAnsiTheme="majorHAnsi"/>
          <w:b/>
          <w:bCs/>
          <w:sz w:val="20"/>
          <w:szCs w:val="20"/>
        </w:rPr>
        <w:t>OLORABLE CLAIM</w:t>
      </w:r>
    </w:p>
    <w:p w14:paraId="72FE4524" w14:textId="77777777" w:rsidR="003F2F2D" w:rsidRPr="00FB36E4" w:rsidRDefault="003F2F2D" w:rsidP="003F2F2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52F35A73" w14:textId="7CAC0D8D" w:rsidR="00C53217" w:rsidRPr="00FB36E4" w:rsidRDefault="00E618C6" w:rsidP="00BA474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FB36E4">
        <w:rPr>
          <w:sz w:val="20"/>
          <w:szCs w:val="20"/>
        </w:rPr>
        <w:t xml:space="preserve">For the purposes of admissibility, the IACHR must decide if the facts tend to establish a possible violation of </w:t>
      </w:r>
      <w:r w:rsidR="009646CA" w:rsidRPr="00FB36E4">
        <w:rPr>
          <w:sz w:val="20"/>
          <w:szCs w:val="20"/>
        </w:rPr>
        <w:t>rights as stipulated in Article</w:t>
      </w:r>
      <w:r w:rsidR="00C53217" w:rsidRPr="00FB36E4">
        <w:rPr>
          <w:sz w:val="20"/>
          <w:szCs w:val="20"/>
        </w:rPr>
        <w:t xml:space="preserve"> 47(b) </w:t>
      </w:r>
      <w:r w:rsidR="009646CA" w:rsidRPr="00FB36E4">
        <w:rPr>
          <w:sz w:val="20"/>
          <w:szCs w:val="20"/>
        </w:rPr>
        <w:t xml:space="preserve">of the American Convention or if the petition is </w:t>
      </w:r>
      <w:r w:rsidR="007C7129" w:rsidRPr="00FB36E4">
        <w:rPr>
          <w:sz w:val="20"/>
          <w:szCs w:val="20"/>
        </w:rPr>
        <w:t>manifestly</w:t>
      </w:r>
      <w:r w:rsidR="009646CA" w:rsidRPr="00FB36E4">
        <w:rPr>
          <w:sz w:val="20"/>
          <w:szCs w:val="20"/>
        </w:rPr>
        <w:t xml:space="preserve"> groundless or</w:t>
      </w:r>
      <w:r w:rsidR="007C7129" w:rsidRPr="00FB36E4">
        <w:rPr>
          <w:sz w:val="20"/>
          <w:szCs w:val="20"/>
        </w:rPr>
        <w:t xml:space="preserve"> obviously out of order</w:t>
      </w:r>
      <w:r w:rsidR="009646CA" w:rsidRPr="00FB36E4">
        <w:rPr>
          <w:sz w:val="20"/>
          <w:szCs w:val="20"/>
        </w:rPr>
        <w:t>, in accordance with subparagraph (c) of said article</w:t>
      </w:r>
      <w:r w:rsidR="00C53217" w:rsidRPr="00FB36E4">
        <w:rPr>
          <w:sz w:val="20"/>
          <w:szCs w:val="20"/>
        </w:rPr>
        <w:t xml:space="preserve">. </w:t>
      </w:r>
      <w:r w:rsidR="009646CA" w:rsidRPr="00FB36E4">
        <w:rPr>
          <w:sz w:val="20"/>
          <w:szCs w:val="20"/>
        </w:rPr>
        <w:t>The criterion for assessing said requirements differs from the one used to rule on the merits of a petition</w:t>
      </w:r>
      <w:r w:rsidR="00C53217" w:rsidRPr="00FB36E4">
        <w:rPr>
          <w:sz w:val="20"/>
          <w:szCs w:val="20"/>
        </w:rPr>
        <w:t xml:space="preserve">. </w:t>
      </w:r>
      <w:r w:rsidR="009646CA" w:rsidRPr="00FB36E4">
        <w:rPr>
          <w:sz w:val="20"/>
          <w:szCs w:val="20"/>
        </w:rPr>
        <w:t xml:space="preserve">Likewise, in the framework of its mandate, the Inter-American Commission is competent to declare a petition admissible when it refers to domestic proceedings that could be violating the rights guaranteed by the American </w:t>
      </w:r>
      <w:r w:rsidR="009646CA" w:rsidRPr="00FB36E4">
        <w:rPr>
          <w:sz w:val="20"/>
          <w:szCs w:val="20"/>
        </w:rPr>
        <w:lastRenderedPageBreak/>
        <w:t xml:space="preserve">Convention. In other words, according to the treaty-based norms cited and in line with Article 34 of its Rules of Procedures, the review of admissibility focuses on verifying said requirements, which refer to the existence of elements which, if </w:t>
      </w:r>
      <w:r w:rsidR="007C7129" w:rsidRPr="00FB36E4">
        <w:rPr>
          <w:sz w:val="20"/>
          <w:szCs w:val="20"/>
        </w:rPr>
        <w:t xml:space="preserve">proven to be </w:t>
      </w:r>
      <w:r w:rsidR="009646CA" w:rsidRPr="00FB36E4">
        <w:rPr>
          <w:sz w:val="20"/>
          <w:szCs w:val="20"/>
        </w:rPr>
        <w:t xml:space="preserve">true, would establish </w:t>
      </w:r>
      <w:r w:rsidR="009646CA" w:rsidRPr="00FB36E4">
        <w:rPr>
          <w:i/>
          <w:sz w:val="20"/>
          <w:szCs w:val="20"/>
        </w:rPr>
        <w:t>prima facie</w:t>
      </w:r>
      <w:r w:rsidR="009646CA" w:rsidRPr="00FB36E4">
        <w:rPr>
          <w:sz w:val="20"/>
          <w:szCs w:val="20"/>
        </w:rPr>
        <w:t xml:space="preserve"> violations of the American Convention.</w:t>
      </w:r>
      <w:r w:rsidR="00C53217" w:rsidRPr="00FB36E4">
        <w:rPr>
          <w:rStyle w:val="FootnoteReference"/>
          <w:rFonts w:cs="Calibri"/>
          <w:sz w:val="20"/>
          <w:szCs w:val="20"/>
        </w:rPr>
        <w:footnoteReference w:id="8"/>
      </w:r>
    </w:p>
    <w:p w14:paraId="25F840E8" w14:textId="77777777" w:rsidR="003F2F2D" w:rsidRPr="00FB36E4"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704BDD55" w14:textId="58AEA410" w:rsidR="003919FB" w:rsidRPr="00FB36E4" w:rsidRDefault="009646CA"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B36E4">
        <w:rPr>
          <w:rFonts w:asciiTheme="majorHAnsi" w:hAnsiTheme="majorHAnsi"/>
          <w:sz w:val="20"/>
          <w:szCs w:val="20"/>
        </w:rPr>
        <w:t>In short, the case refers to labor and social security rights that should be observed for a person with disabilities and to the fact</w:t>
      </w:r>
      <w:r w:rsidR="00AB2D35" w:rsidRPr="00FB36E4">
        <w:rPr>
          <w:rFonts w:asciiTheme="majorHAnsi" w:hAnsiTheme="majorHAnsi"/>
          <w:sz w:val="20"/>
          <w:szCs w:val="20"/>
        </w:rPr>
        <w:t xml:space="preserve"> that more than twelve years have</w:t>
      </w:r>
      <w:r w:rsidR="007C7129" w:rsidRPr="00FB36E4">
        <w:rPr>
          <w:rFonts w:asciiTheme="majorHAnsi" w:hAnsiTheme="majorHAnsi"/>
          <w:sz w:val="20"/>
          <w:szCs w:val="20"/>
        </w:rPr>
        <w:t xml:space="preserve"> elapsed since the first worker rights</w:t>
      </w:r>
      <w:r w:rsidRPr="00FB36E4">
        <w:rPr>
          <w:rFonts w:asciiTheme="majorHAnsi" w:hAnsiTheme="majorHAnsi"/>
          <w:sz w:val="20"/>
          <w:szCs w:val="20"/>
        </w:rPr>
        <w:t xml:space="preserve"> complaint was filed, without any conclusion being reached in the proceedings</w:t>
      </w:r>
      <w:r w:rsidR="00243FFB" w:rsidRPr="00FB36E4">
        <w:rPr>
          <w:rFonts w:asciiTheme="majorHAnsi" w:hAnsiTheme="majorHAnsi"/>
          <w:sz w:val="20"/>
          <w:szCs w:val="20"/>
        </w:rPr>
        <w:t xml:space="preserve">. </w:t>
      </w:r>
      <w:r w:rsidRPr="00FB36E4">
        <w:rPr>
          <w:rFonts w:asciiTheme="majorHAnsi" w:hAnsiTheme="majorHAnsi"/>
          <w:sz w:val="20"/>
          <w:szCs w:val="20"/>
        </w:rPr>
        <w:t xml:space="preserve">In that sense, the Inter-American Court of Human Rights has </w:t>
      </w:r>
      <w:r w:rsidR="00175FE0" w:rsidRPr="00FB36E4">
        <w:rPr>
          <w:rFonts w:ascii="Cambria" w:hAnsi="Cambria"/>
          <w:sz w:val="20"/>
          <w:szCs w:val="20"/>
        </w:rPr>
        <w:t>established that “if the passage of time has a significant impact on an individual’s legal situation, the proceedings must move forward with greater diligence so that the case is decided promptly.</w:t>
      </w:r>
      <w:r w:rsidR="003817CE" w:rsidRPr="00FB36E4">
        <w:rPr>
          <w:rStyle w:val="FootnoteReference"/>
          <w:rFonts w:asciiTheme="majorHAnsi" w:hAnsiTheme="majorHAnsi"/>
          <w:sz w:val="20"/>
          <w:szCs w:val="20"/>
        </w:rPr>
        <w:footnoteReference w:id="9"/>
      </w:r>
      <w:r w:rsidR="00175FE0" w:rsidRPr="00FB36E4">
        <w:rPr>
          <w:rFonts w:asciiTheme="majorHAnsi" w:hAnsiTheme="majorHAnsi"/>
          <w:sz w:val="20"/>
          <w:szCs w:val="20"/>
        </w:rPr>
        <w:t>”</w:t>
      </w:r>
      <w:r w:rsidR="00E40551" w:rsidRPr="00FB36E4">
        <w:rPr>
          <w:rFonts w:asciiTheme="majorHAnsi" w:hAnsiTheme="majorHAnsi"/>
          <w:sz w:val="20"/>
          <w:szCs w:val="20"/>
        </w:rPr>
        <w:t xml:space="preserve"> </w:t>
      </w:r>
      <w:r w:rsidR="00175FE0" w:rsidRPr="00FB36E4">
        <w:rPr>
          <w:rFonts w:asciiTheme="majorHAnsi" w:hAnsiTheme="majorHAnsi"/>
          <w:sz w:val="20"/>
          <w:szCs w:val="20"/>
        </w:rPr>
        <w:t>The IACHR also deems that the allegations of the petitioner regarding the causes of his occupation</w:t>
      </w:r>
      <w:r w:rsidR="0077239E" w:rsidRPr="00FB36E4">
        <w:rPr>
          <w:rFonts w:asciiTheme="majorHAnsi" w:hAnsiTheme="majorHAnsi"/>
          <w:sz w:val="20"/>
          <w:szCs w:val="20"/>
        </w:rPr>
        <w:t>al</w:t>
      </w:r>
      <w:r w:rsidR="00175FE0" w:rsidRPr="00FB36E4">
        <w:rPr>
          <w:rFonts w:asciiTheme="majorHAnsi" w:hAnsiTheme="majorHAnsi"/>
          <w:sz w:val="20"/>
          <w:szCs w:val="20"/>
        </w:rPr>
        <w:t xml:space="preserve"> accident and the alleged alteration of public documents to his detriment cannot be qualified </w:t>
      </w:r>
      <w:r w:rsidR="00175FE0" w:rsidRPr="00FB36E4">
        <w:rPr>
          <w:rFonts w:asciiTheme="majorHAnsi" w:hAnsiTheme="majorHAnsi"/>
          <w:i/>
          <w:sz w:val="20"/>
          <w:szCs w:val="20"/>
        </w:rPr>
        <w:t>prima facie</w:t>
      </w:r>
      <w:r w:rsidR="00175FE0" w:rsidRPr="00FB36E4">
        <w:rPr>
          <w:rFonts w:asciiTheme="majorHAnsi" w:hAnsiTheme="majorHAnsi"/>
          <w:sz w:val="20"/>
          <w:szCs w:val="20"/>
        </w:rPr>
        <w:t xml:space="preserve"> as obviously groundless and therefore require in-depth analysis</w:t>
      </w:r>
      <w:r w:rsidR="00D562AA" w:rsidRPr="00FB36E4">
        <w:rPr>
          <w:rFonts w:asciiTheme="majorHAnsi" w:hAnsiTheme="majorHAnsi"/>
          <w:sz w:val="20"/>
          <w:szCs w:val="20"/>
        </w:rPr>
        <w:t>.</w:t>
      </w:r>
    </w:p>
    <w:p w14:paraId="279E5990" w14:textId="77777777" w:rsidR="003F2F2D" w:rsidRPr="00FB36E4"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293146C5" w14:textId="31DB9AE4" w:rsidR="000B0579" w:rsidRPr="00FB36E4" w:rsidRDefault="00175FE0"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B36E4">
        <w:rPr>
          <w:rFonts w:ascii="Cambria" w:hAnsi="Cambria"/>
          <w:sz w:val="20"/>
          <w:szCs w:val="20"/>
        </w:rPr>
        <w:t>After examin</w:t>
      </w:r>
      <w:r w:rsidR="00F43E24" w:rsidRPr="00FB36E4">
        <w:rPr>
          <w:rFonts w:ascii="Cambria" w:hAnsi="Cambria"/>
          <w:sz w:val="20"/>
          <w:szCs w:val="20"/>
        </w:rPr>
        <w:t>ing</w:t>
      </w:r>
      <w:r w:rsidRPr="00FB36E4">
        <w:rPr>
          <w:rFonts w:ascii="Cambria" w:hAnsi="Cambria"/>
          <w:sz w:val="20"/>
          <w:szCs w:val="20"/>
        </w:rPr>
        <w:t xml:space="preserve"> the elements of fact and law described by the parties, the Inter-American Commission deems that the petitioner’s allegations are not obviously groundless and that they require in-depth examination because the facts being alleged, if they prove to be true</w:t>
      </w:r>
      <w:r w:rsidR="00F43E24" w:rsidRPr="00FB36E4">
        <w:rPr>
          <w:rFonts w:ascii="Cambria" w:hAnsi="Cambria"/>
          <w:sz w:val="20"/>
          <w:szCs w:val="20"/>
        </w:rPr>
        <w:t>,</w:t>
      </w:r>
      <w:r w:rsidRPr="00FB36E4">
        <w:rPr>
          <w:rFonts w:ascii="Cambria" w:hAnsi="Cambria"/>
          <w:sz w:val="20"/>
          <w:szCs w:val="20"/>
        </w:rPr>
        <w:t xml:space="preserve"> could establish</w:t>
      </w:r>
      <w:r w:rsidR="0077239E" w:rsidRPr="00FB36E4">
        <w:rPr>
          <w:rFonts w:ascii="Cambria" w:hAnsi="Cambria"/>
          <w:sz w:val="20"/>
          <w:szCs w:val="20"/>
        </w:rPr>
        <w:t xml:space="preserve"> </w:t>
      </w:r>
      <w:r w:rsidR="00F43E24" w:rsidRPr="00FB36E4">
        <w:rPr>
          <w:rFonts w:ascii="Cambria" w:hAnsi="Cambria"/>
          <w:sz w:val="20"/>
          <w:szCs w:val="20"/>
        </w:rPr>
        <w:t xml:space="preserve">the </w:t>
      </w:r>
      <w:r w:rsidR="0077239E" w:rsidRPr="00FB36E4">
        <w:rPr>
          <w:rFonts w:ascii="Cambria" w:hAnsi="Cambria"/>
          <w:sz w:val="20"/>
          <w:szCs w:val="20"/>
        </w:rPr>
        <w:t xml:space="preserve">violation of rights enshrined in Articles </w:t>
      </w:r>
      <w:r w:rsidR="00352066" w:rsidRPr="00FB36E4">
        <w:rPr>
          <w:rFonts w:ascii="Cambria" w:hAnsi="Cambria"/>
          <w:sz w:val="20"/>
          <w:szCs w:val="20"/>
        </w:rPr>
        <w:t>8 (</w:t>
      </w:r>
      <w:r w:rsidR="0077239E" w:rsidRPr="00FB36E4">
        <w:rPr>
          <w:rFonts w:ascii="Cambria" w:hAnsi="Cambria"/>
          <w:sz w:val="20"/>
          <w:szCs w:val="20"/>
        </w:rPr>
        <w:t>fair trial</w:t>
      </w:r>
      <w:r w:rsidR="00352066" w:rsidRPr="00FB36E4">
        <w:rPr>
          <w:rFonts w:ascii="Cambria" w:hAnsi="Cambria"/>
          <w:sz w:val="20"/>
          <w:szCs w:val="20"/>
        </w:rPr>
        <w:t>), 24 (</w:t>
      </w:r>
      <w:r w:rsidR="0077239E" w:rsidRPr="00FB36E4">
        <w:rPr>
          <w:rFonts w:ascii="Cambria" w:hAnsi="Cambria"/>
          <w:sz w:val="20"/>
          <w:szCs w:val="20"/>
        </w:rPr>
        <w:t>equality before the law), 25 (judicial protection</w:t>
      </w:r>
      <w:r w:rsidR="00352066" w:rsidRPr="00FB36E4">
        <w:rPr>
          <w:rFonts w:ascii="Cambria" w:hAnsi="Cambria"/>
          <w:sz w:val="20"/>
          <w:szCs w:val="20"/>
        </w:rPr>
        <w:t>)</w:t>
      </w:r>
      <w:r w:rsidR="0077239E" w:rsidRPr="00FB36E4">
        <w:rPr>
          <w:rFonts w:ascii="Cambria" w:hAnsi="Cambria"/>
          <w:sz w:val="20"/>
          <w:szCs w:val="20"/>
        </w:rPr>
        <w:t xml:space="preserve">, and </w:t>
      </w:r>
      <w:r w:rsidR="00352066" w:rsidRPr="00FB36E4">
        <w:rPr>
          <w:rFonts w:ascii="Cambria" w:hAnsi="Cambria"/>
          <w:sz w:val="20"/>
          <w:szCs w:val="20"/>
        </w:rPr>
        <w:t>26 (</w:t>
      </w:r>
      <w:r w:rsidR="0077239E" w:rsidRPr="00FB36E4">
        <w:rPr>
          <w:rFonts w:ascii="Cambria" w:hAnsi="Cambria"/>
          <w:sz w:val="20"/>
          <w:szCs w:val="20"/>
        </w:rPr>
        <w:t>economic, social, and cultural rights</w:t>
      </w:r>
      <w:r w:rsidR="00352066" w:rsidRPr="00FB36E4">
        <w:rPr>
          <w:rFonts w:ascii="Cambria" w:hAnsi="Cambria"/>
          <w:sz w:val="20"/>
          <w:szCs w:val="20"/>
        </w:rPr>
        <w:t xml:space="preserve">) </w:t>
      </w:r>
      <w:r w:rsidR="0077239E" w:rsidRPr="00FB36E4">
        <w:rPr>
          <w:rFonts w:ascii="Cambria" w:hAnsi="Cambria"/>
          <w:sz w:val="20"/>
          <w:szCs w:val="20"/>
        </w:rPr>
        <w:t>of the American Convention, in connection with its Article</w:t>
      </w:r>
      <w:r w:rsidR="00352066" w:rsidRPr="00FB36E4">
        <w:rPr>
          <w:rFonts w:ascii="Cambria" w:hAnsi="Cambria"/>
          <w:sz w:val="20"/>
          <w:szCs w:val="20"/>
        </w:rPr>
        <w:t xml:space="preserve"> 1</w:t>
      </w:r>
      <w:r w:rsidR="0077239E" w:rsidRPr="00FB36E4">
        <w:rPr>
          <w:rFonts w:ascii="Cambria" w:hAnsi="Cambria"/>
          <w:sz w:val="20"/>
          <w:szCs w:val="20"/>
        </w:rPr>
        <w:t>(</w:t>
      </w:r>
      <w:r w:rsidR="00352066" w:rsidRPr="00FB36E4">
        <w:rPr>
          <w:rFonts w:ascii="Cambria" w:hAnsi="Cambria"/>
          <w:sz w:val="20"/>
          <w:szCs w:val="20"/>
        </w:rPr>
        <w:t>1</w:t>
      </w:r>
      <w:r w:rsidR="0077239E" w:rsidRPr="00FB36E4">
        <w:rPr>
          <w:rFonts w:ascii="Cambria" w:hAnsi="Cambria"/>
          <w:sz w:val="20"/>
          <w:szCs w:val="20"/>
        </w:rPr>
        <w:t>)</w:t>
      </w:r>
      <w:r w:rsidR="00352066" w:rsidRPr="00FB36E4">
        <w:rPr>
          <w:rFonts w:ascii="Cambria" w:hAnsi="Cambria"/>
          <w:sz w:val="20"/>
          <w:szCs w:val="20"/>
        </w:rPr>
        <w:t xml:space="preserve"> (</w:t>
      </w:r>
      <w:r w:rsidR="0077239E" w:rsidRPr="00FB36E4">
        <w:rPr>
          <w:rFonts w:ascii="Cambria" w:hAnsi="Cambria"/>
          <w:sz w:val="20"/>
          <w:szCs w:val="20"/>
        </w:rPr>
        <w:t>obligation to respect rights</w:t>
      </w:r>
      <w:r w:rsidR="00F43E24" w:rsidRPr="00FB36E4">
        <w:rPr>
          <w:rFonts w:ascii="Cambria" w:hAnsi="Cambria"/>
          <w:sz w:val="20"/>
          <w:szCs w:val="20"/>
        </w:rPr>
        <w:t>)</w:t>
      </w:r>
      <w:r w:rsidR="0077239E" w:rsidRPr="00FB36E4">
        <w:rPr>
          <w:rFonts w:ascii="Cambria" w:hAnsi="Cambria"/>
          <w:sz w:val="20"/>
          <w:szCs w:val="20"/>
        </w:rPr>
        <w:t xml:space="preserve"> and Article</w:t>
      </w:r>
      <w:r w:rsidR="00D42BAE" w:rsidRPr="00FB36E4">
        <w:rPr>
          <w:rFonts w:ascii="Cambria" w:hAnsi="Cambria"/>
          <w:sz w:val="20"/>
          <w:szCs w:val="20"/>
        </w:rPr>
        <w:t xml:space="preserve"> </w:t>
      </w:r>
      <w:r w:rsidR="00E40551" w:rsidRPr="00FB36E4">
        <w:rPr>
          <w:rFonts w:asciiTheme="majorHAnsi" w:hAnsiTheme="majorHAnsi" w:cs="Calibri"/>
          <w:sz w:val="20"/>
          <w:szCs w:val="20"/>
        </w:rPr>
        <w:t>XVI (</w:t>
      </w:r>
      <w:r w:rsidR="0077239E" w:rsidRPr="00FB36E4">
        <w:rPr>
          <w:rFonts w:asciiTheme="majorHAnsi" w:hAnsiTheme="majorHAnsi" w:cs="Calibri"/>
          <w:sz w:val="20"/>
          <w:szCs w:val="20"/>
        </w:rPr>
        <w:t>social security</w:t>
      </w:r>
      <w:r w:rsidR="00E40551" w:rsidRPr="00FB36E4">
        <w:rPr>
          <w:rFonts w:asciiTheme="majorHAnsi" w:hAnsiTheme="majorHAnsi" w:cs="Calibri"/>
          <w:sz w:val="20"/>
          <w:szCs w:val="20"/>
        </w:rPr>
        <w:t xml:space="preserve">) </w:t>
      </w:r>
      <w:r w:rsidR="0077239E" w:rsidRPr="00FB36E4">
        <w:rPr>
          <w:rFonts w:asciiTheme="majorHAnsi" w:hAnsiTheme="majorHAnsi" w:cs="Calibri"/>
          <w:sz w:val="20"/>
          <w:szCs w:val="20"/>
        </w:rPr>
        <w:t>of the American Declaration</w:t>
      </w:r>
      <w:r w:rsidR="00352066" w:rsidRPr="00FB36E4">
        <w:rPr>
          <w:rFonts w:ascii="Cambria" w:hAnsi="Cambria"/>
          <w:sz w:val="20"/>
          <w:szCs w:val="20"/>
        </w:rPr>
        <w:t>.</w:t>
      </w:r>
    </w:p>
    <w:p w14:paraId="799327A2" w14:textId="77777777" w:rsidR="003F2F2D" w:rsidRPr="00FB36E4" w:rsidRDefault="003F2F2D" w:rsidP="003F2F2D">
      <w:pPr>
        <w:pStyle w:val="ListParagraph"/>
        <w:jc w:val="both"/>
        <w:rPr>
          <w:rFonts w:eastAsia="Times New Roman"/>
          <w:sz w:val="20"/>
          <w:szCs w:val="20"/>
        </w:rPr>
      </w:pPr>
    </w:p>
    <w:p w14:paraId="41060AC6" w14:textId="6BB962AF" w:rsidR="00CA567F" w:rsidRPr="00FB36E4" w:rsidRDefault="00441618" w:rsidP="00BA4740">
      <w:pPr>
        <w:pStyle w:val="ListParagraph"/>
        <w:numPr>
          <w:ilvl w:val="0"/>
          <w:numId w:val="103"/>
        </w:numPr>
        <w:jc w:val="both"/>
        <w:rPr>
          <w:rFonts w:eastAsia="Times New Roman"/>
          <w:sz w:val="20"/>
          <w:szCs w:val="20"/>
        </w:rPr>
      </w:pPr>
      <w:r w:rsidRPr="00FB36E4">
        <w:rPr>
          <w:rFonts w:asciiTheme="majorHAnsi" w:hAnsiTheme="majorHAnsi"/>
          <w:bCs/>
          <w:sz w:val="20"/>
          <w:szCs w:val="20"/>
        </w:rPr>
        <w:t>As for the alleged violations of Articles</w:t>
      </w:r>
      <w:r w:rsidR="001F4849" w:rsidRPr="00FB36E4">
        <w:rPr>
          <w:rFonts w:asciiTheme="majorHAnsi" w:hAnsiTheme="majorHAnsi"/>
          <w:bCs/>
          <w:sz w:val="20"/>
          <w:szCs w:val="20"/>
        </w:rPr>
        <w:t xml:space="preserve"> </w:t>
      </w:r>
      <w:r w:rsidR="001F4849" w:rsidRPr="00FB36E4">
        <w:rPr>
          <w:bCs/>
          <w:sz w:val="20"/>
          <w:szCs w:val="20"/>
        </w:rPr>
        <w:t>II</w:t>
      </w:r>
      <w:r w:rsidR="001E2EA9" w:rsidRPr="00FB36E4">
        <w:rPr>
          <w:bCs/>
          <w:sz w:val="20"/>
          <w:szCs w:val="20"/>
        </w:rPr>
        <w:t xml:space="preserve"> (</w:t>
      </w:r>
      <w:r w:rsidRPr="00FB36E4">
        <w:rPr>
          <w:bCs/>
          <w:sz w:val="20"/>
          <w:szCs w:val="20"/>
        </w:rPr>
        <w:t>equality before the law</w:t>
      </w:r>
      <w:r w:rsidR="001E2EA9" w:rsidRPr="00FB36E4">
        <w:rPr>
          <w:bCs/>
          <w:sz w:val="20"/>
          <w:szCs w:val="20"/>
        </w:rPr>
        <w:t>)</w:t>
      </w:r>
      <w:r w:rsidR="001F4849" w:rsidRPr="00FB36E4">
        <w:rPr>
          <w:bCs/>
          <w:sz w:val="20"/>
          <w:szCs w:val="20"/>
        </w:rPr>
        <w:t>, XVIII</w:t>
      </w:r>
      <w:r w:rsidR="001E2EA9" w:rsidRPr="00FB36E4">
        <w:rPr>
          <w:bCs/>
          <w:sz w:val="20"/>
          <w:szCs w:val="20"/>
        </w:rPr>
        <w:t xml:space="preserve"> (</w:t>
      </w:r>
      <w:r w:rsidR="00F43E24" w:rsidRPr="00FB36E4">
        <w:rPr>
          <w:bCs/>
          <w:sz w:val="20"/>
          <w:szCs w:val="20"/>
        </w:rPr>
        <w:t>fair trial</w:t>
      </w:r>
      <w:r w:rsidR="001E2EA9" w:rsidRPr="00FB36E4">
        <w:rPr>
          <w:bCs/>
          <w:sz w:val="20"/>
          <w:szCs w:val="20"/>
        </w:rPr>
        <w:t>)</w:t>
      </w:r>
      <w:r w:rsidRPr="00FB36E4">
        <w:rPr>
          <w:bCs/>
          <w:sz w:val="20"/>
          <w:szCs w:val="20"/>
        </w:rPr>
        <w:t xml:space="preserve">, and </w:t>
      </w:r>
      <w:r w:rsidR="001F4849" w:rsidRPr="00FB36E4">
        <w:rPr>
          <w:bCs/>
          <w:sz w:val="20"/>
          <w:szCs w:val="20"/>
        </w:rPr>
        <w:t>XXIV</w:t>
      </w:r>
      <w:r w:rsidR="001E2EA9" w:rsidRPr="00FB36E4">
        <w:rPr>
          <w:bCs/>
          <w:sz w:val="20"/>
          <w:szCs w:val="20"/>
        </w:rPr>
        <w:t xml:space="preserve"> (peti</w:t>
      </w:r>
      <w:r w:rsidRPr="00FB36E4">
        <w:rPr>
          <w:bCs/>
          <w:sz w:val="20"/>
          <w:szCs w:val="20"/>
        </w:rPr>
        <w:t>tion</w:t>
      </w:r>
      <w:r w:rsidR="001E2EA9" w:rsidRPr="00FB36E4">
        <w:rPr>
          <w:bCs/>
          <w:sz w:val="20"/>
          <w:szCs w:val="20"/>
        </w:rPr>
        <w:t>)</w:t>
      </w:r>
      <w:r w:rsidR="001F4849" w:rsidRPr="00FB36E4">
        <w:rPr>
          <w:bCs/>
          <w:sz w:val="20"/>
          <w:szCs w:val="20"/>
        </w:rPr>
        <w:t xml:space="preserve"> </w:t>
      </w:r>
      <w:r w:rsidRPr="00FB36E4">
        <w:rPr>
          <w:rFonts w:asciiTheme="majorHAnsi" w:hAnsiTheme="majorHAnsi"/>
          <w:bCs/>
          <w:sz w:val="20"/>
          <w:szCs w:val="20"/>
        </w:rPr>
        <w:t>of the American Declaration, the IACHR has previously established that, when the American Convention enters into force with respect to a state, it becomes the primary source of enforceable law, as long as the petition refers to the alleged violation of rights that are identical in both instruments and that it does not involve a situation of continued violation</w:t>
      </w:r>
      <w:r w:rsidR="001F4849" w:rsidRPr="00FB36E4">
        <w:rPr>
          <w:rFonts w:asciiTheme="majorHAnsi" w:hAnsiTheme="majorHAnsi" w:cs="Calibri"/>
          <w:sz w:val="20"/>
          <w:szCs w:val="20"/>
        </w:rPr>
        <w:t xml:space="preserve">. </w:t>
      </w:r>
    </w:p>
    <w:p w14:paraId="4A2AB18E" w14:textId="77777777" w:rsidR="000D1C65" w:rsidRPr="00FB36E4" w:rsidRDefault="000D1C65" w:rsidP="00BA4740">
      <w:pPr>
        <w:pStyle w:val="ListParagraph"/>
        <w:jc w:val="both"/>
        <w:rPr>
          <w:rFonts w:eastAsia="Times New Roman"/>
          <w:sz w:val="20"/>
          <w:szCs w:val="20"/>
        </w:rPr>
      </w:pPr>
    </w:p>
    <w:p w14:paraId="0E94C15C" w14:textId="0CC378A8" w:rsidR="00352066" w:rsidRPr="00FB36E4" w:rsidRDefault="00E40551"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FB36E4">
        <w:rPr>
          <w:rFonts w:asciiTheme="majorHAnsi" w:hAnsiTheme="majorHAnsi"/>
          <w:sz w:val="20"/>
          <w:szCs w:val="20"/>
        </w:rPr>
        <w:t>Final</w:t>
      </w:r>
      <w:r w:rsidR="00441618" w:rsidRPr="00FB36E4">
        <w:rPr>
          <w:rFonts w:asciiTheme="majorHAnsi" w:hAnsiTheme="majorHAnsi"/>
          <w:sz w:val="20"/>
          <w:szCs w:val="20"/>
        </w:rPr>
        <w:t xml:space="preserve">ly, it should be underscored that the Inter-American Commission, as part of its procedure </w:t>
      </w:r>
      <w:r w:rsidR="00E52AD1" w:rsidRPr="00FB36E4">
        <w:rPr>
          <w:rFonts w:asciiTheme="majorHAnsi" w:hAnsiTheme="majorHAnsi"/>
          <w:sz w:val="20"/>
          <w:szCs w:val="20"/>
        </w:rPr>
        <w:t>f</w:t>
      </w:r>
      <w:r w:rsidR="00441618" w:rsidRPr="00FB36E4">
        <w:rPr>
          <w:rFonts w:asciiTheme="majorHAnsi" w:hAnsiTheme="majorHAnsi"/>
          <w:sz w:val="20"/>
          <w:szCs w:val="20"/>
        </w:rPr>
        <w:t>or processing petitions, does not have the competence</w:t>
      </w:r>
      <w:r w:rsidR="001F4849" w:rsidRPr="00FB36E4">
        <w:rPr>
          <w:rFonts w:asciiTheme="majorHAnsi" w:hAnsiTheme="majorHAnsi"/>
          <w:sz w:val="20"/>
          <w:szCs w:val="20"/>
        </w:rPr>
        <w:t xml:space="preserve"> </w:t>
      </w:r>
      <w:r w:rsidR="001F4849" w:rsidRPr="00FB36E4">
        <w:rPr>
          <w:rFonts w:asciiTheme="majorHAnsi" w:hAnsiTheme="majorHAnsi"/>
          <w:i/>
          <w:sz w:val="20"/>
          <w:szCs w:val="20"/>
        </w:rPr>
        <w:t>ratione materiae</w:t>
      </w:r>
      <w:r w:rsidR="00441618" w:rsidRPr="00FB36E4">
        <w:rPr>
          <w:rFonts w:asciiTheme="majorHAnsi" w:hAnsiTheme="majorHAnsi"/>
          <w:sz w:val="20"/>
          <w:szCs w:val="20"/>
        </w:rPr>
        <w:t xml:space="preserve"> to decide on any possible violations of the conventions of the International Labor Organization (ILO), the Inter-American C</w:t>
      </w:r>
      <w:r w:rsidR="00E52AD1" w:rsidRPr="00FB36E4">
        <w:rPr>
          <w:rFonts w:asciiTheme="majorHAnsi" w:hAnsiTheme="majorHAnsi"/>
          <w:sz w:val="20"/>
          <w:szCs w:val="20"/>
        </w:rPr>
        <w:t>onvention on</w:t>
      </w:r>
      <w:r w:rsidR="00441618" w:rsidRPr="00FB36E4">
        <w:rPr>
          <w:rFonts w:asciiTheme="majorHAnsi" w:hAnsiTheme="majorHAnsi"/>
          <w:sz w:val="20"/>
          <w:szCs w:val="20"/>
        </w:rPr>
        <w:t xml:space="preserve"> the Elimination of All Forms of Discrimination against Persons with Disabilities, and the articles of the San Salvador</w:t>
      </w:r>
      <w:r w:rsidR="00E52AD1" w:rsidRPr="00FB36E4">
        <w:rPr>
          <w:rFonts w:asciiTheme="majorHAnsi" w:hAnsiTheme="majorHAnsi"/>
          <w:sz w:val="20"/>
          <w:szCs w:val="20"/>
        </w:rPr>
        <w:t xml:space="preserve"> Protocol</w:t>
      </w:r>
      <w:r w:rsidR="00441618" w:rsidRPr="00FB36E4">
        <w:rPr>
          <w:rFonts w:asciiTheme="majorHAnsi" w:hAnsiTheme="majorHAnsi"/>
          <w:sz w:val="20"/>
          <w:szCs w:val="20"/>
        </w:rPr>
        <w:t xml:space="preserve"> </w:t>
      </w:r>
      <w:r w:rsidR="00E52AD1" w:rsidRPr="00FB36E4">
        <w:rPr>
          <w:rFonts w:asciiTheme="majorHAnsi" w:hAnsiTheme="majorHAnsi"/>
          <w:sz w:val="20"/>
          <w:szCs w:val="20"/>
        </w:rPr>
        <w:t>n</w:t>
      </w:r>
      <w:r w:rsidR="00441618" w:rsidRPr="00FB36E4">
        <w:rPr>
          <w:rFonts w:asciiTheme="majorHAnsi" w:hAnsiTheme="majorHAnsi"/>
          <w:sz w:val="20"/>
          <w:szCs w:val="20"/>
        </w:rPr>
        <w:t>ot envisaged in its Article 19(6). N</w:t>
      </w:r>
      <w:r w:rsidR="00E52AD1" w:rsidRPr="00FB36E4">
        <w:rPr>
          <w:rFonts w:asciiTheme="majorHAnsi" w:hAnsiTheme="majorHAnsi"/>
          <w:sz w:val="20"/>
          <w:szCs w:val="20"/>
        </w:rPr>
        <w:t>evertheless, pursuant</w:t>
      </w:r>
      <w:r w:rsidR="00441618" w:rsidRPr="00FB36E4">
        <w:rPr>
          <w:rFonts w:asciiTheme="majorHAnsi" w:hAnsiTheme="majorHAnsi"/>
          <w:sz w:val="20"/>
          <w:szCs w:val="20"/>
        </w:rPr>
        <w:t xml:space="preserve"> to Article 29 of the American Convention, the IACHR can take these treaties into account to interpret and enforce the American Convention and other applicable instruments</w:t>
      </w:r>
      <w:r w:rsidR="001F4849" w:rsidRPr="00FB36E4">
        <w:rPr>
          <w:rFonts w:asciiTheme="majorHAnsi" w:hAnsiTheme="majorHAnsi" w:cs="Calibri"/>
          <w:sz w:val="20"/>
          <w:szCs w:val="20"/>
        </w:rPr>
        <w:t>.</w:t>
      </w:r>
    </w:p>
    <w:p w14:paraId="32B49226" w14:textId="77777777" w:rsidR="003F2F2D" w:rsidRPr="00FB36E4" w:rsidRDefault="003F2F2D" w:rsidP="00BA474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rPr>
      </w:pPr>
    </w:p>
    <w:p w14:paraId="29BB41F5" w14:textId="34359BAC" w:rsidR="003239B8" w:rsidRPr="00FB36E4" w:rsidRDefault="00EC72AB" w:rsidP="00BA474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rPr>
      </w:pPr>
      <w:r w:rsidRPr="00FB36E4">
        <w:rPr>
          <w:rFonts w:asciiTheme="majorHAnsi" w:hAnsiTheme="majorHAnsi"/>
          <w:b/>
          <w:bCs/>
          <w:sz w:val="20"/>
          <w:szCs w:val="20"/>
        </w:rPr>
        <w:t>VI</w:t>
      </w:r>
      <w:r w:rsidR="00F04591" w:rsidRPr="00FB36E4">
        <w:rPr>
          <w:rFonts w:asciiTheme="majorHAnsi" w:hAnsiTheme="majorHAnsi"/>
          <w:b/>
          <w:bCs/>
          <w:sz w:val="20"/>
          <w:szCs w:val="20"/>
        </w:rPr>
        <w:t>II</w:t>
      </w:r>
      <w:r w:rsidR="003239B8" w:rsidRPr="00FB36E4">
        <w:rPr>
          <w:rFonts w:asciiTheme="majorHAnsi" w:hAnsiTheme="majorHAnsi"/>
          <w:b/>
          <w:bCs/>
          <w:sz w:val="20"/>
          <w:szCs w:val="20"/>
        </w:rPr>
        <w:t xml:space="preserve">. </w:t>
      </w:r>
      <w:r w:rsidR="003239B8" w:rsidRPr="00FB36E4">
        <w:rPr>
          <w:rFonts w:asciiTheme="majorHAnsi" w:hAnsiTheme="majorHAnsi"/>
          <w:b/>
          <w:bCs/>
          <w:sz w:val="20"/>
          <w:szCs w:val="20"/>
        </w:rPr>
        <w:tab/>
        <w:t>DECISI</w:t>
      </w:r>
      <w:r w:rsidR="00E52AD1" w:rsidRPr="00FB36E4">
        <w:rPr>
          <w:rFonts w:asciiTheme="majorHAnsi" w:hAnsiTheme="majorHAnsi"/>
          <w:b/>
          <w:bCs/>
          <w:sz w:val="20"/>
          <w:szCs w:val="20"/>
        </w:rPr>
        <w:t>ON</w:t>
      </w:r>
    </w:p>
    <w:p w14:paraId="3B34F93B" w14:textId="77777777" w:rsidR="003F2F2D" w:rsidRPr="00FB36E4"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color w:val="FF0000"/>
          <w:sz w:val="20"/>
          <w:szCs w:val="20"/>
        </w:rPr>
      </w:pPr>
    </w:p>
    <w:p w14:paraId="0FDE1D10" w14:textId="69E68776" w:rsidR="003239B8" w:rsidRPr="00FB36E4" w:rsidRDefault="00E52AD1" w:rsidP="00BA474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FF0000"/>
          <w:sz w:val="20"/>
          <w:szCs w:val="20"/>
        </w:rPr>
      </w:pPr>
      <w:r w:rsidRPr="00FB36E4">
        <w:rPr>
          <w:rFonts w:asciiTheme="majorHAnsi" w:hAnsiTheme="majorHAnsi"/>
          <w:sz w:val="20"/>
          <w:szCs w:val="20"/>
        </w:rPr>
        <w:t>To declare the present petition admissible with respect to Articles</w:t>
      </w:r>
      <w:r w:rsidR="003A6337" w:rsidRPr="00FB36E4">
        <w:rPr>
          <w:rFonts w:ascii="Cambria" w:hAnsi="Cambria"/>
          <w:bCs/>
          <w:sz w:val="20"/>
          <w:szCs w:val="20"/>
        </w:rPr>
        <w:t xml:space="preserve"> </w:t>
      </w:r>
      <w:r w:rsidR="00792EB3" w:rsidRPr="00FB36E4">
        <w:rPr>
          <w:rFonts w:ascii="Cambria" w:hAnsi="Cambria"/>
          <w:bCs/>
          <w:sz w:val="20"/>
          <w:szCs w:val="20"/>
        </w:rPr>
        <w:t>8, 24, 25</w:t>
      </w:r>
      <w:r w:rsidRPr="00FB36E4">
        <w:rPr>
          <w:rFonts w:ascii="Cambria" w:hAnsi="Cambria"/>
          <w:bCs/>
          <w:sz w:val="20"/>
          <w:szCs w:val="20"/>
        </w:rPr>
        <w:t>, and</w:t>
      </w:r>
      <w:r w:rsidR="00792EB3" w:rsidRPr="00FB36E4">
        <w:rPr>
          <w:rFonts w:ascii="Cambria" w:hAnsi="Cambria"/>
          <w:bCs/>
          <w:sz w:val="20"/>
          <w:szCs w:val="20"/>
        </w:rPr>
        <w:t xml:space="preserve"> 26 </w:t>
      </w:r>
      <w:r w:rsidRPr="00FB36E4">
        <w:rPr>
          <w:rFonts w:ascii="Cambria" w:hAnsi="Cambria"/>
          <w:bCs/>
          <w:sz w:val="20"/>
          <w:szCs w:val="20"/>
        </w:rPr>
        <w:t>of the American Convention, in connection with its Article 1(</w:t>
      </w:r>
      <w:r w:rsidR="00CA567F" w:rsidRPr="00FB36E4">
        <w:rPr>
          <w:rFonts w:ascii="Cambria" w:hAnsi="Cambria"/>
          <w:bCs/>
          <w:sz w:val="20"/>
          <w:szCs w:val="20"/>
        </w:rPr>
        <w:t>1</w:t>
      </w:r>
      <w:r w:rsidRPr="00FB36E4">
        <w:rPr>
          <w:rFonts w:ascii="Cambria" w:hAnsi="Cambria"/>
          <w:bCs/>
          <w:sz w:val="20"/>
          <w:szCs w:val="20"/>
        </w:rPr>
        <w:t>) and with Article</w:t>
      </w:r>
      <w:r w:rsidR="00CA567F" w:rsidRPr="00FB36E4">
        <w:rPr>
          <w:rFonts w:ascii="Cambria" w:hAnsi="Cambria"/>
          <w:bCs/>
          <w:sz w:val="20"/>
          <w:szCs w:val="20"/>
        </w:rPr>
        <w:t xml:space="preserve"> XVI </w:t>
      </w:r>
      <w:r w:rsidRPr="00FB36E4">
        <w:rPr>
          <w:rFonts w:ascii="Cambria" w:hAnsi="Cambria"/>
          <w:bCs/>
          <w:sz w:val="20"/>
          <w:szCs w:val="20"/>
        </w:rPr>
        <w:t>of the American Declaration</w:t>
      </w:r>
      <w:r w:rsidR="003F2F2D" w:rsidRPr="00FB36E4">
        <w:rPr>
          <w:rFonts w:ascii="Cambria" w:hAnsi="Cambria"/>
          <w:bCs/>
          <w:sz w:val="20"/>
          <w:szCs w:val="20"/>
        </w:rPr>
        <w:t>.</w:t>
      </w:r>
    </w:p>
    <w:p w14:paraId="09F2F9DF" w14:textId="77777777" w:rsidR="003F2F2D" w:rsidRPr="00FB36E4"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14:paraId="7CD4DFBD" w14:textId="35236EB8" w:rsidR="003239B8" w:rsidRDefault="00E52AD1" w:rsidP="00BA474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FB36E4">
        <w:rPr>
          <w:rFonts w:asciiTheme="majorHAnsi" w:hAnsiTheme="majorHAnsi"/>
          <w:sz w:val="20"/>
          <w:szCs w:val="20"/>
        </w:rPr>
        <w:t>To notify the parties about the present decision, to continue examining the merits of the case, and to publish this decision and include it in its Annual Report to the General Assembly of the Organization of American States</w:t>
      </w:r>
      <w:r w:rsidR="004A6A54" w:rsidRPr="00FB36E4">
        <w:rPr>
          <w:rFonts w:asciiTheme="majorHAnsi" w:hAnsiTheme="majorHAnsi"/>
          <w:sz w:val="20"/>
          <w:szCs w:val="20"/>
        </w:rPr>
        <w:t>.</w:t>
      </w:r>
    </w:p>
    <w:p w14:paraId="15E82BEF" w14:textId="77777777" w:rsidR="00B96EBE" w:rsidRDefault="00B96EBE" w:rsidP="00B96EBE">
      <w:pPr>
        <w:suppressAutoHyphens/>
        <w:ind w:firstLine="720"/>
        <w:jc w:val="both"/>
        <w:rPr>
          <w:rFonts w:ascii="Cambria" w:hAnsi="Cambria"/>
          <w:spacing w:val="-2"/>
          <w:sz w:val="20"/>
        </w:rPr>
      </w:pPr>
      <w:bookmarkStart w:id="2" w:name="_Hlk69908510"/>
    </w:p>
    <w:p w14:paraId="0F0D58AC" w14:textId="2B3975C6" w:rsidR="00B96EBE" w:rsidRDefault="00B96EBE" w:rsidP="00B96EBE">
      <w:pPr>
        <w:suppressAutoHyphens/>
        <w:ind w:firstLine="720"/>
        <w:jc w:val="both"/>
        <w:rPr>
          <w:rFonts w:ascii="Cambria" w:hAnsi="Cambria"/>
          <w:spacing w:val="-2"/>
          <w:sz w:val="20"/>
        </w:rPr>
      </w:pPr>
      <w:r w:rsidRPr="006D25D7">
        <w:rPr>
          <w:rFonts w:ascii="Cambria" w:hAnsi="Cambria"/>
          <w:spacing w:val="-2"/>
          <w:sz w:val="20"/>
        </w:rPr>
        <w:t xml:space="preserve">Approved by the Inter-American Commission on Human Rights on </w:t>
      </w:r>
      <w:r w:rsidRPr="00284A0C">
        <w:rPr>
          <w:rFonts w:ascii="Cambria" w:hAnsi="Cambria"/>
          <w:spacing w:val="-2"/>
          <w:sz w:val="20"/>
        </w:rPr>
        <w:t xml:space="preserve">the </w:t>
      </w:r>
      <w:r w:rsidR="008D27CC">
        <w:rPr>
          <w:rFonts w:ascii="Cambria" w:hAnsi="Cambria"/>
          <w:spacing w:val="-2"/>
          <w:sz w:val="20"/>
        </w:rPr>
        <w:t>5</w:t>
      </w:r>
      <w:r w:rsidR="008D27CC" w:rsidRPr="008D27CC">
        <w:rPr>
          <w:rFonts w:ascii="Cambria" w:hAnsi="Cambria"/>
          <w:spacing w:val="-2"/>
          <w:sz w:val="20"/>
          <w:vertAlign w:val="superscript"/>
        </w:rPr>
        <w:t>th</w:t>
      </w:r>
      <w:r w:rsidR="008D27CC">
        <w:rPr>
          <w:rFonts w:ascii="Cambria" w:hAnsi="Cambria"/>
          <w:spacing w:val="-2"/>
          <w:sz w:val="20"/>
        </w:rPr>
        <w:t xml:space="preserve"> </w:t>
      </w:r>
      <w:r w:rsidRPr="00284A0C">
        <w:rPr>
          <w:rFonts w:ascii="Cambria" w:hAnsi="Cambria"/>
          <w:spacing w:val="-2"/>
          <w:sz w:val="20"/>
        </w:rPr>
        <w:t xml:space="preserve">day of the month of </w:t>
      </w:r>
      <w:r w:rsidR="008D27CC">
        <w:rPr>
          <w:rFonts w:ascii="Cambria" w:hAnsi="Cambria"/>
          <w:spacing w:val="-2"/>
          <w:sz w:val="20"/>
        </w:rPr>
        <w:t>March</w:t>
      </w:r>
      <w:r w:rsidRPr="00284A0C">
        <w:rPr>
          <w:rFonts w:ascii="Cambria" w:hAnsi="Cambria"/>
          <w:spacing w:val="-2"/>
          <w:sz w:val="20"/>
        </w:rPr>
        <w:t>, 20</w:t>
      </w:r>
      <w:r>
        <w:rPr>
          <w:rFonts w:ascii="Cambria" w:hAnsi="Cambria"/>
          <w:spacing w:val="-2"/>
          <w:sz w:val="20"/>
        </w:rPr>
        <w:t>22</w:t>
      </w:r>
      <w:r w:rsidRPr="006D25D7">
        <w:rPr>
          <w:rFonts w:ascii="Cambria" w:hAnsi="Cambria"/>
          <w:spacing w:val="-2"/>
          <w:sz w:val="20"/>
        </w:rPr>
        <w:t xml:space="preserve">. </w:t>
      </w:r>
      <w:r>
        <w:rPr>
          <w:rFonts w:ascii="Cambria" w:hAnsi="Cambria"/>
          <w:spacing w:val="-2"/>
          <w:sz w:val="20"/>
        </w:rPr>
        <w:t xml:space="preserve">(Signed:) </w:t>
      </w:r>
      <w:r>
        <w:rPr>
          <w:rFonts w:asciiTheme="majorHAnsi" w:hAnsiTheme="majorHAnsi" w:cs="Arial"/>
          <w:noProof/>
          <w:spacing w:val="-2"/>
          <w:sz w:val="20"/>
          <w:szCs w:val="20"/>
        </w:rPr>
        <w:t>Julissa Mantilla Falcón</w:t>
      </w:r>
      <w:r w:rsidRPr="006D25D7">
        <w:rPr>
          <w:rFonts w:ascii="Cambria" w:hAnsi="Cambria"/>
          <w:sz w:val="20"/>
        </w:rPr>
        <w:t xml:space="preserve">, President; </w:t>
      </w:r>
      <w:r>
        <w:rPr>
          <w:rFonts w:asciiTheme="majorHAnsi" w:hAnsiTheme="majorHAnsi" w:cs="Arial"/>
          <w:noProof/>
          <w:spacing w:val="-2"/>
          <w:sz w:val="20"/>
          <w:szCs w:val="20"/>
        </w:rPr>
        <w:t>Stuardo Ralón Orellana</w:t>
      </w:r>
      <w:r w:rsidRPr="006D25D7">
        <w:rPr>
          <w:rFonts w:ascii="Cambria" w:hAnsi="Cambria"/>
          <w:sz w:val="20"/>
        </w:rPr>
        <w:t xml:space="preserve">, First Vice President; </w:t>
      </w:r>
      <w:r>
        <w:rPr>
          <w:rFonts w:asciiTheme="majorHAnsi" w:hAnsiTheme="majorHAnsi" w:cs="Arial"/>
          <w:noProof/>
          <w:spacing w:val="-2"/>
          <w:sz w:val="20"/>
          <w:szCs w:val="20"/>
        </w:rPr>
        <w:t>Margarette May Macaulay</w:t>
      </w:r>
      <w:r w:rsidRPr="006D25D7">
        <w:rPr>
          <w:rFonts w:ascii="Cambria" w:hAnsi="Cambria"/>
          <w:sz w:val="20"/>
        </w:rPr>
        <w:t xml:space="preserve">, Second Vice </w:t>
      </w:r>
      <w:r w:rsidR="00010A9B" w:rsidRPr="006D25D7">
        <w:rPr>
          <w:rFonts w:ascii="Cambria" w:hAnsi="Cambria"/>
          <w:sz w:val="20"/>
        </w:rPr>
        <w:t>President,</w:t>
      </w:r>
      <w:r w:rsidR="00010A9B">
        <w:rPr>
          <w:rFonts w:ascii="Cambria" w:hAnsi="Cambria"/>
          <w:sz w:val="20"/>
        </w:rPr>
        <w:t xml:space="preserve"> </w:t>
      </w:r>
      <w:r w:rsidR="00010A9B">
        <w:rPr>
          <w:rFonts w:asciiTheme="majorHAnsi" w:hAnsiTheme="majorHAnsi" w:cs="Arial"/>
          <w:noProof/>
          <w:spacing w:val="-2"/>
          <w:sz w:val="20"/>
          <w:szCs w:val="20"/>
        </w:rPr>
        <w:t>and</w:t>
      </w:r>
      <w:r w:rsidR="00010A9B" w:rsidRPr="00284A0C">
        <w:rPr>
          <w:rFonts w:asciiTheme="majorHAnsi" w:hAnsiTheme="majorHAnsi" w:cs="Arial"/>
          <w:noProof/>
          <w:spacing w:val="-2"/>
          <w:sz w:val="20"/>
          <w:szCs w:val="20"/>
        </w:rPr>
        <w:t xml:space="preserve"> </w:t>
      </w:r>
      <w:r w:rsidRPr="00284A0C">
        <w:rPr>
          <w:rFonts w:asciiTheme="majorHAnsi" w:hAnsiTheme="majorHAnsi" w:cs="Arial"/>
          <w:noProof/>
          <w:spacing w:val="-2"/>
          <w:sz w:val="20"/>
          <w:szCs w:val="20"/>
        </w:rPr>
        <w:t>Esmeralda E. Arosemena Bernal de Troitiño</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p>
    <w:bookmarkEnd w:id="2"/>
    <w:p w14:paraId="121B86CD" w14:textId="77777777" w:rsidR="00607FB5" w:rsidRPr="00FB36E4" w:rsidRDefault="00607FB5" w:rsidP="00607F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sectPr w:rsidR="00607FB5" w:rsidRPr="00FB36E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F39D1" w14:textId="77777777" w:rsidR="00CC4855" w:rsidRDefault="00CC4855">
      <w:r>
        <w:separator/>
      </w:r>
    </w:p>
  </w:endnote>
  <w:endnote w:type="continuationSeparator" w:id="0">
    <w:p w14:paraId="0AAD6024" w14:textId="77777777" w:rsidR="00CC4855" w:rsidRDefault="00CC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1CAADE2D" w:rsidR="00107599" w:rsidRPr="00934A2C" w:rsidRDefault="0010759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62CC7">
          <w:rPr>
            <w:noProof/>
            <w:sz w:val="16"/>
            <w:szCs w:val="22"/>
          </w:rPr>
          <w:t>5</w:t>
        </w:r>
        <w:r w:rsidRPr="00934A2C">
          <w:rPr>
            <w:noProof/>
            <w:sz w:val="16"/>
            <w:szCs w:val="22"/>
          </w:rPr>
          <w:fldChar w:fldCharType="end"/>
        </w:r>
      </w:p>
    </w:sdtContent>
  </w:sdt>
  <w:p w14:paraId="68530E6A" w14:textId="77777777" w:rsidR="00107599" w:rsidRDefault="00107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107599" w:rsidRPr="00934A2C" w:rsidRDefault="00107599">
    <w:pPr>
      <w:pStyle w:val="Footer"/>
      <w:jc w:val="center"/>
      <w:rPr>
        <w:sz w:val="16"/>
        <w:szCs w:val="22"/>
      </w:rPr>
    </w:pPr>
  </w:p>
  <w:p w14:paraId="49059CE3" w14:textId="77777777" w:rsidR="00107599" w:rsidRDefault="00107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38A2" w14:textId="77777777" w:rsidR="00CC4855" w:rsidRPr="000F35ED" w:rsidRDefault="00CC485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FDB28FD" w14:textId="77777777" w:rsidR="00CC4855" w:rsidRPr="000F35ED" w:rsidRDefault="00CC4855" w:rsidP="000F35ED">
      <w:pPr>
        <w:rPr>
          <w:rFonts w:asciiTheme="majorHAnsi" w:hAnsiTheme="majorHAnsi"/>
          <w:sz w:val="16"/>
          <w:szCs w:val="16"/>
        </w:rPr>
      </w:pPr>
      <w:r w:rsidRPr="000F35ED">
        <w:rPr>
          <w:rFonts w:asciiTheme="majorHAnsi" w:hAnsiTheme="majorHAnsi"/>
          <w:sz w:val="16"/>
          <w:szCs w:val="16"/>
        </w:rPr>
        <w:separator/>
      </w:r>
    </w:p>
    <w:p w14:paraId="45C052F1" w14:textId="77777777" w:rsidR="00CC4855" w:rsidRPr="000F35ED" w:rsidRDefault="00CC485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0675C00" w14:textId="77777777" w:rsidR="00CC4855" w:rsidRPr="000F35ED" w:rsidRDefault="00CC485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4DDCE76A" w:rsidR="00107599" w:rsidRPr="00A72A00" w:rsidRDefault="00107599" w:rsidP="00607FB5">
      <w:pPr>
        <w:pStyle w:val="FootnoteText"/>
        <w:ind w:firstLine="720"/>
        <w:jc w:val="both"/>
        <w:rPr>
          <w:rFonts w:asciiTheme="majorHAnsi" w:hAnsiTheme="majorHAnsi"/>
          <w:sz w:val="16"/>
          <w:szCs w:val="16"/>
        </w:rPr>
      </w:pPr>
      <w:r w:rsidRPr="001C68B3">
        <w:rPr>
          <w:rStyle w:val="FootnoteReference"/>
          <w:rFonts w:asciiTheme="majorHAnsi" w:hAnsiTheme="majorHAnsi"/>
          <w:color w:val="auto"/>
          <w:sz w:val="16"/>
          <w:szCs w:val="16"/>
        </w:rPr>
        <w:footnoteRef/>
      </w:r>
      <w:r w:rsidRPr="00A72A00">
        <w:rPr>
          <w:rFonts w:asciiTheme="majorHAnsi" w:hAnsiTheme="majorHAnsi"/>
          <w:color w:val="auto"/>
          <w:sz w:val="16"/>
          <w:szCs w:val="16"/>
        </w:rPr>
        <w:t xml:space="preserve"> Pursuant </w:t>
      </w:r>
      <w:r w:rsidR="00F74355">
        <w:rPr>
          <w:rFonts w:asciiTheme="majorHAnsi" w:hAnsiTheme="majorHAnsi"/>
          <w:color w:val="auto"/>
          <w:sz w:val="16"/>
          <w:szCs w:val="16"/>
        </w:rPr>
        <w:t>to the provisions of Article 17(</w:t>
      </w:r>
      <w:r w:rsidRPr="00A72A00">
        <w:rPr>
          <w:rFonts w:asciiTheme="majorHAnsi" w:hAnsiTheme="majorHAnsi"/>
          <w:color w:val="auto"/>
          <w:sz w:val="16"/>
          <w:szCs w:val="16"/>
        </w:rPr>
        <w:t>2</w:t>
      </w:r>
      <w:r w:rsidR="00F74355">
        <w:rPr>
          <w:rFonts w:asciiTheme="majorHAnsi" w:hAnsiTheme="majorHAnsi"/>
          <w:color w:val="auto"/>
          <w:sz w:val="16"/>
          <w:szCs w:val="16"/>
        </w:rPr>
        <w:t>)</w:t>
      </w:r>
      <w:r w:rsidRPr="00A72A00">
        <w:rPr>
          <w:rFonts w:asciiTheme="majorHAnsi" w:hAnsiTheme="majorHAnsi"/>
          <w:color w:val="auto"/>
          <w:sz w:val="16"/>
          <w:szCs w:val="16"/>
        </w:rPr>
        <w:t xml:space="preserve">(a) of the Rules of Procedure of the Commission, Commissioner Joel Hernández García, a Mexican national, did not participate in the </w:t>
      </w:r>
      <w:r w:rsidR="00F74355">
        <w:rPr>
          <w:rFonts w:asciiTheme="majorHAnsi" w:hAnsiTheme="majorHAnsi"/>
          <w:color w:val="auto"/>
          <w:sz w:val="16"/>
          <w:szCs w:val="16"/>
        </w:rPr>
        <w:t>deliberations</w:t>
      </w:r>
      <w:r>
        <w:rPr>
          <w:rFonts w:asciiTheme="majorHAnsi" w:hAnsiTheme="majorHAnsi"/>
          <w:color w:val="auto"/>
          <w:sz w:val="16"/>
          <w:szCs w:val="16"/>
        </w:rPr>
        <w:t xml:space="preserve"> or ruling in the instant case</w:t>
      </w:r>
      <w:r w:rsidRPr="00A72A00">
        <w:rPr>
          <w:rFonts w:asciiTheme="majorHAnsi" w:hAnsiTheme="majorHAnsi"/>
          <w:color w:val="auto"/>
          <w:sz w:val="16"/>
          <w:szCs w:val="16"/>
        </w:rPr>
        <w:t>.</w:t>
      </w:r>
    </w:p>
  </w:footnote>
  <w:footnote w:id="3">
    <w:p w14:paraId="7EBBEAD4" w14:textId="5072D5D4" w:rsidR="00107599" w:rsidRPr="00F74355" w:rsidRDefault="00107599" w:rsidP="00607FB5">
      <w:pPr>
        <w:pStyle w:val="FootnoteText"/>
        <w:ind w:firstLine="720"/>
        <w:jc w:val="both"/>
        <w:rPr>
          <w:rFonts w:asciiTheme="majorHAnsi" w:hAnsiTheme="majorHAnsi"/>
          <w:sz w:val="16"/>
          <w:szCs w:val="16"/>
        </w:rPr>
      </w:pPr>
      <w:r w:rsidRPr="001C68B3">
        <w:rPr>
          <w:rStyle w:val="FootnoteReference"/>
          <w:rFonts w:asciiTheme="majorHAnsi" w:hAnsiTheme="majorHAnsi"/>
          <w:sz w:val="16"/>
          <w:szCs w:val="16"/>
        </w:rPr>
        <w:footnoteRef/>
      </w:r>
      <w:r w:rsidRPr="00F74355">
        <w:rPr>
          <w:rFonts w:asciiTheme="majorHAnsi" w:hAnsiTheme="majorHAnsi"/>
          <w:sz w:val="16"/>
          <w:szCs w:val="16"/>
        </w:rPr>
        <w:t xml:space="preserve"> Hereinafter the American Declaration.</w:t>
      </w:r>
    </w:p>
  </w:footnote>
  <w:footnote w:id="4">
    <w:p w14:paraId="400870E4" w14:textId="733CDFFB" w:rsidR="00107599" w:rsidRPr="00A737AA" w:rsidRDefault="00107599" w:rsidP="00607FB5">
      <w:pPr>
        <w:pStyle w:val="FootnoteText"/>
        <w:ind w:firstLine="720"/>
        <w:jc w:val="both"/>
        <w:rPr>
          <w:rFonts w:asciiTheme="majorHAnsi" w:hAnsiTheme="majorHAnsi"/>
          <w:sz w:val="16"/>
          <w:szCs w:val="16"/>
        </w:rPr>
      </w:pPr>
      <w:r w:rsidRPr="001C68B3">
        <w:rPr>
          <w:rStyle w:val="FootnoteReference"/>
          <w:rFonts w:asciiTheme="majorHAnsi" w:hAnsiTheme="majorHAnsi"/>
          <w:sz w:val="16"/>
          <w:szCs w:val="16"/>
        </w:rPr>
        <w:footnoteRef/>
      </w:r>
      <w:r w:rsidRPr="00A737AA">
        <w:rPr>
          <w:rFonts w:asciiTheme="majorHAnsi" w:hAnsiTheme="majorHAnsi"/>
          <w:sz w:val="16"/>
          <w:szCs w:val="16"/>
        </w:rPr>
        <w:t xml:space="preserve"> </w:t>
      </w:r>
      <w:r w:rsidRPr="00A737AA">
        <w:rPr>
          <w:rFonts w:asciiTheme="majorHAnsi" w:hAnsiTheme="majorHAnsi"/>
          <w:color w:val="auto"/>
          <w:sz w:val="16"/>
          <w:szCs w:val="16"/>
        </w:rPr>
        <w:t>The petitioner also invo</w:t>
      </w:r>
      <w:r>
        <w:rPr>
          <w:rFonts w:asciiTheme="majorHAnsi" w:hAnsiTheme="majorHAnsi"/>
          <w:color w:val="auto"/>
          <w:sz w:val="16"/>
          <w:szCs w:val="16"/>
        </w:rPr>
        <w:t>k</w:t>
      </w:r>
      <w:r w:rsidRPr="00A737AA">
        <w:rPr>
          <w:rFonts w:asciiTheme="majorHAnsi" w:hAnsiTheme="majorHAnsi"/>
          <w:color w:val="auto"/>
          <w:sz w:val="16"/>
          <w:szCs w:val="16"/>
        </w:rPr>
        <w:t xml:space="preserve">es the Inter-American Convention on Human </w:t>
      </w:r>
      <w:r>
        <w:rPr>
          <w:rFonts w:asciiTheme="majorHAnsi" w:hAnsiTheme="majorHAnsi"/>
          <w:color w:val="auto"/>
          <w:sz w:val="16"/>
          <w:szCs w:val="16"/>
        </w:rPr>
        <w:t>R</w:t>
      </w:r>
      <w:r w:rsidRPr="00A737AA">
        <w:rPr>
          <w:rFonts w:asciiTheme="majorHAnsi" w:hAnsiTheme="majorHAnsi"/>
          <w:color w:val="auto"/>
          <w:sz w:val="16"/>
          <w:szCs w:val="16"/>
        </w:rPr>
        <w:t>ights, the San Salvador Protocol, and t</w:t>
      </w:r>
      <w:r w:rsidR="00F74355">
        <w:rPr>
          <w:rFonts w:asciiTheme="majorHAnsi" w:hAnsiTheme="majorHAnsi"/>
          <w:color w:val="auto"/>
          <w:sz w:val="16"/>
          <w:szCs w:val="16"/>
        </w:rPr>
        <w:t>he Inter-American Convention on</w:t>
      </w:r>
      <w:r w:rsidRPr="00A737AA">
        <w:rPr>
          <w:rFonts w:asciiTheme="majorHAnsi" w:hAnsiTheme="majorHAnsi"/>
          <w:color w:val="auto"/>
          <w:sz w:val="16"/>
          <w:szCs w:val="16"/>
        </w:rPr>
        <w:t xml:space="preserve"> the Elimination of All Forms of Discrimination against Persons with Disabilities, without specifying the articles, as well as Conventions 17 (</w:t>
      </w:r>
      <w:r w:rsidR="00F74355">
        <w:rPr>
          <w:rFonts w:asciiTheme="majorHAnsi" w:hAnsiTheme="majorHAnsi"/>
          <w:color w:val="auto"/>
          <w:sz w:val="16"/>
          <w:szCs w:val="16"/>
        </w:rPr>
        <w:t xml:space="preserve">Workmen’s Compensation, </w:t>
      </w:r>
      <w:r w:rsidR="00393C41">
        <w:rPr>
          <w:rFonts w:asciiTheme="majorHAnsi" w:hAnsiTheme="majorHAnsi"/>
          <w:color w:val="auto"/>
          <w:sz w:val="16"/>
          <w:szCs w:val="16"/>
        </w:rPr>
        <w:t>Accidents),</w:t>
      </w:r>
      <w:r w:rsidRPr="00A737AA">
        <w:rPr>
          <w:rFonts w:asciiTheme="majorHAnsi" w:hAnsiTheme="majorHAnsi"/>
          <w:color w:val="auto"/>
          <w:sz w:val="16"/>
          <w:szCs w:val="16"/>
        </w:rPr>
        <w:t xml:space="preserve"> 95 (</w:t>
      </w:r>
      <w:r w:rsidR="00F74355">
        <w:rPr>
          <w:rFonts w:asciiTheme="majorHAnsi" w:hAnsiTheme="majorHAnsi"/>
          <w:color w:val="auto"/>
          <w:sz w:val="16"/>
          <w:szCs w:val="16"/>
        </w:rPr>
        <w:t xml:space="preserve">Protection of </w:t>
      </w:r>
      <w:r w:rsidRPr="00A737AA">
        <w:rPr>
          <w:rFonts w:asciiTheme="majorHAnsi" w:hAnsiTheme="majorHAnsi"/>
          <w:color w:val="auto"/>
          <w:sz w:val="16"/>
          <w:szCs w:val="16"/>
        </w:rPr>
        <w:t>W</w:t>
      </w:r>
      <w:r>
        <w:rPr>
          <w:rFonts w:asciiTheme="majorHAnsi" w:hAnsiTheme="majorHAnsi"/>
          <w:color w:val="auto"/>
          <w:sz w:val="16"/>
          <w:szCs w:val="16"/>
        </w:rPr>
        <w:t>age</w:t>
      </w:r>
      <w:r w:rsidR="00F74355">
        <w:rPr>
          <w:rFonts w:asciiTheme="majorHAnsi" w:hAnsiTheme="majorHAnsi"/>
          <w:color w:val="auto"/>
          <w:sz w:val="16"/>
          <w:szCs w:val="16"/>
        </w:rPr>
        <w:t>s</w:t>
      </w:r>
      <w:r w:rsidR="00393C41">
        <w:rPr>
          <w:rFonts w:asciiTheme="majorHAnsi" w:hAnsiTheme="majorHAnsi"/>
          <w:color w:val="auto"/>
          <w:sz w:val="16"/>
          <w:szCs w:val="16"/>
        </w:rPr>
        <w:t>),</w:t>
      </w:r>
      <w:r w:rsidRPr="00A737AA">
        <w:rPr>
          <w:rFonts w:asciiTheme="majorHAnsi" w:hAnsiTheme="majorHAnsi"/>
          <w:color w:val="auto"/>
          <w:sz w:val="16"/>
          <w:szCs w:val="16"/>
        </w:rPr>
        <w:t xml:space="preserve"> 29 (</w:t>
      </w:r>
      <w:r>
        <w:rPr>
          <w:rFonts w:asciiTheme="majorHAnsi" w:hAnsiTheme="majorHAnsi"/>
          <w:color w:val="auto"/>
          <w:sz w:val="16"/>
          <w:szCs w:val="16"/>
        </w:rPr>
        <w:t>Forced Labor</w:t>
      </w:r>
      <w:r w:rsidR="00393C41">
        <w:rPr>
          <w:rFonts w:asciiTheme="majorHAnsi" w:hAnsiTheme="majorHAnsi"/>
          <w:color w:val="auto"/>
          <w:sz w:val="16"/>
          <w:szCs w:val="16"/>
        </w:rPr>
        <w:t>),</w:t>
      </w:r>
      <w:r w:rsidRPr="00A737AA">
        <w:rPr>
          <w:rFonts w:asciiTheme="majorHAnsi" w:hAnsiTheme="majorHAnsi"/>
          <w:color w:val="auto"/>
          <w:sz w:val="16"/>
          <w:szCs w:val="16"/>
        </w:rPr>
        <w:t xml:space="preserve"> 160 (</w:t>
      </w:r>
      <w:r>
        <w:rPr>
          <w:rFonts w:asciiTheme="majorHAnsi" w:hAnsiTheme="majorHAnsi"/>
          <w:color w:val="auto"/>
          <w:sz w:val="16"/>
          <w:szCs w:val="16"/>
        </w:rPr>
        <w:t>Labor Statistics</w:t>
      </w:r>
      <w:r w:rsidRPr="00A737AA">
        <w:rPr>
          <w:rFonts w:asciiTheme="majorHAnsi" w:hAnsiTheme="majorHAnsi"/>
          <w:color w:val="auto"/>
          <w:sz w:val="16"/>
          <w:szCs w:val="16"/>
        </w:rPr>
        <w:t>)</w:t>
      </w:r>
      <w:r>
        <w:rPr>
          <w:rFonts w:asciiTheme="majorHAnsi" w:hAnsiTheme="majorHAnsi"/>
          <w:color w:val="auto"/>
          <w:sz w:val="16"/>
          <w:szCs w:val="16"/>
        </w:rPr>
        <w:t>, and</w:t>
      </w:r>
      <w:r w:rsidRPr="00A737AA">
        <w:rPr>
          <w:rFonts w:asciiTheme="majorHAnsi" w:hAnsiTheme="majorHAnsi"/>
          <w:color w:val="auto"/>
          <w:sz w:val="16"/>
          <w:szCs w:val="16"/>
        </w:rPr>
        <w:t xml:space="preserve"> 30 (</w:t>
      </w:r>
      <w:r w:rsidR="00393C41">
        <w:rPr>
          <w:rFonts w:asciiTheme="majorHAnsi" w:hAnsiTheme="majorHAnsi"/>
          <w:color w:val="auto"/>
          <w:sz w:val="16"/>
          <w:szCs w:val="16"/>
        </w:rPr>
        <w:t>Hours of Work</w:t>
      </w:r>
      <w:r w:rsidRPr="00A737AA">
        <w:rPr>
          <w:rFonts w:asciiTheme="majorHAnsi" w:hAnsiTheme="majorHAnsi"/>
          <w:color w:val="auto"/>
          <w:sz w:val="16"/>
          <w:szCs w:val="16"/>
        </w:rPr>
        <w:t xml:space="preserve">) </w:t>
      </w:r>
      <w:r>
        <w:rPr>
          <w:rFonts w:asciiTheme="majorHAnsi" w:hAnsiTheme="majorHAnsi"/>
          <w:color w:val="auto"/>
          <w:sz w:val="16"/>
          <w:szCs w:val="16"/>
        </w:rPr>
        <w:t>of the International Labor Organization (ILO)</w:t>
      </w:r>
      <w:r w:rsidRPr="00A737AA">
        <w:rPr>
          <w:rFonts w:asciiTheme="majorHAnsi" w:hAnsiTheme="majorHAnsi"/>
          <w:color w:val="auto"/>
          <w:sz w:val="16"/>
          <w:szCs w:val="16"/>
        </w:rPr>
        <w:t xml:space="preserve">. </w:t>
      </w:r>
    </w:p>
  </w:footnote>
  <w:footnote w:id="5">
    <w:p w14:paraId="79F07139" w14:textId="4344B6E7" w:rsidR="00107599" w:rsidRPr="00A737AA" w:rsidRDefault="00107599" w:rsidP="00607FB5">
      <w:pPr>
        <w:pStyle w:val="FootnoteText"/>
        <w:ind w:firstLine="720"/>
        <w:jc w:val="both"/>
        <w:rPr>
          <w:rFonts w:asciiTheme="majorHAnsi" w:hAnsiTheme="majorHAnsi"/>
          <w:sz w:val="16"/>
          <w:szCs w:val="16"/>
        </w:rPr>
      </w:pPr>
      <w:r w:rsidRPr="001C68B3">
        <w:rPr>
          <w:rStyle w:val="FootnoteReference"/>
          <w:rFonts w:asciiTheme="majorHAnsi" w:hAnsiTheme="majorHAnsi"/>
          <w:sz w:val="16"/>
          <w:szCs w:val="16"/>
        </w:rPr>
        <w:footnoteRef/>
      </w:r>
      <w:r w:rsidRPr="00A737AA">
        <w:rPr>
          <w:rFonts w:asciiTheme="majorHAnsi" w:hAnsiTheme="majorHAnsi"/>
          <w:sz w:val="16"/>
          <w:szCs w:val="16"/>
        </w:rPr>
        <w:t xml:space="preserve"> The observations made by each part</w:t>
      </w:r>
      <w:r>
        <w:rPr>
          <w:rFonts w:asciiTheme="majorHAnsi" w:hAnsiTheme="majorHAnsi"/>
          <w:sz w:val="16"/>
          <w:szCs w:val="16"/>
        </w:rPr>
        <w:t>y were duly transmitted</w:t>
      </w:r>
      <w:r w:rsidRPr="00A737AA">
        <w:rPr>
          <w:rFonts w:asciiTheme="majorHAnsi" w:hAnsiTheme="majorHAnsi"/>
          <w:sz w:val="16"/>
          <w:szCs w:val="16"/>
        </w:rPr>
        <w:t xml:space="preserve"> to the other party.</w:t>
      </w:r>
    </w:p>
  </w:footnote>
  <w:footnote w:id="6">
    <w:p w14:paraId="3CB6DA22" w14:textId="5DB35604" w:rsidR="00107599" w:rsidRPr="00626B74" w:rsidRDefault="00107599" w:rsidP="00607FB5">
      <w:pPr>
        <w:pStyle w:val="FootnoteText"/>
        <w:ind w:firstLine="720"/>
        <w:jc w:val="both"/>
        <w:rPr>
          <w:rFonts w:asciiTheme="majorHAnsi" w:hAnsiTheme="majorHAnsi"/>
          <w:sz w:val="16"/>
          <w:szCs w:val="16"/>
        </w:rPr>
      </w:pPr>
      <w:r w:rsidRPr="001C68B3">
        <w:rPr>
          <w:rStyle w:val="FootnoteReference"/>
          <w:rFonts w:asciiTheme="majorHAnsi" w:hAnsiTheme="majorHAnsi"/>
          <w:sz w:val="16"/>
          <w:szCs w:val="16"/>
        </w:rPr>
        <w:footnoteRef/>
      </w:r>
      <w:r w:rsidRPr="00626B74">
        <w:rPr>
          <w:rFonts w:asciiTheme="majorHAnsi" w:hAnsiTheme="majorHAnsi"/>
          <w:sz w:val="16"/>
          <w:szCs w:val="16"/>
        </w:rPr>
        <w:t xml:space="preserve"> Hereinafter the American Convention.</w:t>
      </w:r>
    </w:p>
  </w:footnote>
  <w:footnote w:id="7">
    <w:p w14:paraId="63797AAB" w14:textId="6E364A11" w:rsidR="00107599" w:rsidRPr="00A737AA" w:rsidRDefault="00107599" w:rsidP="00607F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16"/>
          <w:szCs w:val="16"/>
        </w:rPr>
      </w:pPr>
      <w:r w:rsidRPr="00626B74">
        <w:rPr>
          <w:sz w:val="16"/>
          <w:szCs w:val="16"/>
        </w:rPr>
        <w:tab/>
      </w:r>
      <w:r w:rsidRPr="001C68B3">
        <w:rPr>
          <w:rStyle w:val="FootnoteReference"/>
          <w:sz w:val="16"/>
          <w:szCs w:val="16"/>
        </w:rPr>
        <w:footnoteRef/>
      </w:r>
      <w:r w:rsidRPr="00A737AA">
        <w:rPr>
          <w:sz w:val="16"/>
          <w:szCs w:val="16"/>
        </w:rPr>
        <w:t xml:space="preserve"> On February</w:t>
      </w:r>
      <w:r w:rsidRPr="00A737AA">
        <w:rPr>
          <w:rFonts w:asciiTheme="majorHAnsi" w:hAnsiTheme="majorHAnsi"/>
          <w:sz w:val="16"/>
          <w:szCs w:val="16"/>
        </w:rPr>
        <w:t xml:space="preserve"> 12, 2019,</w:t>
      </w:r>
      <w:r w:rsidRPr="00A737AA">
        <w:rPr>
          <w:rFonts w:ascii="Cambria" w:hAnsi="Cambria"/>
          <w:sz w:val="16"/>
          <w:szCs w:val="16"/>
        </w:rPr>
        <w:t xml:space="preserve"> the petitione</w:t>
      </w:r>
      <w:r>
        <w:rPr>
          <w:rFonts w:ascii="Cambria" w:hAnsi="Cambria"/>
          <w:sz w:val="16"/>
          <w:szCs w:val="16"/>
        </w:rPr>
        <w:t>r reported that the settlement of this</w:t>
      </w:r>
      <w:r w:rsidRPr="00A737AA">
        <w:rPr>
          <w:rFonts w:ascii="Cambria" w:hAnsi="Cambria"/>
          <w:sz w:val="16"/>
          <w:szCs w:val="16"/>
        </w:rPr>
        <w:t xml:space="preserve"> complaint</w:t>
      </w:r>
      <w:r>
        <w:rPr>
          <w:rFonts w:ascii="Cambria" w:hAnsi="Cambria"/>
          <w:sz w:val="16"/>
          <w:szCs w:val="16"/>
        </w:rPr>
        <w:t xml:space="preserve"> by JFCA 39 of Tampico</w:t>
      </w:r>
      <w:r w:rsidRPr="00A737AA">
        <w:rPr>
          <w:rFonts w:ascii="Cambria" w:hAnsi="Cambria"/>
          <w:sz w:val="16"/>
          <w:szCs w:val="16"/>
        </w:rPr>
        <w:t xml:space="preserve"> remained pending. Afterwards, on May 7, 2021, the petitioner provided relevant documentation on an incidental hearing that had been held by JFCA 39 of Tampico with respect to this complaint.</w:t>
      </w:r>
    </w:p>
  </w:footnote>
  <w:footnote w:id="8">
    <w:p w14:paraId="5CE1DFBE" w14:textId="3E619BD9" w:rsidR="00107599" w:rsidRPr="00441618" w:rsidRDefault="00107599" w:rsidP="00607FB5">
      <w:pPr>
        <w:pStyle w:val="FootnoteText"/>
        <w:ind w:firstLine="720"/>
        <w:jc w:val="both"/>
        <w:rPr>
          <w:rFonts w:asciiTheme="majorHAnsi" w:hAnsiTheme="majorHAnsi"/>
          <w:sz w:val="16"/>
          <w:szCs w:val="16"/>
        </w:rPr>
      </w:pPr>
      <w:r w:rsidRPr="001C68B3">
        <w:rPr>
          <w:rStyle w:val="FootnoteReference"/>
          <w:rFonts w:asciiTheme="majorHAnsi" w:hAnsiTheme="majorHAnsi"/>
          <w:sz w:val="16"/>
          <w:szCs w:val="16"/>
        </w:rPr>
        <w:footnoteRef/>
      </w:r>
      <w:r w:rsidRPr="00A737AA">
        <w:rPr>
          <w:rFonts w:asciiTheme="majorHAnsi" w:hAnsiTheme="majorHAnsi"/>
          <w:sz w:val="16"/>
          <w:szCs w:val="16"/>
        </w:rPr>
        <w:t xml:space="preserve"> IACHR, Report No. 143/18, Petition 940-08. Admissibility. </w:t>
      </w:r>
      <w:r w:rsidRPr="001C68B3">
        <w:rPr>
          <w:rFonts w:asciiTheme="majorHAnsi" w:hAnsiTheme="majorHAnsi"/>
          <w:sz w:val="16"/>
          <w:szCs w:val="16"/>
          <w:lang w:val="es-ES"/>
        </w:rPr>
        <w:t>L</w:t>
      </w:r>
      <w:r>
        <w:rPr>
          <w:rFonts w:asciiTheme="majorHAnsi" w:hAnsiTheme="majorHAnsi"/>
          <w:sz w:val="16"/>
          <w:szCs w:val="16"/>
          <w:lang w:val="es-ES"/>
        </w:rPr>
        <w:t>uis Américo Ayala Gonzales. Peru</w:t>
      </w:r>
      <w:r w:rsidRPr="001C68B3">
        <w:rPr>
          <w:rFonts w:asciiTheme="majorHAnsi" w:hAnsiTheme="majorHAnsi"/>
          <w:sz w:val="16"/>
          <w:szCs w:val="16"/>
          <w:lang w:val="es-ES"/>
        </w:rPr>
        <w:t xml:space="preserve">. </w:t>
      </w:r>
      <w:r w:rsidRPr="00441618">
        <w:rPr>
          <w:rFonts w:asciiTheme="majorHAnsi" w:hAnsiTheme="majorHAnsi"/>
          <w:sz w:val="16"/>
          <w:szCs w:val="16"/>
        </w:rPr>
        <w:t>December 4, 2018, para. 12.</w:t>
      </w:r>
    </w:p>
  </w:footnote>
  <w:footnote w:id="9">
    <w:p w14:paraId="574A58EF" w14:textId="23357226" w:rsidR="00107599" w:rsidRPr="001C68B3" w:rsidRDefault="00107599" w:rsidP="00607FB5">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1C68B3">
        <w:rPr>
          <w:rStyle w:val="FootnoteReference"/>
          <w:rFonts w:asciiTheme="majorHAnsi" w:hAnsiTheme="majorHAnsi" w:cs="Tahoma"/>
          <w:sz w:val="16"/>
          <w:szCs w:val="16"/>
        </w:rPr>
        <w:footnoteRef/>
      </w:r>
      <w:r w:rsidRPr="00A737AA">
        <w:rPr>
          <w:rFonts w:asciiTheme="majorHAnsi" w:hAnsiTheme="majorHAnsi" w:cs="Tahoma"/>
          <w:sz w:val="16"/>
          <w:szCs w:val="16"/>
        </w:rPr>
        <w:t xml:space="preserve"> I/A Court H.R. Case of Muelle Flores v</w:t>
      </w:r>
      <w:r>
        <w:rPr>
          <w:rFonts w:asciiTheme="majorHAnsi" w:hAnsiTheme="majorHAnsi" w:cs="Tahoma"/>
          <w:sz w:val="16"/>
          <w:szCs w:val="16"/>
        </w:rPr>
        <w:t>. Peru</w:t>
      </w:r>
      <w:r w:rsidRPr="00A737AA">
        <w:rPr>
          <w:rFonts w:asciiTheme="majorHAnsi" w:hAnsiTheme="majorHAnsi" w:cs="Tahoma"/>
          <w:sz w:val="16"/>
          <w:szCs w:val="16"/>
        </w:rPr>
        <w:t xml:space="preserve">. Preliminary objections, merits, reparations, and costs. </w:t>
      </w:r>
      <w:r>
        <w:rPr>
          <w:rFonts w:asciiTheme="majorHAnsi" w:hAnsiTheme="majorHAnsi" w:cs="Tahoma"/>
          <w:sz w:val="16"/>
          <w:szCs w:val="16"/>
        </w:rPr>
        <w:t xml:space="preserve">Judgment of March </w:t>
      </w:r>
      <w:r w:rsidRPr="001C68B3">
        <w:rPr>
          <w:rFonts w:asciiTheme="majorHAnsi" w:hAnsiTheme="majorHAnsi" w:cs="Tahoma"/>
          <w:sz w:val="16"/>
          <w:szCs w:val="16"/>
          <w:lang w:val="es-PA"/>
        </w:rPr>
        <w:t>6</w:t>
      </w:r>
      <w:r>
        <w:rPr>
          <w:rFonts w:asciiTheme="majorHAnsi" w:hAnsiTheme="majorHAnsi" w:cs="Tahoma"/>
          <w:sz w:val="16"/>
          <w:szCs w:val="16"/>
          <w:lang w:val="es-PA"/>
        </w:rPr>
        <w:t>,</w:t>
      </w:r>
      <w:r w:rsidRPr="001C68B3">
        <w:rPr>
          <w:rFonts w:asciiTheme="majorHAnsi" w:hAnsiTheme="majorHAnsi" w:cs="Tahoma"/>
          <w:sz w:val="16"/>
          <w:szCs w:val="16"/>
          <w:lang w:val="es-PA"/>
        </w:rPr>
        <w:t xml:space="preserve"> 2019. Serie</w:t>
      </w:r>
      <w:r>
        <w:rPr>
          <w:rFonts w:asciiTheme="majorHAnsi" w:hAnsiTheme="majorHAnsi" w:cs="Tahoma"/>
          <w:sz w:val="16"/>
          <w:szCs w:val="16"/>
          <w:lang w:val="es-PA"/>
        </w:rPr>
        <w:t>s</w:t>
      </w:r>
      <w:r w:rsidRPr="001C68B3">
        <w:rPr>
          <w:rFonts w:asciiTheme="majorHAnsi" w:hAnsiTheme="majorHAnsi" w:cs="Tahoma"/>
          <w:sz w:val="16"/>
          <w:szCs w:val="16"/>
          <w:lang w:val="es-PA"/>
        </w:rPr>
        <w:t xml:space="preserve"> C No. 375, p</w:t>
      </w:r>
      <w:r>
        <w:rPr>
          <w:rFonts w:asciiTheme="majorHAnsi" w:hAnsiTheme="majorHAnsi" w:cs="Tahoma"/>
          <w:sz w:val="16"/>
          <w:szCs w:val="16"/>
          <w:lang w:val="es-PA"/>
        </w:rPr>
        <w:t>ara</w:t>
      </w:r>
      <w:r w:rsidRPr="001C68B3">
        <w:rPr>
          <w:rFonts w:asciiTheme="majorHAnsi" w:hAnsiTheme="majorHAnsi" w:cs="Tahoma"/>
          <w:sz w:val="16"/>
          <w:szCs w:val="16"/>
          <w:lang w:val="es-PA"/>
        </w:rPr>
        <w:t>. 162.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107599" w:rsidRDefault="00107599" w:rsidP="0010759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107599" w:rsidRDefault="00107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107599" w:rsidRDefault="00107599" w:rsidP="00A50FCF">
    <w:pPr>
      <w:pStyle w:val="Header"/>
      <w:tabs>
        <w:tab w:val="clear" w:pos="4320"/>
        <w:tab w:val="clear" w:pos="8640"/>
      </w:tabs>
      <w:jc w:val="center"/>
      <w:rPr>
        <w:sz w:val="22"/>
        <w:szCs w:val="22"/>
      </w:rPr>
    </w:pPr>
    <w:r>
      <w:rPr>
        <w:noProof/>
        <w:sz w:val="22"/>
        <w:szCs w:val="22"/>
        <w:lang w:val="es-EC" w:eastAsia="es-EC"/>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107599" w:rsidRPr="00EC7D62" w:rsidRDefault="00F85CF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A67E9B2A"/>
    <w:lvl w:ilvl="0" w:tplc="4398A188">
      <w:start w:val="1"/>
      <w:numFmt w:val="decimal"/>
      <w:lvlText w:val="%1."/>
      <w:lvlJc w:val="left"/>
      <w:pPr>
        <w:tabs>
          <w:tab w:val="num" w:pos="720"/>
        </w:tabs>
        <w:ind w:left="0" w:firstLine="720"/>
      </w:pPr>
      <w:rPr>
        <w:rFonts w:hint="default"/>
        <w:b w:val="0"/>
        <w:color w:val="auto"/>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914708947">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325622213">
    <w:abstractNumId w:val="5"/>
  </w:num>
  <w:num w:numId="3" w16cid:durableId="264389530">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883252603">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92895380">
    <w:abstractNumId w:val="7"/>
  </w:num>
  <w:num w:numId="6" w16cid:durableId="1833716867">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11812354">
    <w:abstractNumId w:val="61"/>
  </w:num>
  <w:num w:numId="8" w16cid:durableId="395475419">
    <w:abstractNumId w:val="23"/>
  </w:num>
  <w:num w:numId="9" w16cid:durableId="1174371684">
    <w:abstractNumId w:val="52"/>
  </w:num>
  <w:num w:numId="10" w16cid:durableId="1189373909">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36009570">
    <w:abstractNumId w:val="29"/>
  </w:num>
  <w:num w:numId="12" w16cid:durableId="1085420503">
    <w:abstractNumId w:val="59"/>
  </w:num>
  <w:num w:numId="13" w16cid:durableId="1135640504">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854609221">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93378250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785390817">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817795398">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31149379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50043467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421030274">
    <w:abstractNumId w:val="8"/>
  </w:num>
  <w:num w:numId="21" w16cid:durableId="194877880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85878513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856114135">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332532189">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75625084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241210407">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364938172">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212306533">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0297998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83745539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81175345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2025473548">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01612131">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35345724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295379934">
    <w:abstractNumId w:val="19"/>
  </w:num>
  <w:num w:numId="36" w16cid:durableId="113876457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84000029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86640321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64142489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54783620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075393614">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750780997">
    <w:abstractNumId w:val="41"/>
  </w:num>
  <w:num w:numId="43" w16cid:durableId="1017150065">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576209040">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366834797">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414011201">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844326693">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555508767">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90086651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65144771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76920399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622565820">
    <w:abstractNumId w:val="46"/>
  </w:num>
  <w:num w:numId="53" w16cid:durableId="1866209917">
    <w:abstractNumId w:val="0"/>
  </w:num>
  <w:num w:numId="54" w16cid:durableId="1682389236">
    <w:abstractNumId w:val="40"/>
  </w:num>
  <w:num w:numId="55" w16cid:durableId="1860927105">
    <w:abstractNumId w:val="41"/>
  </w:num>
  <w:num w:numId="56" w16cid:durableId="942809804">
    <w:abstractNumId w:val="48"/>
  </w:num>
  <w:num w:numId="57" w16cid:durableId="1919821631">
    <w:abstractNumId w:val="1"/>
  </w:num>
  <w:num w:numId="58" w16cid:durableId="1729917463">
    <w:abstractNumId w:val="2"/>
  </w:num>
  <w:num w:numId="59" w16cid:durableId="848250920">
    <w:abstractNumId w:val="9"/>
  </w:num>
  <w:num w:numId="60" w16cid:durableId="1211262496">
    <w:abstractNumId w:val="10"/>
  </w:num>
  <w:num w:numId="61" w16cid:durableId="520978156">
    <w:abstractNumId w:val="11"/>
  </w:num>
  <w:num w:numId="62" w16cid:durableId="1035614532">
    <w:abstractNumId w:val="12"/>
  </w:num>
  <w:num w:numId="63" w16cid:durableId="431364373">
    <w:abstractNumId w:val="13"/>
  </w:num>
  <w:num w:numId="64" w16cid:durableId="77136351">
    <w:abstractNumId w:val="15"/>
  </w:num>
  <w:num w:numId="65" w16cid:durableId="155461606">
    <w:abstractNumId w:val="16"/>
  </w:num>
  <w:num w:numId="66" w16cid:durableId="1877162074">
    <w:abstractNumId w:val="17"/>
  </w:num>
  <w:num w:numId="67" w16cid:durableId="1942297274">
    <w:abstractNumId w:val="18"/>
  </w:num>
  <w:num w:numId="68" w16cid:durableId="121853150">
    <w:abstractNumId w:val="20"/>
  </w:num>
  <w:num w:numId="69" w16cid:durableId="1484203891">
    <w:abstractNumId w:val="21"/>
  </w:num>
  <w:num w:numId="70" w16cid:durableId="1593124312">
    <w:abstractNumId w:val="24"/>
  </w:num>
  <w:num w:numId="71" w16cid:durableId="143816477">
    <w:abstractNumId w:val="25"/>
  </w:num>
  <w:num w:numId="72" w16cid:durableId="592249491">
    <w:abstractNumId w:val="26"/>
  </w:num>
  <w:num w:numId="73" w16cid:durableId="1455948334">
    <w:abstractNumId w:val="28"/>
  </w:num>
  <w:num w:numId="74" w16cid:durableId="1728145919">
    <w:abstractNumId w:val="30"/>
  </w:num>
  <w:num w:numId="75" w16cid:durableId="1218904094">
    <w:abstractNumId w:val="32"/>
  </w:num>
  <w:num w:numId="76" w16cid:durableId="107433680">
    <w:abstractNumId w:val="33"/>
  </w:num>
  <w:num w:numId="77" w16cid:durableId="1474449163">
    <w:abstractNumId w:val="34"/>
  </w:num>
  <w:num w:numId="78" w16cid:durableId="158935774">
    <w:abstractNumId w:val="35"/>
  </w:num>
  <w:num w:numId="79" w16cid:durableId="926697598">
    <w:abstractNumId w:val="36"/>
  </w:num>
  <w:num w:numId="80" w16cid:durableId="1306591322">
    <w:abstractNumId w:val="37"/>
  </w:num>
  <w:num w:numId="81" w16cid:durableId="711922312">
    <w:abstractNumId w:val="38"/>
  </w:num>
  <w:num w:numId="82" w16cid:durableId="9990131">
    <w:abstractNumId w:val="43"/>
  </w:num>
  <w:num w:numId="83" w16cid:durableId="429202732">
    <w:abstractNumId w:val="44"/>
  </w:num>
  <w:num w:numId="84" w16cid:durableId="364865843">
    <w:abstractNumId w:val="50"/>
  </w:num>
  <w:num w:numId="85" w16cid:durableId="600995207">
    <w:abstractNumId w:val="53"/>
  </w:num>
  <w:num w:numId="86" w16cid:durableId="134572041">
    <w:abstractNumId w:val="56"/>
  </w:num>
  <w:num w:numId="87" w16cid:durableId="304746065">
    <w:abstractNumId w:val="58"/>
  </w:num>
  <w:num w:numId="88" w16cid:durableId="1969312860">
    <w:abstractNumId w:val="60"/>
  </w:num>
  <w:num w:numId="89" w16cid:durableId="60636871">
    <w:abstractNumId w:val="62"/>
  </w:num>
  <w:num w:numId="90" w16cid:durableId="2014843041">
    <w:abstractNumId w:val="63"/>
  </w:num>
  <w:num w:numId="91" w16cid:durableId="1444764933">
    <w:abstractNumId w:val="64"/>
  </w:num>
  <w:num w:numId="92" w16cid:durableId="237253869">
    <w:abstractNumId w:val="65"/>
  </w:num>
  <w:num w:numId="93" w16cid:durableId="146476952">
    <w:abstractNumId w:val="67"/>
  </w:num>
  <w:num w:numId="94" w16cid:durableId="1971275762">
    <w:abstractNumId w:val="22"/>
  </w:num>
  <w:num w:numId="95" w16cid:durableId="825635109">
    <w:abstractNumId w:val="45"/>
  </w:num>
  <w:num w:numId="96" w16cid:durableId="780611128">
    <w:abstractNumId w:val="57"/>
  </w:num>
  <w:num w:numId="97" w16cid:durableId="1595433417">
    <w:abstractNumId w:val="54"/>
  </w:num>
  <w:num w:numId="98" w16cid:durableId="1402361774">
    <w:abstractNumId w:val="49"/>
  </w:num>
  <w:num w:numId="99" w16cid:durableId="1328174410">
    <w:abstractNumId w:val="39"/>
  </w:num>
  <w:num w:numId="100" w16cid:durableId="245307743">
    <w:abstractNumId w:val="3"/>
  </w:num>
  <w:num w:numId="101" w16cid:durableId="1376661834">
    <w:abstractNumId w:val="27"/>
  </w:num>
  <w:num w:numId="102" w16cid:durableId="629479181">
    <w:abstractNumId w:val="51"/>
  </w:num>
  <w:num w:numId="103" w16cid:durableId="1335641860">
    <w:abstractNumId w:val="6"/>
  </w:num>
  <w:num w:numId="104" w16cid:durableId="209920057">
    <w:abstractNumId w:val="66"/>
  </w:num>
  <w:num w:numId="105" w16cid:durableId="1526362716">
    <w:abstractNumId w:val="55"/>
  </w:num>
  <w:num w:numId="106" w16cid:durableId="1674453788">
    <w:abstractNumId w:val="4"/>
  </w:num>
  <w:num w:numId="107" w16cid:durableId="1634096526">
    <w:abstractNumId w:val="31"/>
  </w:num>
  <w:num w:numId="108" w16cid:durableId="1290362238">
    <w:abstractNumId w:val="14"/>
  </w:num>
  <w:num w:numId="109" w16cid:durableId="2002199810">
    <w:abstractNumId w:val="47"/>
  </w:num>
  <w:num w:numId="110" w16cid:durableId="479883559">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47E"/>
    <w:rsid w:val="00000CDA"/>
    <w:rsid w:val="00000DDB"/>
    <w:rsid w:val="000065D0"/>
    <w:rsid w:val="000068CF"/>
    <w:rsid w:val="00006B74"/>
    <w:rsid w:val="00006E1F"/>
    <w:rsid w:val="000070D7"/>
    <w:rsid w:val="000104F5"/>
    <w:rsid w:val="00010A9B"/>
    <w:rsid w:val="00015701"/>
    <w:rsid w:val="0001788C"/>
    <w:rsid w:val="00017BBC"/>
    <w:rsid w:val="0002186F"/>
    <w:rsid w:val="000337EF"/>
    <w:rsid w:val="00034719"/>
    <w:rsid w:val="00040C3A"/>
    <w:rsid w:val="000419AD"/>
    <w:rsid w:val="0006118A"/>
    <w:rsid w:val="00063739"/>
    <w:rsid w:val="000716C5"/>
    <w:rsid w:val="0007465B"/>
    <w:rsid w:val="00075E23"/>
    <w:rsid w:val="0007744A"/>
    <w:rsid w:val="0008552A"/>
    <w:rsid w:val="0009344A"/>
    <w:rsid w:val="00093FB1"/>
    <w:rsid w:val="000948C2"/>
    <w:rsid w:val="000A125D"/>
    <w:rsid w:val="000A3254"/>
    <w:rsid w:val="000A392E"/>
    <w:rsid w:val="000A5164"/>
    <w:rsid w:val="000A575F"/>
    <w:rsid w:val="000B0579"/>
    <w:rsid w:val="000B2B4B"/>
    <w:rsid w:val="000B3520"/>
    <w:rsid w:val="000B69B7"/>
    <w:rsid w:val="000C1C69"/>
    <w:rsid w:val="000D10DB"/>
    <w:rsid w:val="000D1C65"/>
    <w:rsid w:val="000D4354"/>
    <w:rsid w:val="000E04D4"/>
    <w:rsid w:val="000E2789"/>
    <w:rsid w:val="000E48A2"/>
    <w:rsid w:val="000E5EB5"/>
    <w:rsid w:val="000F35ED"/>
    <w:rsid w:val="000F3966"/>
    <w:rsid w:val="00107131"/>
    <w:rsid w:val="0010736F"/>
    <w:rsid w:val="00107599"/>
    <w:rsid w:val="00107AB6"/>
    <w:rsid w:val="00111A8A"/>
    <w:rsid w:val="00113F73"/>
    <w:rsid w:val="00115166"/>
    <w:rsid w:val="00121311"/>
    <w:rsid w:val="00121CC2"/>
    <w:rsid w:val="00131D8B"/>
    <w:rsid w:val="00133EE5"/>
    <w:rsid w:val="00136E3D"/>
    <w:rsid w:val="00143EFE"/>
    <w:rsid w:val="001479C0"/>
    <w:rsid w:val="001525B2"/>
    <w:rsid w:val="0015330B"/>
    <w:rsid w:val="00160599"/>
    <w:rsid w:val="00165390"/>
    <w:rsid w:val="00167A34"/>
    <w:rsid w:val="0017386B"/>
    <w:rsid w:val="00175881"/>
    <w:rsid w:val="00175FE0"/>
    <w:rsid w:val="001778E9"/>
    <w:rsid w:val="00177EEF"/>
    <w:rsid w:val="00191006"/>
    <w:rsid w:val="001A7870"/>
    <w:rsid w:val="001B3A00"/>
    <w:rsid w:val="001B5EEA"/>
    <w:rsid w:val="001C1B41"/>
    <w:rsid w:val="001C3B9A"/>
    <w:rsid w:val="001C68B3"/>
    <w:rsid w:val="001D604E"/>
    <w:rsid w:val="001D65EF"/>
    <w:rsid w:val="001D704F"/>
    <w:rsid w:val="001D7A25"/>
    <w:rsid w:val="001E2EA9"/>
    <w:rsid w:val="001E31D4"/>
    <w:rsid w:val="001E49E7"/>
    <w:rsid w:val="001F271B"/>
    <w:rsid w:val="001F4849"/>
    <w:rsid w:val="001F7201"/>
    <w:rsid w:val="00204931"/>
    <w:rsid w:val="00214432"/>
    <w:rsid w:val="002144E3"/>
    <w:rsid w:val="00215268"/>
    <w:rsid w:val="00223A29"/>
    <w:rsid w:val="00223F58"/>
    <w:rsid w:val="00224A60"/>
    <w:rsid w:val="002250A3"/>
    <w:rsid w:val="00231294"/>
    <w:rsid w:val="00235217"/>
    <w:rsid w:val="00241E37"/>
    <w:rsid w:val="00243FFB"/>
    <w:rsid w:val="00246D1F"/>
    <w:rsid w:val="00247403"/>
    <w:rsid w:val="00247542"/>
    <w:rsid w:val="002617C0"/>
    <w:rsid w:val="00266B61"/>
    <w:rsid w:val="0026712A"/>
    <w:rsid w:val="002704DB"/>
    <w:rsid w:val="002710E4"/>
    <w:rsid w:val="00274EC7"/>
    <w:rsid w:val="00277BDA"/>
    <w:rsid w:val="00280C68"/>
    <w:rsid w:val="002836A2"/>
    <w:rsid w:val="0029575A"/>
    <w:rsid w:val="002A0AAE"/>
    <w:rsid w:val="002A5820"/>
    <w:rsid w:val="002C3350"/>
    <w:rsid w:val="002D0D72"/>
    <w:rsid w:val="002D2B26"/>
    <w:rsid w:val="002D7EA2"/>
    <w:rsid w:val="002E187C"/>
    <w:rsid w:val="002E44A0"/>
    <w:rsid w:val="002E6A91"/>
    <w:rsid w:val="002E7512"/>
    <w:rsid w:val="00302733"/>
    <w:rsid w:val="00303B16"/>
    <w:rsid w:val="00305C1D"/>
    <w:rsid w:val="003061AA"/>
    <w:rsid w:val="003064FD"/>
    <w:rsid w:val="003121D5"/>
    <w:rsid w:val="00314078"/>
    <w:rsid w:val="00314AC8"/>
    <w:rsid w:val="00314BA7"/>
    <w:rsid w:val="0031535D"/>
    <w:rsid w:val="003239B8"/>
    <w:rsid w:val="0032513A"/>
    <w:rsid w:val="0033169F"/>
    <w:rsid w:val="0034224A"/>
    <w:rsid w:val="00343438"/>
    <w:rsid w:val="00343704"/>
    <w:rsid w:val="00344977"/>
    <w:rsid w:val="00346055"/>
    <w:rsid w:val="00346C95"/>
    <w:rsid w:val="003506BF"/>
    <w:rsid w:val="00351155"/>
    <w:rsid w:val="00352026"/>
    <w:rsid w:val="00352066"/>
    <w:rsid w:val="00356185"/>
    <w:rsid w:val="00360380"/>
    <w:rsid w:val="00360D1D"/>
    <w:rsid w:val="00367610"/>
    <w:rsid w:val="0037519E"/>
    <w:rsid w:val="00377608"/>
    <w:rsid w:val="003817CE"/>
    <w:rsid w:val="00386C6C"/>
    <w:rsid w:val="00386CF0"/>
    <w:rsid w:val="003919FB"/>
    <w:rsid w:val="00393C41"/>
    <w:rsid w:val="003A1E40"/>
    <w:rsid w:val="003A5197"/>
    <w:rsid w:val="003A6337"/>
    <w:rsid w:val="003B4753"/>
    <w:rsid w:val="003B4FF6"/>
    <w:rsid w:val="003B70FB"/>
    <w:rsid w:val="003C4052"/>
    <w:rsid w:val="003C676B"/>
    <w:rsid w:val="003D0A55"/>
    <w:rsid w:val="003D3BC2"/>
    <w:rsid w:val="003D4B24"/>
    <w:rsid w:val="003D57B4"/>
    <w:rsid w:val="003E61B7"/>
    <w:rsid w:val="003E6CA1"/>
    <w:rsid w:val="003F2F2D"/>
    <w:rsid w:val="004065A8"/>
    <w:rsid w:val="004165C2"/>
    <w:rsid w:val="004304AD"/>
    <w:rsid w:val="0043591C"/>
    <w:rsid w:val="0043594C"/>
    <w:rsid w:val="00441618"/>
    <w:rsid w:val="00441ECB"/>
    <w:rsid w:val="00445193"/>
    <w:rsid w:val="00447CCF"/>
    <w:rsid w:val="00455261"/>
    <w:rsid w:val="004565BA"/>
    <w:rsid w:val="00456CC8"/>
    <w:rsid w:val="00462C1B"/>
    <w:rsid w:val="00467B7E"/>
    <w:rsid w:val="00472C5E"/>
    <w:rsid w:val="00473BB4"/>
    <w:rsid w:val="00477592"/>
    <w:rsid w:val="00480735"/>
    <w:rsid w:val="00486DAE"/>
    <w:rsid w:val="00486F1C"/>
    <w:rsid w:val="004918E5"/>
    <w:rsid w:val="004922AC"/>
    <w:rsid w:val="0049419D"/>
    <w:rsid w:val="004A4B11"/>
    <w:rsid w:val="004A59CC"/>
    <w:rsid w:val="004A5E94"/>
    <w:rsid w:val="004A6A54"/>
    <w:rsid w:val="004B5A8D"/>
    <w:rsid w:val="004B7BA7"/>
    <w:rsid w:val="004B7E7D"/>
    <w:rsid w:val="004C20D2"/>
    <w:rsid w:val="004C2312"/>
    <w:rsid w:val="004C450B"/>
    <w:rsid w:val="004C4B62"/>
    <w:rsid w:val="004C54C9"/>
    <w:rsid w:val="004C616A"/>
    <w:rsid w:val="004D4ABA"/>
    <w:rsid w:val="004D57C6"/>
    <w:rsid w:val="004D6025"/>
    <w:rsid w:val="004D606F"/>
    <w:rsid w:val="004E19B1"/>
    <w:rsid w:val="004E2649"/>
    <w:rsid w:val="004F0B6D"/>
    <w:rsid w:val="004F3567"/>
    <w:rsid w:val="004F5290"/>
    <w:rsid w:val="00501399"/>
    <w:rsid w:val="00501652"/>
    <w:rsid w:val="0050633D"/>
    <w:rsid w:val="00507BC4"/>
    <w:rsid w:val="00511F3F"/>
    <w:rsid w:val="005128E4"/>
    <w:rsid w:val="00512979"/>
    <w:rsid w:val="005133DB"/>
    <w:rsid w:val="005221D1"/>
    <w:rsid w:val="00522894"/>
    <w:rsid w:val="00522F4E"/>
    <w:rsid w:val="00525560"/>
    <w:rsid w:val="00530EC6"/>
    <w:rsid w:val="005331D7"/>
    <w:rsid w:val="005415E6"/>
    <w:rsid w:val="00544216"/>
    <w:rsid w:val="00544C49"/>
    <w:rsid w:val="00547634"/>
    <w:rsid w:val="005501FE"/>
    <w:rsid w:val="005516A1"/>
    <w:rsid w:val="00553C65"/>
    <w:rsid w:val="00563557"/>
    <w:rsid w:val="00572439"/>
    <w:rsid w:val="00572FCA"/>
    <w:rsid w:val="0057402A"/>
    <w:rsid w:val="00574CB7"/>
    <w:rsid w:val="005771D0"/>
    <w:rsid w:val="00590F6E"/>
    <w:rsid w:val="0059191A"/>
    <w:rsid w:val="005921FF"/>
    <w:rsid w:val="005A24ED"/>
    <w:rsid w:val="005A2B87"/>
    <w:rsid w:val="005A6D0E"/>
    <w:rsid w:val="005B14E4"/>
    <w:rsid w:val="005B37CC"/>
    <w:rsid w:val="005B52B0"/>
    <w:rsid w:val="005B6806"/>
    <w:rsid w:val="005B6D22"/>
    <w:rsid w:val="005C261A"/>
    <w:rsid w:val="005C265F"/>
    <w:rsid w:val="005C38C4"/>
    <w:rsid w:val="005C4225"/>
    <w:rsid w:val="005C7989"/>
    <w:rsid w:val="005D4739"/>
    <w:rsid w:val="005E0B65"/>
    <w:rsid w:val="005E11B2"/>
    <w:rsid w:val="005E5458"/>
    <w:rsid w:val="005F0DAD"/>
    <w:rsid w:val="005F0F33"/>
    <w:rsid w:val="005F2D35"/>
    <w:rsid w:val="00600DEB"/>
    <w:rsid w:val="00607300"/>
    <w:rsid w:val="00607FB5"/>
    <w:rsid w:val="00624667"/>
    <w:rsid w:val="00626B74"/>
    <w:rsid w:val="006277DE"/>
    <w:rsid w:val="00627C9F"/>
    <w:rsid w:val="006311E9"/>
    <w:rsid w:val="00632354"/>
    <w:rsid w:val="00642810"/>
    <w:rsid w:val="00646460"/>
    <w:rsid w:val="00647756"/>
    <w:rsid w:val="006509DA"/>
    <w:rsid w:val="00652333"/>
    <w:rsid w:val="0065317A"/>
    <w:rsid w:val="00655FE3"/>
    <w:rsid w:val="006613D6"/>
    <w:rsid w:val="00664AFB"/>
    <w:rsid w:val="0067260D"/>
    <w:rsid w:val="0068009E"/>
    <w:rsid w:val="006819E9"/>
    <w:rsid w:val="00681EA6"/>
    <w:rsid w:val="006852D0"/>
    <w:rsid w:val="00686471"/>
    <w:rsid w:val="00691BBE"/>
    <w:rsid w:val="00692219"/>
    <w:rsid w:val="0069376F"/>
    <w:rsid w:val="006A17D2"/>
    <w:rsid w:val="006A73E6"/>
    <w:rsid w:val="006B0CA4"/>
    <w:rsid w:val="006B2D5C"/>
    <w:rsid w:val="006C4EB1"/>
    <w:rsid w:val="006C643A"/>
    <w:rsid w:val="006D1DD6"/>
    <w:rsid w:val="006E0166"/>
    <w:rsid w:val="006E76BE"/>
    <w:rsid w:val="006E7B34"/>
    <w:rsid w:val="007056AB"/>
    <w:rsid w:val="0070697F"/>
    <w:rsid w:val="007070B4"/>
    <w:rsid w:val="007131C3"/>
    <w:rsid w:val="00713D9C"/>
    <w:rsid w:val="007157A5"/>
    <w:rsid w:val="0072199C"/>
    <w:rsid w:val="00722869"/>
    <w:rsid w:val="00722C9F"/>
    <w:rsid w:val="007253B8"/>
    <w:rsid w:val="00735733"/>
    <w:rsid w:val="0073598C"/>
    <w:rsid w:val="0073741F"/>
    <w:rsid w:val="007452CF"/>
    <w:rsid w:val="00746660"/>
    <w:rsid w:val="00747514"/>
    <w:rsid w:val="00760AD1"/>
    <w:rsid w:val="0076643F"/>
    <w:rsid w:val="0077239E"/>
    <w:rsid w:val="0077264B"/>
    <w:rsid w:val="0077330B"/>
    <w:rsid w:val="00777F63"/>
    <w:rsid w:val="007848F7"/>
    <w:rsid w:val="007852B5"/>
    <w:rsid w:val="00786B39"/>
    <w:rsid w:val="00790DA0"/>
    <w:rsid w:val="00792EB3"/>
    <w:rsid w:val="007A5817"/>
    <w:rsid w:val="007B05C4"/>
    <w:rsid w:val="007B4232"/>
    <w:rsid w:val="007B60E9"/>
    <w:rsid w:val="007B6CC3"/>
    <w:rsid w:val="007C3334"/>
    <w:rsid w:val="007C402A"/>
    <w:rsid w:val="007C54B1"/>
    <w:rsid w:val="007C7129"/>
    <w:rsid w:val="007D2B98"/>
    <w:rsid w:val="007D3CA2"/>
    <w:rsid w:val="007D63C9"/>
    <w:rsid w:val="007D7C02"/>
    <w:rsid w:val="007E2140"/>
    <w:rsid w:val="007E21BC"/>
    <w:rsid w:val="007E58FE"/>
    <w:rsid w:val="007E7C82"/>
    <w:rsid w:val="007F4D6F"/>
    <w:rsid w:val="007F588D"/>
    <w:rsid w:val="007F6021"/>
    <w:rsid w:val="00802748"/>
    <w:rsid w:val="00803F1C"/>
    <w:rsid w:val="0080600E"/>
    <w:rsid w:val="00817612"/>
    <w:rsid w:val="00830A12"/>
    <w:rsid w:val="008338A4"/>
    <w:rsid w:val="00834D49"/>
    <w:rsid w:val="00837C45"/>
    <w:rsid w:val="008411F0"/>
    <w:rsid w:val="00844730"/>
    <w:rsid w:val="008457C2"/>
    <w:rsid w:val="00851D96"/>
    <w:rsid w:val="00857A82"/>
    <w:rsid w:val="00871526"/>
    <w:rsid w:val="00873836"/>
    <w:rsid w:val="00882770"/>
    <w:rsid w:val="0088344D"/>
    <w:rsid w:val="00884D32"/>
    <w:rsid w:val="00885737"/>
    <w:rsid w:val="00890650"/>
    <w:rsid w:val="00897E12"/>
    <w:rsid w:val="008A0EFC"/>
    <w:rsid w:val="008A0F81"/>
    <w:rsid w:val="008A4412"/>
    <w:rsid w:val="008A7E0F"/>
    <w:rsid w:val="008B12F5"/>
    <w:rsid w:val="008B5932"/>
    <w:rsid w:val="008C080B"/>
    <w:rsid w:val="008C09CE"/>
    <w:rsid w:val="008C5751"/>
    <w:rsid w:val="008D27CC"/>
    <w:rsid w:val="008D768D"/>
    <w:rsid w:val="008E1892"/>
    <w:rsid w:val="008E328A"/>
    <w:rsid w:val="008E3759"/>
    <w:rsid w:val="008E3BFE"/>
    <w:rsid w:val="008E7900"/>
    <w:rsid w:val="008F1912"/>
    <w:rsid w:val="008F3EC2"/>
    <w:rsid w:val="00900BED"/>
    <w:rsid w:val="009016BF"/>
    <w:rsid w:val="0090270B"/>
    <w:rsid w:val="009037A7"/>
    <w:rsid w:val="009041DC"/>
    <w:rsid w:val="00907F99"/>
    <w:rsid w:val="00911BDC"/>
    <w:rsid w:val="00917B5A"/>
    <w:rsid w:val="00920A58"/>
    <w:rsid w:val="00920A8C"/>
    <w:rsid w:val="00920D82"/>
    <w:rsid w:val="009216F0"/>
    <w:rsid w:val="00924E10"/>
    <w:rsid w:val="00927825"/>
    <w:rsid w:val="009307FA"/>
    <w:rsid w:val="00934A2C"/>
    <w:rsid w:val="00935F06"/>
    <w:rsid w:val="00937B3A"/>
    <w:rsid w:val="00954B82"/>
    <w:rsid w:val="0096194F"/>
    <w:rsid w:val="00962436"/>
    <w:rsid w:val="009646CA"/>
    <w:rsid w:val="0096706E"/>
    <w:rsid w:val="009710CE"/>
    <w:rsid w:val="00974491"/>
    <w:rsid w:val="00975C4E"/>
    <w:rsid w:val="00981FBA"/>
    <w:rsid w:val="009859B4"/>
    <w:rsid w:val="00994B7F"/>
    <w:rsid w:val="00996444"/>
    <w:rsid w:val="00997BC5"/>
    <w:rsid w:val="009A4F41"/>
    <w:rsid w:val="009A5B58"/>
    <w:rsid w:val="009B2E25"/>
    <w:rsid w:val="009B381B"/>
    <w:rsid w:val="009C2FC5"/>
    <w:rsid w:val="009C67EF"/>
    <w:rsid w:val="009D1438"/>
    <w:rsid w:val="009D1753"/>
    <w:rsid w:val="009D6502"/>
    <w:rsid w:val="009D7611"/>
    <w:rsid w:val="009D78A5"/>
    <w:rsid w:val="009E0309"/>
    <w:rsid w:val="009E0B61"/>
    <w:rsid w:val="009E15D5"/>
    <w:rsid w:val="009E53DE"/>
    <w:rsid w:val="009E7C00"/>
    <w:rsid w:val="00A0691C"/>
    <w:rsid w:val="00A07A4D"/>
    <w:rsid w:val="00A11E44"/>
    <w:rsid w:val="00A15A29"/>
    <w:rsid w:val="00A22397"/>
    <w:rsid w:val="00A2593B"/>
    <w:rsid w:val="00A26EED"/>
    <w:rsid w:val="00A31CB7"/>
    <w:rsid w:val="00A328B3"/>
    <w:rsid w:val="00A42CFB"/>
    <w:rsid w:val="00A50F99"/>
    <w:rsid w:val="00A50FCF"/>
    <w:rsid w:val="00A528D1"/>
    <w:rsid w:val="00A57721"/>
    <w:rsid w:val="00A610CD"/>
    <w:rsid w:val="00A625E0"/>
    <w:rsid w:val="00A72A00"/>
    <w:rsid w:val="00A737AA"/>
    <w:rsid w:val="00A74947"/>
    <w:rsid w:val="00A74C09"/>
    <w:rsid w:val="00A758AA"/>
    <w:rsid w:val="00A8245C"/>
    <w:rsid w:val="00AA09A2"/>
    <w:rsid w:val="00AA1177"/>
    <w:rsid w:val="00AA75A9"/>
    <w:rsid w:val="00AA7996"/>
    <w:rsid w:val="00AB2D35"/>
    <w:rsid w:val="00AB676B"/>
    <w:rsid w:val="00AC0B84"/>
    <w:rsid w:val="00AC19CB"/>
    <w:rsid w:val="00AD1886"/>
    <w:rsid w:val="00AE09B4"/>
    <w:rsid w:val="00AE5488"/>
    <w:rsid w:val="00AE6F91"/>
    <w:rsid w:val="00AF5571"/>
    <w:rsid w:val="00B06B4E"/>
    <w:rsid w:val="00B072F7"/>
    <w:rsid w:val="00B07341"/>
    <w:rsid w:val="00B1078B"/>
    <w:rsid w:val="00B202B5"/>
    <w:rsid w:val="00B22CD0"/>
    <w:rsid w:val="00B2542B"/>
    <w:rsid w:val="00B30539"/>
    <w:rsid w:val="00B314DB"/>
    <w:rsid w:val="00B361F2"/>
    <w:rsid w:val="00B3718B"/>
    <w:rsid w:val="00B42F31"/>
    <w:rsid w:val="00B4463F"/>
    <w:rsid w:val="00B4632A"/>
    <w:rsid w:val="00B5067D"/>
    <w:rsid w:val="00B530F1"/>
    <w:rsid w:val="00B6361A"/>
    <w:rsid w:val="00B736AF"/>
    <w:rsid w:val="00B96EBE"/>
    <w:rsid w:val="00B97946"/>
    <w:rsid w:val="00BA276C"/>
    <w:rsid w:val="00BA4740"/>
    <w:rsid w:val="00BA5544"/>
    <w:rsid w:val="00BB306F"/>
    <w:rsid w:val="00BB31CF"/>
    <w:rsid w:val="00BB3FBD"/>
    <w:rsid w:val="00BB6F04"/>
    <w:rsid w:val="00BC44C7"/>
    <w:rsid w:val="00BC6CD0"/>
    <w:rsid w:val="00BD45A2"/>
    <w:rsid w:val="00BD4B89"/>
    <w:rsid w:val="00BD5922"/>
    <w:rsid w:val="00BD76D9"/>
    <w:rsid w:val="00BF02CB"/>
    <w:rsid w:val="00BF514A"/>
    <w:rsid w:val="00BF6FD8"/>
    <w:rsid w:val="00BF775D"/>
    <w:rsid w:val="00C03680"/>
    <w:rsid w:val="00C054DF"/>
    <w:rsid w:val="00C10AFC"/>
    <w:rsid w:val="00C1753A"/>
    <w:rsid w:val="00C20E60"/>
    <w:rsid w:val="00C21562"/>
    <w:rsid w:val="00C21762"/>
    <w:rsid w:val="00C21FEF"/>
    <w:rsid w:val="00C24543"/>
    <w:rsid w:val="00C256A2"/>
    <w:rsid w:val="00C258A0"/>
    <w:rsid w:val="00C336BE"/>
    <w:rsid w:val="00C35A26"/>
    <w:rsid w:val="00C36087"/>
    <w:rsid w:val="00C46FE2"/>
    <w:rsid w:val="00C51515"/>
    <w:rsid w:val="00C53143"/>
    <w:rsid w:val="00C53217"/>
    <w:rsid w:val="00C53910"/>
    <w:rsid w:val="00C548BA"/>
    <w:rsid w:val="00C5660B"/>
    <w:rsid w:val="00C56854"/>
    <w:rsid w:val="00C5788A"/>
    <w:rsid w:val="00C62CC7"/>
    <w:rsid w:val="00C66B72"/>
    <w:rsid w:val="00C674CE"/>
    <w:rsid w:val="00C7343D"/>
    <w:rsid w:val="00C7592D"/>
    <w:rsid w:val="00C87AC4"/>
    <w:rsid w:val="00C9345A"/>
    <w:rsid w:val="00C93ED4"/>
    <w:rsid w:val="00C94A3E"/>
    <w:rsid w:val="00C95108"/>
    <w:rsid w:val="00C9567A"/>
    <w:rsid w:val="00CA48A3"/>
    <w:rsid w:val="00CA567F"/>
    <w:rsid w:val="00CB0E67"/>
    <w:rsid w:val="00CB212D"/>
    <w:rsid w:val="00CB2660"/>
    <w:rsid w:val="00CC1118"/>
    <w:rsid w:val="00CC4855"/>
    <w:rsid w:val="00CC5E90"/>
    <w:rsid w:val="00CD046C"/>
    <w:rsid w:val="00CE076C"/>
    <w:rsid w:val="00CE17D6"/>
    <w:rsid w:val="00CE5199"/>
    <w:rsid w:val="00CE66D5"/>
    <w:rsid w:val="00CF3344"/>
    <w:rsid w:val="00CF637A"/>
    <w:rsid w:val="00CF770F"/>
    <w:rsid w:val="00D059DE"/>
    <w:rsid w:val="00D05ABD"/>
    <w:rsid w:val="00D13FCE"/>
    <w:rsid w:val="00D15D73"/>
    <w:rsid w:val="00D306D1"/>
    <w:rsid w:val="00D30800"/>
    <w:rsid w:val="00D34786"/>
    <w:rsid w:val="00D37BFC"/>
    <w:rsid w:val="00D42822"/>
    <w:rsid w:val="00D42BAE"/>
    <w:rsid w:val="00D443BD"/>
    <w:rsid w:val="00D47A8E"/>
    <w:rsid w:val="00D47B88"/>
    <w:rsid w:val="00D51C70"/>
    <w:rsid w:val="00D52C77"/>
    <w:rsid w:val="00D52D14"/>
    <w:rsid w:val="00D55256"/>
    <w:rsid w:val="00D562AA"/>
    <w:rsid w:val="00D712D3"/>
    <w:rsid w:val="00D71422"/>
    <w:rsid w:val="00D72DC6"/>
    <w:rsid w:val="00D73F5E"/>
    <w:rsid w:val="00D7558D"/>
    <w:rsid w:val="00D77503"/>
    <w:rsid w:val="00D81D92"/>
    <w:rsid w:val="00D8460B"/>
    <w:rsid w:val="00D84E35"/>
    <w:rsid w:val="00D876F9"/>
    <w:rsid w:val="00D877B6"/>
    <w:rsid w:val="00DA260E"/>
    <w:rsid w:val="00DA64E3"/>
    <w:rsid w:val="00DA7B5F"/>
    <w:rsid w:val="00DB09BA"/>
    <w:rsid w:val="00DC11E7"/>
    <w:rsid w:val="00DC33D7"/>
    <w:rsid w:val="00DC66B5"/>
    <w:rsid w:val="00DC7023"/>
    <w:rsid w:val="00DC769A"/>
    <w:rsid w:val="00DC7DBD"/>
    <w:rsid w:val="00DD3D86"/>
    <w:rsid w:val="00DE12F0"/>
    <w:rsid w:val="00DF1EC4"/>
    <w:rsid w:val="00DF6E75"/>
    <w:rsid w:val="00E01149"/>
    <w:rsid w:val="00E01943"/>
    <w:rsid w:val="00E0340B"/>
    <w:rsid w:val="00E047DF"/>
    <w:rsid w:val="00E04A90"/>
    <w:rsid w:val="00E0551F"/>
    <w:rsid w:val="00E0682E"/>
    <w:rsid w:val="00E107AA"/>
    <w:rsid w:val="00E116C3"/>
    <w:rsid w:val="00E219C7"/>
    <w:rsid w:val="00E21B39"/>
    <w:rsid w:val="00E26CCA"/>
    <w:rsid w:val="00E40551"/>
    <w:rsid w:val="00E4118C"/>
    <w:rsid w:val="00E43157"/>
    <w:rsid w:val="00E448D2"/>
    <w:rsid w:val="00E461CE"/>
    <w:rsid w:val="00E52AD1"/>
    <w:rsid w:val="00E618C6"/>
    <w:rsid w:val="00E71518"/>
    <w:rsid w:val="00E720CA"/>
    <w:rsid w:val="00E77D8C"/>
    <w:rsid w:val="00E81C5D"/>
    <w:rsid w:val="00E8245D"/>
    <w:rsid w:val="00E84AD9"/>
    <w:rsid w:val="00E84EB5"/>
    <w:rsid w:val="00E85662"/>
    <w:rsid w:val="00E8789F"/>
    <w:rsid w:val="00E93F06"/>
    <w:rsid w:val="00E97B71"/>
    <w:rsid w:val="00EA3D34"/>
    <w:rsid w:val="00EA4339"/>
    <w:rsid w:val="00EB2777"/>
    <w:rsid w:val="00EB454D"/>
    <w:rsid w:val="00EB588E"/>
    <w:rsid w:val="00EC5D4B"/>
    <w:rsid w:val="00EC6A5E"/>
    <w:rsid w:val="00EC72AB"/>
    <w:rsid w:val="00ED2F03"/>
    <w:rsid w:val="00ED549D"/>
    <w:rsid w:val="00ED76BE"/>
    <w:rsid w:val="00ED7F05"/>
    <w:rsid w:val="00EE00E9"/>
    <w:rsid w:val="00EE014D"/>
    <w:rsid w:val="00EE5383"/>
    <w:rsid w:val="00EF35AB"/>
    <w:rsid w:val="00EF39AD"/>
    <w:rsid w:val="00EF48CC"/>
    <w:rsid w:val="00EF4C44"/>
    <w:rsid w:val="00EF5535"/>
    <w:rsid w:val="00EF619B"/>
    <w:rsid w:val="00F00B55"/>
    <w:rsid w:val="00F01135"/>
    <w:rsid w:val="00F02AD1"/>
    <w:rsid w:val="00F04591"/>
    <w:rsid w:val="00F06354"/>
    <w:rsid w:val="00F12BB7"/>
    <w:rsid w:val="00F20FDA"/>
    <w:rsid w:val="00F253CC"/>
    <w:rsid w:val="00F332EF"/>
    <w:rsid w:val="00F3537E"/>
    <w:rsid w:val="00F35B33"/>
    <w:rsid w:val="00F37106"/>
    <w:rsid w:val="00F40A6F"/>
    <w:rsid w:val="00F43E24"/>
    <w:rsid w:val="00F5027B"/>
    <w:rsid w:val="00F519CF"/>
    <w:rsid w:val="00F56BA5"/>
    <w:rsid w:val="00F604EC"/>
    <w:rsid w:val="00F60E22"/>
    <w:rsid w:val="00F63B39"/>
    <w:rsid w:val="00F71D0C"/>
    <w:rsid w:val="00F736A6"/>
    <w:rsid w:val="00F74355"/>
    <w:rsid w:val="00F75088"/>
    <w:rsid w:val="00F81395"/>
    <w:rsid w:val="00F81887"/>
    <w:rsid w:val="00F81BB8"/>
    <w:rsid w:val="00F85CF3"/>
    <w:rsid w:val="00F862A1"/>
    <w:rsid w:val="00F917D1"/>
    <w:rsid w:val="00F9342C"/>
    <w:rsid w:val="00F947EA"/>
    <w:rsid w:val="00F9653B"/>
    <w:rsid w:val="00FA1DC1"/>
    <w:rsid w:val="00FA56EA"/>
    <w:rsid w:val="00FB2629"/>
    <w:rsid w:val="00FB36E4"/>
    <w:rsid w:val="00FB62CF"/>
    <w:rsid w:val="00FB742B"/>
    <w:rsid w:val="00FC0F4A"/>
    <w:rsid w:val="00FC3330"/>
    <w:rsid w:val="00FC50FE"/>
    <w:rsid w:val="00FD3C3B"/>
    <w:rsid w:val="00FD42E7"/>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243FFB"/>
    <w:rPr>
      <w:rFonts w:ascii="Calibri" w:eastAsia="Times New Roman" w:hAnsi="Calibri"/>
      <w:color w:val="000000"/>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243FFB"/>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Spacing">
    <w:name w:val="No Spacing"/>
    <w:uiPriority w:val="1"/>
    <w:qFormat/>
    <w:rsid w:val="0010759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5CA00-CA87-4EE6-8EDC-438A8FD4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2967</Words>
  <Characters>16913</Characters>
  <Application>Microsoft Office Word</Application>
  <DocSecurity>0</DocSecurity>
  <Lines>140</Lines>
  <Paragraphs>39</Paragraphs>
  <ScaleCrop>false</ScaleCrop>
  <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2022-11-14T13:37:00Z</dcterms:created>
  <dcterms:modified xsi:type="dcterms:W3CDTF">2022-11-14T13:37:00Z</dcterms:modified>
</cp:coreProperties>
</file>