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51FE2F60" w:rsidR="00040C3A" w:rsidRPr="008C651D" w:rsidRDefault="00714DAB" w:rsidP="00627C9F">
      <w:pPr>
        <w:jc w:val="both"/>
        <w:rPr>
          <w:rFonts w:asciiTheme="majorHAnsi" w:hAnsiTheme="majorHAnsi" w:cs="Univers"/>
          <w:b/>
          <w:bCs/>
          <w:color w:val="000000" w:themeColor="text1"/>
          <w:sz w:val="22"/>
          <w:szCs w:val="22"/>
          <w:lang w:val="pt-BR"/>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1F6C50D7" wp14:editId="354264DF">
                <wp:simplePos x="0" y="0"/>
                <wp:positionH relativeFrom="column">
                  <wp:posOffset>-228600</wp:posOffset>
                </wp:positionH>
                <wp:positionV relativeFrom="paragraph">
                  <wp:posOffset>-297180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13C98A" id="Rectangle 1" o:spid="_x0000_s1026" style="position:absolute;margin-left:-18pt;margin-top:-23.4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bfR4I+IAAAAMAQAADwAAAGRycy9kb3ducmV2LnhtbEyPS0/DMBCE70j8B2uRuKDWgaIQ&#10;hTgVjyJRJA6UHsrNjZckIl5HsfPov2dzgtvs7mj2m2w92UYM2PnakYLrZQQCqXCmplLB/vNlkYDw&#10;QZPRjSNUcEIP6/z8LNOpcSN94LALpeAQ8qlWUIXQplL6okKr/dK1SHz7dp3VgceulKbTI4fbRt5E&#10;USytrok/VLrFpwqLn11vFSTj2+N2OL0n4XVztX/eTIev/uCUuryYHu5BBJzCnxlmfEaHnJmOrifj&#10;RaNgsYq5S2BxG3OH2ZHMmyOLVXwXgcwz+b9E/gsAAP//AwBQSwECLQAUAAYACAAAACEAtoM4kv4A&#10;AADhAQAAEwAAAAAAAAAAAAAAAAAAAAAAW0NvbnRlbnRfVHlwZXNdLnhtbFBLAQItABQABgAIAAAA&#10;IQA4/SH/1gAAAJQBAAALAAAAAAAAAAAAAAAAAC8BAABfcmVscy8ucmVsc1BLAQItABQABgAIAAAA&#10;IQAVsii2hAIAAGAFAAAOAAAAAAAAAAAAAAAAAC4CAABkcnMvZTJvRG9jLnhtbFBLAQItABQABgAI&#10;AAAAIQBt9Hgj4gAAAAwBAAAPAAAAAAAAAAAAAAAAAN4EAABkcnMvZG93bnJldi54bWxQSwUGAAAA&#10;AAQABADzAAAA7QUAAAAA&#10;" fillcolor="#67ae3c"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0C87D4D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DB78BE4" w:rsidR="00CB2660" w:rsidRDefault="00714DAB" w:rsidP="00AE5488">
                            <w:r>
                              <w:rPr>
                                <w:noProof/>
                              </w:rPr>
                              <w:drawing>
                                <wp:inline distT="0" distB="0" distL="0" distR="0" wp14:anchorId="3FBD5C42" wp14:editId="5E893175">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5DB78BE4" w:rsidR="00CB2660" w:rsidRDefault="00714DAB" w:rsidP="00AE5488">
                      <w:r>
                        <w:rPr>
                          <w:noProof/>
                        </w:rPr>
                        <w:drawing>
                          <wp:inline distT="0" distB="0" distL="0" distR="0" wp14:anchorId="3FBD5C42" wp14:editId="5E893175">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27157892"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0F486491"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218D2950"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7D12DAC6"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575FCFF8" w:rsidR="00040C3A" w:rsidRPr="008C651D" w:rsidRDefault="00FA2BFC"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6CD12323">
                <wp:simplePos x="0" y="0"/>
                <wp:positionH relativeFrom="column">
                  <wp:posOffset>-228229</wp:posOffset>
                </wp:positionH>
                <wp:positionV relativeFrom="paragraph">
                  <wp:posOffset>85090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5F11982" w:rsidR="00627C9F" w:rsidRPr="00D93E24" w:rsidRDefault="00834D49" w:rsidP="007A5817">
                            <w:pPr>
                              <w:spacing w:line="276" w:lineRule="auto"/>
                              <w:jc w:val="right"/>
                              <w:rPr>
                                <w:rFonts w:asciiTheme="minorHAnsi" w:hAnsiTheme="minorHAnsi"/>
                                <w:color w:val="FFFFFF" w:themeColor="background1"/>
                                <w:sz w:val="22"/>
                                <w:lang w:val="es-ES"/>
                              </w:rPr>
                            </w:pPr>
                            <w:r w:rsidRPr="00D93E24">
                              <w:rPr>
                                <w:rFonts w:asciiTheme="minorHAnsi" w:hAnsiTheme="minorHAnsi"/>
                                <w:color w:val="FFFFFF" w:themeColor="background1"/>
                                <w:sz w:val="22"/>
                                <w:lang w:val="es-ES"/>
                              </w:rPr>
                              <w:t>OEA/Ser.L/V/II</w:t>
                            </w:r>
                          </w:p>
                          <w:p w14:paraId="6A41611B" w14:textId="0DDA02E8" w:rsidR="00627C9F" w:rsidRPr="00D93E24" w:rsidRDefault="00627C9F" w:rsidP="007A5817">
                            <w:pPr>
                              <w:spacing w:line="276" w:lineRule="auto"/>
                              <w:jc w:val="right"/>
                              <w:rPr>
                                <w:rFonts w:asciiTheme="minorHAnsi" w:hAnsiTheme="minorHAnsi"/>
                                <w:color w:val="FFFFFF" w:themeColor="background1"/>
                                <w:sz w:val="22"/>
                                <w:lang w:val="es-ES"/>
                              </w:rPr>
                            </w:pPr>
                            <w:r w:rsidRPr="00D93E24">
                              <w:rPr>
                                <w:rFonts w:asciiTheme="minorHAnsi" w:hAnsiTheme="minorHAnsi"/>
                                <w:color w:val="FFFFFF" w:themeColor="background1"/>
                                <w:sz w:val="22"/>
                                <w:lang w:val="es-ES"/>
                              </w:rPr>
                              <w:t>Doc.</w:t>
                            </w:r>
                            <w:r w:rsidR="00C51D80" w:rsidRPr="00D93E24">
                              <w:rPr>
                                <w:rFonts w:asciiTheme="minorHAnsi" w:hAnsiTheme="minorHAnsi"/>
                                <w:color w:val="FFFFFF" w:themeColor="background1"/>
                                <w:sz w:val="22"/>
                                <w:lang w:val="es-ES"/>
                              </w:rPr>
                              <w:t xml:space="preserve"> 80</w:t>
                            </w:r>
                            <w:r w:rsidRPr="00D93E24">
                              <w:rPr>
                                <w:rFonts w:asciiTheme="minorHAnsi" w:hAnsiTheme="minorHAnsi"/>
                                <w:color w:val="FFFFFF" w:themeColor="background1"/>
                                <w:sz w:val="22"/>
                                <w:lang w:val="es-ES"/>
                              </w:rPr>
                              <w:t xml:space="preserve"> </w:t>
                            </w:r>
                          </w:p>
                          <w:p w14:paraId="69373ED2" w14:textId="7E68CBE3" w:rsidR="00627C9F" w:rsidRPr="00D93E24" w:rsidRDefault="00C51D80" w:rsidP="007A5817">
                            <w:pPr>
                              <w:spacing w:line="276" w:lineRule="auto"/>
                              <w:jc w:val="right"/>
                              <w:rPr>
                                <w:rFonts w:asciiTheme="minorHAnsi" w:hAnsiTheme="minorHAnsi"/>
                                <w:color w:val="FFFFFF" w:themeColor="background1"/>
                                <w:sz w:val="22"/>
                                <w:lang w:val="es-ES"/>
                              </w:rPr>
                            </w:pPr>
                            <w:r w:rsidRPr="00D93E24">
                              <w:rPr>
                                <w:rFonts w:asciiTheme="minorHAnsi" w:hAnsiTheme="minorHAnsi"/>
                                <w:color w:val="FFFFFF" w:themeColor="background1"/>
                                <w:sz w:val="22"/>
                                <w:lang w:val="es-ES"/>
                              </w:rPr>
                              <w:t>3 June</w:t>
                            </w:r>
                            <w:r w:rsidR="00627C9F" w:rsidRPr="00D93E24">
                              <w:rPr>
                                <w:rFonts w:asciiTheme="minorHAnsi" w:hAnsiTheme="minorHAnsi"/>
                                <w:color w:val="FFFFFF" w:themeColor="background1"/>
                                <w:sz w:val="22"/>
                                <w:lang w:val="es-ES"/>
                              </w:rPr>
                              <w:t xml:space="preserve"> 20</w:t>
                            </w:r>
                            <w:r w:rsidR="00D834AA" w:rsidRPr="00D93E24">
                              <w:rPr>
                                <w:rFonts w:asciiTheme="minorHAnsi" w:hAnsiTheme="minorHAnsi"/>
                                <w:color w:val="FFFFFF" w:themeColor="background1"/>
                                <w:sz w:val="22"/>
                                <w:lang w:val="es-ES"/>
                              </w:rPr>
                              <w:t>2</w:t>
                            </w:r>
                            <w:r w:rsidR="00AB27FF" w:rsidRPr="00D93E24">
                              <w:rPr>
                                <w:rFonts w:asciiTheme="minorHAnsi" w:hAnsiTheme="minorHAnsi"/>
                                <w:color w:val="FFFFFF" w:themeColor="background1"/>
                                <w:sz w:val="22"/>
                                <w:lang w:val="es-ES"/>
                              </w:rPr>
                              <w:t>4</w:t>
                            </w:r>
                          </w:p>
                          <w:p w14:paraId="0771DB5B" w14:textId="5D580387" w:rsidR="00627C9F" w:rsidRPr="00714DAB" w:rsidRDefault="00E0340B" w:rsidP="007A5817">
                            <w:pPr>
                              <w:spacing w:line="276" w:lineRule="auto"/>
                              <w:jc w:val="right"/>
                              <w:rPr>
                                <w:rFonts w:asciiTheme="minorHAnsi" w:hAnsiTheme="minorHAnsi"/>
                                <w:color w:val="FFFFFF" w:themeColor="background1"/>
                                <w:sz w:val="22"/>
                                <w:lang w:val="pt-BR"/>
                              </w:rPr>
                            </w:pPr>
                            <w:r w:rsidRPr="00714DAB">
                              <w:rPr>
                                <w:rFonts w:asciiTheme="minorHAnsi" w:hAnsiTheme="minorHAnsi"/>
                                <w:color w:val="FFFFFF" w:themeColor="background1"/>
                                <w:sz w:val="22"/>
                              </w:rPr>
                              <w:t xml:space="preserve">Original: </w:t>
                            </w:r>
                            <w:r w:rsidR="00AB2CCA" w:rsidRPr="00714DAB">
                              <w:rPr>
                                <w:rFonts w:asciiTheme="minorHAnsi" w:hAnsiTheme="minorHAnsi"/>
                                <w:color w:val="FFFFFF" w:themeColor="background1"/>
                                <w:sz w:val="22"/>
                              </w:rPr>
                              <w:t>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17.95pt;margin-top:6.7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aHIKSeEAAAAKAQAADwAAAGRycy9k&#10;b3ducmV2LnhtbEyPwU7DMBBE70j8g7VI3FqnMUUhxKmqSBUSgkNLL9w2sZtE2OsQu23g63FP5bia&#10;p5m3xWqyhp306HtHEhbzBJimxqmeWgn7j80sA+YDkkLjSEv40R5W5e1NgblyZ9rq0y60LJaQz1FC&#10;F8KQc+6bTlv0czdoitnBjRZDPMeWqxHPsdwanibJI7fYU1zocNBVp5uv3dFKeK0277itU5v9murl&#10;7bAevvefSynv76b1M7Cgp3CF4aIf1aGMTrU7kvLMSJiJ5VNEYyAegF2ATCyA1RJSkQjgZcH/v1D+&#10;AQAA//8DAFBLAQItABQABgAIAAAAIQC2gziS/gAAAOEBAAATAAAAAAAAAAAAAAAAAAAAAABbQ29u&#10;dGVudF9UeXBlc10ueG1sUEsBAi0AFAAGAAgAAAAhADj9If/WAAAAlAEAAAsAAAAAAAAAAAAAAAAA&#10;LwEAAF9yZWxzLy5yZWxzUEsBAi0AFAAGAAgAAAAhABtcFGhpAgAARQUAAA4AAAAAAAAAAAAAAAAA&#10;LgIAAGRycy9lMm9Eb2MueG1sUEsBAi0AFAAGAAgAAAAhAGhyCknhAAAACgEAAA8AAAAAAAAAAAAA&#10;AAAAwwQAAGRycy9kb3ducmV2LnhtbFBLBQYAAAAABAAEAPMAAADRBQAAAAA=&#10;" filled="f" stroked="f" strokeweight=".5pt">
                <v:textbox>
                  <w:txbxContent>
                    <w:p w14:paraId="6CF0BAF6" w14:textId="15F11982" w:rsidR="00627C9F" w:rsidRPr="00D93E24" w:rsidRDefault="00834D49" w:rsidP="007A5817">
                      <w:pPr>
                        <w:spacing w:line="276" w:lineRule="auto"/>
                        <w:jc w:val="right"/>
                        <w:rPr>
                          <w:rFonts w:asciiTheme="minorHAnsi" w:hAnsiTheme="minorHAnsi"/>
                          <w:color w:val="FFFFFF" w:themeColor="background1"/>
                          <w:sz w:val="22"/>
                          <w:lang w:val="es-ES"/>
                        </w:rPr>
                      </w:pPr>
                      <w:r w:rsidRPr="00D93E24">
                        <w:rPr>
                          <w:rFonts w:asciiTheme="minorHAnsi" w:hAnsiTheme="minorHAnsi"/>
                          <w:color w:val="FFFFFF" w:themeColor="background1"/>
                          <w:sz w:val="22"/>
                          <w:lang w:val="es-ES"/>
                        </w:rPr>
                        <w:t>OEA/Ser.L/V/II</w:t>
                      </w:r>
                    </w:p>
                    <w:p w14:paraId="6A41611B" w14:textId="0DDA02E8" w:rsidR="00627C9F" w:rsidRPr="00D93E24" w:rsidRDefault="00627C9F" w:rsidP="007A5817">
                      <w:pPr>
                        <w:spacing w:line="276" w:lineRule="auto"/>
                        <w:jc w:val="right"/>
                        <w:rPr>
                          <w:rFonts w:asciiTheme="minorHAnsi" w:hAnsiTheme="minorHAnsi"/>
                          <w:color w:val="FFFFFF" w:themeColor="background1"/>
                          <w:sz w:val="22"/>
                          <w:lang w:val="es-ES"/>
                        </w:rPr>
                      </w:pPr>
                      <w:r w:rsidRPr="00D93E24">
                        <w:rPr>
                          <w:rFonts w:asciiTheme="minorHAnsi" w:hAnsiTheme="minorHAnsi"/>
                          <w:color w:val="FFFFFF" w:themeColor="background1"/>
                          <w:sz w:val="22"/>
                          <w:lang w:val="es-ES"/>
                        </w:rPr>
                        <w:t>Doc.</w:t>
                      </w:r>
                      <w:r w:rsidR="00C51D80" w:rsidRPr="00D93E24">
                        <w:rPr>
                          <w:rFonts w:asciiTheme="minorHAnsi" w:hAnsiTheme="minorHAnsi"/>
                          <w:color w:val="FFFFFF" w:themeColor="background1"/>
                          <w:sz w:val="22"/>
                          <w:lang w:val="es-ES"/>
                        </w:rPr>
                        <w:t xml:space="preserve"> 80</w:t>
                      </w:r>
                      <w:r w:rsidRPr="00D93E24">
                        <w:rPr>
                          <w:rFonts w:asciiTheme="minorHAnsi" w:hAnsiTheme="minorHAnsi"/>
                          <w:color w:val="FFFFFF" w:themeColor="background1"/>
                          <w:sz w:val="22"/>
                          <w:lang w:val="es-ES"/>
                        </w:rPr>
                        <w:t xml:space="preserve"> </w:t>
                      </w:r>
                    </w:p>
                    <w:p w14:paraId="69373ED2" w14:textId="7E68CBE3" w:rsidR="00627C9F" w:rsidRPr="00D93E24" w:rsidRDefault="00C51D80" w:rsidP="007A5817">
                      <w:pPr>
                        <w:spacing w:line="276" w:lineRule="auto"/>
                        <w:jc w:val="right"/>
                        <w:rPr>
                          <w:rFonts w:asciiTheme="minorHAnsi" w:hAnsiTheme="minorHAnsi"/>
                          <w:color w:val="FFFFFF" w:themeColor="background1"/>
                          <w:sz w:val="22"/>
                          <w:lang w:val="es-ES"/>
                        </w:rPr>
                      </w:pPr>
                      <w:r w:rsidRPr="00D93E24">
                        <w:rPr>
                          <w:rFonts w:asciiTheme="minorHAnsi" w:hAnsiTheme="minorHAnsi"/>
                          <w:color w:val="FFFFFF" w:themeColor="background1"/>
                          <w:sz w:val="22"/>
                          <w:lang w:val="es-ES"/>
                        </w:rPr>
                        <w:t>3 June</w:t>
                      </w:r>
                      <w:r w:rsidR="00627C9F" w:rsidRPr="00D93E24">
                        <w:rPr>
                          <w:rFonts w:asciiTheme="minorHAnsi" w:hAnsiTheme="minorHAnsi"/>
                          <w:color w:val="FFFFFF" w:themeColor="background1"/>
                          <w:sz w:val="22"/>
                          <w:lang w:val="es-ES"/>
                        </w:rPr>
                        <w:t xml:space="preserve"> 20</w:t>
                      </w:r>
                      <w:r w:rsidR="00D834AA" w:rsidRPr="00D93E24">
                        <w:rPr>
                          <w:rFonts w:asciiTheme="minorHAnsi" w:hAnsiTheme="minorHAnsi"/>
                          <w:color w:val="FFFFFF" w:themeColor="background1"/>
                          <w:sz w:val="22"/>
                          <w:lang w:val="es-ES"/>
                        </w:rPr>
                        <w:t>2</w:t>
                      </w:r>
                      <w:r w:rsidR="00AB27FF" w:rsidRPr="00D93E24">
                        <w:rPr>
                          <w:rFonts w:asciiTheme="minorHAnsi" w:hAnsiTheme="minorHAnsi"/>
                          <w:color w:val="FFFFFF" w:themeColor="background1"/>
                          <w:sz w:val="22"/>
                          <w:lang w:val="es-ES"/>
                        </w:rPr>
                        <w:t>4</w:t>
                      </w:r>
                    </w:p>
                    <w:p w14:paraId="0771DB5B" w14:textId="5D580387" w:rsidR="00627C9F" w:rsidRPr="00714DAB" w:rsidRDefault="00E0340B" w:rsidP="007A5817">
                      <w:pPr>
                        <w:spacing w:line="276" w:lineRule="auto"/>
                        <w:jc w:val="right"/>
                        <w:rPr>
                          <w:rFonts w:asciiTheme="minorHAnsi" w:hAnsiTheme="minorHAnsi"/>
                          <w:color w:val="FFFFFF" w:themeColor="background1"/>
                          <w:sz w:val="22"/>
                          <w:lang w:val="pt-BR"/>
                        </w:rPr>
                      </w:pPr>
                      <w:r w:rsidRPr="00714DAB">
                        <w:rPr>
                          <w:rFonts w:asciiTheme="minorHAnsi" w:hAnsiTheme="minorHAnsi"/>
                          <w:color w:val="FFFFFF" w:themeColor="background1"/>
                          <w:sz w:val="22"/>
                        </w:rPr>
                        <w:t xml:space="preserve">Original: </w:t>
                      </w:r>
                      <w:r w:rsidR="00AB2CCA" w:rsidRPr="00714DAB">
                        <w:rPr>
                          <w:rFonts w:asciiTheme="minorHAnsi" w:hAnsiTheme="minorHAnsi"/>
                          <w:color w:val="FFFFFF" w:themeColor="background1"/>
                          <w:sz w:val="22"/>
                        </w:rPr>
                        <w:t>Portuguese</w:t>
                      </w:r>
                    </w:p>
                  </w:txbxContent>
                </v:textbox>
              </v:shape>
            </w:pict>
          </mc:Fallback>
        </mc:AlternateContent>
      </w:r>
      <w:r w:rsidR="00AB27FF"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300CD185">
                <wp:simplePos x="0" y="0"/>
                <wp:positionH relativeFrom="column">
                  <wp:posOffset>1340069</wp:posOffset>
                </wp:positionH>
                <wp:positionV relativeFrom="paragraph">
                  <wp:posOffset>14955</wp:posOffset>
                </wp:positionV>
                <wp:extent cx="4441190" cy="2475187"/>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441190" cy="2475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6DB7F95" w:rsidR="005B52B0" w:rsidRPr="00714DAB" w:rsidRDefault="00AB2CCA" w:rsidP="00997BC5">
                            <w:pPr>
                              <w:spacing w:line="276" w:lineRule="auto"/>
                              <w:rPr>
                                <w:rFonts w:asciiTheme="majorHAnsi" w:hAnsiTheme="majorHAnsi" w:cs="Arial"/>
                                <w:b/>
                                <w:bCs/>
                                <w:color w:val="0D0D0D" w:themeColor="text1" w:themeTint="F2"/>
                                <w:sz w:val="36"/>
                                <w:szCs w:val="22"/>
                              </w:rPr>
                            </w:pPr>
                            <w:r w:rsidRPr="00714DAB">
                              <w:rPr>
                                <w:rFonts w:asciiTheme="majorHAnsi" w:hAnsiTheme="majorHAnsi" w:cs="Arial"/>
                                <w:b/>
                                <w:bCs/>
                                <w:color w:val="0D0D0D" w:themeColor="text1" w:themeTint="F2"/>
                                <w:sz w:val="36"/>
                                <w:szCs w:val="22"/>
                              </w:rPr>
                              <w:t>REPORT</w:t>
                            </w:r>
                            <w:r w:rsidR="005B52B0" w:rsidRPr="00714DAB">
                              <w:rPr>
                                <w:rFonts w:asciiTheme="majorHAnsi" w:hAnsiTheme="majorHAnsi" w:cs="Arial"/>
                                <w:b/>
                                <w:bCs/>
                                <w:color w:val="0D0D0D" w:themeColor="text1" w:themeTint="F2"/>
                                <w:sz w:val="36"/>
                                <w:szCs w:val="22"/>
                              </w:rPr>
                              <w:t xml:space="preserve"> </w:t>
                            </w:r>
                            <w:r w:rsidR="00477592" w:rsidRPr="00714DAB">
                              <w:rPr>
                                <w:rFonts w:asciiTheme="majorHAnsi" w:hAnsiTheme="majorHAnsi" w:cs="Arial"/>
                                <w:b/>
                                <w:bCs/>
                                <w:color w:val="0D0D0D" w:themeColor="text1" w:themeTint="F2"/>
                                <w:sz w:val="36"/>
                                <w:szCs w:val="40"/>
                              </w:rPr>
                              <w:t>No.</w:t>
                            </w:r>
                            <w:r w:rsidR="007B05C4" w:rsidRPr="00714DAB">
                              <w:rPr>
                                <w:rFonts w:asciiTheme="majorHAnsi" w:hAnsiTheme="majorHAnsi" w:cs="Arial"/>
                                <w:b/>
                                <w:bCs/>
                                <w:color w:val="0D0D0D" w:themeColor="text1" w:themeTint="F2"/>
                                <w:sz w:val="36"/>
                                <w:szCs w:val="22"/>
                              </w:rPr>
                              <w:t xml:space="preserve"> </w:t>
                            </w:r>
                            <w:r w:rsidR="00D451D6">
                              <w:rPr>
                                <w:rFonts w:asciiTheme="majorHAnsi" w:hAnsiTheme="majorHAnsi" w:cs="Arial"/>
                                <w:b/>
                                <w:bCs/>
                                <w:color w:val="0D0D0D" w:themeColor="text1" w:themeTint="F2"/>
                                <w:sz w:val="36"/>
                                <w:szCs w:val="22"/>
                              </w:rPr>
                              <w:t>77</w:t>
                            </w:r>
                            <w:r w:rsidR="007B05C4" w:rsidRPr="00714DAB">
                              <w:rPr>
                                <w:rFonts w:asciiTheme="majorHAnsi" w:hAnsiTheme="majorHAnsi" w:cs="Arial"/>
                                <w:b/>
                                <w:bCs/>
                                <w:color w:val="0D0D0D" w:themeColor="text1" w:themeTint="F2"/>
                                <w:sz w:val="36"/>
                                <w:szCs w:val="22"/>
                              </w:rPr>
                              <w:t>/</w:t>
                            </w:r>
                            <w:r w:rsidR="00D834AA" w:rsidRPr="00714DAB">
                              <w:rPr>
                                <w:rFonts w:asciiTheme="majorHAnsi" w:hAnsiTheme="majorHAnsi" w:cs="Arial"/>
                                <w:b/>
                                <w:bCs/>
                                <w:color w:val="0D0D0D" w:themeColor="text1" w:themeTint="F2"/>
                                <w:sz w:val="36"/>
                                <w:szCs w:val="22"/>
                              </w:rPr>
                              <w:t>2</w:t>
                            </w:r>
                            <w:r w:rsidR="00AB27FF" w:rsidRPr="00714DAB">
                              <w:rPr>
                                <w:rFonts w:asciiTheme="majorHAnsi" w:hAnsiTheme="majorHAnsi" w:cs="Arial"/>
                                <w:b/>
                                <w:bCs/>
                                <w:color w:val="0D0D0D" w:themeColor="text1" w:themeTint="F2"/>
                                <w:sz w:val="36"/>
                                <w:szCs w:val="22"/>
                              </w:rPr>
                              <w:t>4</w:t>
                            </w:r>
                          </w:p>
                          <w:p w14:paraId="54CDA619" w14:textId="3A73E974" w:rsidR="00C3078F" w:rsidRPr="00714DAB" w:rsidRDefault="00AB2CCA" w:rsidP="00997BC5">
                            <w:pPr>
                              <w:spacing w:line="276" w:lineRule="auto"/>
                              <w:rPr>
                                <w:rFonts w:asciiTheme="majorHAnsi" w:hAnsiTheme="majorHAnsi" w:cs="Arial"/>
                                <w:b/>
                                <w:color w:val="0D0D0D" w:themeColor="text1" w:themeTint="F2"/>
                                <w:sz w:val="36"/>
                                <w:szCs w:val="22"/>
                              </w:rPr>
                            </w:pPr>
                            <w:r w:rsidRPr="00714DAB">
                              <w:rPr>
                                <w:rFonts w:asciiTheme="majorHAnsi" w:hAnsiTheme="majorHAnsi" w:cs="Arial"/>
                                <w:b/>
                                <w:color w:val="0D0D0D" w:themeColor="text1" w:themeTint="F2"/>
                                <w:sz w:val="36"/>
                                <w:szCs w:val="22"/>
                              </w:rPr>
                              <w:t>PETITION</w:t>
                            </w:r>
                            <w:r w:rsidR="005B52B0" w:rsidRPr="00714DAB">
                              <w:rPr>
                                <w:rFonts w:asciiTheme="majorHAnsi" w:hAnsiTheme="majorHAnsi" w:cs="Arial"/>
                                <w:b/>
                                <w:color w:val="0D0D0D" w:themeColor="text1" w:themeTint="F2"/>
                                <w:sz w:val="36"/>
                                <w:szCs w:val="22"/>
                              </w:rPr>
                              <w:t xml:space="preserve"> </w:t>
                            </w:r>
                            <w:r w:rsidR="00AB27FF" w:rsidRPr="00714DAB">
                              <w:rPr>
                                <w:rFonts w:asciiTheme="majorHAnsi" w:hAnsiTheme="majorHAnsi" w:cs="Arial"/>
                                <w:b/>
                                <w:color w:val="0D0D0D" w:themeColor="text1" w:themeTint="F2"/>
                                <w:sz w:val="36"/>
                                <w:szCs w:val="22"/>
                              </w:rPr>
                              <w:t>2066-17</w:t>
                            </w:r>
                            <w:r w:rsidR="00246D1F" w:rsidRPr="00714DAB">
                              <w:rPr>
                                <w:rFonts w:asciiTheme="majorHAnsi" w:hAnsiTheme="majorHAnsi" w:cs="Arial"/>
                                <w:b/>
                                <w:color w:val="0D0D0D" w:themeColor="text1" w:themeTint="F2"/>
                                <w:sz w:val="36"/>
                                <w:szCs w:val="22"/>
                              </w:rPr>
                              <w:t xml:space="preserve"> </w:t>
                            </w:r>
                          </w:p>
                          <w:p w14:paraId="70CF6833" w14:textId="099F951A" w:rsidR="00CD046C" w:rsidRPr="00714DAB" w:rsidRDefault="00AB2CCA" w:rsidP="00997BC5">
                            <w:pPr>
                              <w:spacing w:line="276" w:lineRule="auto"/>
                              <w:rPr>
                                <w:rFonts w:asciiTheme="majorHAnsi" w:hAnsiTheme="majorHAnsi" w:cs="Arial"/>
                                <w:color w:val="0D0D0D" w:themeColor="text1" w:themeTint="F2"/>
                                <w:szCs w:val="22"/>
                              </w:rPr>
                            </w:pPr>
                            <w:r w:rsidRPr="00714DAB">
                              <w:rPr>
                                <w:rFonts w:asciiTheme="majorHAnsi" w:hAnsiTheme="majorHAnsi" w:cs="Arial"/>
                                <w:color w:val="0D0D0D" w:themeColor="text1" w:themeTint="F2"/>
                                <w:szCs w:val="22"/>
                              </w:rPr>
                              <w:t>REPORT ON ADMISSIBILITY</w:t>
                            </w:r>
                          </w:p>
                          <w:p w14:paraId="09DE1013" w14:textId="77777777" w:rsidR="00AB27FF" w:rsidRPr="00714DAB" w:rsidRDefault="00AB27FF" w:rsidP="00997BC5">
                            <w:pPr>
                              <w:spacing w:line="276" w:lineRule="auto"/>
                              <w:rPr>
                                <w:rFonts w:asciiTheme="majorHAnsi" w:hAnsiTheme="majorHAnsi" w:cs="Arial"/>
                                <w:color w:val="0D0D0D" w:themeColor="text1" w:themeTint="F2"/>
                                <w:szCs w:val="22"/>
                              </w:rPr>
                            </w:pPr>
                            <w:bookmarkStart w:id="0" w:name="_ftnref1"/>
                          </w:p>
                          <w:p w14:paraId="69667410" w14:textId="03C4C195" w:rsidR="00CF0816" w:rsidRPr="00703436" w:rsidRDefault="00AB27FF" w:rsidP="00997BC5">
                            <w:pPr>
                              <w:spacing w:line="276" w:lineRule="auto"/>
                              <w:rPr>
                                <w:rFonts w:asciiTheme="majorHAnsi" w:hAnsiTheme="majorHAnsi" w:cs="Arial"/>
                                <w:color w:val="0D0D0D" w:themeColor="text1" w:themeTint="F2"/>
                                <w:szCs w:val="22"/>
                              </w:rPr>
                            </w:pPr>
                            <w:r w:rsidRPr="00703436">
                              <w:rPr>
                                <w:rFonts w:asciiTheme="majorHAnsi" w:hAnsiTheme="majorHAnsi" w:cs="Arial"/>
                                <w:color w:val="0D0D0D" w:themeColor="text1" w:themeTint="F2"/>
                                <w:szCs w:val="22"/>
                              </w:rPr>
                              <w:t xml:space="preserve">AA </w:t>
                            </w:r>
                            <w:r w:rsidR="00660F88">
                              <w:rPr>
                                <w:rFonts w:asciiTheme="majorHAnsi" w:hAnsiTheme="majorHAnsi" w:cs="Arial"/>
                                <w:color w:val="0D0D0D" w:themeColor="text1" w:themeTint="F2"/>
                                <w:szCs w:val="22"/>
                              </w:rPr>
                              <w:t>&amp;</w:t>
                            </w:r>
                            <w:r w:rsidRPr="00703436">
                              <w:rPr>
                                <w:rFonts w:asciiTheme="majorHAnsi" w:hAnsiTheme="majorHAnsi" w:cs="Arial"/>
                                <w:color w:val="0D0D0D" w:themeColor="text1" w:themeTint="F2"/>
                                <w:szCs w:val="22"/>
                              </w:rPr>
                              <w:t xml:space="preserve"> BB</w:t>
                            </w:r>
                            <w:bookmarkEnd w:id="0"/>
                          </w:p>
                          <w:p w14:paraId="35068D0D" w14:textId="2A15293F"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w:t>
                            </w:r>
                            <w:r w:rsidR="00AB2CCA">
                              <w:rPr>
                                <w:rFonts w:asciiTheme="majorHAnsi" w:hAnsiTheme="majorHAnsi" w:cs="Arial"/>
                                <w:color w:val="0D0D0D" w:themeColor="text1" w:themeTint="F2"/>
                                <w:szCs w:val="22"/>
                                <w:lang w:val="pt-BR"/>
                              </w:rPr>
                              <w:t>Z</w:t>
                            </w:r>
                            <w:r>
                              <w:rPr>
                                <w:rFonts w:asciiTheme="majorHAnsi" w:hAnsiTheme="majorHAnsi" w:cs="Arial"/>
                                <w:color w:val="0D0D0D" w:themeColor="text1" w:themeTint="F2"/>
                                <w:szCs w:val="22"/>
                                <w:lang w:val="pt-BR"/>
                              </w:rPr>
                              <w: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5.5pt;margin-top:1.2pt;width:349.7pt;height:19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NUbAIAAEUFAAAOAAAAZHJzL2Uyb0RvYy54bWysVN1v2yAQf5+0/wHxvjrO3K+oTpW16jSp&#10;aqu1U58JhsYa5hhcYmd/fQ9sJ1G3l057gYP73Y/75OKyawzbKB9qsCXPjyacKSuhqu1LyX883Xw6&#10;4yygsJUwYFXJtyrwy/nHDxetm6kprMBUyjMisWHWupKvEN0sy4JcqUaEI3DKklKDbwTS0b9klRct&#10;sTcmm04mJ1kLvnIepAqBbq97JZ8nfq2VxHutg0JmSk6+YVp9WpdxzeYXYvbihVvVcnBD/IMXjagt&#10;PbqjuhYo2NrXf1A1tfQQQOORhCYDrWupUgwUTT55E83jSjiVYqHkBLdLU/h/tPJu8+gePMPuC3RU&#10;wJiQ1oVZoMsYT6d9E3fylJGeUrjdpU11yCRdFkWR5+ekkqSbFqfH+dlp5Mn25s4H/KqgYVEouae6&#10;pHSJzW3AHjpC4msWbmpjUm2MZW3JTz4fT5LBTkPkxkasSlUeaPauJwm3RkWMsd+VZnWVIogXqb/U&#10;lfFsI6gzhJTKYgo+8RI6ojQ58R7DAb/36j3GfRzjy2BxZ9zUFnyK/o3b1c/RZd3jKecHcUcRu2VH&#10;gVNdxsouodpSwT30sxCcvKmpKLci4IPw1PxUSBpovKdFG6DkwyBxtgL/+2/3EU89SVrOWhqmkodf&#10;a+EVZ+abpW49z4siTl86FMenUzr4Q83yUGPXzRVQVXL6OpxMYsSjGUXtoXmmuV/EV0klrKS3S46j&#10;eIX9iNO/IdVikUA0b07grX10MlLHIsWWe+qehXdDXyK19B2MYydmb9qzx0ZLC4s1gq5T78Y891kd&#10;8k+zmrp/+FfiZ3B4Tqj97zd/BQAA//8DAFBLAwQUAAYACAAAACEA+Wpon+EAAAAJAQAADwAAAGRy&#10;cy9kb3ducmV2LnhtbEyPzU7DMBCE70i8g7VI3KgT86M2xKmqSBUSKoeWXrg58TaJiNchdtvQp2c5&#10;wW1WM5r9Jl9OrhcnHEPnSUM6S0Ag1d521GjYv6/v5iBCNGRN7wk1fGOAZXF9lZvM+jNt8bSLjeAS&#10;CpnR0MY4ZFKGukVnwswPSOwd/OhM5HNspB3NmctdL1WSPElnOuIPrRmwbLH+3B2dhtdy/Wa2lXLz&#10;S1++bA6r4Wv/8aj17c20egYRcYp/YfjFZ3QomKnyR7JB9BpUmvKWyOIBBPuLNGFRabhfKAWyyOX/&#10;BcUPAAAA//8DAFBLAQItABQABgAIAAAAIQC2gziS/gAAAOEBAAATAAAAAAAAAAAAAAAAAAAAAABb&#10;Q29udGVudF9UeXBlc10ueG1sUEsBAi0AFAAGAAgAAAAhADj9If/WAAAAlAEAAAsAAAAAAAAAAAAA&#10;AAAALwEAAF9yZWxzLy5yZWxzUEsBAi0AFAAGAAgAAAAhAIdMM1RsAgAARQUAAA4AAAAAAAAAAAAA&#10;AAAALgIAAGRycy9lMm9Eb2MueG1sUEsBAi0AFAAGAAgAAAAhAPlqaJ/hAAAACQEAAA8AAAAAAAAA&#10;AAAAAAAAxgQAAGRycy9kb3ducmV2LnhtbFBLBQYAAAAABAAEAPMAAADUBQAAAAA=&#10;" filled="f" stroked="f" strokeweight=".5pt">
                <v:textbox>
                  <w:txbxContent>
                    <w:p w14:paraId="4D9FE29C" w14:textId="16DB7F95" w:rsidR="005B52B0" w:rsidRPr="00714DAB" w:rsidRDefault="00AB2CCA" w:rsidP="00997BC5">
                      <w:pPr>
                        <w:spacing w:line="276" w:lineRule="auto"/>
                        <w:rPr>
                          <w:rFonts w:asciiTheme="majorHAnsi" w:hAnsiTheme="majorHAnsi" w:cs="Arial"/>
                          <w:b/>
                          <w:bCs/>
                          <w:color w:val="0D0D0D" w:themeColor="text1" w:themeTint="F2"/>
                          <w:sz w:val="36"/>
                          <w:szCs w:val="22"/>
                        </w:rPr>
                      </w:pPr>
                      <w:r w:rsidRPr="00714DAB">
                        <w:rPr>
                          <w:rFonts w:asciiTheme="majorHAnsi" w:hAnsiTheme="majorHAnsi" w:cs="Arial"/>
                          <w:b/>
                          <w:bCs/>
                          <w:color w:val="0D0D0D" w:themeColor="text1" w:themeTint="F2"/>
                          <w:sz w:val="36"/>
                          <w:szCs w:val="22"/>
                        </w:rPr>
                        <w:t>REPORT</w:t>
                      </w:r>
                      <w:r w:rsidR="005B52B0" w:rsidRPr="00714DAB">
                        <w:rPr>
                          <w:rFonts w:asciiTheme="majorHAnsi" w:hAnsiTheme="majorHAnsi" w:cs="Arial"/>
                          <w:b/>
                          <w:bCs/>
                          <w:color w:val="0D0D0D" w:themeColor="text1" w:themeTint="F2"/>
                          <w:sz w:val="36"/>
                          <w:szCs w:val="22"/>
                        </w:rPr>
                        <w:t xml:space="preserve"> </w:t>
                      </w:r>
                      <w:r w:rsidR="00477592" w:rsidRPr="00714DAB">
                        <w:rPr>
                          <w:rFonts w:asciiTheme="majorHAnsi" w:hAnsiTheme="majorHAnsi" w:cs="Arial"/>
                          <w:b/>
                          <w:bCs/>
                          <w:color w:val="0D0D0D" w:themeColor="text1" w:themeTint="F2"/>
                          <w:sz w:val="36"/>
                          <w:szCs w:val="40"/>
                        </w:rPr>
                        <w:t>No.</w:t>
                      </w:r>
                      <w:r w:rsidR="007B05C4" w:rsidRPr="00714DAB">
                        <w:rPr>
                          <w:rFonts w:asciiTheme="majorHAnsi" w:hAnsiTheme="majorHAnsi" w:cs="Arial"/>
                          <w:b/>
                          <w:bCs/>
                          <w:color w:val="0D0D0D" w:themeColor="text1" w:themeTint="F2"/>
                          <w:sz w:val="36"/>
                          <w:szCs w:val="22"/>
                        </w:rPr>
                        <w:t xml:space="preserve"> </w:t>
                      </w:r>
                      <w:r w:rsidR="00D451D6">
                        <w:rPr>
                          <w:rFonts w:asciiTheme="majorHAnsi" w:hAnsiTheme="majorHAnsi" w:cs="Arial"/>
                          <w:b/>
                          <w:bCs/>
                          <w:color w:val="0D0D0D" w:themeColor="text1" w:themeTint="F2"/>
                          <w:sz w:val="36"/>
                          <w:szCs w:val="22"/>
                        </w:rPr>
                        <w:t>77</w:t>
                      </w:r>
                      <w:r w:rsidR="007B05C4" w:rsidRPr="00714DAB">
                        <w:rPr>
                          <w:rFonts w:asciiTheme="majorHAnsi" w:hAnsiTheme="majorHAnsi" w:cs="Arial"/>
                          <w:b/>
                          <w:bCs/>
                          <w:color w:val="0D0D0D" w:themeColor="text1" w:themeTint="F2"/>
                          <w:sz w:val="36"/>
                          <w:szCs w:val="22"/>
                        </w:rPr>
                        <w:t>/</w:t>
                      </w:r>
                      <w:r w:rsidR="00D834AA" w:rsidRPr="00714DAB">
                        <w:rPr>
                          <w:rFonts w:asciiTheme="majorHAnsi" w:hAnsiTheme="majorHAnsi" w:cs="Arial"/>
                          <w:b/>
                          <w:bCs/>
                          <w:color w:val="0D0D0D" w:themeColor="text1" w:themeTint="F2"/>
                          <w:sz w:val="36"/>
                          <w:szCs w:val="22"/>
                        </w:rPr>
                        <w:t>2</w:t>
                      </w:r>
                      <w:r w:rsidR="00AB27FF" w:rsidRPr="00714DAB">
                        <w:rPr>
                          <w:rFonts w:asciiTheme="majorHAnsi" w:hAnsiTheme="majorHAnsi" w:cs="Arial"/>
                          <w:b/>
                          <w:bCs/>
                          <w:color w:val="0D0D0D" w:themeColor="text1" w:themeTint="F2"/>
                          <w:sz w:val="36"/>
                          <w:szCs w:val="22"/>
                        </w:rPr>
                        <w:t>4</w:t>
                      </w:r>
                    </w:p>
                    <w:p w14:paraId="54CDA619" w14:textId="3A73E974" w:rsidR="00C3078F" w:rsidRPr="00714DAB" w:rsidRDefault="00AB2CCA" w:rsidP="00997BC5">
                      <w:pPr>
                        <w:spacing w:line="276" w:lineRule="auto"/>
                        <w:rPr>
                          <w:rFonts w:asciiTheme="majorHAnsi" w:hAnsiTheme="majorHAnsi" w:cs="Arial"/>
                          <w:b/>
                          <w:color w:val="0D0D0D" w:themeColor="text1" w:themeTint="F2"/>
                          <w:sz w:val="36"/>
                          <w:szCs w:val="22"/>
                        </w:rPr>
                      </w:pPr>
                      <w:r w:rsidRPr="00714DAB">
                        <w:rPr>
                          <w:rFonts w:asciiTheme="majorHAnsi" w:hAnsiTheme="majorHAnsi" w:cs="Arial"/>
                          <w:b/>
                          <w:color w:val="0D0D0D" w:themeColor="text1" w:themeTint="F2"/>
                          <w:sz w:val="36"/>
                          <w:szCs w:val="22"/>
                        </w:rPr>
                        <w:t>PETITION</w:t>
                      </w:r>
                      <w:r w:rsidR="005B52B0" w:rsidRPr="00714DAB">
                        <w:rPr>
                          <w:rFonts w:asciiTheme="majorHAnsi" w:hAnsiTheme="majorHAnsi" w:cs="Arial"/>
                          <w:b/>
                          <w:color w:val="0D0D0D" w:themeColor="text1" w:themeTint="F2"/>
                          <w:sz w:val="36"/>
                          <w:szCs w:val="22"/>
                        </w:rPr>
                        <w:t xml:space="preserve"> </w:t>
                      </w:r>
                      <w:r w:rsidR="00AB27FF" w:rsidRPr="00714DAB">
                        <w:rPr>
                          <w:rFonts w:asciiTheme="majorHAnsi" w:hAnsiTheme="majorHAnsi" w:cs="Arial"/>
                          <w:b/>
                          <w:color w:val="0D0D0D" w:themeColor="text1" w:themeTint="F2"/>
                          <w:sz w:val="36"/>
                          <w:szCs w:val="22"/>
                        </w:rPr>
                        <w:t>2066-17</w:t>
                      </w:r>
                      <w:r w:rsidR="00246D1F" w:rsidRPr="00714DAB">
                        <w:rPr>
                          <w:rFonts w:asciiTheme="majorHAnsi" w:hAnsiTheme="majorHAnsi" w:cs="Arial"/>
                          <w:b/>
                          <w:color w:val="0D0D0D" w:themeColor="text1" w:themeTint="F2"/>
                          <w:sz w:val="36"/>
                          <w:szCs w:val="22"/>
                        </w:rPr>
                        <w:t xml:space="preserve"> </w:t>
                      </w:r>
                    </w:p>
                    <w:p w14:paraId="70CF6833" w14:textId="099F951A" w:rsidR="00CD046C" w:rsidRPr="00714DAB" w:rsidRDefault="00AB2CCA" w:rsidP="00997BC5">
                      <w:pPr>
                        <w:spacing w:line="276" w:lineRule="auto"/>
                        <w:rPr>
                          <w:rFonts w:asciiTheme="majorHAnsi" w:hAnsiTheme="majorHAnsi" w:cs="Arial"/>
                          <w:color w:val="0D0D0D" w:themeColor="text1" w:themeTint="F2"/>
                          <w:szCs w:val="22"/>
                        </w:rPr>
                      </w:pPr>
                      <w:r w:rsidRPr="00714DAB">
                        <w:rPr>
                          <w:rFonts w:asciiTheme="majorHAnsi" w:hAnsiTheme="majorHAnsi" w:cs="Arial"/>
                          <w:color w:val="0D0D0D" w:themeColor="text1" w:themeTint="F2"/>
                          <w:szCs w:val="22"/>
                        </w:rPr>
                        <w:t>REPORT ON ADMISSIBILITY</w:t>
                      </w:r>
                    </w:p>
                    <w:p w14:paraId="09DE1013" w14:textId="77777777" w:rsidR="00AB27FF" w:rsidRPr="00714DAB" w:rsidRDefault="00AB27FF" w:rsidP="00997BC5">
                      <w:pPr>
                        <w:spacing w:line="276" w:lineRule="auto"/>
                        <w:rPr>
                          <w:rFonts w:asciiTheme="majorHAnsi" w:hAnsiTheme="majorHAnsi" w:cs="Arial"/>
                          <w:color w:val="0D0D0D" w:themeColor="text1" w:themeTint="F2"/>
                          <w:szCs w:val="22"/>
                        </w:rPr>
                      </w:pPr>
                      <w:bookmarkStart w:id="1" w:name="_ftnref1"/>
                    </w:p>
                    <w:p w14:paraId="69667410" w14:textId="03C4C195" w:rsidR="00CF0816" w:rsidRPr="00703436" w:rsidRDefault="00AB27FF" w:rsidP="00997BC5">
                      <w:pPr>
                        <w:spacing w:line="276" w:lineRule="auto"/>
                        <w:rPr>
                          <w:rFonts w:asciiTheme="majorHAnsi" w:hAnsiTheme="majorHAnsi" w:cs="Arial"/>
                          <w:color w:val="0D0D0D" w:themeColor="text1" w:themeTint="F2"/>
                          <w:szCs w:val="22"/>
                        </w:rPr>
                      </w:pPr>
                      <w:r w:rsidRPr="00703436">
                        <w:rPr>
                          <w:rFonts w:asciiTheme="majorHAnsi" w:hAnsiTheme="majorHAnsi" w:cs="Arial"/>
                          <w:color w:val="0D0D0D" w:themeColor="text1" w:themeTint="F2"/>
                          <w:szCs w:val="22"/>
                        </w:rPr>
                        <w:t xml:space="preserve">AA </w:t>
                      </w:r>
                      <w:r w:rsidR="00660F88">
                        <w:rPr>
                          <w:rFonts w:asciiTheme="majorHAnsi" w:hAnsiTheme="majorHAnsi" w:cs="Arial"/>
                          <w:color w:val="0D0D0D" w:themeColor="text1" w:themeTint="F2"/>
                          <w:szCs w:val="22"/>
                        </w:rPr>
                        <w:t>&amp;</w:t>
                      </w:r>
                      <w:r w:rsidRPr="00703436">
                        <w:rPr>
                          <w:rFonts w:asciiTheme="majorHAnsi" w:hAnsiTheme="majorHAnsi" w:cs="Arial"/>
                          <w:color w:val="0D0D0D" w:themeColor="text1" w:themeTint="F2"/>
                          <w:szCs w:val="22"/>
                        </w:rPr>
                        <w:t xml:space="preserve"> BB</w:t>
                      </w:r>
                      <w:bookmarkEnd w:id="1"/>
                    </w:p>
                    <w:p w14:paraId="35068D0D" w14:textId="2A15293F"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w:t>
                      </w:r>
                      <w:r w:rsidR="00AB2CCA">
                        <w:rPr>
                          <w:rFonts w:asciiTheme="majorHAnsi" w:hAnsiTheme="majorHAnsi" w:cs="Arial"/>
                          <w:color w:val="0D0D0D" w:themeColor="text1" w:themeTint="F2"/>
                          <w:szCs w:val="22"/>
                          <w:lang w:val="pt-BR"/>
                        </w:rPr>
                        <w:t>Z</w:t>
                      </w:r>
                      <w:r>
                        <w:rPr>
                          <w:rFonts w:asciiTheme="majorHAnsi" w:hAnsiTheme="majorHAnsi" w:cs="Arial"/>
                          <w:color w:val="0D0D0D" w:themeColor="text1" w:themeTint="F2"/>
                          <w:szCs w:val="22"/>
                          <w:lang w:val="pt-BR"/>
                        </w:rPr>
                        <w:t>IL</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997A97A" w:rsidR="00DD3D86" w:rsidRPr="00AB2CCA" w:rsidRDefault="00AB2CCA" w:rsidP="00DD3D86">
                            <w:pPr>
                              <w:tabs>
                                <w:tab w:val="center" w:pos="5400"/>
                              </w:tabs>
                              <w:suppressAutoHyphens/>
                              <w:spacing w:before="60"/>
                              <w:rPr>
                                <w:rFonts w:asciiTheme="majorHAnsi" w:hAnsiTheme="majorHAnsi"/>
                                <w:color w:val="0D0D0D" w:themeColor="text1" w:themeTint="F2"/>
                                <w:sz w:val="18"/>
                                <w:szCs w:val="22"/>
                              </w:rPr>
                            </w:pPr>
                            <w:r w:rsidRPr="00AB2CCA">
                              <w:rPr>
                                <w:rFonts w:asciiTheme="majorHAnsi" w:hAnsiTheme="majorHAnsi"/>
                                <w:color w:val="0D0D0D" w:themeColor="text1" w:themeTint="F2"/>
                                <w:sz w:val="18"/>
                                <w:szCs w:val="22"/>
                              </w:rPr>
                              <w:t>Approved electronically by the Commission on</w:t>
                            </w:r>
                            <w:r w:rsidR="0038709A" w:rsidRPr="00AB2CCA">
                              <w:rPr>
                                <w:rFonts w:asciiTheme="majorHAnsi" w:hAnsiTheme="majorHAnsi"/>
                                <w:color w:val="0D0D0D" w:themeColor="text1" w:themeTint="F2"/>
                                <w:sz w:val="18"/>
                                <w:szCs w:val="22"/>
                              </w:rPr>
                              <w:t xml:space="preserve"> </w:t>
                            </w:r>
                            <w:r w:rsidR="00FE1D2A">
                              <w:rPr>
                                <w:rFonts w:asciiTheme="majorHAnsi" w:hAnsiTheme="majorHAnsi"/>
                                <w:color w:val="0D0D0D" w:themeColor="text1" w:themeTint="F2"/>
                                <w:sz w:val="18"/>
                                <w:szCs w:val="22"/>
                              </w:rPr>
                              <w:t>June 3, 2024.</w:t>
                            </w:r>
                          </w:p>
                          <w:p w14:paraId="4BDF3581" w14:textId="77777777" w:rsidR="00DD3D86" w:rsidRPr="00AB2CC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AB2CCA"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997A97A" w:rsidR="00DD3D86" w:rsidRPr="00AB2CCA" w:rsidRDefault="00AB2CCA" w:rsidP="00DD3D86">
                      <w:pPr>
                        <w:tabs>
                          <w:tab w:val="center" w:pos="5400"/>
                        </w:tabs>
                        <w:suppressAutoHyphens/>
                        <w:spacing w:before="60"/>
                        <w:rPr>
                          <w:rFonts w:asciiTheme="majorHAnsi" w:hAnsiTheme="majorHAnsi"/>
                          <w:color w:val="0D0D0D" w:themeColor="text1" w:themeTint="F2"/>
                          <w:sz w:val="18"/>
                          <w:szCs w:val="22"/>
                        </w:rPr>
                      </w:pPr>
                      <w:r w:rsidRPr="00AB2CCA">
                        <w:rPr>
                          <w:rFonts w:asciiTheme="majorHAnsi" w:hAnsiTheme="majorHAnsi"/>
                          <w:color w:val="0D0D0D" w:themeColor="text1" w:themeTint="F2"/>
                          <w:sz w:val="18"/>
                          <w:szCs w:val="22"/>
                        </w:rPr>
                        <w:t>Approved electronically by the Commission on</w:t>
                      </w:r>
                      <w:r w:rsidR="0038709A" w:rsidRPr="00AB2CCA">
                        <w:rPr>
                          <w:rFonts w:asciiTheme="majorHAnsi" w:hAnsiTheme="majorHAnsi"/>
                          <w:color w:val="0D0D0D" w:themeColor="text1" w:themeTint="F2"/>
                          <w:sz w:val="18"/>
                          <w:szCs w:val="22"/>
                        </w:rPr>
                        <w:t xml:space="preserve"> </w:t>
                      </w:r>
                      <w:r w:rsidR="00FE1D2A">
                        <w:rPr>
                          <w:rFonts w:asciiTheme="majorHAnsi" w:hAnsiTheme="majorHAnsi"/>
                          <w:color w:val="0D0D0D" w:themeColor="text1" w:themeTint="F2"/>
                          <w:sz w:val="18"/>
                          <w:szCs w:val="22"/>
                        </w:rPr>
                        <w:t>June 3, 2024.</w:t>
                      </w:r>
                    </w:p>
                    <w:p w14:paraId="4BDF3581" w14:textId="77777777" w:rsidR="00DD3D86" w:rsidRPr="00AB2CC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AB2CCA"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196CAC4" w:rsidR="00113F73" w:rsidRPr="00AB2CCA" w:rsidRDefault="00AB2CCA" w:rsidP="00113F73">
                            <w:pPr>
                              <w:spacing w:line="276" w:lineRule="auto"/>
                              <w:rPr>
                                <w:rFonts w:asciiTheme="majorHAnsi" w:hAnsiTheme="majorHAnsi"/>
                                <w:color w:val="595959" w:themeColor="text1" w:themeTint="A6"/>
                                <w:sz w:val="18"/>
                                <w:szCs w:val="18"/>
                              </w:rPr>
                            </w:pPr>
                            <w:r w:rsidRPr="00AB2CCA">
                              <w:rPr>
                                <w:rFonts w:asciiTheme="majorHAnsi" w:hAnsiTheme="majorHAnsi"/>
                                <w:b/>
                                <w:color w:val="595959" w:themeColor="text1" w:themeTint="A6"/>
                                <w:sz w:val="18"/>
                                <w:szCs w:val="18"/>
                              </w:rPr>
                              <w:t>Cite as</w:t>
                            </w:r>
                            <w:r w:rsidRPr="00AB2CCA">
                              <w:rPr>
                                <w:rFonts w:asciiTheme="majorHAnsi" w:hAnsiTheme="majorHAnsi"/>
                                <w:b/>
                                <w:color w:val="595959" w:themeColor="text1" w:themeTint="A6"/>
                                <w:sz w:val="18"/>
                              </w:rPr>
                              <w:t xml:space="preserve">: </w:t>
                            </w:r>
                            <w:r w:rsidRPr="00AB2CCA">
                              <w:rPr>
                                <w:rFonts w:asciiTheme="majorHAnsi" w:hAnsiTheme="majorHAnsi"/>
                                <w:color w:val="595959" w:themeColor="text1" w:themeTint="A6"/>
                                <w:sz w:val="18"/>
                              </w:rPr>
                              <w:t xml:space="preserve">IACHR, Report No. </w:t>
                            </w:r>
                            <w:r w:rsidR="0065254D">
                              <w:rPr>
                                <w:rFonts w:asciiTheme="majorHAnsi" w:hAnsiTheme="majorHAnsi"/>
                                <w:color w:val="595959" w:themeColor="text1" w:themeTint="A6"/>
                                <w:sz w:val="18"/>
                              </w:rPr>
                              <w:t>77</w:t>
                            </w:r>
                            <w:r w:rsidRPr="00AB2CCA">
                              <w:rPr>
                                <w:rFonts w:asciiTheme="majorHAnsi" w:hAnsiTheme="majorHAnsi"/>
                                <w:color w:val="595959" w:themeColor="text1" w:themeTint="A6"/>
                                <w:sz w:val="18"/>
                              </w:rPr>
                              <w:t>/</w:t>
                            </w:r>
                            <w:r w:rsidR="0065254D">
                              <w:rPr>
                                <w:rFonts w:asciiTheme="majorHAnsi" w:hAnsiTheme="majorHAnsi"/>
                                <w:color w:val="595959" w:themeColor="text1" w:themeTint="A6"/>
                                <w:sz w:val="18"/>
                              </w:rPr>
                              <w:t>24</w:t>
                            </w:r>
                            <w:r w:rsidRPr="00AB2CCA">
                              <w:rPr>
                                <w:rFonts w:asciiTheme="majorHAnsi" w:hAnsiTheme="majorHAnsi"/>
                                <w:color w:val="595959" w:themeColor="text1" w:themeTint="A6"/>
                                <w:sz w:val="18"/>
                              </w:rPr>
                              <w:t xml:space="preserve">, Petition </w:t>
                            </w:r>
                            <w:r w:rsidR="00AB27FF" w:rsidRPr="00AB2CCA">
                              <w:rPr>
                                <w:rFonts w:asciiTheme="majorHAnsi" w:hAnsiTheme="majorHAnsi"/>
                                <w:color w:val="595959" w:themeColor="text1" w:themeTint="A6"/>
                                <w:sz w:val="18"/>
                                <w:szCs w:val="18"/>
                              </w:rPr>
                              <w:t>2066-17</w:t>
                            </w:r>
                            <w:r w:rsidR="000433C9" w:rsidRPr="00AB2CCA">
                              <w:rPr>
                                <w:rFonts w:asciiTheme="majorHAnsi" w:hAnsiTheme="majorHAnsi"/>
                                <w:color w:val="595959" w:themeColor="text1" w:themeTint="A6"/>
                                <w:sz w:val="18"/>
                                <w:szCs w:val="18"/>
                              </w:rPr>
                              <w:t xml:space="preserve">. </w:t>
                            </w:r>
                            <w:r w:rsidRPr="00AB2CCA">
                              <w:rPr>
                                <w:rFonts w:asciiTheme="majorHAnsi" w:hAnsiTheme="majorHAnsi"/>
                                <w:color w:val="595959" w:themeColor="text1" w:themeTint="A6"/>
                                <w:sz w:val="18"/>
                                <w:szCs w:val="18"/>
                              </w:rPr>
                              <w:t>Admissibility</w:t>
                            </w:r>
                            <w:r w:rsidR="004F1F31" w:rsidRPr="00AB2CCA">
                              <w:rPr>
                                <w:rFonts w:asciiTheme="majorHAnsi" w:hAnsiTheme="majorHAnsi"/>
                                <w:color w:val="595959" w:themeColor="text1" w:themeTint="A6"/>
                                <w:sz w:val="18"/>
                                <w:szCs w:val="18"/>
                              </w:rPr>
                              <w:t>.</w:t>
                            </w:r>
                            <w:r w:rsidR="0065254D">
                              <w:rPr>
                                <w:rFonts w:asciiTheme="majorHAnsi" w:hAnsiTheme="majorHAnsi"/>
                                <w:color w:val="595959" w:themeColor="text1" w:themeTint="A6"/>
                                <w:sz w:val="18"/>
                                <w:szCs w:val="18"/>
                              </w:rPr>
                              <w:t xml:space="preserve"> </w:t>
                            </w:r>
                            <w:r w:rsidR="00AB27FF" w:rsidRPr="00AB2CCA">
                              <w:rPr>
                                <w:rFonts w:asciiTheme="majorHAnsi" w:hAnsiTheme="majorHAnsi"/>
                                <w:color w:val="595959" w:themeColor="text1" w:themeTint="A6"/>
                                <w:sz w:val="18"/>
                                <w:szCs w:val="18"/>
                              </w:rPr>
                              <w:t xml:space="preserve">AA </w:t>
                            </w:r>
                            <w:r w:rsidR="0065254D">
                              <w:rPr>
                                <w:rFonts w:asciiTheme="majorHAnsi" w:hAnsiTheme="majorHAnsi"/>
                                <w:color w:val="595959" w:themeColor="text1" w:themeTint="A6"/>
                                <w:sz w:val="18"/>
                                <w:szCs w:val="18"/>
                              </w:rPr>
                              <w:t>&amp;</w:t>
                            </w:r>
                            <w:r w:rsidR="00AB27FF" w:rsidRPr="00AB2CCA">
                              <w:rPr>
                                <w:rFonts w:asciiTheme="majorHAnsi" w:hAnsiTheme="majorHAnsi"/>
                                <w:color w:val="595959" w:themeColor="text1" w:themeTint="A6"/>
                                <w:sz w:val="18"/>
                                <w:szCs w:val="18"/>
                              </w:rPr>
                              <w:t xml:space="preserve"> BB</w:t>
                            </w:r>
                            <w:r w:rsidR="004F1F31" w:rsidRPr="00AB2CCA">
                              <w:rPr>
                                <w:rFonts w:asciiTheme="majorHAnsi" w:hAnsiTheme="majorHAnsi"/>
                                <w:color w:val="595959" w:themeColor="text1" w:themeTint="A6"/>
                                <w:sz w:val="18"/>
                                <w:szCs w:val="18"/>
                              </w:rPr>
                              <w:t>. Bra</w:t>
                            </w:r>
                            <w:r w:rsidRPr="00AB2CCA">
                              <w:rPr>
                                <w:rFonts w:asciiTheme="majorHAnsi" w:hAnsiTheme="majorHAnsi"/>
                                <w:color w:val="595959" w:themeColor="text1" w:themeTint="A6"/>
                                <w:sz w:val="18"/>
                                <w:szCs w:val="18"/>
                              </w:rPr>
                              <w:t>z</w:t>
                            </w:r>
                            <w:r w:rsidR="004F1F31" w:rsidRPr="00AB2CCA">
                              <w:rPr>
                                <w:rFonts w:asciiTheme="majorHAnsi" w:hAnsiTheme="majorHAnsi"/>
                                <w:color w:val="595959" w:themeColor="text1" w:themeTint="A6"/>
                                <w:sz w:val="18"/>
                                <w:szCs w:val="18"/>
                              </w:rPr>
                              <w:t>il.</w:t>
                            </w:r>
                            <w:r w:rsidR="00113F73" w:rsidRPr="00AB2CCA">
                              <w:rPr>
                                <w:rFonts w:asciiTheme="majorHAnsi" w:hAnsiTheme="majorHAnsi"/>
                                <w:color w:val="595959" w:themeColor="text1" w:themeTint="A6"/>
                                <w:sz w:val="18"/>
                                <w:szCs w:val="18"/>
                              </w:rPr>
                              <w:t xml:space="preserve"> </w:t>
                            </w:r>
                            <w:r w:rsidR="0065254D">
                              <w:rPr>
                                <w:rFonts w:asciiTheme="majorHAnsi" w:hAnsiTheme="majorHAnsi"/>
                                <w:color w:val="595959" w:themeColor="text1" w:themeTint="A6"/>
                                <w:sz w:val="18"/>
                                <w:szCs w:val="18"/>
                              </w:rPr>
                              <w:t>June 3, 2024</w:t>
                            </w:r>
                            <w:r w:rsidR="00113F73" w:rsidRPr="00AB2CC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196CAC4" w:rsidR="00113F73" w:rsidRPr="00AB2CCA" w:rsidRDefault="00AB2CCA" w:rsidP="00113F73">
                      <w:pPr>
                        <w:spacing w:line="276" w:lineRule="auto"/>
                        <w:rPr>
                          <w:rFonts w:asciiTheme="majorHAnsi" w:hAnsiTheme="majorHAnsi"/>
                          <w:color w:val="595959" w:themeColor="text1" w:themeTint="A6"/>
                          <w:sz w:val="18"/>
                          <w:szCs w:val="18"/>
                        </w:rPr>
                      </w:pPr>
                      <w:r w:rsidRPr="00AB2CCA">
                        <w:rPr>
                          <w:rFonts w:asciiTheme="majorHAnsi" w:hAnsiTheme="majorHAnsi"/>
                          <w:b/>
                          <w:color w:val="595959" w:themeColor="text1" w:themeTint="A6"/>
                          <w:sz w:val="18"/>
                          <w:szCs w:val="18"/>
                        </w:rPr>
                        <w:t>Cite as</w:t>
                      </w:r>
                      <w:r w:rsidRPr="00AB2CCA">
                        <w:rPr>
                          <w:rFonts w:asciiTheme="majorHAnsi" w:hAnsiTheme="majorHAnsi"/>
                          <w:b/>
                          <w:color w:val="595959" w:themeColor="text1" w:themeTint="A6"/>
                          <w:sz w:val="18"/>
                        </w:rPr>
                        <w:t xml:space="preserve">: </w:t>
                      </w:r>
                      <w:r w:rsidRPr="00AB2CCA">
                        <w:rPr>
                          <w:rFonts w:asciiTheme="majorHAnsi" w:hAnsiTheme="majorHAnsi"/>
                          <w:color w:val="595959" w:themeColor="text1" w:themeTint="A6"/>
                          <w:sz w:val="18"/>
                        </w:rPr>
                        <w:t xml:space="preserve">IACHR, Report No. </w:t>
                      </w:r>
                      <w:r w:rsidR="0065254D">
                        <w:rPr>
                          <w:rFonts w:asciiTheme="majorHAnsi" w:hAnsiTheme="majorHAnsi"/>
                          <w:color w:val="595959" w:themeColor="text1" w:themeTint="A6"/>
                          <w:sz w:val="18"/>
                        </w:rPr>
                        <w:t>77</w:t>
                      </w:r>
                      <w:r w:rsidRPr="00AB2CCA">
                        <w:rPr>
                          <w:rFonts w:asciiTheme="majorHAnsi" w:hAnsiTheme="majorHAnsi"/>
                          <w:color w:val="595959" w:themeColor="text1" w:themeTint="A6"/>
                          <w:sz w:val="18"/>
                        </w:rPr>
                        <w:t>/</w:t>
                      </w:r>
                      <w:r w:rsidR="0065254D">
                        <w:rPr>
                          <w:rFonts w:asciiTheme="majorHAnsi" w:hAnsiTheme="majorHAnsi"/>
                          <w:color w:val="595959" w:themeColor="text1" w:themeTint="A6"/>
                          <w:sz w:val="18"/>
                        </w:rPr>
                        <w:t>24</w:t>
                      </w:r>
                      <w:r w:rsidRPr="00AB2CCA">
                        <w:rPr>
                          <w:rFonts w:asciiTheme="majorHAnsi" w:hAnsiTheme="majorHAnsi"/>
                          <w:color w:val="595959" w:themeColor="text1" w:themeTint="A6"/>
                          <w:sz w:val="18"/>
                        </w:rPr>
                        <w:t xml:space="preserve">, Petition </w:t>
                      </w:r>
                      <w:r w:rsidR="00AB27FF" w:rsidRPr="00AB2CCA">
                        <w:rPr>
                          <w:rFonts w:asciiTheme="majorHAnsi" w:hAnsiTheme="majorHAnsi"/>
                          <w:color w:val="595959" w:themeColor="text1" w:themeTint="A6"/>
                          <w:sz w:val="18"/>
                          <w:szCs w:val="18"/>
                        </w:rPr>
                        <w:t>2066-17</w:t>
                      </w:r>
                      <w:r w:rsidR="000433C9" w:rsidRPr="00AB2CCA">
                        <w:rPr>
                          <w:rFonts w:asciiTheme="majorHAnsi" w:hAnsiTheme="majorHAnsi"/>
                          <w:color w:val="595959" w:themeColor="text1" w:themeTint="A6"/>
                          <w:sz w:val="18"/>
                          <w:szCs w:val="18"/>
                        </w:rPr>
                        <w:t xml:space="preserve">. </w:t>
                      </w:r>
                      <w:r w:rsidRPr="00AB2CCA">
                        <w:rPr>
                          <w:rFonts w:asciiTheme="majorHAnsi" w:hAnsiTheme="majorHAnsi"/>
                          <w:color w:val="595959" w:themeColor="text1" w:themeTint="A6"/>
                          <w:sz w:val="18"/>
                          <w:szCs w:val="18"/>
                        </w:rPr>
                        <w:t>Admissibility</w:t>
                      </w:r>
                      <w:r w:rsidR="004F1F31" w:rsidRPr="00AB2CCA">
                        <w:rPr>
                          <w:rFonts w:asciiTheme="majorHAnsi" w:hAnsiTheme="majorHAnsi"/>
                          <w:color w:val="595959" w:themeColor="text1" w:themeTint="A6"/>
                          <w:sz w:val="18"/>
                          <w:szCs w:val="18"/>
                        </w:rPr>
                        <w:t>.</w:t>
                      </w:r>
                      <w:r w:rsidR="0065254D">
                        <w:rPr>
                          <w:rFonts w:asciiTheme="majorHAnsi" w:hAnsiTheme="majorHAnsi"/>
                          <w:color w:val="595959" w:themeColor="text1" w:themeTint="A6"/>
                          <w:sz w:val="18"/>
                          <w:szCs w:val="18"/>
                        </w:rPr>
                        <w:t xml:space="preserve"> </w:t>
                      </w:r>
                      <w:r w:rsidR="00AB27FF" w:rsidRPr="00AB2CCA">
                        <w:rPr>
                          <w:rFonts w:asciiTheme="majorHAnsi" w:hAnsiTheme="majorHAnsi"/>
                          <w:color w:val="595959" w:themeColor="text1" w:themeTint="A6"/>
                          <w:sz w:val="18"/>
                          <w:szCs w:val="18"/>
                        </w:rPr>
                        <w:t xml:space="preserve">AA </w:t>
                      </w:r>
                      <w:r w:rsidR="0065254D">
                        <w:rPr>
                          <w:rFonts w:asciiTheme="majorHAnsi" w:hAnsiTheme="majorHAnsi"/>
                          <w:color w:val="595959" w:themeColor="text1" w:themeTint="A6"/>
                          <w:sz w:val="18"/>
                          <w:szCs w:val="18"/>
                        </w:rPr>
                        <w:t>&amp;</w:t>
                      </w:r>
                      <w:r w:rsidR="00AB27FF" w:rsidRPr="00AB2CCA">
                        <w:rPr>
                          <w:rFonts w:asciiTheme="majorHAnsi" w:hAnsiTheme="majorHAnsi"/>
                          <w:color w:val="595959" w:themeColor="text1" w:themeTint="A6"/>
                          <w:sz w:val="18"/>
                          <w:szCs w:val="18"/>
                        </w:rPr>
                        <w:t xml:space="preserve"> BB</w:t>
                      </w:r>
                      <w:r w:rsidR="004F1F31" w:rsidRPr="00AB2CCA">
                        <w:rPr>
                          <w:rFonts w:asciiTheme="majorHAnsi" w:hAnsiTheme="majorHAnsi"/>
                          <w:color w:val="595959" w:themeColor="text1" w:themeTint="A6"/>
                          <w:sz w:val="18"/>
                          <w:szCs w:val="18"/>
                        </w:rPr>
                        <w:t>. Bra</w:t>
                      </w:r>
                      <w:r w:rsidRPr="00AB2CCA">
                        <w:rPr>
                          <w:rFonts w:asciiTheme="majorHAnsi" w:hAnsiTheme="majorHAnsi"/>
                          <w:color w:val="595959" w:themeColor="text1" w:themeTint="A6"/>
                          <w:sz w:val="18"/>
                          <w:szCs w:val="18"/>
                        </w:rPr>
                        <w:t>z</w:t>
                      </w:r>
                      <w:r w:rsidR="004F1F31" w:rsidRPr="00AB2CCA">
                        <w:rPr>
                          <w:rFonts w:asciiTheme="majorHAnsi" w:hAnsiTheme="majorHAnsi"/>
                          <w:color w:val="595959" w:themeColor="text1" w:themeTint="A6"/>
                          <w:sz w:val="18"/>
                          <w:szCs w:val="18"/>
                        </w:rPr>
                        <w:t>il.</w:t>
                      </w:r>
                      <w:r w:rsidR="00113F73" w:rsidRPr="00AB2CCA">
                        <w:rPr>
                          <w:rFonts w:asciiTheme="majorHAnsi" w:hAnsiTheme="majorHAnsi"/>
                          <w:color w:val="595959" w:themeColor="text1" w:themeTint="A6"/>
                          <w:sz w:val="18"/>
                          <w:szCs w:val="18"/>
                        </w:rPr>
                        <w:t xml:space="preserve"> </w:t>
                      </w:r>
                      <w:r w:rsidR="0065254D">
                        <w:rPr>
                          <w:rFonts w:asciiTheme="majorHAnsi" w:hAnsiTheme="majorHAnsi"/>
                          <w:color w:val="595959" w:themeColor="text1" w:themeTint="A6"/>
                          <w:sz w:val="18"/>
                          <w:szCs w:val="18"/>
                        </w:rPr>
                        <w:t>June 3, 2024</w:t>
                      </w:r>
                      <w:r w:rsidR="00113F73" w:rsidRPr="00AB2CCA">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09DFB22B" w:rsidR="0090270B" w:rsidRPr="008C651D" w:rsidRDefault="0090270B" w:rsidP="005516A1">
      <w:pPr>
        <w:tabs>
          <w:tab w:val="center" w:pos="5400"/>
        </w:tabs>
        <w:suppressAutoHyphens/>
        <w:jc w:val="center"/>
        <w:rPr>
          <w:rFonts w:asciiTheme="majorHAnsi" w:hAnsiTheme="majorHAnsi"/>
          <w:b/>
          <w:color w:val="000000" w:themeColor="text1"/>
          <w:sz w:val="20"/>
          <w:lang w:val="pt-BR"/>
        </w:rPr>
      </w:pPr>
    </w:p>
    <w:p w14:paraId="2FE1B253" w14:textId="7B423B48" w:rsidR="0070697F" w:rsidRPr="008C651D" w:rsidRDefault="0065254D" w:rsidP="005516A1">
      <w:pPr>
        <w:tabs>
          <w:tab w:val="center" w:pos="5400"/>
        </w:tabs>
        <w:suppressAutoHyphens/>
        <w:jc w:val="center"/>
        <w:rPr>
          <w:rFonts w:asciiTheme="majorHAnsi" w:hAnsiTheme="majorHAnsi"/>
          <w:b/>
          <w:color w:val="000000" w:themeColor="text1"/>
          <w:sz w:val="20"/>
          <w:lang w:val="pt-BR"/>
        </w:rPr>
        <w:sectPr w:rsidR="0070697F" w:rsidRPr="008C651D" w:rsidSect="004C55B7">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6ABD40EB">
                <wp:simplePos x="0" y="0"/>
                <wp:positionH relativeFrom="column">
                  <wp:posOffset>-123190</wp:posOffset>
                </wp:positionH>
                <wp:positionV relativeFrom="paragraph">
                  <wp:posOffset>782691</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714DAB" w:rsidRDefault="00D306D1" w:rsidP="00D306D1">
                            <w:pPr>
                              <w:jc w:val="center"/>
                              <w:rPr>
                                <w:rFonts w:asciiTheme="minorHAnsi" w:hAnsiTheme="minorHAnsi"/>
                                <w:b/>
                                <w:color w:val="FFFFFF" w:themeColor="background1"/>
                              </w:rPr>
                            </w:pPr>
                            <w:r w:rsidRPr="00714DAB">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9.7pt;margin-top:61.6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TgqIeIAAAALAQAADwAAAGRy&#10;cy9kb3ducmV2LnhtbEyPwU7CQBCG7ya+w2ZMvMGWIgVrt4Q0ISZGDyAXb9Pu0jZ2Z2t3gerTO5z0&#10;NpP/yz/fZOvRduJsBt86UjCbRiAMVU63VCs4vG8nKxA+IGnsHBkF38bDOr+9yTDV7kI7c96HWnAJ&#10;+RQVNCH0qZS+aoxFP3W9Ic6ObrAYeB1qqQe8cLntZBxFibTYEl9osDdFY6rP/ckqeCm2b7grY7v6&#10;6Yrn1+Om/zp8LJS6vxs3TyCCGcMfDFd9VoecnUp3Iu1Fp2Aye3xglIN4PgdxJZIkAVHysFwsQeaZ&#10;/P9D/gsAAP//AwBQSwECLQAUAAYACAAAACEAtoM4kv4AAADhAQAAEwAAAAAAAAAAAAAAAAAAAAAA&#10;W0NvbnRlbnRfVHlwZXNdLnhtbFBLAQItABQABgAIAAAAIQA4/SH/1gAAAJQBAAALAAAAAAAAAAAA&#10;AAAAAC8BAABfcmVscy8ucmVsc1BLAQItABQABgAIAAAAIQBisxUgbAIAAEQFAAAOAAAAAAAAAAAA&#10;AAAAAC4CAABkcnMvZTJvRG9jLnhtbFBLAQItABQABgAIAAAAIQCpOCoh4gAAAAsBAAAPAAAAAAAA&#10;AAAAAAAAAMYEAABkcnMvZG93bnJldi54bWxQSwUGAAAAAAQABADzAAAA1QUAAAAA&#10;" filled="f" stroked="f" strokeweight=".5pt">
                <v:textbox>
                  <w:txbxContent>
                    <w:p w14:paraId="6EA0DBC3" w14:textId="77777777" w:rsidR="00D306D1" w:rsidRPr="00714DAB" w:rsidRDefault="00D306D1" w:rsidP="00D306D1">
                      <w:pPr>
                        <w:jc w:val="center"/>
                        <w:rPr>
                          <w:rFonts w:asciiTheme="minorHAnsi" w:hAnsiTheme="minorHAnsi"/>
                          <w:b/>
                          <w:color w:val="FFFFFF" w:themeColor="background1"/>
                        </w:rPr>
                      </w:pPr>
                      <w:r w:rsidRPr="00714DAB">
                        <w:rPr>
                          <w:rFonts w:asciiTheme="minorHAnsi" w:hAnsiTheme="minorHAnsi"/>
                          <w:b/>
                          <w:color w:val="FFFFFF" w:themeColor="background1"/>
                          <w:lang w:val="pt-BR"/>
                        </w:rPr>
                        <w:t>www.cidh.org</w:t>
                      </w:r>
                    </w:p>
                  </w:txbxContent>
                </v:textbox>
              </v:shape>
            </w:pict>
          </mc:Fallback>
        </mc:AlternateContent>
      </w: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36E921FB">
                <wp:simplePos x="0" y="0"/>
                <wp:positionH relativeFrom="column">
                  <wp:posOffset>1320800</wp:posOffset>
                </wp:positionH>
                <wp:positionV relativeFrom="paragraph">
                  <wp:posOffset>564886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4585F61" w:rsidR="00D72DC6" w:rsidRPr="00D72DC6" w:rsidRDefault="00714DAB" w:rsidP="00F02AD1">
                            <w:pPr>
                              <w:rPr>
                                <w:color w:val="FFFFFF" w:themeColor="background1"/>
                                <w14:textFill>
                                  <w14:noFill/>
                                </w14:textFill>
                              </w:rPr>
                            </w:pPr>
                            <w:r>
                              <w:rPr>
                                <w:noProof/>
                              </w:rPr>
                              <w:drawing>
                                <wp:inline distT="0" distB="0" distL="0" distR="0" wp14:anchorId="0D4FEC86" wp14:editId="61827E7E">
                                  <wp:extent cx="1841122" cy="465826"/>
                                  <wp:effectExtent l="0" t="0" r="698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645" cy="470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pt;margin-top:4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Vof/r&#10;4gAAAAoBAAAPAAAAZHJzL2Rvd25yZXYueG1sTI/LTsMwEEX3SPyDNUhsEHXaqNSEOBVCPKTuaHiI&#10;nRsPSUQ8jmI3CX/PsILVaDRHd87Nt7PrxIhDaD1pWC4SEEiVty3VGl7Kh0sFIkRD1nSeUMM3BtgW&#10;pye5yayf6BnHfawFh1DIjIYmxj6TMlQNOhMWvkfi26cfnIm8DrW0g5k43HVylSRX0pmW+ENjerxr&#10;sPraH52Gj4v6fRfmx9cpXaf9/dNYbt5sqfX52Xx7AyLiHP9g+NVndSjY6eCPZIPoNKwSxV2iBnXN&#10;kwG1TpcgDkxuVAqyyOX/CsUPAAAA//8DAFBLAQItABQABgAIAAAAIQC2gziS/gAAAOEBAAATAAAA&#10;AAAAAAAAAAAAAAAAAABbQ29udGVudF9UeXBlc10ueG1sUEsBAi0AFAAGAAgAAAAhADj9If/WAAAA&#10;lAEAAAsAAAAAAAAAAAAAAAAALwEAAF9yZWxzLy5yZWxzUEsBAi0AFAAGAAgAAAAhAFlantx6AgAA&#10;bAUAAA4AAAAAAAAAAAAAAAAALgIAAGRycy9lMm9Eb2MueG1sUEsBAi0AFAAGAAgAAAAhABWh/+vi&#10;AAAACgEAAA8AAAAAAAAAAAAAAAAA1AQAAGRycy9kb3ducmV2LnhtbFBLBQYAAAAABAAEAPMAAADj&#10;BQAAAAA=&#10;" fillcolor="white [3201]" stroked="f" strokeweight=".5pt">
                <v:textbox>
                  <w:txbxContent>
                    <w:p w14:paraId="2A1ECD3C" w14:textId="44585F61" w:rsidR="00D72DC6" w:rsidRPr="00D72DC6" w:rsidRDefault="00714DAB" w:rsidP="00F02AD1">
                      <w:pPr>
                        <w:rPr>
                          <w:color w:val="FFFFFF" w:themeColor="background1"/>
                          <w14:textFill>
                            <w14:noFill/>
                          </w14:textFill>
                        </w:rPr>
                      </w:pPr>
                      <w:r>
                        <w:rPr>
                          <w:noProof/>
                        </w:rPr>
                        <w:drawing>
                          <wp:inline distT="0" distB="0" distL="0" distR="0" wp14:anchorId="0D4FEC86" wp14:editId="61827E7E">
                            <wp:extent cx="1841122" cy="465826"/>
                            <wp:effectExtent l="0" t="0" r="698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645" cy="470260"/>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74531B0"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r>
      <w:r w:rsidR="00EF542A">
        <w:rPr>
          <w:rFonts w:asciiTheme="majorHAnsi" w:hAnsiTheme="majorHAnsi"/>
          <w:b/>
          <w:bCs/>
          <w:color w:val="000000" w:themeColor="text1"/>
          <w:sz w:val="20"/>
          <w:szCs w:val="20"/>
          <w:lang w:val="pt-BR"/>
        </w:rPr>
        <w:t>INFORMATION ABOUT THE PETITION</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B27FF" w:rsidRPr="00D1117E" w14:paraId="5A79D1F7" w14:textId="77777777" w:rsidTr="00714DAB">
        <w:tc>
          <w:tcPr>
            <w:tcW w:w="3600" w:type="dxa"/>
            <w:tcBorders>
              <w:top w:val="single" w:sz="4" w:space="0" w:color="auto"/>
              <w:bottom w:val="single" w:sz="6" w:space="0" w:color="auto"/>
            </w:tcBorders>
            <w:shd w:val="clear" w:color="auto" w:fill="67AE3C"/>
            <w:vAlign w:val="center"/>
          </w:tcPr>
          <w:p w14:paraId="0CB2A43B" w14:textId="74650B01" w:rsidR="00AB27FF" w:rsidRPr="00714DAB" w:rsidRDefault="00460733" w:rsidP="00714DAB">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Petitioner</w:t>
            </w:r>
            <w:r w:rsidR="00AB27FF" w:rsidRPr="00714DAB">
              <w:rPr>
                <w:rFonts w:ascii="Cambria" w:hAnsi="Cambria"/>
                <w:b/>
                <w:bCs/>
                <w:color w:val="FFFFFF" w:themeColor="background1"/>
                <w:sz w:val="20"/>
                <w:szCs w:val="20"/>
              </w:rPr>
              <w:t>:</w:t>
            </w:r>
          </w:p>
        </w:tc>
        <w:tc>
          <w:tcPr>
            <w:tcW w:w="5760" w:type="dxa"/>
            <w:vAlign w:val="center"/>
          </w:tcPr>
          <w:p w14:paraId="3C5315D8" w14:textId="71EB32C4"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AA</w:t>
            </w:r>
          </w:p>
        </w:tc>
      </w:tr>
      <w:tr w:rsidR="00AB27FF" w:rsidRPr="001B2318" w14:paraId="593A7E45" w14:textId="77777777" w:rsidTr="00714DAB">
        <w:tc>
          <w:tcPr>
            <w:tcW w:w="3600" w:type="dxa"/>
            <w:tcBorders>
              <w:top w:val="single" w:sz="6" w:space="0" w:color="auto"/>
              <w:bottom w:val="single" w:sz="6" w:space="0" w:color="auto"/>
            </w:tcBorders>
            <w:shd w:val="clear" w:color="auto" w:fill="67AE3C"/>
            <w:vAlign w:val="center"/>
          </w:tcPr>
          <w:p w14:paraId="0E78CA0C" w14:textId="3B7853F0"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Alleged victims</w:t>
            </w:r>
            <w:r w:rsidR="00AB27FF" w:rsidRPr="00714DAB">
              <w:rPr>
                <w:rFonts w:ascii="Cambria" w:hAnsi="Cambria"/>
                <w:b/>
                <w:bCs/>
                <w:color w:val="FFFFFF" w:themeColor="background1"/>
                <w:sz w:val="20"/>
                <w:szCs w:val="20"/>
              </w:rPr>
              <w:t>:</w:t>
            </w:r>
          </w:p>
        </w:tc>
        <w:tc>
          <w:tcPr>
            <w:tcW w:w="5760" w:type="dxa"/>
            <w:vAlign w:val="center"/>
          </w:tcPr>
          <w:p w14:paraId="4AEBF59E" w14:textId="54479BC3" w:rsidR="00AB27FF" w:rsidRPr="00714DAB" w:rsidRDefault="00AB27FF" w:rsidP="00AB27FF">
            <w:pPr>
              <w:jc w:val="both"/>
              <w:rPr>
                <w:rFonts w:ascii="Cambria" w:hAnsi="Cambria"/>
                <w:bCs/>
                <w:color w:val="000000" w:themeColor="text1"/>
                <w:sz w:val="20"/>
                <w:szCs w:val="20"/>
              </w:rPr>
            </w:pPr>
            <w:r w:rsidRPr="00714DAB">
              <w:rPr>
                <w:rFonts w:ascii="Cambria" w:hAnsi="Cambria"/>
                <w:bCs/>
                <w:color w:val="000000" w:themeColor="text1"/>
                <w:sz w:val="20"/>
                <w:szCs w:val="20"/>
              </w:rPr>
              <w:t xml:space="preserve">AA </w:t>
            </w:r>
            <w:r w:rsidR="00EF542A" w:rsidRPr="00EF542A">
              <w:rPr>
                <w:rFonts w:ascii="Cambria" w:hAnsi="Cambria"/>
                <w:bCs/>
                <w:color w:val="000000" w:themeColor="text1"/>
                <w:sz w:val="20"/>
                <w:szCs w:val="20"/>
              </w:rPr>
              <w:t>and her daughter</w:t>
            </w:r>
            <w:r w:rsidRPr="00714DAB">
              <w:rPr>
                <w:rFonts w:ascii="Cambria" w:hAnsi="Cambria"/>
                <w:bCs/>
                <w:color w:val="000000" w:themeColor="text1"/>
                <w:sz w:val="20"/>
                <w:szCs w:val="20"/>
              </w:rPr>
              <w:t xml:space="preserve"> BB</w:t>
            </w:r>
          </w:p>
        </w:tc>
      </w:tr>
      <w:tr w:rsidR="00AB27FF" w:rsidRPr="008C651D" w14:paraId="3E62E1D3" w14:textId="77777777" w:rsidTr="00714DAB">
        <w:tc>
          <w:tcPr>
            <w:tcW w:w="3600" w:type="dxa"/>
            <w:tcBorders>
              <w:top w:val="single" w:sz="6" w:space="0" w:color="auto"/>
              <w:bottom w:val="single" w:sz="6" w:space="0" w:color="auto"/>
            </w:tcBorders>
            <w:shd w:val="clear" w:color="auto" w:fill="67AE3C"/>
            <w:vAlign w:val="center"/>
          </w:tcPr>
          <w:p w14:paraId="340B0F09" w14:textId="1B827AAD"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State accused</w:t>
            </w:r>
            <w:r w:rsidR="00AB27FF" w:rsidRPr="00714DAB">
              <w:rPr>
                <w:rFonts w:ascii="Cambria" w:hAnsi="Cambria"/>
                <w:b/>
                <w:bCs/>
                <w:color w:val="FFFFFF" w:themeColor="background1"/>
                <w:sz w:val="20"/>
                <w:szCs w:val="20"/>
              </w:rPr>
              <w:t>:</w:t>
            </w:r>
          </w:p>
        </w:tc>
        <w:tc>
          <w:tcPr>
            <w:tcW w:w="5760" w:type="dxa"/>
            <w:vAlign w:val="center"/>
          </w:tcPr>
          <w:p w14:paraId="274C8A50" w14:textId="688C2D51" w:rsidR="00AB27FF" w:rsidRPr="00EF542A" w:rsidRDefault="00AB27FF" w:rsidP="00AB27FF">
            <w:pPr>
              <w:jc w:val="both"/>
              <w:rPr>
                <w:rFonts w:ascii="Cambria" w:hAnsi="Cambria"/>
                <w:bCs/>
                <w:color w:val="000000" w:themeColor="text1"/>
                <w:sz w:val="20"/>
                <w:szCs w:val="20"/>
              </w:rPr>
            </w:pPr>
            <w:r w:rsidRPr="00EF542A">
              <w:rPr>
                <w:rFonts w:ascii="Cambria" w:hAnsi="Cambria"/>
                <w:bCs/>
                <w:color w:val="000000" w:themeColor="text1"/>
                <w:sz w:val="20"/>
                <w:szCs w:val="20"/>
              </w:rPr>
              <w:t>Bra</w:t>
            </w:r>
            <w:r w:rsidR="00EF542A" w:rsidRPr="00EF542A">
              <w:rPr>
                <w:rFonts w:ascii="Cambria" w:hAnsi="Cambria"/>
                <w:bCs/>
                <w:color w:val="000000" w:themeColor="text1"/>
                <w:sz w:val="20"/>
                <w:szCs w:val="20"/>
              </w:rPr>
              <w:t>z</w:t>
            </w:r>
            <w:r w:rsidRPr="00EF542A">
              <w:rPr>
                <w:rFonts w:ascii="Cambria" w:hAnsi="Cambria"/>
                <w:bCs/>
                <w:color w:val="000000" w:themeColor="text1"/>
                <w:sz w:val="20"/>
                <w:szCs w:val="20"/>
              </w:rPr>
              <w:t>il</w:t>
            </w:r>
          </w:p>
        </w:tc>
      </w:tr>
      <w:tr w:rsidR="00AB27FF" w:rsidRPr="001B2318" w14:paraId="632511BC" w14:textId="77777777" w:rsidTr="00714DAB">
        <w:tc>
          <w:tcPr>
            <w:tcW w:w="3600" w:type="dxa"/>
            <w:tcBorders>
              <w:top w:val="single" w:sz="6" w:space="0" w:color="auto"/>
              <w:bottom w:val="single" w:sz="6" w:space="0" w:color="auto"/>
            </w:tcBorders>
            <w:shd w:val="clear" w:color="auto" w:fill="67AE3C"/>
            <w:vAlign w:val="center"/>
          </w:tcPr>
          <w:p w14:paraId="727E2F6B" w14:textId="466D4183"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Rights claimed</w:t>
            </w:r>
            <w:r w:rsidR="00AB27FF" w:rsidRPr="00714DAB">
              <w:rPr>
                <w:rFonts w:ascii="Cambria" w:hAnsi="Cambria"/>
                <w:b/>
                <w:bCs/>
                <w:color w:val="FFFFFF" w:themeColor="background1"/>
                <w:sz w:val="20"/>
                <w:szCs w:val="20"/>
              </w:rPr>
              <w:t>:</w:t>
            </w:r>
          </w:p>
        </w:tc>
        <w:tc>
          <w:tcPr>
            <w:tcW w:w="5760" w:type="dxa"/>
            <w:vAlign w:val="center"/>
          </w:tcPr>
          <w:p w14:paraId="6DEE1EEB" w14:textId="4C7592A8" w:rsidR="00AB27FF" w:rsidRPr="00EF542A" w:rsidRDefault="00EF542A" w:rsidP="00AB27FF">
            <w:pPr>
              <w:jc w:val="both"/>
              <w:rPr>
                <w:rFonts w:ascii="Cambria" w:hAnsi="Cambria"/>
                <w:bCs/>
                <w:color w:val="000000" w:themeColor="text1"/>
                <w:sz w:val="20"/>
                <w:szCs w:val="20"/>
              </w:rPr>
            </w:pPr>
            <w:r w:rsidRPr="00EF542A">
              <w:rPr>
                <w:rFonts w:ascii="Cambria" w:hAnsi="Cambria"/>
                <w:bCs/>
                <w:sz w:val="19"/>
                <w:szCs w:val="19"/>
                <w:lang w:bidi="es-ES"/>
              </w:rPr>
              <w:t>The petitioner generically reports the violation of children's rights and the right to equality and impartiality in investigations. From reading the petition, one can understand that the petitioner is referring to the rights established, inter alia, in Articles 5 (personal integrity), 8 (judicial guarantees), 19 (rights of the child) and 25 (judicial protection) of the American Convention on Human Rights</w:t>
            </w:r>
            <w:r w:rsidR="00EF0723">
              <w:rPr>
                <w:rFonts w:ascii="Cambria" w:hAnsi="Cambria"/>
                <w:bCs/>
                <w:sz w:val="19"/>
                <w:szCs w:val="19"/>
                <w:lang w:bidi="es-ES"/>
              </w:rPr>
              <w:t>;</w:t>
            </w:r>
            <w:r w:rsidR="00AB27FF" w:rsidRPr="00EF542A">
              <w:rPr>
                <w:rStyle w:val="FootnoteReference"/>
                <w:rFonts w:ascii="Cambria" w:hAnsi="Cambria"/>
                <w:bCs/>
                <w:sz w:val="19"/>
                <w:szCs w:val="19"/>
                <w:lang w:bidi="es-ES"/>
              </w:rPr>
              <w:footnoteReference w:id="2"/>
            </w:r>
            <w:r w:rsidR="00AB27FF" w:rsidRPr="00EF542A">
              <w:rPr>
                <w:rFonts w:ascii="Cambria" w:hAnsi="Cambria"/>
                <w:bCs/>
                <w:sz w:val="19"/>
                <w:szCs w:val="19"/>
                <w:lang w:bidi="es-ES"/>
              </w:rPr>
              <w:t xml:space="preserve"> </w:t>
            </w:r>
            <w:r w:rsidRPr="00EF542A">
              <w:rPr>
                <w:rFonts w:ascii="Cambria" w:hAnsi="Cambria"/>
                <w:bCs/>
                <w:sz w:val="19"/>
                <w:szCs w:val="19"/>
                <w:lang w:bidi="es-ES"/>
              </w:rPr>
              <w:t>and other international instruments.</w:t>
            </w:r>
            <w:r w:rsidR="00AB27FF" w:rsidRPr="00EF542A">
              <w:rPr>
                <w:rFonts w:ascii="Cambria" w:hAnsi="Cambria"/>
                <w:sz w:val="19"/>
                <w:szCs w:val="19"/>
                <w:vertAlign w:val="superscript"/>
                <w:lang w:bidi="es-ES"/>
              </w:rPr>
              <w:footnoteReference w:id="3"/>
            </w:r>
          </w:p>
        </w:tc>
      </w:tr>
    </w:tbl>
    <w:p w14:paraId="20263696" w14:textId="742A1414" w:rsidR="003239B8" w:rsidRPr="00714DAB" w:rsidRDefault="00A37F2E" w:rsidP="003239B8">
      <w:pPr>
        <w:spacing w:before="240" w:after="240"/>
        <w:ind w:firstLine="720"/>
        <w:jc w:val="both"/>
        <w:rPr>
          <w:rFonts w:asciiTheme="majorHAnsi" w:hAnsiTheme="majorHAnsi"/>
          <w:b/>
          <w:bCs/>
          <w:color w:val="000000" w:themeColor="text1"/>
          <w:sz w:val="20"/>
          <w:szCs w:val="20"/>
        </w:rPr>
      </w:pPr>
      <w:r w:rsidRPr="00714DAB">
        <w:rPr>
          <w:rFonts w:asciiTheme="majorHAnsi" w:hAnsiTheme="majorHAnsi"/>
          <w:b/>
          <w:bCs/>
          <w:color w:val="000000" w:themeColor="text1"/>
          <w:sz w:val="20"/>
          <w:szCs w:val="20"/>
        </w:rPr>
        <w:t>II.</w:t>
      </w:r>
      <w:r w:rsidRPr="00714DAB">
        <w:rPr>
          <w:rFonts w:asciiTheme="majorHAnsi" w:hAnsiTheme="majorHAnsi"/>
          <w:b/>
          <w:bCs/>
          <w:color w:val="000000" w:themeColor="text1"/>
          <w:sz w:val="20"/>
          <w:szCs w:val="20"/>
        </w:rPr>
        <w:tab/>
      </w:r>
      <w:r w:rsidR="00EF542A" w:rsidRPr="00714DAB">
        <w:rPr>
          <w:rFonts w:asciiTheme="majorHAnsi" w:hAnsiTheme="majorHAnsi"/>
          <w:b/>
          <w:bCs/>
          <w:color w:val="000000" w:themeColor="text1"/>
          <w:sz w:val="20"/>
          <w:szCs w:val="20"/>
        </w:rPr>
        <w:t>PROCEEDINGS BEFORE THE IACHR</w:t>
      </w:r>
      <w:r w:rsidR="008E3BFE" w:rsidRPr="008C651D">
        <w:rPr>
          <w:rStyle w:val="FootnoteReference"/>
          <w:rFonts w:ascii="Cambria" w:hAnsi="Cambria"/>
          <w:b/>
          <w:color w:val="000000" w:themeColor="text1"/>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B27FF" w:rsidRPr="008C651D" w14:paraId="306EFCB0" w14:textId="77777777" w:rsidTr="00714DAB">
        <w:tc>
          <w:tcPr>
            <w:tcW w:w="3600" w:type="dxa"/>
            <w:tcBorders>
              <w:top w:val="single" w:sz="6" w:space="0" w:color="auto"/>
              <w:bottom w:val="single" w:sz="6" w:space="0" w:color="auto"/>
            </w:tcBorders>
            <w:shd w:val="clear" w:color="auto" w:fill="67AE3C"/>
            <w:vAlign w:val="center"/>
          </w:tcPr>
          <w:p w14:paraId="7508D16F" w14:textId="57480AF9"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Petition submitted</w:t>
            </w:r>
            <w:r w:rsidR="00AB27FF" w:rsidRPr="00714DAB">
              <w:rPr>
                <w:rFonts w:ascii="Cambria" w:hAnsi="Cambria"/>
                <w:b/>
                <w:bCs/>
                <w:color w:val="FFFFFF" w:themeColor="background1"/>
                <w:sz w:val="20"/>
                <w:szCs w:val="20"/>
              </w:rPr>
              <w:t>:</w:t>
            </w:r>
          </w:p>
        </w:tc>
        <w:tc>
          <w:tcPr>
            <w:tcW w:w="5760" w:type="dxa"/>
            <w:vAlign w:val="center"/>
          </w:tcPr>
          <w:p w14:paraId="6E579153" w14:textId="2F330E84" w:rsidR="00AB27FF" w:rsidRPr="00EF542A" w:rsidRDefault="00EF542A" w:rsidP="00AB27FF">
            <w:pPr>
              <w:jc w:val="both"/>
              <w:rPr>
                <w:rFonts w:ascii="Cambria" w:hAnsi="Cambria"/>
                <w:bCs/>
                <w:color w:val="000000" w:themeColor="text1"/>
                <w:sz w:val="20"/>
                <w:szCs w:val="20"/>
              </w:rPr>
            </w:pPr>
            <w:r w:rsidRPr="00EF542A">
              <w:rPr>
                <w:rFonts w:ascii="Cambria" w:hAnsi="Cambria"/>
                <w:bCs/>
                <w:color w:val="000000" w:themeColor="text1"/>
                <w:sz w:val="20"/>
                <w:szCs w:val="20"/>
              </w:rPr>
              <w:t>November 13, 2017</w:t>
            </w:r>
          </w:p>
        </w:tc>
      </w:tr>
      <w:tr w:rsidR="00AB27FF" w:rsidRPr="001B2318" w14:paraId="603B94D4" w14:textId="77777777" w:rsidTr="00714DAB">
        <w:tc>
          <w:tcPr>
            <w:tcW w:w="3600" w:type="dxa"/>
            <w:tcBorders>
              <w:top w:val="single" w:sz="6" w:space="0" w:color="auto"/>
              <w:bottom w:val="single" w:sz="6" w:space="0" w:color="auto"/>
            </w:tcBorders>
            <w:shd w:val="clear" w:color="auto" w:fill="67AE3C"/>
            <w:vAlign w:val="center"/>
          </w:tcPr>
          <w:p w14:paraId="0E877126" w14:textId="24C2BF10"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Information received during the analysis phase</w:t>
            </w:r>
            <w:r w:rsidR="00AB27FF" w:rsidRPr="00714DAB">
              <w:rPr>
                <w:rFonts w:ascii="Cambria" w:hAnsi="Cambria"/>
                <w:b/>
                <w:bCs/>
                <w:color w:val="FFFFFF" w:themeColor="background1"/>
                <w:sz w:val="20"/>
                <w:szCs w:val="20"/>
              </w:rPr>
              <w:t>:</w:t>
            </w:r>
          </w:p>
        </w:tc>
        <w:tc>
          <w:tcPr>
            <w:tcW w:w="5760" w:type="dxa"/>
            <w:vAlign w:val="center"/>
          </w:tcPr>
          <w:p w14:paraId="7D0C6996" w14:textId="3622F785" w:rsidR="00AB27FF" w:rsidRPr="00EF542A" w:rsidRDefault="00EF542A" w:rsidP="00AB27FF">
            <w:pPr>
              <w:jc w:val="both"/>
              <w:rPr>
                <w:rFonts w:ascii="Cambria" w:hAnsi="Cambria"/>
                <w:bCs/>
                <w:color w:val="000000" w:themeColor="text1"/>
                <w:sz w:val="20"/>
                <w:szCs w:val="20"/>
              </w:rPr>
            </w:pPr>
            <w:r w:rsidRPr="00EF542A">
              <w:rPr>
                <w:rFonts w:ascii="Cambria" w:hAnsi="Cambria"/>
                <w:bCs/>
                <w:color w:val="000000" w:themeColor="text1"/>
                <w:sz w:val="20"/>
                <w:szCs w:val="20"/>
              </w:rPr>
              <w:t>November 6, 2018</w:t>
            </w:r>
            <w:r>
              <w:rPr>
                <w:rFonts w:ascii="Cambria" w:hAnsi="Cambria"/>
                <w:bCs/>
                <w:color w:val="000000" w:themeColor="text1"/>
                <w:sz w:val="20"/>
                <w:szCs w:val="20"/>
              </w:rPr>
              <w:t>,</w:t>
            </w:r>
            <w:r w:rsidRPr="00EF542A">
              <w:rPr>
                <w:rFonts w:ascii="Cambria" w:hAnsi="Cambria"/>
                <w:bCs/>
                <w:color w:val="000000" w:themeColor="text1"/>
                <w:sz w:val="20"/>
                <w:szCs w:val="20"/>
              </w:rPr>
              <w:t xml:space="preserve"> and August 24, 2021</w:t>
            </w:r>
          </w:p>
        </w:tc>
      </w:tr>
      <w:tr w:rsidR="00AB27FF" w:rsidRPr="00AB27FF" w14:paraId="1BDCD5C6" w14:textId="77777777" w:rsidTr="00714DAB">
        <w:tc>
          <w:tcPr>
            <w:tcW w:w="3600" w:type="dxa"/>
            <w:tcBorders>
              <w:top w:val="single" w:sz="6" w:space="0" w:color="auto"/>
              <w:bottom w:val="single" w:sz="6" w:space="0" w:color="auto"/>
            </w:tcBorders>
            <w:shd w:val="clear" w:color="auto" w:fill="67AE3C"/>
            <w:vAlign w:val="center"/>
          </w:tcPr>
          <w:p w14:paraId="7A18664F" w14:textId="00D7B224"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State notified about petition:</w:t>
            </w:r>
          </w:p>
        </w:tc>
        <w:tc>
          <w:tcPr>
            <w:tcW w:w="5760" w:type="dxa"/>
            <w:vAlign w:val="center"/>
          </w:tcPr>
          <w:p w14:paraId="1519DA6A" w14:textId="4605FB97" w:rsidR="00AB27FF" w:rsidRPr="00EF542A" w:rsidRDefault="00EF542A" w:rsidP="00AB27FF">
            <w:pPr>
              <w:jc w:val="both"/>
              <w:rPr>
                <w:rFonts w:ascii="Cambria" w:hAnsi="Cambria"/>
                <w:bCs/>
                <w:color w:val="000000" w:themeColor="text1"/>
                <w:sz w:val="20"/>
                <w:szCs w:val="20"/>
              </w:rPr>
            </w:pPr>
            <w:r w:rsidRPr="00EF542A">
              <w:rPr>
                <w:rFonts w:ascii="Cambria" w:hAnsi="Cambria"/>
                <w:bCs/>
                <w:color w:val="000000" w:themeColor="text1"/>
                <w:sz w:val="20"/>
                <w:szCs w:val="20"/>
              </w:rPr>
              <w:t>October 14, 2021</w:t>
            </w:r>
          </w:p>
        </w:tc>
      </w:tr>
      <w:tr w:rsidR="00AB27FF" w:rsidRPr="0048726D" w14:paraId="73590446" w14:textId="77777777" w:rsidTr="00714DAB">
        <w:tc>
          <w:tcPr>
            <w:tcW w:w="3600" w:type="dxa"/>
            <w:tcBorders>
              <w:top w:val="single" w:sz="6" w:space="0" w:color="auto"/>
              <w:bottom w:val="single" w:sz="6" w:space="0" w:color="auto"/>
            </w:tcBorders>
            <w:shd w:val="clear" w:color="auto" w:fill="67AE3C"/>
            <w:vAlign w:val="center"/>
          </w:tcPr>
          <w:p w14:paraId="31CFB31B" w14:textId="5953DBFD"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Request for extension</w:t>
            </w:r>
            <w:r w:rsidR="00AB27FF" w:rsidRPr="00714DAB">
              <w:rPr>
                <w:rFonts w:ascii="Cambria" w:hAnsi="Cambria"/>
                <w:b/>
                <w:bCs/>
                <w:color w:val="FFFFFF" w:themeColor="background1"/>
                <w:sz w:val="20"/>
                <w:szCs w:val="20"/>
              </w:rPr>
              <w:t>:</w:t>
            </w:r>
          </w:p>
        </w:tc>
        <w:tc>
          <w:tcPr>
            <w:tcW w:w="5760" w:type="dxa"/>
            <w:vAlign w:val="center"/>
          </w:tcPr>
          <w:p w14:paraId="0816F245" w14:textId="650E529A" w:rsidR="00AB27FF" w:rsidRPr="00EF542A" w:rsidRDefault="00EF542A" w:rsidP="00AB27FF">
            <w:pPr>
              <w:jc w:val="both"/>
              <w:rPr>
                <w:rFonts w:ascii="Cambria" w:hAnsi="Cambria"/>
                <w:bCs/>
                <w:color w:val="000000" w:themeColor="text1"/>
                <w:sz w:val="20"/>
                <w:szCs w:val="20"/>
              </w:rPr>
            </w:pPr>
            <w:r w:rsidRPr="00EF542A">
              <w:rPr>
                <w:rFonts w:ascii="Cambria" w:hAnsi="Cambria"/>
                <w:bCs/>
                <w:color w:val="000000" w:themeColor="text1"/>
                <w:sz w:val="20"/>
                <w:szCs w:val="20"/>
              </w:rPr>
              <w:t>January 14, 2022</w:t>
            </w:r>
          </w:p>
        </w:tc>
      </w:tr>
      <w:tr w:rsidR="00AB27FF" w:rsidRPr="008C651D" w14:paraId="6147A8D5" w14:textId="77777777" w:rsidTr="00714DAB">
        <w:tc>
          <w:tcPr>
            <w:tcW w:w="3600" w:type="dxa"/>
            <w:tcBorders>
              <w:top w:val="single" w:sz="6" w:space="0" w:color="auto"/>
              <w:bottom w:val="single" w:sz="6" w:space="0" w:color="auto"/>
            </w:tcBorders>
            <w:shd w:val="clear" w:color="auto" w:fill="67AE3C"/>
            <w:vAlign w:val="center"/>
          </w:tcPr>
          <w:p w14:paraId="0201C86D" w14:textId="113ECA2D"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First response by the State:</w:t>
            </w:r>
          </w:p>
        </w:tc>
        <w:tc>
          <w:tcPr>
            <w:tcW w:w="5760" w:type="dxa"/>
            <w:vAlign w:val="center"/>
          </w:tcPr>
          <w:p w14:paraId="1972B99E" w14:textId="5C059A44" w:rsidR="00AB27FF" w:rsidRPr="00EF542A" w:rsidRDefault="00EF542A" w:rsidP="00AB27FF">
            <w:pPr>
              <w:jc w:val="both"/>
              <w:rPr>
                <w:rFonts w:ascii="Cambria" w:hAnsi="Cambria"/>
                <w:bCs/>
                <w:color w:val="000000" w:themeColor="text1"/>
                <w:sz w:val="20"/>
                <w:szCs w:val="20"/>
              </w:rPr>
            </w:pPr>
            <w:r w:rsidRPr="00EF542A">
              <w:rPr>
                <w:rFonts w:ascii="Cambria" w:hAnsi="Cambria"/>
                <w:bCs/>
                <w:color w:val="000000" w:themeColor="text1"/>
                <w:sz w:val="20"/>
                <w:szCs w:val="20"/>
              </w:rPr>
              <w:t>February 8, 2022</w:t>
            </w:r>
          </w:p>
        </w:tc>
      </w:tr>
      <w:tr w:rsidR="00AB27FF" w:rsidRPr="001B2318" w14:paraId="322668B6" w14:textId="77777777" w:rsidTr="00714DAB">
        <w:tc>
          <w:tcPr>
            <w:tcW w:w="3600" w:type="dxa"/>
            <w:tcBorders>
              <w:top w:val="single" w:sz="6" w:space="0" w:color="auto"/>
              <w:bottom w:val="single" w:sz="6" w:space="0" w:color="auto"/>
            </w:tcBorders>
            <w:shd w:val="clear" w:color="auto" w:fill="67AE3C"/>
            <w:vAlign w:val="center"/>
          </w:tcPr>
          <w:p w14:paraId="1524DA55" w14:textId="39009DE4" w:rsidR="00AB27FF" w:rsidRPr="00714DAB" w:rsidRDefault="00EF542A" w:rsidP="00AB27FF">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Additional observations by the petitioning party</w:t>
            </w:r>
            <w:r w:rsidR="00AB27FF" w:rsidRPr="00714DAB">
              <w:rPr>
                <w:rFonts w:ascii="Cambria" w:hAnsi="Cambria"/>
                <w:b/>
                <w:bCs/>
                <w:color w:val="FFFFFF" w:themeColor="background1"/>
                <w:sz w:val="20"/>
                <w:szCs w:val="20"/>
              </w:rPr>
              <w:t>:</w:t>
            </w:r>
          </w:p>
        </w:tc>
        <w:tc>
          <w:tcPr>
            <w:tcW w:w="5760" w:type="dxa"/>
            <w:vAlign w:val="center"/>
          </w:tcPr>
          <w:p w14:paraId="41D8B862" w14:textId="1C8F03A5" w:rsidR="00AB27FF" w:rsidRPr="00EF542A" w:rsidRDefault="00EF542A" w:rsidP="00EF542A">
            <w:pPr>
              <w:jc w:val="both"/>
              <w:rPr>
                <w:rFonts w:ascii="Cambria" w:hAnsi="Cambria"/>
                <w:bCs/>
                <w:color w:val="000000" w:themeColor="text1"/>
                <w:sz w:val="20"/>
                <w:szCs w:val="20"/>
              </w:rPr>
            </w:pPr>
            <w:r w:rsidRPr="00EF542A">
              <w:rPr>
                <w:rFonts w:ascii="Cambria" w:hAnsi="Cambria"/>
                <w:bCs/>
                <w:color w:val="000000" w:themeColor="text1"/>
                <w:sz w:val="20"/>
                <w:szCs w:val="20"/>
              </w:rPr>
              <w:t>November 23, 202</w:t>
            </w:r>
            <w:r w:rsidR="004336C4">
              <w:rPr>
                <w:rFonts w:ascii="Cambria" w:hAnsi="Cambria"/>
                <w:bCs/>
                <w:color w:val="000000" w:themeColor="text1"/>
                <w:sz w:val="20"/>
                <w:szCs w:val="20"/>
              </w:rPr>
              <w:t>1</w:t>
            </w:r>
            <w:r>
              <w:rPr>
                <w:rFonts w:ascii="Cambria" w:hAnsi="Cambria"/>
                <w:bCs/>
                <w:color w:val="000000" w:themeColor="text1"/>
                <w:sz w:val="20"/>
                <w:szCs w:val="20"/>
              </w:rPr>
              <w:t>,</w:t>
            </w:r>
            <w:r w:rsidRPr="00EF542A">
              <w:rPr>
                <w:rFonts w:ascii="Cambria" w:hAnsi="Cambria"/>
                <w:bCs/>
                <w:color w:val="000000" w:themeColor="text1"/>
                <w:sz w:val="20"/>
                <w:szCs w:val="20"/>
              </w:rPr>
              <w:t xml:space="preserve"> and January 21, 2022</w:t>
            </w:r>
          </w:p>
        </w:tc>
      </w:tr>
    </w:tbl>
    <w:p w14:paraId="21DAA666" w14:textId="2E11CF9E"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r>
      <w:r w:rsidR="00EF542A">
        <w:rPr>
          <w:rFonts w:asciiTheme="majorHAnsi" w:hAnsiTheme="majorHAnsi"/>
          <w:b/>
          <w:bCs/>
          <w:color w:val="000000" w:themeColor="text1"/>
          <w:sz w:val="20"/>
          <w:szCs w:val="20"/>
          <w:lang w:val="pt-BR"/>
        </w:rPr>
        <w:t>COMPETENCE</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155947" w14:paraId="072532AD" w14:textId="77777777" w:rsidTr="00714DAB">
        <w:trPr>
          <w:cantSplit/>
        </w:trPr>
        <w:tc>
          <w:tcPr>
            <w:tcW w:w="3600" w:type="dxa"/>
            <w:tcBorders>
              <w:top w:val="single" w:sz="4" w:space="0" w:color="auto"/>
              <w:bottom w:val="single" w:sz="6" w:space="0" w:color="auto"/>
            </w:tcBorders>
            <w:shd w:val="clear" w:color="auto" w:fill="67AE3C"/>
            <w:vAlign w:val="center"/>
          </w:tcPr>
          <w:p w14:paraId="5C2E4B34" w14:textId="5274B465" w:rsidR="003239B8" w:rsidRPr="00714DAB" w:rsidRDefault="00460733" w:rsidP="008D2290">
            <w:pPr>
              <w:jc w:val="center"/>
              <w:rPr>
                <w:rFonts w:ascii="Cambria" w:hAnsi="Cambria"/>
                <w:b/>
                <w:bCs/>
                <w:i/>
                <w:color w:val="FFFFFF" w:themeColor="background1"/>
                <w:sz w:val="20"/>
                <w:szCs w:val="20"/>
              </w:rPr>
            </w:pPr>
            <w:r w:rsidRPr="00714DAB">
              <w:rPr>
                <w:rFonts w:ascii="Cambria" w:hAnsi="Cambria"/>
                <w:b/>
                <w:bCs/>
                <w:color w:val="FFFFFF" w:themeColor="background1"/>
                <w:sz w:val="20"/>
                <w:szCs w:val="20"/>
              </w:rPr>
              <w:t>Competence</w:t>
            </w:r>
            <w:r w:rsidR="003239B8" w:rsidRPr="00714DAB">
              <w:rPr>
                <w:rFonts w:ascii="Cambria" w:hAnsi="Cambria"/>
                <w:b/>
                <w:bCs/>
                <w:i/>
                <w:color w:val="FFFFFF" w:themeColor="background1"/>
                <w:sz w:val="20"/>
                <w:szCs w:val="20"/>
              </w:rPr>
              <w:t xml:space="preserve"> Ratione personae:</w:t>
            </w:r>
          </w:p>
        </w:tc>
        <w:tc>
          <w:tcPr>
            <w:tcW w:w="5760" w:type="dxa"/>
            <w:vAlign w:val="center"/>
          </w:tcPr>
          <w:p w14:paraId="7707F3E9" w14:textId="69A9CFAD" w:rsidR="003239B8" w:rsidRPr="00155947" w:rsidRDefault="00EF542A" w:rsidP="008D2290">
            <w:pPr>
              <w:rPr>
                <w:rFonts w:ascii="Cambria" w:hAnsi="Cambria"/>
                <w:bCs/>
                <w:color w:val="000000" w:themeColor="text1"/>
                <w:sz w:val="20"/>
                <w:szCs w:val="20"/>
              </w:rPr>
            </w:pPr>
            <w:r w:rsidRPr="00155947">
              <w:rPr>
                <w:rFonts w:ascii="Cambria" w:hAnsi="Cambria"/>
                <w:bCs/>
                <w:color w:val="000000" w:themeColor="text1"/>
                <w:sz w:val="20"/>
                <w:szCs w:val="20"/>
              </w:rPr>
              <w:t>Yes</w:t>
            </w:r>
          </w:p>
        </w:tc>
      </w:tr>
      <w:tr w:rsidR="00E31933" w:rsidRPr="00155947" w14:paraId="4B8802DA" w14:textId="77777777" w:rsidTr="00714DAB">
        <w:trPr>
          <w:cantSplit/>
        </w:trPr>
        <w:tc>
          <w:tcPr>
            <w:tcW w:w="3600" w:type="dxa"/>
            <w:tcBorders>
              <w:top w:val="single" w:sz="6" w:space="0" w:color="auto"/>
              <w:bottom w:val="single" w:sz="6" w:space="0" w:color="auto"/>
            </w:tcBorders>
            <w:shd w:val="clear" w:color="auto" w:fill="67AE3C"/>
            <w:vAlign w:val="center"/>
          </w:tcPr>
          <w:p w14:paraId="3915C23B" w14:textId="749ED6E8" w:rsidR="003239B8" w:rsidRPr="00714DAB" w:rsidRDefault="00460733" w:rsidP="008D2290">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Competence</w:t>
            </w:r>
            <w:r w:rsidR="003239B8" w:rsidRPr="00714DAB">
              <w:rPr>
                <w:rFonts w:ascii="Cambria" w:hAnsi="Cambria"/>
                <w:b/>
                <w:bCs/>
                <w:i/>
                <w:color w:val="FFFFFF" w:themeColor="background1"/>
                <w:sz w:val="20"/>
                <w:szCs w:val="20"/>
              </w:rPr>
              <w:t xml:space="preserve"> Ratione loci</w:t>
            </w:r>
            <w:r w:rsidR="003239B8" w:rsidRPr="00714DAB">
              <w:rPr>
                <w:rFonts w:ascii="Cambria" w:hAnsi="Cambria"/>
                <w:b/>
                <w:bCs/>
                <w:color w:val="FFFFFF" w:themeColor="background1"/>
                <w:sz w:val="20"/>
                <w:szCs w:val="20"/>
              </w:rPr>
              <w:t>:</w:t>
            </w:r>
          </w:p>
        </w:tc>
        <w:tc>
          <w:tcPr>
            <w:tcW w:w="5760" w:type="dxa"/>
            <w:vAlign w:val="center"/>
          </w:tcPr>
          <w:p w14:paraId="12C931CB" w14:textId="470B4640" w:rsidR="003239B8" w:rsidRPr="00155947" w:rsidRDefault="00EF542A" w:rsidP="008D2290">
            <w:pPr>
              <w:rPr>
                <w:rFonts w:ascii="Cambria" w:hAnsi="Cambria"/>
                <w:bCs/>
                <w:color w:val="000000" w:themeColor="text1"/>
                <w:sz w:val="20"/>
                <w:szCs w:val="20"/>
              </w:rPr>
            </w:pPr>
            <w:r w:rsidRPr="00155947">
              <w:rPr>
                <w:rFonts w:ascii="Cambria" w:hAnsi="Cambria"/>
                <w:bCs/>
                <w:color w:val="000000" w:themeColor="text1"/>
                <w:sz w:val="20"/>
                <w:szCs w:val="20"/>
              </w:rPr>
              <w:t>Yes</w:t>
            </w:r>
          </w:p>
        </w:tc>
      </w:tr>
      <w:tr w:rsidR="00E31933" w:rsidRPr="00155947" w14:paraId="4362FDF3" w14:textId="77777777" w:rsidTr="00714DAB">
        <w:trPr>
          <w:cantSplit/>
        </w:trPr>
        <w:tc>
          <w:tcPr>
            <w:tcW w:w="3600" w:type="dxa"/>
            <w:tcBorders>
              <w:top w:val="single" w:sz="6" w:space="0" w:color="auto"/>
              <w:bottom w:val="single" w:sz="6" w:space="0" w:color="auto"/>
            </w:tcBorders>
            <w:shd w:val="clear" w:color="auto" w:fill="67AE3C"/>
            <w:vAlign w:val="center"/>
          </w:tcPr>
          <w:p w14:paraId="3BE23153" w14:textId="33C31B6D" w:rsidR="003239B8" w:rsidRPr="00714DAB" w:rsidRDefault="00460733" w:rsidP="008D2290">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Competence</w:t>
            </w:r>
            <w:r w:rsidR="003239B8" w:rsidRPr="00714DAB">
              <w:rPr>
                <w:rFonts w:ascii="Cambria" w:hAnsi="Cambria"/>
                <w:b/>
                <w:bCs/>
                <w:i/>
                <w:color w:val="FFFFFF" w:themeColor="background1"/>
                <w:sz w:val="20"/>
                <w:szCs w:val="20"/>
              </w:rPr>
              <w:t xml:space="preserve"> Ratione temporis</w:t>
            </w:r>
            <w:r w:rsidR="003239B8" w:rsidRPr="00714DAB">
              <w:rPr>
                <w:rFonts w:ascii="Cambria" w:hAnsi="Cambria"/>
                <w:b/>
                <w:bCs/>
                <w:color w:val="FFFFFF" w:themeColor="background1"/>
                <w:sz w:val="20"/>
                <w:szCs w:val="20"/>
              </w:rPr>
              <w:t>:</w:t>
            </w:r>
          </w:p>
        </w:tc>
        <w:tc>
          <w:tcPr>
            <w:tcW w:w="5760" w:type="dxa"/>
            <w:vAlign w:val="center"/>
          </w:tcPr>
          <w:p w14:paraId="6F8B059B" w14:textId="7492965D" w:rsidR="003239B8" w:rsidRPr="00155947" w:rsidRDefault="00EF542A" w:rsidP="008D2290">
            <w:pPr>
              <w:rPr>
                <w:bCs/>
                <w:color w:val="000000" w:themeColor="text1"/>
                <w:sz w:val="20"/>
                <w:szCs w:val="20"/>
              </w:rPr>
            </w:pPr>
            <w:r w:rsidRPr="00155947">
              <w:rPr>
                <w:bCs/>
                <w:color w:val="000000" w:themeColor="text1"/>
                <w:sz w:val="20"/>
                <w:szCs w:val="20"/>
              </w:rPr>
              <w:t>Yes</w:t>
            </w:r>
          </w:p>
        </w:tc>
      </w:tr>
      <w:tr w:rsidR="00E31933" w:rsidRPr="00155947" w14:paraId="30ABEC3E" w14:textId="77777777" w:rsidTr="00714DAB">
        <w:trPr>
          <w:cantSplit/>
        </w:trPr>
        <w:tc>
          <w:tcPr>
            <w:tcW w:w="3600" w:type="dxa"/>
            <w:tcBorders>
              <w:top w:val="single" w:sz="6" w:space="0" w:color="auto"/>
              <w:bottom w:val="single" w:sz="6" w:space="0" w:color="auto"/>
            </w:tcBorders>
            <w:shd w:val="clear" w:color="auto" w:fill="67AE3C"/>
            <w:vAlign w:val="center"/>
          </w:tcPr>
          <w:p w14:paraId="47B529D2" w14:textId="41E309C8" w:rsidR="003239B8" w:rsidRPr="00714DAB" w:rsidRDefault="00460733" w:rsidP="008D2290">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Competence</w:t>
            </w:r>
            <w:r w:rsidR="003239B8" w:rsidRPr="00714DAB">
              <w:rPr>
                <w:rFonts w:ascii="Cambria" w:hAnsi="Cambria"/>
                <w:b/>
                <w:bCs/>
                <w:i/>
                <w:color w:val="FFFFFF" w:themeColor="background1"/>
                <w:sz w:val="20"/>
                <w:szCs w:val="20"/>
              </w:rPr>
              <w:t xml:space="preserve"> Ratione materia</w:t>
            </w:r>
            <w:r w:rsidR="00EE00E9" w:rsidRPr="00714DAB">
              <w:rPr>
                <w:rFonts w:ascii="Cambria" w:hAnsi="Cambria"/>
                <w:b/>
                <w:bCs/>
                <w:i/>
                <w:color w:val="FFFFFF" w:themeColor="background1"/>
                <w:sz w:val="20"/>
                <w:szCs w:val="20"/>
              </w:rPr>
              <w:t>e</w:t>
            </w:r>
            <w:r w:rsidR="003239B8" w:rsidRPr="00714DAB">
              <w:rPr>
                <w:rFonts w:ascii="Cambria" w:hAnsi="Cambria"/>
                <w:b/>
                <w:bCs/>
                <w:color w:val="FFFFFF" w:themeColor="background1"/>
                <w:sz w:val="20"/>
                <w:szCs w:val="20"/>
              </w:rPr>
              <w:t>:</w:t>
            </w:r>
          </w:p>
        </w:tc>
        <w:tc>
          <w:tcPr>
            <w:tcW w:w="5760" w:type="dxa"/>
            <w:vAlign w:val="center"/>
          </w:tcPr>
          <w:p w14:paraId="0C122F44" w14:textId="358B8E4F" w:rsidR="003239B8" w:rsidRPr="00155947" w:rsidRDefault="00EF542A" w:rsidP="008D2290">
            <w:pPr>
              <w:jc w:val="both"/>
              <w:rPr>
                <w:rFonts w:ascii="Cambria" w:hAnsi="Cambria"/>
                <w:bCs/>
                <w:color w:val="000000" w:themeColor="text1"/>
                <w:sz w:val="20"/>
                <w:szCs w:val="20"/>
              </w:rPr>
            </w:pPr>
            <w:r w:rsidRPr="00155947">
              <w:rPr>
                <w:rFonts w:asciiTheme="majorHAnsi" w:hAnsiTheme="majorHAnsi"/>
                <w:bCs/>
                <w:color w:val="000000" w:themeColor="text1"/>
                <w:sz w:val="20"/>
                <w:szCs w:val="20"/>
              </w:rPr>
              <w:t>Yes, American Convention (instrument deposited on September 25, 1992) and Belém do Pará Convention (instrument deposited on November 27, 1995)</w:t>
            </w:r>
          </w:p>
        </w:tc>
      </w:tr>
    </w:tbl>
    <w:p w14:paraId="4E92C444" w14:textId="390B2919" w:rsidR="003239B8" w:rsidRPr="00155947" w:rsidRDefault="003239B8" w:rsidP="003239B8">
      <w:pPr>
        <w:spacing w:before="240" w:after="240"/>
        <w:ind w:firstLine="720"/>
        <w:jc w:val="both"/>
        <w:rPr>
          <w:rFonts w:asciiTheme="majorHAnsi" w:hAnsiTheme="majorHAnsi"/>
          <w:b/>
          <w:bCs/>
          <w:color w:val="000000" w:themeColor="text1"/>
          <w:sz w:val="20"/>
          <w:szCs w:val="20"/>
        </w:rPr>
      </w:pPr>
      <w:r w:rsidRPr="00155947">
        <w:rPr>
          <w:rFonts w:asciiTheme="majorHAnsi" w:hAnsiTheme="majorHAnsi"/>
          <w:b/>
          <w:bCs/>
          <w:color w:val="000000" w:themeColor="text1"/>
          <w:sz w:val="20"/>
          <w:szCs w:val="20"/>
        </w:rPr>
        <w:t xml:space="preserve">IV. </w:t>
      </w:r>
      <w:r w:rsidRPr="00155947">
        <w:rPr>
          <w:rFonts w:asciiTheme="majorHAnsi" w:hAnsiTheme="majorHAnsi"/>
          <w:b/>
          <w:bCs/>
          <w:color w:val="000000" w:themeColor="text1"/>
          <w:sz w:val="20"/>
          <w:szCs w:val="20"/>
        </w:rPr>
        <w:tab/>
      </w:r>
      <w:r w:rsidR="00155947" w:rsidRPr="00155947">
        <w:rPr>
          <w:rFonts w:asciiTheme="majorHAnsi" w:hAnsiTheme="majorHAnsi"/>
          <w:b/>
          <w:bCs/>
          <w:color w:val="000000" w:themeColor="text1"/>
          <w:sz w:val="20"/>
          <w:szCs w:val="20"/>
        </w:rPr>
        <w:t xml:space="preserve">DUPLICATION OF PROCEEDINGS AND INTERNATIONAL RES JUDICATA, </w:t>
      </w:r>
      <w:r w:rsidR="00FE6D1F">
        <w:rPr>
          <w:rFonts w:asciiTheme="majorHAnsi" w:hAnsiTheme="majorHAnsi"/>
          <w:b/>
          <w:bCs/>
          <w:color w:val="000000" w:themeColor="text1"/>
          <w:sz w:val="20"/>
          <w:szCs w:val="20"/>
        </w:rPr>
        <w:t>COLORABLE CLAIMS</w:t>
      </w:r>
      <w:r w:rsidR="00155947" w:rsidRPr="00155947">
        <w:rPr>
          <w:rFonts w:asciiTheme="majorHAnsi" w:hAnsiTheme="majorHAnsi"/>
          <w:b/>
          <w:bCs/>
          <w:color w:val="000000" w:themeColor="text1"/>
          <w:sz w:val="20"/>
          <w:szCs w:val="20"/>
        </w:rPr>
        <w:t>, EXHAUSTION OF DOMESTIC REMEDIES</w:t>
      </w:r>
      <w:r w:rsidR="00FE6D1F">
        <w:rPr>
          <w:rFonts w:asciiTheme="majorHAnsi" w:hAnsiTheme="majorHAnsi"/>
          <w:b/>
          <w:bCs/>
          <w:color w:val="000000" w:themeColor="text1"/>
          <w:sz w:val="20"/>
          <w:szCs w:val="20"/>
        </w:rPr>
        <w:t>,</w:t>
      </w:r>
      <w:r w:rsidR="00155947" w:rsidRPr="00155947">
        <w:rPr>
          <w:rFonts w:asciiTheme="majorHAnsi" w:hAnsiTheme="majorHAnsi"/>
          <w:b/>
          <w:bCs/>
          <w:color w:val="000000" w:themeColor="text1"/>
          <w:sz w:val="20"/>
          <w:szCs w:val="20"/>
        </w:rPr>
        <w:t xml:space="preserve"> AND </w:t>
      </w:r>
      <w:r w:rsidR="00FE6D1F">
        <w:rPr>
          <w:rFonts w:asciiTheme="majorHAnsi" w:hAnsiTheme="majorHAnsi"/>
          <w:b/>
          <w:bCs/>
          <w:color w:val="000000" w:themeColor="text1"/>
          <w:sz w:val="20"/>
          <w:szCs w:val="20"/>
        </w:rPr>
        <w:t>TIMELY SUBMISSION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8C651D" w:rsidRPr="00155947" w14:paraId="1231C988" w14:textId="77777777" w:rsidTr="00714DAB">
        <w:trPr>
          <w:cantSplit/>
        </w:trPr>
        <w:tc>
          <w:tcPr>
            <w:tcW w:w="3600" w:type="dxa"/>
            <w:tcBorders>
              <w:top w:val="single" w:sz="4" w:space="0" w:color="auto"/>
              <w:bottom w:val="single" w:sz="6" w:space="0" w:color="auto"/>
            </w:tcBorders>
            <w:shd w:val="clear" w:color="auto" w:fill="67AE3C"/>
            <w:vAlign w:val="center"/>
          </w:tcPr>
          <w:p w14:paraId="6F8031F4" w14:textId="7DE2D749" w:rsidR="00EE00E9" w:rsidRPr="00714DAB" w:rsidRDefault="00155947" w:rsidP="008D2290">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Duplication of procedures and international res judicata</w:t>
            </w:r>
            <w:r w:rsidR="00EE00E9" w:rsidRPr="00714DAB">
              <w:rPr>
                <w:rFonts w:ascii="Cambria" w:hAnsi="Cambria"/>
                <w:b/>
                <w:bCs/>
                <w:color w:val="FFFFFF" w:themeColor="background1"/>
                <w:sz w:val="20"/>
                <w:szCs w:val="20"/>
              </w:rPr>
              <w:t>:</w:t>
            </w:r>
          </w:p>
        </w:tc>
        <w:tc>
          <w:tcPr>
            <w:tcW w:w="5760" w:type="dxa"/>
            <w:vAlign w:val="center"/>
          </w:tcPr>
          <w:p w14:paraId="240941E6" w14:textId="1588A8D3" w:rsidR="00EE00E9" w:rsidRPr="00155947" w:rsidRDefault="00155947" w:rsidP="008D2290">
            <w:pPr>
              <w:jc w:val="both"/>
              <w:rPr>
                <w:rFonts w:ascii="Cambria" w:hAnsi="Cambria"/>
                <w:bCs/>
                <w:color w:val="000000" w:themeColor="text1"/>
                <w:sz w:val="20"/>
                <w:szCs w:val="20"/>
              </w:rPr>
            </w:pPr>
            <w:r w:rsidRPr="00155947">
              <w:rPr>
                <w:rFonts w:ascii="Cambria" w:hAnsi="Cambria"/>
                <w:bCs/>
                <w:color w:val="000000" w:themeColor="text1"/>
                <w:sz w:val="20"/>
                <w:szCs w:val="20"/>
              </w:rPr>
              <w:t>No</w:t>
            </w:r>
          </w:p>
        </w:tc>
      </w:tr>
      <w:tr w:rsidR="008C651D" w:rsidRPr="00155947" w14:paraId="15FAA7D1" w14:textId="77777777" w:rsidTr="00714DAB">
        <w:trPr>
          <w:cantSplit/>
        </w:trPr>
        <w:tc>
          <w:tcPr>
            <w:tcW w:w="3600" w:type="dxa"/>
            <w:tcBorders>
              <w:top w:val="single" w:sz="4" w:space="0" w:color="auto"/>
              <w:bottom w:val="single" w:sz="6" w:space="0" w:color="auto"/>
            </w:tcBorders>
            <w:shd w:val="clear" w:color="auto" w:fill="67AE3C"/>
            <w:vAlign w:val="center"/>
          </w:tcPr>
          <w:p w14:paraId="1B0D29FF" w14:textId="45131280" w:rsidR="003239B8" w:rsidRPr="00714DAB" w:rsidRDefault="00155947" w:rsidP="00D21316">
            <w:pPr>
              <w:jc w:val="center"/>
              <w:rPr>
                <w:rFonts w:ascii="Cambria" w:hAnsi="Cambria"/>
                <w:b/>
                <w:bCs/>
                <w:i/>
                <w:color w:val="FFFFFF" w:themeColor="background1"/>
                <w:sz w:val="20"/>
                <w:szCs w:val="20"/>
              </w:rPr>
            </w:pPr>
            <w:r w:rsidRPr="00714DAB">
              <w:rPr>
                <w:rFonts w:ascii="Cambria" w:hAnsi="Cambria"/>
                <w:b/>
                <w:bCs/>
                <w:color w:val="FFFFFF" w:themeColor="background1"/>
                <w:sz w:val="20"/>
                <w:szCs w:val="20"/>
              </w:rPr>
              <w:t>Declared rights admitted</w:t>
            </w:r>
            <w:r w:rsidR="003239B8" w:rsidRPr="00714DAB">
              <w:rPr>
                <w:rFonts w:ascii="Cambria" w:hAnsi="Cambria"/>
                <w:b/>
                <w:bCs/>
                <w:i/>
                <w:color w:val="FFFFFF" w:themeColor="background1"/>
                <w:sz w:val="20"/>
                <w:szCs w:val="20"/>
              </w:rPr>
              <w:t>:</w:t>
            </w:r>
          </w:p>
        </w:tc>
        <w:tc>
          <w:tcPr>
            <w:tcW w:w="5760" w:type="dxa"/>
            <w:vAlign w:val="center"/>
          </w:tcPr>
          <w:p w14:paraId="6310C8F7" w14:textId="145B0A2E" w:rsidR="003239B8" w:rsidRPr="00155947" w:rsidRDefault="00155947" w:rsidP="00C12F6B">
            <w:pPr>
              <w:jc w:val="both"/>
              <w:rPr>
                <w:rFonts w:ascii="Cambria" w:hAnsi="Cambria"/>
                <w:bCs/>
                <w:color w:val="000000" w:themeColor="text1"/>
                <w:sz w:val="20"/>
                <w:szCs w:val="20"/>
              </w:rPr>
            </w:pPr>
            <w:r w:rsidRPr="00155947">
              <w:rPr>
                <w:rFonts w:ascii="Cambria" w:hAnsi="Cambria"/>
                <w:bCs/>
                <w:color w:val="000000" w:themeColor="text1"/>
                <w:sz w:val="20"/>
                <w:szCs w:val="20"/>
              </w:rPr>
              <w:t xml:space="preserve">Articles 5 (personal integrity), 8 (judicial guarantees), 19 (rights of the child) and 25 (judicial protection) of the American Convention, in relation to </w:t>
            </w:r>
            <w:r w:rsidR="004336C4">
              <w:rPr>
                <w:rFonts w:ascii="Cambria" w:hAnsi="Cambria"/>
                <w:bCs/>
                <w:color w:val="000000" w:themeColor="text1"/>
                <w:sz w:val="20"/>
                <w:szCs w:val="20"/>
              </w:rPr>
              <w:t>a</w:t>
            </w:r>
            <w:r w:rsidRPr="00155947">
              <w:rPr>
                <w:rFonts w:ascii="Cambria" w:hAnsi="Cambria"/>
                <w:bCs/>
                <w:color w:val="000000" w:themeColor="text1"/>
                <w:sz w:val="20"/>
                <w:szCs w:val="20"/>
              </w:rPr>
              <w:t>rticles 1.1 (obligation to respect rights) and 2 (duty to adopt provisions of domestic law); and Article 7 of the Belém do Pará Convention.</w:t>
            </w:r>
          </w:p>
        </w:tc>
      </w:tr>
      <w:tr w:rsidR="008C651D" w:rsidRPr="00155947" w14:paraId="4EFD141E" w14:textId="77777777" w:rsidTr="00714DAB">
        <w:trPr>
          <w:cantSplit/>
        </w:trPr>
        <w:tc>
          <w:tcPr>
            <w:tcW w:w="3600" w:type="dxa"/>
            <w:tcBorders>
              <w:top w:val="single" w:sz="6" w:space="0" w:color="auto"/>
              <w:bottom w:val="single" w:sz="6" w:space="0" w:color="auto"/>
            </w:tcBorders>
            <w:shd w:val="clear" w:color="auto" w:fill="67AE3C"/>
            <w:vAlign w:val="center"/>
          </w:tcPr>
          <w:p w14:paraId="4C04A89C" w14:textId="4E566FB8" w:rsidR="003239B8" w:rsidRPr="00714DAB" w:rsidRDefault="00155947" w:rsidP="00D21316">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Exhaustion of domestic remedies or granting of an exception</w:t>
            </w:r>
            <w:r w:rsidR="003239B8" w:rsidRPr="00714DAB">
              <w:rPr>
                <w:rFonts w:ascii="Cambria" w:hAnsi="Cambria"/>
                <w:b/>
                <w:bCs/>
                <w:color w:val="FFFFFF" w:themeColor="background1"/>
                <w:sz w:val="20"/>
                <w:szCs w:val="20"/>
              </w:rPr>
              <w:t>:</w:t>
            </w:r>
          </w:p>
        </w:tc>
        <w:tc>
          <w:tcPr>
            <w:tcW w:w="5760" w:type="dxa"/>
            <w:vAlign w:val="center"/>
          </w:tcPr>
          <w:p w14:paraId="69C53E8A" w14:textId="1808E14D" w:rsidR="003239B8" w:rsidRPr="00155947" w:rsidRDefault="00155947" w:rsidP="008D2290">
            <w:pPr>
              <w:rPr>
                <w:rFonts w:ascii="Cambria" w:hAnsi="Cambria"/>
                <w:bCs/>
                <w:color w:val="000000" w:themeColor="text1"/>
                <w:sz w:val="20"/>
                <w:szCs w:val="20"/>
              </w:rPr>
            </w:pPr>
            <w:r w:rsidRPr="00155947">
              <w:rPr>
                <w:rFonts w:ascii="Cambria" w:hAnsi="Cambria"/>
                <w:bCs/>
                <w:color w:val="000000" w:themeColor="text1"/>
                <w:sz w:val="20"/>
                <w:szCs w:val="20"/>
              </w:rPr>
              <w:t>Yes, under the terms of section VI</w:t>
            </w:r>
          </w:p>
        </w:tc>
      </w:tr>
      <w:tr w:rsidR="008C651D" w:rsidRPr="00155947" w14:paraId="52B5BA17" w14:textId="77777777" w:rsidTr="00714DAB">
        <w:trPr>
          <w:cantSplit/>
        </w:trPr>
        <w:tc>
          <w:tcPr>
            <w:tcW w:w="3600" w:type="dxa"/>
            <w:tcBorders>
              <w:top w:val="single" w:sz="6" w:space="0" w:color="auto"/>
              <w:bottom w:val="single" w:sz="6" w:space="0" w:color="auto"/>
            </w:tcBorders>
            <w:shd w:val="clear" w:color="auto" w:fill="67AE3C"/>
            <w:vAlign w:val="center"/>
          </w:tcPr>
          <w:p w14:paraId="5DF99086" w14:textId="12F1C747" w:rsidR="003239B8" w:rsidRPr="00714DAB" w:rsidRDefault="00155947" w:rsidP="008D2290">
            <w:pPr>
              <w:jc w:val="center"/>
              <w:rPr>
                <w:rFonts w:ascii="Cambria" w:hAnsi="Cambria"/>
                <w:b/>
                <w:bCs/>
                <w:color w:val="FFFFFF" w:themeColor="background1"/>
                <w:sz w:val="20"/>
                <w:szCs w:val="20"/>
              </w:rPr>
            </w:pPr>
            <w:r w:rsidRPr="00714DAB">
              <w:rPr>
                <w:rFonts w:ascii="Cambria" w:hAnsi="Cambria"/>
                <w:b/>
                <w:bCs/>
                <w:color w:val="FFFFFF" w:themeColor="background1"/>
                <w:sz w:val="20"/>
                <w:szCs w:val="20"/>
              </w:rPr>
              <w:t>Timely submission</w:t>
            </w:r>
            <w:r w:rsidR="003239B8" w:rsidRPr="00714DAB">
              <w:rPr>
                <w:rFonts w:ascii="Cambria" w:hAnsi="Cambria"/>
                <w:b/>
                <w:bCs/>
                <w:color w:val="FFFFFF" w:themeColor="background1"/>
                <w:sz w:val="20"/>
                <w:szCs w:val="20"/>
              </w:rPr>
              <w:t>:</w:t>
            </w:r>
          </w:p>
        </w:tc>
        <w:tc>
          <w:tcPr>
            <w:tcW w:w="5760" w:type="dxa"/>
            <w:vAlign w:val="center"/>
          </w:tcPr>
          <w:p w14:paraId="4A2A4569" w14:textId="1034D98A" w:rsidR="003239B8" w:rsidRPr="00155947" w:rsidRDefault="00155947" w:rsidP="008D2290">
            <w:pPr>
              <w:rPr>
                <w:rFonts w:ascii="Cambria" w:hAnsi="Cambria"/>
                <w:bCs/>
                <w:color w:val="000000" w:themeColor="text1"/>
                <w:sz w:val="20"/>
                <w:szCs w:val="20"/>
              </w:rPr>
            </w:pPr>
            <w:r w:rsidRPr="00155947">
              <w:rPr>
                <w:rFonts w:ascii="Cambria" w:hAnsi="Cambria"/>
                <w:bCs/>
                <w:color w:val="000000" w:themeColor="text1"/>
                <w:sz w:val="20"/>
                <w:szCs w:val="20"/>
              </w:rPr>
              <w:t>Yes, under the terms of section VI</w:t>
            </w:r>
          </w:p>
        </w:tc>
      </w:tr>
    </w:tbl>
    <w:p w14:paraId="4EB2619A" w14:textId="77777777" w:rsidR="00010AA2" w:rsidRPr="00714DAB" w:rsidRDefault="00010AA2" w:rsidP="00A75799">
      <w:pPr>
        <w:spacing w:before="240" w:after="240"/>
        <w:ind w:firstLine="720"/>
        <w:jc w:val="both"/>
        <w:rPr>
          <w:rFonts w:asciiTheme="majorHAnsi" w:hAnsiTheme="majorHAnsi"/>
          <w:b/>
          <w:color w:val="000000" w:themeColor="text1"/>
          <w:sz w:val="20"/>
          <w:szCs w:val="20"/>
        </w:rPr>
      </w:pPr>
    </w:p>
    <w:p w14:paraId="18E6423B" w14:textId="1B6A8CA3" w:rsidR="003239B8" w:rsidRPr="00714DAB" w:rsidRDefault="00223A29" w:rsidP="00A14B51">
      <w:pPr>
        <w:spacing w:after="240"/>
        <w:ind w:firstLine="720"/>
        <w:jc w:val="both"/>
        <w:rPr>
          <w:rFonts w:asciiTheme="majorHAnsi" w:hAnsiTheme="majorHAnsi"/>
          <w:b/>
          <w:color w:val="000000" w:themeColor="text1"/>
          <w:sz w:val="20"/>
          <w:szCs w:val="20"/>
        </w:rPr>
      </w:pPr>
      <w:r w:rsidRPr="00714DAB">
        <w:rPr>
          <w:rFonts w:asciiTheme="majorHAnsi" w:hAnsiTheme="majorHAnsi"/>
          <w:b/>
          <w:color w:val="000000" w:themeColor="text1"/>
          <w:sz w:val="20"/>
          <w:szCs w:val="20"/>
        </w:rPr>
        <w:lastRenderedPageBreak/>
        <w:t xml:space="preserve">V. </w:t>
      </w:r>
      <w:r w:rsidRPr="00714DAB">
        <w:rPr>
          <w:rFonts w:asciiTheme="majorHAnsi" w:hAnsiTheme="majorHAnsi"/>
          <w:b/>
          <w:color w:val="000000" w:themeColor="text1"/>
          <w:sz w:val="20"/>
          <w:szCs w:val="20"/>
        </w:rPr>
        <w:tab/>
      </w:r>
      <w:r w:rsidR="00923CC3" w:rsidRPr="00714DAB">
        <w:rPr>
          <w:rFonts w:asciiTheme="majorHAnsi" w:hAnsiTheme="majorHAnsi"/>
          <w:b/>
          <w:color w:val="000000" w:themeColor="text1"/>
          <w:sz w:val="20"/>
          <w:szCs w:val="20"/>
        </w:rPr>
        <w:t>POSITIONS OF THE PARTIES</w:t>
      </w:r>
      <w:r w:rsidR="003239B8" w:rsidRPr="00714DAB">
        <w:rPr>
          <w:rFonts w:asciiTheme="majorHAnsi" w:hAnsiTheme="majorHAnsi"/>
          <w:b/>
          <w:color w:val="000000" w:themeColor="text1"/>
          <w:sz w:val="20"/>
          <w:szCs w:val="20"/>
        </w:rPr>
        <w:t xml:space="preserve"> </w:t>
      </w:r>
    </w:p>
    <w:p w14:paraId="616F3F0C" w14:textId="06569C89" w:rsidR="000D4267" w:rsidRPr="00923CC3" w:rsidRDefault="00923CC3" w:rsidP="00A14B51">
      <w:pPr>
        <w:pStyle w:val="ListParagraph"/>
        <w:spacing w:after="240"/>
        <w:jc w:val="both"/>
        <w:rPr>
          <w:i/>
          <w:iCs/>
          <w:sz w:val="20"/>
          <w:szCs w:val="20"/>
        </w:rPr>
      </w:pPr>
      <w:bookmarkStart w:id="2" w:name="_Hlk80180807"/>
      <w:r w:rsidRPr="00923CC3">
        <w:rPr>
          <w:i/>
          <w:iCs/>
          <w:sz w:val="20"/>
          <w:szCs w:val="20"/>
        </w:rPr>
        <w:t>Position of the Petition</w:t>
      </w:r>
      <w:r w:rsidR="00460733">
        <w:rPr>
          <w:i/>
          <w:iCs/>
          <w:sz w:val="20"/>
          <w:szCs w:val="20"/>
        </w:rPr>
        <w:t>er</w:t>
      </w:r>
    </w:p>
    <w:p w14:paraId="753349BF" w14:textId="32272D12" w:rsidR="00A14B51" w:rsidRPr="00C370C9" w:rsidRDefault="002136A8" w:rsidP="00A14B51">
      <w:pPr>
        <w:pStyle w:val="ListParagraph"/>
        <w:numPr>
          <w:ilvl w:val="0"/>
          <w:numId w:val="55"/>
        </w:numPr>
        <w:spacing w:after="240"/>
        <w:jc w:val="both"/>
        <w:rPr>
          <w:sz w:val="20"/>
          <w:szCs w:val="20"/>
        </w:rPr>
      </w:pPr>
      <w:r w:rsidRPr="00C370C9">
        <w:rPr>
          <w:sz w:val="20"/>
          <w:szCs w:val="20"/>
        </w:rPr>
        <w:t>The petitioner denounces the impunity engendered by the domestic proceedings related to the sexual violence suffered by a girl at the hands of her father, despite the fact that the existence of this violence has been proven. She also points out that the girl has been re-victimized through forensics, examinations, interviews, and confrontations, in addition to the obligation to live with and seek reconciliation with her offender</w:t>
      </w:r>
      <w:r w:rsidR="00A14B51" w:rsidRPr="00C370C9">
        <w:rPr>
          <w:sz w:val="20"/>
          <w:szCs w:val="20"/>
        </w:rPr>
        <w:t>.</w:t>
      </w:r>
    </w:p>
    <w:p w14:paraId="14D370B3" w14:textId="70CECDAA" w:rsidR="00A14B51" w:rsidRPr="00C370C9" w:rsidRDefault="002136A8" w:rsidP="00A14B51">
      <w:pPr>
        <w:pStyle w:val="ListParagraph"/>
        <w:numPr>
          <w:ilvl w:val="0"/>
          <w:numId w:val="55"/>
        </w:numPr>
        <w:spacing w:after="240"/>
        <w:jc w:val="both"/>
        <w:rPr>
          <w:sz w:val="20"/>
          <w:szCs w:val="20"/>
        </w:rPr>
      </w:pPr>
      <w:r w:rsidRPr="00C370C9">
        <w:rPr>
          <w:sz w:val="20"/>
          <w:szCs w:val="20"/>
        </w:rPr>
        <w:t xml:space="preserve">The petitioner claims that the alleged victim suffered sexual violation by her father during visits. On October 1, 2013, the child, who was three years old at the time, manifested pain in her anal region, allegedly attributed to her father. The following day, her mother confronted her father, who reacted aggressively by accusing the girl of lying. On October 4, 2013, the mother took the girl to a doctor for a check-up. The pediatrician talked to the girl, carried out a physical examination, found edema and hyperemia in the anal region, and concluded that </w:t>
      </w:r>
      <w:r w:rsidR="00C370C9">
        <w:rPr>
          <w:sz w:val="20"/>
          <w:szCs w:val="20"/>
        </w:rPr>
        <w:t>abuse was suspected,</w:t>
      </w:r>
      <w:r w:rsidRPr="00C370C9">
        <w:rPr>
          <w:sz w:val="20"/>
          <w:szCs w:val="20"/>
        </w:rPr>
        <w:t xml:space="preserve"> </w:t>
      </w:r>
      <w:r w:rsidR="00014E91">
        <w:rPr>
          <w:sz w:val="20"/>
          <w:szCs w:val="20"/>
        </w:rPr>
        <w:t>given the combination of</w:t>
      </w:r>
      <w:r w:rsidRPr="00C370C9">
        <w:rPr>
          <w:sz w:val="20"/>
          <w:szCs w:val="20"/>
        </w:rPr>
        <w:t xml:space="preserve"> the physical examination </w:t>
      </w:r>
      <w:r w:rsidR="00014E91">
        <w:rPr>
          <w:sz w:val="20"/>
          <w:szCs w:val="20"/>
        </w:rPr>
        <w:t>with</w:t>
      </w:r>
      <w:r w:rsidRPr="00C370C9">
        <w:rPr>
          <w:sz w:val="20"/>
          <w:szCs w:val="20"/>
        </w:rPr>
        <w:t xml:space="preserve"> the girl's statement that her anus was sore and bruised after her father had hurt her with his finger. After a new confrontation, the father claimed mental illness and lack of recollection of the facts. The mother sought legal advice to file for divorce and protective measures, which were implemented on October 11, 2013 as part of a proceeding for physical separation and removal of the spouse from the home, including a restraining order and a request for custody (case 001036.20.2013.8.26.0010). Since then, and until the complaint was lodged with the Inter-American Commission, the girl has been under specialized psychological care for domestic violence</w:t>
      </w:r>
      <w:r w:rsidR="00A14B51" w:rsidRPr="00C370C9">
        <w:rPr>
          <w:sz w:val="20"/>
          <w:szCs w:val="20"/>
        </w:rPr>
        <w:t>.</w:t>
      </w:r>
    </w:p>
    <w:p w14:paraId="5406339C" w14:textId="65143C3C" w:rsidR="00A14B51" w:rsidRPr="00A86E82" w:rsidRDefault="003E6A3C" w:rsidP="00A14B51">
      <w:pPr>
        <w:pStyle w:val="ListParagraph"/>
        <w:numPr>
          <w:ilvl w:val="0"/>
          <w:numId w:val="55"/>
        </w:numPr>
        <w:spacing w:after="240"/>
        <w:jc w:val="both"/>
        <w:rPr>
          <w:sz w:val="20"/>
          <w:szCs w:val="20"/>
        </w:rPr>
      </w:pPr>
      <w:r w:rsidRPr="00A86E82">
        <w:rPr>
          <w:sz w:val="20"/>
          <w:szCs w:val="20"/>
        </w:rPr>
        <w:t>Furthermore, the mother</w:t>
      </w:r>
      <w:r w:rsidR="00730AAD">
        <w:rPr>
          <w:sz w:val="20"/>
          <w:szCs w:val="20"/>
        </w:rPr>
        <w:t xml:space="preserve"> </w:t>
      </w:r>
      <w:r w:rsidRPr="00A86E82">
        <w:rPr>
          <w:sz w:val="20"/>
          <w:szCs w:val="20"/>
        </w:rPr>
        <w:t>initiated divorce proceedings that included requests for forfeiture of custody on the grounds of sexual abuse and division of assets, as well as proceedings for an order of separation. The father's defense argued that the anal pain was due to the girl's intestinal condition</w:t>
      </w:r>
      <w:r w:rsidR="00730AAD">
        <w:rPr>
          <w:sz w:val="20"/>
          <w:szCs w:val="20"/>
        </w:rPr>
        <w:t xml:space="preserve"> </w:t>
      </w:r>
      <w:r w:rsidRPr="00A86E82">
        <w:rPr>
          <w:sz w:val="20"/>
          <w:szCs w:val="20"/>
        </w:rPr>
        <w:t>and accused the mother of instilling false memories of abuse in an attempt at parental alienation. In September 2016, the father received authorization for supervised visits. As a result of these visits, the girl developed panic attacks and nightmares, but the authorization was not revoked. In July 2017, the divorce judge ordered the mother to pay for an expert in parental alienation. The petitioner claims that this expert was a friend of the father's technical assistant. In August 2017, the judge explained that he would analyze the recognition of acts of parental alienation in the ruling</w:t>
      </w:r>
      <w:r w:rsidR="00A14B51" w:rsidRPr="00A86E82">
        <w:rPr>
          <w:sz w:val="20"/>
          <w:szCs w:val="20"/>
        </w:rPr>
        <w:t>.</w:t>
      </w:r>
    </w:p>
    <w:p w14:paraId="2C71308D" w14:textId="5EB301F6" w:rsidR="00A14B51" w:rsidRPr="009770E8" w:rsidRDefault="00074FAC" w:rsidP="00A14B51">
      <w:pPr>
        <w:pStyle w:val="ListParagraph"/>
        <w:numPr>
          <w:ilvl w:val="0"/>
          <w:numId w:val="55"/>
        </w:numPr>
        <w:spacing w:after="240"/>
        <w:jc w:val="both"/>
        <w:rPr>
          <w:sz w:val="20"/>
          <w:szCs w:val="20"/>
        </w:rPr>
      </w:pPr>
      <w:r w:rsidRPr="00074FAC">
        <w:rPr>
          <w:sz w:val="20"/>
          <w:szCs w:val="20"/>
        </w:rPr>
        <w:t>On November 13, 2019, the judge held a pre-trial hearing in which he ordered a regime of weekly visits on Sundays, supervised by the mother, on the premises of the building where she lives. On February 12, 2020, in the context of a new conciliation hearing, the judge ordered fortnightly visits in the same form as the previous ones, and the Public Prosecutor's Office presented a proposal for the parents to take part in a “family constellation”</w:t>
      </w:r>
      <w:r>
        <w:rPr>
          <w:sz w:val="20"/>
          <w:szCs w:val="20"/>
        </w:rPr>
        <w:t>.</w:t>
      </w:r>
    </w:p>
    <w:p w14:paraId="1082D7EC" w14:textId="6F5CB23D" w:rsidR="00A14B51" w:rsidRPr="00CB6614" w:rsidRDefault="00CB6614" w:rsidP="00A14B51">
      <w:pPr>
        <w:pStyle w:val="ListParagraph"/>
        <w:numPr>
          <w:ilvl w:val="0"/>
          <w:numId w:val="55"/>
        </w:numPr>
        <w:spacing w:after="240"/>
        <w:jc w:val="both"/>
        <w:rPr>
          <w:sz w:val="20"/>
          <w:szCs w:val="20"/>
        </w:rPr>
      </w:pPr>
      <w:r w:rsidRPr="00CB6614">
        <w:rPr>
          <w:sz w:val="20"/>
          <w:szCs w:val="20"/>
        </w:rPr>
        <w:t>On November 16, 2021, the judge issued the first</w:t>
      </w:r>
      <w:r w:rsidR="0014172C">
        <w:rPr>
          <w:sz w:val="20"/>
          <w:szCs w:val="20"/>
        </w:rPr>
        <w:t xml:space="preserve"> </w:t>
      </w:r>
      <w:r w:rsidRPr="00CB6614">
        <w:rPr>
          <w:sz w:val="20"/>
          <w:szCs w:val="20"/>
        </w:rPr>
        <w:t>instance ruling. The petitioner argues that, despite evidence of abuse, including testimony from the girl and professionals (a psychologist and a pediatrician), the judge ordered her to resume living with her father, initially with therapeutic monitoring for six months and then without restrictions, threatening to sanction the mother if she obstructed visits.</w:t>
      </w:r>
    </w:p>
    <w:p w14:paraId="34182612" w14:textId="00874778" w:rsidR="00A14B51" w:rsidRPr="00222F53" w:rsidRDefault="00E57CF9" w:rsidP="00A14B51">
      <w:pPr>
        <w:pStyle w:val="ListParagraph"/>
        <w:numPr>
          <w:ilvl w:val="0"/>
          <w:numId w:val="55"/>
        </w:numPr>
        <w:spacing w:after="240"/>
        <w:jc w:val="both"/>
        <w:rPr>
          <w:sz w:val="20"/>
          <w:szCs w:val="20"/>
        </w:rPr>
      </w:pPr>
      <w:r w:rsidRPr="00222F53">
        <w:rPr>
          <w:sz w:val="20"/>
          <w:szCs w:val="20"/>
        </w:rPr>
        <w:t xml:space="preserve">The petitioner also </w:t>
      </w:r>
      <w:r w:rsidR="00FF38EA">
        <w:rPr>
          <w:sz w:val="20"/>
          <w:szCs w:val="20"/>
        </w:rPr>
        <w:t>informs</w:t>
      </w:r>
      <w:r w:rsidRPr="00222F53">
        <w:rPr>
          <w:sz w:val="20"/>
          <w:szCs w:val="20"/>
        </w:rPr>
        <w:t xml:space="preserve"> that the alleged sexual violation was criminally investigated under police inquiry 278/2016, </w:t>
      </w:r>
      <w:r w:rsidR="00DA4E2F">
        <w:rPr>
          <w:sz w:val="20"/>
          <w:szCs w:val="20"/>
        </w:rPr>
        <w:t xml:space="preserve">and </w:t>
      </w:r>
      <w:r w:rsidR="00237AF4">
        <w:rPr>
          <w:sz w:val="20"/>
          <w:szCs w:val="20"/>
        </w:rPr>
        <w:t>then in</w:t>
      </w:r>
      <w:r w:rsidRPr="00222F53">
        <w:rPr>
          <w:sz w:val="20"/>
          <w:szCs w:val="20"/>
        </w:rPr>
        <w:t xml:space="preserve"> case 0006994-61.2016.8.26.0009 of the Criminal Court of the Vila Prudente Regional Court. The court took statements from both parents and conducted a psychological evaluation of the girl, adding her testimony to the case on July 18, 2017. On November 2 and 9, 2017, the girl's pediatrician and psychologist were heard. On April 9, 2019, the Public Prosecutor's Office recommended closing the case due to insufficient evidence, and the Court proceeded to close the case two days later, on April 11. </w:t>
      </w:r>
      <w:r w:rsidR="004336C4" w:rsidRPr="004336C4">
        <w:rPr>
          <w:color w:val="auto"/>
          <w:sz w:val="20"/>
          <w:szCs w:val="20"/>
        </w:rPr>
        <w:t xml:space="preserve">– </w:t>
      </w:r>
      <w:r w:rsidRPr="00222F53">
        <w:rPr>
          <w:sz w:val="20"/>
          <w:szCs w:val="20"/>
        </w:rPr>
        <w:t>The IACHR notes that the copies of the Public Prosecutor's Office recommendation and the court's ruling to have the case closed suggest that both were concise, essentially limiting themselves to pointing out the need to close the case due to lack of evidence.</w:t>
      </w:r>
      <w:r w:rsidR="004336C4">
        <w:rPr>
          <w:sz w:val="20"/>
          <w:szCs w:val="20"/>
        </w:rPr>
        <w:t xml:space="preserve"> </w:t>
      </w:r>
      <w:r w:rsidR="004336C4" w:rsidRPr="004336C4">
        <w:rPr>
          <w:color w:val="auto"/>
          <w:sz w:val="20"/>
          <w:szCs w:val="20"/>
        </w:rPr>
        <w:t>–</w:t>
      </w:r>
    </w:p>
    <w:p w14:paraId="126B5B29" w14:textId="023AE184" w:rsidR="00A14B51" w:rsidRPr="00247649" w:rsidRDefault="00C41750" w:rsidP="00A14B51">
      <w:pPr>
        <w:pStyle w:val="ListParagraph"/>
        <w:numPr>
          <w:ilvl w:val="0"/>
          <w:numId w:val="55"/>
        </w:numPr>
        <w:spacing w:after="240"/>
        <w:jc w:val="both"/>
        <w:rPr>
          <w:sz w:val="20"/>
          <w:szCs w:val="20"/>
        </w:rPr>
      </w:pPr>
      <w:r w:rsidRPr="00247649">
        <w:rPr>
          <w:sz w:val="20"/>
          <w:szCs w:val="20"/>
        </w:rPr>
        <w:lastRenderedPageBreak/>
        <w:t xml:space="preserve">The petitioner argues that the girl's rights were violated not only by the sexual assault she suffered, but also by the judicial process which led to her re-victimization through multiple inquiries, examinations, and exposure to traumatic situations. She particularly underscores criticism of the proceedings in family court, which in peculiarly imposed the obligation to seek reconciliation and to live with her </w:t>
      </w:r>
      <w:r w:rsidR="00247649">
        <w:rPr>
          <w:sz w:val="20"/>
          <w:szCs w:val="20"/>
        </w:rPr>
        <w:t>abuser</w:t>
      </w:r>
      <w:r w:rsidRPr="00247649">
        <w:rPr>
          <w:sz w:val="20"/>
          <w:szCs w:val="20"/>
        </w:rPr>
        <w:t>. It also states that the approach of reconciliation and living together not only disregards the trauma suffered, but also, according to the petitioner, reflects a lack of diligence and depth in the criminal investigation of the facts, highlighting an apparent negligence to adequately protect the girl's rights and ensure justice in the face of the abuse she suffered</w:t>
      </w:r>
      <w:r w:rsidR="00A14B51" w:rsidRPr="00247649">
        <w:rPr>
          <w:sz w:val="20"/>
          <w:szCs w:val="20"/>
        </w:rPr>
        <w:t>.</w:t>
      </w:r>
    </w:p>
    <w:p w14:paraId="77DC24B5" w14:textId="74B2843D" w:rsidR="00A14B51" w:rsidRPr="00791835" w:rsidRDefault="00655639" w:rsidP="00A14B51">
      <w:pPr>
        <w:pStyle w:val="ListParagraph"/>
        <w:numPr>
          <w:ilvl w:val="0"/>
          <w:numId w:val="55"/>
        </w:numPr>
        <w:spacing w:after="240"/>
        <w:jc w:val="both"/>
        <w:rPr>
          <w:sz w:val="20"/>
          <w:szCs w:val="20"/>
        </w:rPr>
      </w:pPr>
      <w:r w:rsidRPr="00791835">
        <w:rPr>
          <w:sz w:val="20"/>
          <w:szCs w:val="20"/>
        </w:rPr>
        <w:t>The petitioner further argues that domestic laws do not guarantee due process of law, given that, in her view, Law 12.318/2010 incorporated biased criteria for analyzing so-called “parental alienation” into the domestic legal system that tend to presuppose allegations of sexual abuse as false. The petitioner also indicates that there has been unjustified delay in domestic proceedings, which is reflected in the excessive time required to schedule interviews with experts, and in excessive delay in analyzing the facts in general</w:t>
      </w:r>
      <w:r w:rsidR="00A14B51" w:rsidRPr="00791835">
        <w:rPr>
          <w:sz w:val="20"/>
          <w:szCs w:val="20"/>
        </w:rPr>
        <w:t>.</w:t>
      </w:r>
    </w:p>
    <w:p w14:paraId="0B1BC1EC" w14:textId="0C270AD3" w:rsidR="00A75799" w:rsidRPr="009B5E3A" w:rsidRDefault="009B5E3A" w:rsidP="00A75799">
      <w:pPr>
        <w:pStyle w:val="ListParagraph"/>
        <w:spacing w:before="240" w:after="240"/>
        <w:jc w:val="both"/>
        <w:rPr>
          <w:i/>
          <w:iCs/>
          <w:sz w:val="20"/>
          <w:szCs w:val="20"/>
        </w:rPr>
      </w:pPr>
      <w:r w:rsidRPr="009B5E3A">
        <w:rPr>
          <w:i/>
          <w:iCs/>
          <w:sz w:val="20"/>
          <w:szCs w:val="20"/>
        </w:rPr>
        <w:t>Position of the Brazilian State</w:t>
      </w:r>
    </w:p>
    <w:p w14:paraId="5E602802" w14:textId="778B1C54" w:rsidR="00A14B51" w:rsidRPr="00491E52" w:rsidRDefault="00F75DF2" w:rsidP="00980B6C">
      <w:pPr>
        <w:pStyle w:val="ListParagraph"/>
        <w:numPr>
          <w:ilvl w:val="0"/>
          <w:numId w:val="55"/>
        </w:numPr>
        <w:spacing w:before="240" w:after="240"/>
        <w:jc w:val="both"/>
        <w:rPr>
          <w:sz w:val="20"/>
          <w:szCs w:val="20"/>
        </w:rPr>
      </w:pPr>
      <w:r w:rsidRPr="00491E52">
        <w:rPr>
          <w:sz w:val="20"/>
          <w:szCs w:val="20"/>
        </w:rPr>
        <w:t>The State clarifies, firstly, that in its interpretation the complaint submitted to the IACHR essentially refers to alleged human rights violations in court case 0010366-20.2013.8.26.0010 concerning the divorce from her spouse coupled with the loss of family power, which ruled on the custody of her minor daughter</w:t>
      </w:r>
      <w:r w:rsidR="00A14B51" w:rsidRPr="00491E52">
        <w:rPr>
          <w:color w:val="auto"/>
          <w:sz w:val="20"/>
          <w:szCs w:val="20"/>
        </w:rPr>
        <w:t>.</w:t>
      </w:r>
    </w:p>
    <w:p w14:paraId="4F63AA82" w14:textId="46530BCB" w:rsidR="00A14B51" w:rsidRPr="00AC0800" w:rsidRDefault="00491E52" w:rsidP="00570308">
      <w:pPr>
        <w:pStyle w:val="ListParagraph"/>
        <w:numPr>
          <w:ilvl w:val="0"/>
          <w:numId w:val="55"/>
        </w:numPr>
        <w:spacing w:before="240" w:after="240"/>
        <w:jc w:val="both"/>
        <w:rPr>
          <w:color w:val="auto"/>
          <w:sz w:val="20"/>
          <w:szCs w:val="20"/>
        </w:rPr>
      </w:pPr>
      <w:r w:rsidRPr="00AC0800">
        <w:rPr>
          <w:sz w:val="20"/>
          <w:szCs w:val="20"/>
        </w:rPr>
        <w:t>The State argues that when the complaint was lodged with the IACHR, domestic legal proceedings involving the girl's mother and father were still in progress, before the First Family and Successions Court of the Ipiranga Regional Court, with evidentiary due diligence being conducted, given the contentious circumstances of the divorce proceedings and the ruling on custody of the minor daughter. According to information from the court of jurisdiction, three proceedings involving the parties were being conducted properly before the court, in full compliance with the guarantees of due process and full defense, with the Public Prosecutor's Office acting properly at all stages of the proceedings. The parties were duly notified through their lawyers of all decisions issued by the court, even to the extent that they made use, when they deemed it necessary, of the legal remedies available, all of which were evaluated and judged by the higher court. The court did not neglect to order and guarantee the production of all evidence it considered important and necessary for the full protection of the right of defense, for the purpose of guiding the court to be convinced and to provide a reasoned judgment on the merits of the claims or proceedings</w:t>
      </w:r>
      <w:r w:rsidR="00A14B51" w:rsidRPr="00AC0800">
        <w:rPr>
          <w:color w:val="auto"/>
          <w:sz w:val="20"/>
          <w:szCs w:val="20"/>
        </w:rPr>
        <w:t>.</w:t>
      </w:r>
    </w:p>
    <w:p w14:paraId="43FF38DE" w14:textId="73DA1DD0" w:rsidR="00A14B51" w:rsidRPr="00AC0800" w:rsidRDefault="00ED5F76" w:rsidP="00570308">
      <w:pPr>
        <w:pStyle w:val="ListParagraph"/>
        <w:numPr>
          <w:ilvl w:val="0"/>
          <w:numId w:val="55"/>
        </w:numPr>
        <w:spacing w:before="240" w:after="240"/>
        <w:jc w:val="both"/>
        <w:rPr>
          <w:color w:val="auto"/>
          <w:sz w:val="20"/>
          <w:szCs w:val="20"/>
        </w:rPr>
      </w:pPr>
      <w:r w:rsidRPr="00AC0800">
        <w:rPr>
          <w:color w:val="auto"/>
          <w:sz w:val="20"/>
          <w:szCs w:val="20"/>
        </w:rPr>
        <w:t>The State indicates that on November 16, 2021, the Court issued a joint ruling in the proceedings in which the father and mother were litigating. The judgment granted the mother's request for unilateral custody, denied the mother's request for recognition of parental alienation and ordered the conditions of the father's visitation. Due to the nature of the issues debated, to protect the rights of the parties and to protect the child, the proceedings were held under court secrecy. The State maintains that the domestic proceedings had their proper effects, and that the petition attempts, improperly and unnecessarily, to provoke the IACHR into reviewing the domestic rulings. The State also indicates that the mother had at her disposal additional appeals against the judgment of November 16, 2021, and that, therefore, she has not exhausted all domestic appeals</w:t>
      </w:r>
      <w:r w:rsidR="00A14B51" w:rsidRPr="00AC0800">
        <w:rPr>
          <w:color w:val="auto"/>
          <w:sz w:val="20"/>
          <w:szCs w:val="20"/>
        </w:rPr>
        <w:t>.</w:t>
      </w:r>
    </w:p>
    <w:p w14:paraId="079D6287" w14:textId="3023F371" w:rsidR="00A14B51" w:rsidRPr="00332403" w:rsidRDefault="00AC0800" w:rsidP="00570308">
      <w:pPr>
        <w:pStyle w:val="ListParagraph"/>
        <w:numPr>
          <w:ilvl w:val="0"/>
          <w:numId w:val="55"/>
        </w:numPr>
        <w:spacing w:before="240" w:after="240"/>
        <w:jc w:val="both"/>
        <w:rPr>
          <w:color w:val="auto"/>
          <w:sz w:val="20"/>
          <w:szCs w:val="20"/>
        </w:rPr>
      </w:pPr>
      <w:r w:rsidRPr="00AC0800">
        <w:rPr>
          <w:color w:val="auto"/>
          <w:sz w:val="20"/>
          <w:szCs w:val="20"/>
        </w:rPr>
        <w:t xml:space="preserve">The State also argues that none of the exceptions to the rule of prior exhaustion and to the filing deadline apply to the petition, given that domestic law robustly protects due process of law, the State did not put hinder the mother in any way from pursuing domestic judicial protection, and there were no unjustified delays to the </w:t>
      </w:r>
      <w:r w:rsidRPr="00332403">
        <w:rPr>
          <w:color w:val="auto"/>
          <w:sz w:val="20"/>
          <w:szCs w:val="20"/>
        </w:rPr>
        <w:t>rulings on appeals filed</w:t>
      </w:r>
      <w:r w:rsidR="00A14B51" w:rsidRPr="00332403">
        <w:rPr>
          <w:color w:val="auto"/>
          <w:sz w:val="20"/>
          <w:szCs w:val="20"/>
        </w:rPr>
        <w:t>.</w:t>
      </w:r>
    </w:p>
    <w:p w14:paraId="028C10F4" w14:textId="5D78CCD4" w:rsidR="00A14B51" w:rsidRPr="00332403" w:rsidRDefault="00332403" w:rsidP="00570308">
      <w:pPr>
        <w:pStyle w:val="ListParagraph"/>
        <w:numPr>
          <w:ilvl w:val="0"/>
          <w:numId w:val="55"/>
        </w:numPr>
        <w:spacing w:before="240" w:after="240"/>
        <w:jc w:val="both"/>
        <w:rPr>
          <w:color w:val="auto"/>
          <w:sz w:val="20"/>
          <w:szCs w:val="20"/>
        </w:rPr>
      </w:pPr>
      <w:r w:rsidRPr="00332403">
        <w:rPr>
          <w:color w:val="auto"/>
          <w:sz w:val="20"/>
          <w:szCs w:val="20"/>
        </w:rPr>
        <w:t xml:space="preserve">Additionally, the State maintains that the petition does not meet the filing deadline requirement because, at the time of the complaint to the IACHR, the petitioner had not yet exhausted the existing remedies, and the petitioner apparently jumped to the conclusion that the domestic judiciary would declare her to be an incident of parental alienation and would not consider her request for unilateral custody of the child. As a result, the international court was called upon before the domestic civil court could finalize its </w:t>
      </w:r>
      <w:r w:rsidRPr="00332403">
        <w:rPr>
          <w:color w:val="auto"/>
          <w:sz w:val="20"/>
          <w:szCs w:val="20"/>
        </w:rPr>
        <w:lastRenderedPageBreak/>
        <w:t>analysis of the controversial situation, which had challenging factual contours that involved more than mere matters of law and required production of</w:t>
      </w:r>
      <w:r w:rsidR="008C02D8">
        <w:rPr>
          <w:color w:val="auto"/>
          <w:sz w:val="20"/>
          <w:szCs w:val="20"/>
        </w:rPr>
        <w:t xml:space="preserve"> a hefty amount of</w:t>
      </w:r>
      <w:r w:rsidRPr="00332403">
        <w:rPr>
          <w:color w:val="auto"/>
          <w:sz w:val="20"/>
          <w:szCs w:val="20"/>
        </w:rPr>
        <w:t xml:space="preserve"> evidence.</w:t>
      </w:r>
    </w:p>
    <w:p w14:paraId="4B1E2C7F" w14:textId="0FD2C16C" w:rsidR="00A14B51" w:rsidRPr="00475E4E" w:rsidRDefault="00DF3ED5" w:rsidP="00570308">
      <w:pPr>
        <w:pStyle w:val="ListParagraph"/>
        <w:numPr>
          <w:ilvl w:val="0"/>
          <w:numId w:val="55"/>
        </w:numPr>
        <w:spacing w:before="240" w:after="240"/>
        <w:jc w:val="both"/>
        <w:rPr>
          <w:color w:val="auto"/>
          <w:sz w:val="20"/>
          <w:szCs w:val="20"/>
        </w:rPr>
      </w:pPr>
      <w:r w:rsidRPr="00475E4E">
        <w:rPr>
          <w:color w:val="auto"/>
          <w:sz w:val="20"/>
          <w:szCs w:val="20"/>
        </w:rPr>
        <w:t>The State also considers the petition inadmissible due to the principle of subsidiarity that governs the Inter-American System for the Protection of Human Rights. It argues that the system of petitions and cases is designed to act when domestic authorities have failed to adequately protect victims, and not as a mechanism for reviewing national judicial decisions that have been issued within the scope of its powers and with the appropriate judicial guarantees. In conclusion, the State considers the petition inadmissible because it does not present facts that violate the Convention. In this regard, it indicates that the domestic judgments recognized the unilateral custody requested by the mother and rejected the allegations of parental alienation, demonstrating the State's commitment to the effective judicial protection of human rights</w:t>
      </w:r>
      <w:r w:rsidR="00A14B51" w:rsidRPr="00475E4E">
        <w:rPr>
          <w:color w:val="auto"/>
          <w:sz w:val="20"/>
          <w:szCs w:val="20"/>
        </w:rPr>
        <w:t>.</w:t>
      </w:r>
    </w:p>
    <w:p w14:paraId="16CA13B5" w14:textId="0A53869D" w:rsidR="004E39F6" w:rsidRPr="00714DAB" w:rsidRDefault="004E39F6" w:rsidP="00A75799">
      <w:pPr>
        <w:pStyle w:val="ListParagraph"/>
        <w:spacing w:before="240" w:after="240"/>
        <w:ind w:left="0" w:firstLine="720"/>
        <w:jc w:val="both"/>
        <w:rPr>
          <w:rFonts w:asciiTheme="majorHAnsi" w:hAnsiTheme="majorHAnsi"/>
          <w:b/>
          <w:bCs/>
          <w:color w:val="auto"/>
          <w:sz w:val="20"/>
          <w:szCs w:val="20"/>
        </w:rPr>
      </w:pPr>
      <w:r w:rsidRPr="00714DAB">
        <w:rPr>
          <w:rFonts w:asciiTheme="majorHAnsi" w:hAnsiTheme="majorHAnsi"/>
          <w:b/>
          <w:bCs/>
          <w:color w:val="auto"/>
          <w:sz w:val="20"/>
          <w:szCs w:val="20"/>
        </w:rPr>
        <w:t>V</w:t>
      </w:r>
      <w:r w:rsidR="006D4210">
        <w:rPr>
          <w:rFonts w:asciiTheme="majorHAnsi" w:hAnsiTheme="majorHAnsi"/>
          <w:b/>
          <w:bCs/>
          <w:color w:val="auto"/>
          <w:sz w:val="20"/>
          <w:szCs w:val="20"/>
        </w:rPr>
        <w:t>I</w:t>
      </w:r>
      <w:r w:rsidRPr="00714DAB">
        <w:rPr>
          <w:rFonts w:asciiTheme="majorHAnsi" w:hAnsiTheme="majorHAnsi"/>
          <w:b/>
          <w:bCs/>
          <w:color w:val="auto"/>
          <w:sz w:val="20"/>
          <w:szCs w:val="20"/>
        </w:rPr>
        <w:t>.</w:t>
      </w:r>
      <w:r w:rsidRPr="00714DAB">
        <w:rPr>
          <w:rFonts w:asciiTheme="majorHAnsi" w:hAnsiTheme="majorHAnsi"/>
          <w:b/>
          <w:bCs/>
          <w:color w:val="auto"/>
          <w:sz w:val="20"/>
          <w:szCs w:val="20"/>
        </w:rPr>
        <w:tab/>
      </w:r>
      <w:r w:rsidR="00A545A9" w:rsidRPr="00714DAB">
        <w:rPr>
          <w:rFonts w:asciiTheme="majorHAnsi" w:hAnsiTheme="majorHAnsi"/>
          <w:b/>
          <w:bCs/>
          <w:color w:val="auto"/>
          <w:sz w:val="20"/>
          <w:szCs w:val="20"/>
        </w:rPr>
        <w:t>ANALYSIS OF EXHAUSTION OF DOMESTIC REMEDIES AND TIMELY SUBMISSION</w:t>
      </w:r>
    </w:p>
    <w:p w14:paraId="0AB041EE" w14:textId="2A693781" w:rsidR="00A14B51" w:rsidRPr="00DA7BF9" w:rsidRDefault="007D4BB7"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DA7BF9">
        <w:rPr>
          <w:rFonts w:asciiTheme="majorHAnsi" w:hAnsiTheme="majorHAnsi"/>
          <w:sz w:val="19"/>
          <w:szCs w:val="19"/>
        </w:rPr>
        <w:t>The Inter-American Commission notes that the petition refers to two main issues: i) the lack of criminal investigation and sanctions related to sexual assault committed against a girl by her father; ii) irregularities in the civil proceedings, which included inadequate measures for reconciliation and for living together between the offender and his family</w:t>
      </w:r>
      <w:r w:rsidR="00A14B51" w:rsidRPr="00DA7BF9">
        <w:rPr>
          <w:rFonts w:asciiTheme="majorHAnsi" w:hAnsiTheme="majorHAnsi"/>
          <w:sz w:val="19"/>
          <w:szCs w:val="19"/>
        </w:rPr>
        <w:t>.</w:t>
      </w:r>
    </w:p>
    <w:p w14:paraId="0F331FEF" w14:textId="0478A0AC" w:rsidR="00A14B51" w:rsidRPr="00FB598E" w:rsidRDefault="00DA7BF9"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DA7BF9">
        <w:rPr>
          <w:rFonts w:asciiTheme="majorHAnsi" w:hAnsiTheme="majorHAnsi"/>
          <w:sz w:val="19"/>
          <w:szCs w:val="19"/>
        </w:rPr>
        <w:t xml:space="preserve">The Brazilian </w:t>
      </w:r>
      <w:r w:rsidR="00BA5C4C">
        <w:rPr>
          <w:rFonts w:asciiTheme="majorHAnsi" w:hAnsiTheme="majorHAnsi"/>
          <w:sz w:val="19"/>
          <w:szCs w:val="19"/>
        </w:rPr>
        <w:t>S</w:t>
      </w:r>
      <w:r w:rsidRPr="00DA7BF9">
        <w:rPr>
          <w:rFonts w:asciiTheme="majorHAnsi" w:hAnsiTheme="majorHAnsi"/>
          <w:sz w:val="19"/>
          <w:szCs w:val="19"/>
        </w:rPr>
        <w:t>tate maintains that it is necessary to exhaust domestic remedies before filing a complaint with the IACHR. However, even if a different interpretation were to be adopted regarding the timing of the exhaustion of these remedies in the case in question, they would not yet have been exhausted, given that the judgment on the merits of the civil matter was issued on November 16, 2021</w:t>
      </w:r>
      <w:r w:rsidR="00FB598E">
        <w:rPr>
          <w:rFonts w:asciiTheme="majorHAnsi" w:hAnsiTheme="majorHAnsi"/>
          <w:sz w:val="19"/>
          <w:szCs w:val="19"/>
        </w:rPr>
        <w:t>,</w:t>
      </w:r>
      <w:r w:rsidRPr="00DA7BF9">
        <w:rPr>
          <w:rFonts w:asciiTheme="majorHAnsi" w:hAnsiTheme="majorHAnsi"/>
          <w:sz w:val="19"/>
          <w:szCs w:val="19"/>
        </w:rPr>
        <w:t xml:space="preserve"> and the petitioner still had the possibility of pursuing ordinary appeals against this court ruling. The State also points out that, in addition to these remedies, the petitioner still has the option of appealing to the domestic judiciary for other claims, should unresolved issues related to custody and the family power regime persist. Lastly, the State argues that the petition did not comply with the six-month submission deadline, given that it was filed with the international court before the domestic civil court had </w:t>
      </w:r>
      <w:r w:rsidRPr="00FB598E">
        <w:rPr>
          <w:rFonts w:asciiTheme="majorHAnsi" w:hAnsiTheme="majorHAnsi"/>
          <w:sz w:val="19"/>
          <w:szCs w:val="19"/>
        </w:rPr>
        <w:t>finalized its assessment of the disputed situation</w:t>
      </w:r>
      <w:r w:rsidR="00A14B51" w:rsidRPr="00FB598E">
        <w:rPr>
          <w:rFonts w:asciiTheme="majorHAnsi" w:hAnsiTheme="majorHAnsi"/>
          <w:sz w:val="19"/>
          <w:szCs w:val="19"/>
        </w:rPr>
        <w:t>.</w:t>
      </w:r>
    </w:p>
    <w:p w14:paraId="001FA9FF" w14:textId="03DC1AAF" w:rsidR="00A14B51" w:rsidRPr="00FB598E" w:rsidRDefault="00FB598E"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FB598E">
        <w:rPr>
          <w:rFonts w:asciiTheme="majorHAnsi" w:hAnsiTheme="majorHAnsi"/>
          <w:sz w:val="19"/>
          <w:szCs w:val="19"/>
        </w:rPr>
        <w:t>In view of these considerations, the IACHR reiterates that the analysis of the requirements set out in Articles 46 and 47 of the Convention must be carried out in the light of the situation in effect at the time admissibility or inadmissibility of the complaint is decided. It is very common that the status of exhaustion of domestic remedies changes during</w:t>
      </w:r>
      <w:r w:rsidR="007351A1">
        <w:rPr>
          <w:rFonts w:asciiTheme="majorHAnsi" w:hAnsiTheme="majorHAnsi"/>
          <w:sz w:val="19"/>
          <w:szCs w:val="19"/>
        </w:rPr>
        <w:t xml:space="preserve"> the</w:t>
      </w:r>
      <w:r w:rsidRPr="00FB598E">
        <w:rPr>
          <w:rFonts w:asciiTheme="majorHAnsi" w:hAnsiTheme="majorHAnsi"/>
          <w:sz w:val="19"/>
          <w:szCs w:val="19"/>
        </w:rPr>
        <w:t xml:space="preserve"> proceedings. However, the system for petitions and cases ensures that both the state and the petitioner have full opportunity to present information and allegations in this regard</w:t>
      </w:r>
      <w:r w:rsidR="00552E97">
        <w:rPr>
          <w:rFonts w:asciiTheme="majorHAnsi" w:hAnsiTheme="majorHAnsi"/>
          <w:sz w:val="19"/>
          <w:szCs w:val="19"/>
        </w:rPr>
        <w:t>.</w:t>
      </w:r>
      <w:r w:rsidR="00625702" w:rsidRPr="00FB598E">
        <w:rPr>
          <w:rFonts w:asciiTheme="majorHAnsi" w:hAnsiTheme="majorHAnsi"/>
          <w:sz w:val="19"/>
          <w:szCs w:val="19"/>
          <w:vertAlign w:val="superscript"/>
        </w:rPr>
        <w:footnoteReference w:id="5"/>
      </w:r>
    </w:p>
    <w:p w14:paraId="43975D0B" w14:textId="359B4515" w:rsidR="001449E6" w:rsidRPr="007351A1" w:rsidRDefault="00BB4704"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7351A1">
        <w:rPr>
          <w:rFonts w:asciiTheme="majorHAnsi" w:hAnsiTheme="majorHAnsi"/>
          <w:sz w:val="19"/>
          <w:szCs w:val="19"/>
        </w:rPr>
        <w:t>Regarding the alleged lack of criminal investigation and sanction, the IACHR underscores that, in the face of evidence of sexual assault, criminal procedure is the appropriate mechanism for clarifying the facts, judging the guilty parties, and facilitating other forms of reparation. Furthermore, in situations involving minors, the state must not only promote swift and diligent investigation, but also implement specific measures to protect the potential victim given their special vulnerability</w:t>
      </w:r>
      <w:r w:rsidR="00552E97">
        <w:rPr>
          <w:rFonts w:asciiTheme="majorHAnsi" w:hAnsiTheme="majorHAnsi"/>
          <w:sz w:val="19"/>
          <w:szCs w:val="19"/>
        </w:rPr>
        <w:t>.</w:t>
      </w:r>
      <w:r w:rsidR="00625702" w:rsidRPr="007351A1">
        <w:rPr>
          <w:rFonts w:asciiTheme="majorHAnsi" w:hAnsiTheme="majorHAnsi"/>
          <w:sz w:val="19"/>
          <w:szCs w:val="19"/>
          <w:vertAlign w:val="superscript"/>
        </w:rPr>
        <w:footnoteReference w:id="6"/>
      </w:r>
    </w:p>
    <w:p w14:paraId="12DCAA0B" w14:textId="0B2DA0E1" w:rsidR="001449E6" w:rsidRPr="007351A1" w:rsidRDefault="007351A1"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7351A1">
        <w:rPr>
          <w:rFonts w:asciiTheme="majorHAnsi" w:hAnsiTheme="majorHAnsi"/>
          <w:sz w:val="19"/>
          <w:szCs w:val="19"/>
        </w:rPr>
        <w:t xml:space="preserve">According to the information provided by the petitioner, the alleged sexual assault was investigated under police investigation 278/2016, and then in case file 0006994-61.2016.8.26.0009 of the Vila Prudente Criminal Court. On April 9, 2019, the Prosecutor's Office recommended closing the case due to insufficient evidence, and the Court proceeded to close the case on April 11, 2019. There is no legal provision for appealing this decision. Consequently, the Commission observes that the petitioner does not have an ordinary, adequate, and effective means of judicially challenging the closure. The State, for its part, does not argue that the petitioner should have exhausted any additional remedies after the decision to close the case. Consequently, the IACHR considers it appropriate to apply the exception provided for in Article 46.2.a) of the American Convention in this case, as it has already done in other precedents </w:t>
      </w:r>
      <w:r w:rsidR="00DA4E2F">
        <w:rPr>
          <w:rFonts w:asciiTheme="majorHAnsi" w:hAnsiTheme="majorHAnsi"/>
          <w:sz w:val="19"/>
          <w:szCs w:val="19"/>
        </w:rPr>
        <w:t>i</w:t>
      </w:r>
      <w:r w:rsidRPr="007351A1">
        <w:rPr>
          <w:rFonts w:asciiTheme="majorHAnsi" w:hAnsiTheme="majorHAnsi"/>
          <w:sz w:val="19"/>
          <w:szCs w:val="19"/>
        </w:rPr>
        <w:t>n Brazil</w:t>
      </w:r>
      <w:r w:rsidR="00552E97">
        <w:rPr>
          <w:rFonts w:asciiTheme="majorHAnsi" w:hAnsiTheme="majorHAnsi"/>
          <w:sz w:val="19"/>
          <w:szCs w:val="19"/>
        </w:rPr>
        <w:t>.</w:t>
      </w:r>
      <w:r w:rsidR="00625702" w:rsidRPr="007351A1">
        <w:rPr>
          <w:rStyle w:val="FootnoteReference"/>
          <w:rFonts w:asciiTheme="majorHAnsi" w:hAnsiTheme="majorHAnsi"/>
          <w:sz w:val="20"/>
          <w:szCs w:val="20"/>
        </w:rPr>
        <w:footnoteReference w:id="7"/>
      </w:r>
    </w:p>
    <w:p w14:paraId="315AC8C5" w14:textId="33815682" w:rsidR="001449E6" w:rsidRPr="0001100B" w:rsidRDefault="0001100B"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01100B">
        <w:rPr>
          <w:rFonts w:asciiTheme="majorHAnsi" w:hAnsiTheme="majorHAnsi"/>
          <w:sz w:val="19"/>
          <w:szCs w:val="19"/>
        </w:rPr>
        <w:lastRenderedPageBreak/>
        <w:t xml:space="preserve">In cases where exceptions to the requirement of prior exhaustion of domestic remedies apply, the petition must be filed within a reasonable time, at the Commission's discretion, in accordance with Article 32 of the IACHR Rules of Procedure. The facts reported began in 2013. The alleged consequences of the lack of investigation and criminal sanctions extend to the present. Considering the above and given that the petition before the IACHR was filed on November 13, 2017, the IACHR concludes that it was </w:t>
      </w:r>
      <w:r w:rsidR="0014172C">
        <w:rPr>
          <w:rFonts w:asciiTheme="majorHAnsi" w:hAnsiTheme="majorHAnsi"/>
          <w:sz w:val="19"/>
          <w:szCs w:val="19"/>
        </w:rPr>
        <w:t>timely submitted</w:t>
      </w:r>
      <w:r w:rsidR="001449E6" w:rsidRPr="0001100B">
        <w:rPr>
          <w:rFonts w:asciiTheme="majorHAnsi" w:hAnsiTheme="majorHAnsi"/>
          <w:sz w:val="19"/>
          <w:szCs w:val="19"/>
        </w:rPr>
        <w:t>.</w:t>
      </w:r>
    </w:p>
    <w:p w14:paraId="5767606B" w14:textId="2576CFEB" w:rsidR="001449E6" w:rsidRPr="00646DC7" w:rsidRDefault="0001100B"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646DC7">
        <w:rPr>
          <w:rFonts w:asciiTheme="majorHAnsi" w:hAnsiTheme="majorHAnsi"/>
          <w:sz w:val="19"/>
          <w:szCs w:val="19"/>
        </w:rPr>
        <w:t xml:space="preserve">In light of these considerations, it is pertinent to remember that Article 46.2 of the Convention, by its nature and purpose, is a norm with autonomous content in relation to the substantive norms of the American Convention. Therefore, the determination of whether the exceptions to the rule of exhaustion of domestic remedies are applicable to the case in question must be </w:t>
      </w:r>
      <w:r w:rsidR="0014172C">
        <w:rPr>
          <w:rFonts w:asciiTheme="majorHAnsi" w:hAnsiTheme="majorHAnsi"/>
          <w:sz w:val="19"/>
          <w:szCs w:val="19"/>
        </w:rPr>
        <w:t>made</w:t>
      </w:r>
      <w:r w:rsidRPr="00646DC7">
        <w:rPr>
          <w:rFonts w:asciiTheme="majorHAnsi" w:hAnsiTheme="majorHAnsi"/>
          <w:sz w:val="19"/>
          <w:szCs w:val="19"/>
        </w:rPr>
        <w:t xml:space="preserve"> previously and separately from the analysis of the merits of the matter, since it depends on a different standard of assessment from that used to determine the possible violation of Articles 8 and 25 of the Convention</w:t>
      </w:r>
      <w:r w:rsidR="001449E6" w:rsidRPr="00646DC7">
        <w:rPr>
          <w:rFonts w:asciiTheme="majorHAnsi" w:hAnsiTheme="majorHAnsi"/>
          <w:sz w:val="19"/>
          <w:szCs w:val="19"/>
        </w:rPr>
        <w:t>.</w:t>
      </w:r>
    </w:p>
    <w:p w14:paraId="7B821070" w14:textId="55FC7107" w:rsidR="001449E6" w:rsidRPr="0060653C" w:rsidRDefault="0060653C"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60653C">
        <w:rPr>
          <w:rFonts w:asciiTheme="majorHAnsi" w:hAnsiTheme="majorHAnsi"/>
          <w:sz w:val="19"/>
          <w:szCs w:val="19"/>
        </w:rPr>
        <w:t>Regarding the civil proceedings, the petitioner indicates, in summary, that the judge authorized supervised visits with the father since September 2016, ordered an expert opinion on parental alienation in July 2017, established weekly visits supervised by the mother in November 2019, changed them to biweekly in February 2020, and issued the judgment on November 16, 2021. For its part, the State also indicates that on November 16, 2021, the judge issued a ruling clarifying that the decision accepted the mother's request for unilateral custody, rejected the father's accusation that the mother had practiced parental alienation, and determined the conditions for the father's visitation</w:t>
      </w:r>
      <w:r w:rsidR="001449E6" w:rsidRPr="0060653C">
        <w:rPr>
          <w:rFonts w:asciiTheme="majorHAnsi" w:hAnsiTheme="majorHAnsi"/>
          <w:sz w:val="19"/>
          <w:szCs w:val="19"/>
        </w:rPr>
        <w:t>.</w:t>
      </w:r>
    </w:p>
    <w:p w14:paraId="642BF964" w14:textId="29FF70C7" w:rsidR="001449E6" w:rsidRPr="00554EAE" w:rsidRDefault="00554EAE"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rPr>
      </w:pPr>
      <w:r w:rsidRPr="00554EAE">
        <w:rPr>
          <w:rFonts w:asciiTheme="majorHAnsi" w:hAnsiTheme="majorHAnsi"/>
          <w:sz w:val="19"/>
          <w:szCs w:val="19"/>
        </w:rPr>
        <w:t xml:space="preserve">The Inter-American Commission points out that, to date, the parties have not provided information on whether any appeal has been filed against this first instance ruling. Nor have they specified whether the </w:t>
      </w:r>
      <w:r w:rsidR="0014172C">
        <w:rPr>
          <w:rFonts w:asciiTheme="majorHAnsi" w:hAnsiTheme="majorHAnsi"/>
          <w:sz w:val="19"/>
          <w:szCs w:val="19"/>
        </w:rPr>
        <w:t>ruling</w:t>
      </w:r>
      <w:r w:rsidRPr="00554EAE">
        <w:rPr>
          <w:rFonts w:asciiTheme="majorHAnsi" w:hAnsiTheme="majorHAnsi"/>
          <w:sz w:val="19"/>
          <w:szCs w:val="19"/>
        </w:rPr>
        <w:t xml:space="preserve"> concluded the civil proceedings. Thus, the Commission considers that this complaint does not meet the requirement that domestic remedies be exhausted, as established in Article 46(1)(a) of the Convention, and therefore the complaints relating to this judicial proceeding do not form part of the factual framework of this case</w:t>
      </w:r>
      <w:r w:rsidR="001449E6" w:rsidRPr="00554EAE">
        <w:rPr>
          <w:rFonts w:asciiTheme="majorHAnsi" w:hAnsiTheme="majorHAnsi"/>
          <w:sz w:val="19"/>
          <w:szCs w:val="19"/>
        </w:rPr>
        <w:t>.</w:t>
      </w:r>
    </w:p>
    <w:p w14:paraId="616B82A0" w14:textId="0B395E59" w:rsidR="005E1672" w:rsidRPr="004F0B05" w:rsidRDefault="005E1672" w:rsidP="00A75799">
      <w:pPr>
        <w:pStyle w:val="ListParagraph"/>
        <w:spacing w:before="240" w:after="240"/>
        <w:ind w:left="0" w:firstLine="720"/>
        <w:jc w:val="both"/>
        <w:rPr>
          <w:rFonts w:asciiTheme="majorHAnsi" w:hAnsiTheme="majorHAnsi"/>
          <w:b/>
          <w:bCs/>
          <w:color w:val="000000" w:themeColor="text1"/>
          <w:sz w:val="20"/>
          <w:szCs w:val="20"/>
        </w:rPr>
      </w:pPr>
      <w:bookmarkStart w:id="3" w:name="_Hlk72954899"/>
      <w:bookmarkEnd w:id="2"/>
      <w:r w:rsidRPr="004F0B05">
        <w:rPr>
          <w:rFonts w:asciiTheme="majorHAnsi" w:hAnsiTheme="majorHAnsi"/>
          <w:b/>
          <w:bCs/>
          <w:color w:val="000000" w:themeColor="text1"/>
          <w:sz w:val="20"/>
          <w:szCs w:val="20"/>
        </w:rPr>
        <w:t>V</w:t>
      </w:r>
      <w:r w:rsidR="0062795E" w:rsidRPr="004F0B05">
        <w:rPr>
          <w:rFonts w:asciiTheme="majorHAnsi" w:hAnsiTheme="majorHAnsi"/>
          <w:b/>
          <w:bCs/>
          <w:color w:val="000000" w:themeColor="text1"/>
          <w:sz w:val="20"/>
          <w:szCs w:val="20"/>
        </w:rPr>
        <w:t>I</w:t>
      </w:r>
      <w:r w:rsidRPr="004F0B05">
        <w:rPr>
          <w:rFonts w:asciiTheme="majorHAnsi" w:hAnsiTheme="majorHAnsi"/>
          <w:b/>
          <w:bCs/>
          <w:color w:val="000000" w:themeColor="text1"/>
          <w:sz w:val="20"/>
          <w:szCs w:val="20"/>
        </w:rPr>
        <w:t>I.</w:t>
      </w:r>
      <w:r w:rsidRPr="004F0B05">
        <w:rPr>
          <w:rFonts w:asciiTheme="majorHAnsi" w:hAnsiTheme="majorHAnsi"/>
          <w:b/>
          <w:bCs/>
          <w:color w:val="000000" w:themeColor="text1"/>
          <w:sz w:val="20"/>
          <w:szCs w:val="20"/>
        </w:rPr>
        <w:tab/>
      </w:r>
      <w:r w:rsidR="00554EAE" w:rsidRPr="004F0B05">
        <w:rPr>
          <w:rFonts w:asciiTheme="majorHAnsi" w:hAnsiTheme="majorHAnsi"/>
          <w:b/>
          <w:bCs/>
          <w:color w:val="000000" w:themeColor="text1"/>
          <w:sz w:val="20"/>
          <w:szCs w:val="20"/>
        </w:rPr>
        <w:t>ASSESSMENT OF COLORABLE CLAIMS</w:t>
      </w:r>
    </w:p>
    <w:p w14:paraId="4D4039B1" w14:textId="47963C23" w:rsidR="001449E6" w:rsidRPr="008D6F99" w:rsidRDefault="00FE6D1F"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rPr>
      </w:pPr>
      <w:r w:rsidRPr="008D6F99">
        <w:rPr>
          <w:bCs/>
          <w:sz w:val="20"/>
          <w:szCs w:val="20"/>
        </w:rPr>
        <w:t xml:space="preserve">The State argues that the petition is inadmissible based on the IACHR's lack of competence </w:t>
      </w:r>
      <w:r w:rsidRPr="008D6F99">
        <w:rPr>
          <w:bCs/>
          <w:i/>
          <w:iCs/>
          <w:sz w:val="20"/>
          <w:szCs w:val="20"/>
        </w:rPr>
        <w:t>ratione materiae</w:t>
      </w:r>
      <w:r w:rsidRPr="008D6F99">
        <w:rPr>
          <w:bCs/>
          <w:sz w:val="20"/>
          <w:szCs w:val="20"/>
        </w:rPr>
        <w:t xml:space="preserve"> to act as an appellate forum regarding domestic judicial decisions and maintains that the petition does not demonstrate human rights violations under the relevant treaties. It emphasizes that, from its perspective, the domestic judicial mechanisms have been effective and adequate</w:t>
      </w:r>
      <w:r w:rsidR="001449E6" w:rsidRPr="008D6F99">
        <w:rPr>
          <w:bCs/>
          <w:sz w:val="20"/>
          <w:szCs w:val="20"/>
        </w:rPr>
        <w:t>.</w:t>
      </w:r>
    </w:p>
    <w:p w14:paraId="16354B90" w14:textId="482F8529" w:rsidR="001449E6" w:rsidRDefault="008D6F99"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rPr>
      </w:pPr>
      <w:r w:rsidRPr="008D6F99">
        <w:rPr>
          <w:bCs/>
          <w:sz w:val="20"/>
          <w:szCs w:val="20"/>
        </w:rPr>
        <w:t xml:space="preserve">For the purposes of admissibility, the Commission must decide whether the facts alleged can be characterized as rights violations, as stipulated in Article 47(b) of the American Convention, or whether the petition is “manifestly unfounded” or is “evidently unfounded”, in accordance with subsection (c) of that article. The criteria for assessing these requirements differ from those used to rule on the merits of a petition; the Commission must make a </w:t>
      </w:r>
      <w:r w:rsidRPr="008D6F99">
        <w:rPr>
          <w:bCs/>
          <w:i/>
          <w:iCs/>
          <w:sz w:val="20"/>
          <w:szCs w:val="20"/>
        </w:rPr>
        <w:t>prima facie</w:t>
      </w:r>
      <w:r w:rsidRPr="008D6F99">
        <w:rPr>
          <w:bCs/>
          <w:sz w:val="20"/>
          <w:szCs w:val="20"/>
        </w:rPr>
        <w:t xml:space="preserve"> assessment to determine whether the petition establishes the grounds for a possible or potential violation of a right guaranteed by the Convention, but not to establish the existence of a violation of rights. This determination constitutes a preliminary analysis, which does not imply prejudging the merits of the matter</w:t>
      </w:r>
      <w:r w:rsidR="004639EA">
        <w:rPr>
          <w:bCs/>
          <w:sz w:val="20"/>
          <w:szCs w:val="20"/>
        </w:rPr>
        <w:t>.</w:t>
      </w:r>
      <w:r w:rsidR="00625702" w:rsidRPr="008D6F99">
        <w:rPr>
          <w:rStyle w:val="FootnoteReference"/>
          <w:rFonts w:asciiTheme="majorHAnsi" w:hAnsiTheme="majorHAnsi"/>
          <w:sz w:val="20"/>
          <w:szCs w:val="20"/>
        </w:rPr>
        <w:footnoteReference w:id="8"/>
      </w:r>
    </w:p>
    <w:p w14:paraId="41E1183C" w14:textId="16F3270E" w:rsidR="001449E6" w:rsidRPr="00693FE1" w:rsidRDefault="00693FE1"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rPr>
      </w:pPr>
      <w:r w:rsidRPr="00693FE1">
        <w:rPr>
          <w:bCs/>
          <w:sz w:val="20"/>
          <w:szCs w:val="20"/>
        </w:rPr>
        <w:t xml:space="preserve">The petition includes allegations about the lack of investigation and sanction in relation to sexual assault suffered by a minor at the hands of her father. The petitioner also specifically denounces that </w:t>
      </w:r>
      <w:r w:rsidRPr="00693FE1">
        <w:rPr>
          <w:bCs/>
          <w:sz w:val="20"/>
          <w:szCs w:val="20"/>
        </w:rPr>
        <w:lastRenderedPageBreak/>
        <w:t>domestic legislation on parental alienation causes harm and violates rights during domestic proceedings (Law 12.318/2010). The IACHR considers that this point also merits analysis at the merits stage, in order to assess whether this legislation has brought about concrete effects contrary to the international human rights standards applicable to the case, taking into account the obligation to adopt provisions of domestic law that are compatible with and promote human rights</w:t>
      </w:r>
      <w:r w:rsidR="001449E6" w:rsidRPr="00693FE1">
        <w:rPr>
          <w:bCs/>
          <w:sz w:val="20"/>
          <w:szCs w:val="20"/>
        </w:rPr>
        <w:t>.</w:t>
      </w:r>
    </w:p>
    <w:p w14:paraId="07946B2F" w14:textId="1168832F" w:rsidR="001449E6" w:rsidRPr="00975046" w:rsidRDefault="00693FE1"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rPr>
      </w:pPr>
      <w:r w:rsidRPr="00975046">
        <w:rPr>
          <w:bCs/>
          <w:sz w:val="20"/>
          <w:szCs w:val="20"/>
        </w:rPr>
        <w:t>In light of the foregoing, after examining the elements of fact and law presented by the parties, the Commission considers that the petitioner's allegations are not manifestly unfounded and require analysis of the merits, since the facts alleged, if corroborated as true, could characterize fundamental violations of Articles 5 (personal integrity), 8 (judicial guarantees), 19 (rights of the child) and 25 (judicial protection), all related to Articles 1 (obligation to respect rights) and 2 (duty to adopt domestic law provisions) of the American Convention, to the harm of AA and BB. 1 (obligation to respect rights) and 2 (duty to adopt provisions of domestic law) of the American Convention, and Article 7 of the Convention of Belém do Pará, to the detriment of AA and BB, in the terms of this report</w:t>
      </w:r>
      <w:r w:rsidR="001449E6" w:rsidRPr="00975046">
        <w:rPr>
          <w:bCs/>
          <w:sz w:val="20"/>
          <w:szCs w:val="20"/>
        </w:rPr>
        <w:t>.</w:t>
      </w:r>
    </w:p>
    <w:p w14:paraId="50B0883E" w14:textId="64489B83" w:rsidR="001449E6" w:rsidRDefault="00975046" w:rsidP="00775DCB">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rPr>
      </w:pPr>
      <w:r w:rsidRPr="00975046">
        <w:rPr>
          <w:bCs/>
          <w:sz w:val="20"/>
          <w:szCs w:val="20"/>
        </w:rPr>
        <w:t xml:space="preserve">As for the other international instruments invoked by the petitioner, in accordance with Article 29 of the American Convention, the Commission may take them into account to interpret and </w:t>
      </w:r>
      <w:r w:rsidR="00B93CD7">
        <w:rPr>
          <w:bCs/>
          <w:sz w:val="20"/>
          <w:szCs w:val="20"/>
        </w:rPr>
        <w:t>enforce</w:t>
      </w:r>
      <w:r w:rsidRPr="00975046">
        <w:rPr>
          <w:bCs/>
          <w:sz w:val="20"/>
          <w:szCs w:val="20"/>
        </w:rPr>
        <w:t xml:space="preserve"> the American Convention and other applicable instruments</w:t>
      </w:r>
      <w:r w:rsidR="001449E6" w:rsidRPr="00975046">
        <w:rPr>
          <w:bCs/>
          <w:sz w:val="20"/>
          <w:szCs w:val="20"/>
        </w:rPr>
        <w:t>.</w:t>
      </w:r>
    </w:p>
    <w:p w14:paraId="114B50B9" w14:textId="4AF69590" w:rsidR="00775DCB" w:rsidRPr="00775DCB" w:rsidRDefault="00775DCB" w:rsidP="00775DCB">
      <w:pPr>
        <w:pStyle w:val="ListParagraph"/>
        <w:numPr>
          <w:ilvl w:val="0"/>
          <w:numId w:val="55"/>
        </w:numPr>
        <w:jc w:val="both"/>
        <w:rPr>
          <w:bCs/>
          <w:sz w:val="20"/>
          <w:szCs w:val="20"/>
        </w:rPr>
      </w:pPr>
      <w:r w:rsidRPr="00775DCB">
        <w:rPr>
          <w:bCs/>
          <w:sz w:val="20"/>
          <w:szCs w:val="20"/>
        </w:rPr>
        <w:t>Finally, regarding the State's argument about the incompetence of the IACHR to act as an appellate body concerning domestic judicial decisions, the Commission underscores the complementary nature of the Inter-American system and highlights that, as indicated by the Inter-American Court, for a "fourth instance" exception to proceed, it would be necessary to "</w:t>
      </w:r>
      <w:r w:rsidRPr="00775DCB">
        <w:rPr>
          <w:bCs/>
          <w:i/>
          <w:iCs/>
          <w:sz w:val="20"/>
          <w:szCs w:val="20"/>
        </w:rPr>
        <w:t>seek to review the judgment of a domestic court based on its incorrect assessment of evidence, facts, or domestic law, without simultaneously alleging that such judgment involved a violation of international treaties [...]</w:t>
      </w:r>
      <w:r w:rsidRPr="00775DCB">
        <w:rPr>
          <w:bCs/>
          <w:sz w:val="20"/>
          <w:szCs w:val="20"/>
        </w:rPr>
        <w:t>."</w:t>
      </w:r>
      <w:bookmarkStart w:id="4" w:name="_Hlk168303390"/>
      <w:r w:rsidRPr="00A11B3B">
        <w:rPr>
          <w:rStyle w:val="FootnoteReference"/>
          <w:sz w:val="20"/>
          <w:szCs w:val="20"/>
          <w:lang w:val="es-ES_tradnl"/>
        </w:rPr>
        <w:footnoteReference w:id="9"/>
      </w:r>
      <w:bookmarkEnd w:id="4"/>
      <w:r w:rsidRPr="00775DCB">
        <w:rPr>
          <w:bCs/>
          <w:sz w:val="20"/>
          <w:szCs w:val="20"/>
        </w:rPr>
        <w:t xml:space="preserve"> In the present case, the Commission considers that, as indicated by the Inter-American Court, "</w:t>
      </w:r>
      <w:r w:rsidRPr="00775DCB">
        <w:rPr>
          <w:bCs/>
          <w:i/>
          <w:iCs/>
          <w:sz w:val="20"/>
          <w:szCs w:val="20"/>
        </w:rPr>
        <w:t>[it] is competent to verify whether the steps effectively taken at the domestic level did or did not violate the State's international obligations derived from the Inter-American instruments that grant it competence.</w:t>
      </w:r>
      <w:r w:rsidRPr="00775DCB">
        <w:rPr>
          <w:bCs/>
          <w:sz w:val="20"/>
          <w:szCs w:val="20"/>
        </w:rPr>
        <w:t>"</w:t>
      </w:r>
      <w:bookmarkStart w:id="5" w:name="_Hlk168303384"/>
      <w:r w:rsidRPr="00775DCB">
        <w:rPr>
          <w:bCs/>
          <w:sz w:val="20"/>
          <w:szCs w:val="20"/>
          <w:vertAlign w:val="superscript"/>
        </w:rPr>
        <w:footnoteReference w:id="10"/>
      </w:r>
      <w:bookmarkEnd w:id="5"/>
      <w:r w:rsidRPr="00775DCB">
        <w:rPr>
          <w:bCs/>
          <w:sz w:val="20"/>
          <w:szCs w:val="20"/>
        </w:rPr>
        <w:t xml:space="preserve"> Furthermore, it is incumbent upon it to examine "</w:t>
      </w:r>
      <w:r w:rsidRPr="00775DCB">
        <w:rPr>
          <w:bCs/>
          <w:i/>
          <w:iCs/>
          <w:sz w:val="20"/>
          <w:szCs w:val="20"/>
        </w:rPr>
        <w:t>whether the actions of judicial bodies constitute a violation of the State's international obligations, [which] may lead it to examine the respective domestic processes to establish their compatibility with the American Convention</w:t>
      </w:r>
      <w:r w:rsidRPr="00775DCB">
        <w:rPr>
          <w:bCs/>
          <w:sz w:val="20"/>
          <w:szCs w:val="20"/>
        </w:rPr>
        <w:t>."</w:t>
      </w:r>
      <w:bookmarkStart w:id="6" w:name="_Hlk168303375"/>
      <w:r w:rsidRPr="00775DCB">
        <w:rPr>
          <w:bCs/>
          <w:sz w:val="20"/>
          <w:szCs w:val="20"/>
          <w:vertAlign w:val="superscript"/>
        </w:rPr>
        <w:footnoteReference w:id="11"/>
      </w:r>
      <w:bookmarkEnd w:id="6"/>
      <w:r w:rsidRPr="00775DCB">
        <w:rPr>
          <w:bCs/>
          <w:sz w:val="20"/>
          <w:szCs w:val="20"/>
        </w:rPr>
        <w:t xml:space="preserve"> In this regard, the analysis of whether the State incurred violations of the American Convention is a matter to be decided on the merits of the present case.</w:t>
      </w:r>
    </w:p>
    <w:bookmarkEnd w:id="3"/>
    <w:p w14:paraId="2555C28F" w14:textId="7FA1FB9E" w:rsidR="00985FD4" w:rsidRPr="00B00068" w:rsidRDefault="00985FD4" w:rsidP="00A75799">
      <w:pPr>
        <w:pStyle w:val="ListParagraph"/>
        <w:spacing w:before="240" w:after="240"/>
        <w:ind w:left="0" w:firstLine="720"/>
        <w:jc w:val="both"/>
        <w:rPr>
          <w:rFonts w:asciiTheme="majorHAnsi" w:hAnsiTheme="majorHAnsi"/>
          <w:b/>
          <w:bCs/>
          <w:color w:val="auto"/>
          <w:sz w:val="20"/>
          <w:szCs w:val="20"/>
          <w:lang w:val="pt-BR"/>
        </w:rPr>
      </w:pPr>
      <w:r w:rsidRPr="00B00068">
        <w:rPr>
          <w:rFonts w:asciiTheme="majorHAnsi" w:hAnsiTheme="majorHAnsi"/>
          <w:b/>
          <w:bCs/>
          <w:color w:val="auto"/>
          <w:sz w:val="20"/>
          <w:szCs w:val="20"/>
          <w:lang w:val="pt-BR"/>
        </w:rPr>
        <w:t>VI</w:t>
      </w:r>
      <w:r w:rsidR="004F0B05">
        <w:rPr>
          <w:rFonts w:asciiTheme="majorHAnsi" w:hAnsiTheme="majorHAnsi"/>
          <w:b/>
          <w:bCs/>
          <w:color w:val="auto"/>
          <w:sz w:val="20"/>
          <w:szCs w:val="20"/>
          <w:lang w:val="pt-BR"/>
        </w:rPr>
        <w:t>I</w:t>
      </w:r>
      <w:r w:rsidRPr="00B00068">
        <w:rPr>
          <w:rFonts w:asciiTheme="majorHAnsi" w:hAnsiTheme="majorHAnsi"/>
          <w:b/>
          <w:bCs/>
          <w:color w:val="auto"/>
          <w:sz w:val="20"/>
          <w:szCs w:val="20"/>
          <w:lang w:val="pt-BR"/>
        </w:rPr>
        <w:t xml:space="preserve">I. </w:t>
      </w:r>
      <w:r w:rsidRPr="00B00068">
        <w:rPr>
          <w:rFonts w:asciiTheme="majorHAnsi" w:hAnsiTheme="majorHAnsi"/>
          <w:b/>
          <w:bCs/>
          <w:color w:val="auto"/>
          <w:sz w:val="20"/>
          <w:szCs w:val="20"/>
          <w:lang w:val="pt-BR"/>
        </w:rPr>
        <w:tab/>
      </w:r>
      <w:r w:rsidR="00B93CD7">
        <w:rPr>
          <w:rFonts w:asciiTheme="majorHAnsi" w:hAnsiTheme="majorHAnsi"/>
          <w:b/>
          <w:bCs/>
          <w:color w:val="auto"/>
          <w:sz w:val="20"/>
          <w:szCs w:val="20"/>
          <w:lang w:val="pt-BR"/>
        </w:rPr>
        <w:t>DECISION</w:t>
      </w:r>
    </w:p>
    <w:p w14:paraId="66159B7F" w14:textId="0A3F9696" w:rsidR="00985FD4" w:rsidRPr="0014172C" w:rsidRDefault="00B93CD7"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4172C">
        <w:rPr>
          <w:rFonts w:asciiTheme="majorHAnsi" w:hAnsiTheme="majorHAnsi"/>
          <w:sz w:val="20"/>
          <w:szCs w:val="20"/>
        </w:rPr>
        <w:t>Declare this petition admitted relative to Articles 5, 8, 19 and 25 of the American Convention, in connection with Articles 1.1 and 2; and Article 7 of the Convention of Belém do Pará</w:t>
      </w:r>
      <w:r w:rsidR="00B10779">
        <w:rPr>
          <w:rFonts w:asciiTheme="majorHAnsi" w:hAnsiTheme="majorHAnsi"/>
          <w:sz w:val="20"/>
          <w:szCs w:val="20"/>
        </w:rPr>
        <w:t>.</w:t>
      </w:r>
    </w:p>
    <w:p w14:paraId="65FB5623" w14:textId="6F4C3DC3" w:rsidR="00985FD4" w:rsidRDefault="00B93CD7"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4172C">
        <w:rPr>
          <w:rFonts w:asciiTheme="majorHAnsi" w:hAnsiTheme="majorHAnsi"/>
          <w:sz w:val="20"/>
          <w:szCs w:val="20"/>
        </w:rPr>
        <w:t>Notify the parties of this decision, continue with the examination of the merits of the matter, publish the decision and include it in its Annual Report to the General Assembly of the Organization of American States</w:t>
      </w:r>
      <w:r w:rsidR="00985FD4" w:rsidRPr="0014172C">
        <w:rPr>
          <w:rFonts w:asciiTheme="majorHAnsi" w:hAnsiTheme="majorHAnsi"/>
          <w:sz w:val="20"/>
          <w:szCs w:val="20"/>
        </w:rPr>
        <w:t xml:space="preserve">. </w:t>
      </w:r>
    </w:p>
    <w:p w14:paraId="19DE9D69" w14:textId="2951DEA8" w:rsidR="00B10779" w:rsidRPr="0014172C" w:rsidRDefault="003C22A9" w:rsidP="003C22A9">
      <w:pPr>
        <w:suppressAutoHyphens/>
        <w:ind w:firstLine="720"/>
        <w:jc w:val="both"/>
        <w:rPr>
          <w:rFonts w:asciiTheme="majorHAnsi" w:hAnsiTheme="majorHAnsi"/>
          <w:sz w:val="20"/>
          <w:szCs w:val="20"/>
        </w:rPr>
      </w:pPr>
      <w:r w:rsidRPr="006D25D7">
        <w:rPr>
          <w:rFonts w:ascii="Cambria" w:hAnsi="Cambria"/>
          <w:spacing w:val="-2"/>
          <w:sz w:val="20"/>
        </w:rPr>
        <w:t xml:space="preserve">Approved by the Inter-American Commission on Human Rights on the </w:t>
      </w:r>
      <w:r w:rsidR="004547E7">
        <w:rPr>
          <w:rFonts w:ascii="Cambria" w:hAnsi="Cambria"/>
          <w:spacing w:val="-2"/>
          <w:sz w:val="20"/>
        </w:rPr>
        <w:t>3</w:t>
      </w:r>
      <w:r w:rsidR="004547E7" w:rsidRPr="004547E7">
        <w:rPr>
          <w:rFonts w:ascii="Cambria" w:hAnsi="Cambria"/>
          <w:spacing w:val="-2"/>
          <w:sz w:val="20"/>
          <w:vertAlign w:val="superscript"/>
        </w:rPr>
        <w:t>rd</w:t>
      </w:r>
      <w:r w:rsidR="004547E7">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4547E7">
        <w:rPr>
          <w:rFonts w:ascii="Cambria" w:hAnsi="Cambria"/>
          <w:spacing w:val="-2"/>
          <w:sz w:val="20"/>
        </w:rPr>
        <w:t>June</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sectPr w:rsidR="00B10779" w:rsidRPr="0014172C" w:rsidSect="004C55B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2199" w14:textId="77777777" w:rsidR="000D5E01" w:rsidRDefault="000D5E01">
      <w:r>
        <w:separator/>
      </w:r>
    </w:p>
  </w:endnote>
  <w:endnote w:type="continuationSeparator" w:id="0">
    <w:p w14:paraId="47BD0987" w14:textId="77777777" w:rsidR="000D5E01" w:rsidRDefault="000D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BCAE" w14:textId="77777777" w:rsidR="000D5E01" w:rsidRPr="000F35ED" w:rsidRDefault="000D5E0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3C69B5" w14:textId="77777777" w:rsidR="000D5E01" w:rsidRPr="000F35ED" w:rsidRDefault="000D5E01" w:rsidP="000F35ED">
      <w:pPr>
        <w:rPr>
          <w:rFonts w:asciiTheme="majorHAnsi" w:hAnsiTheme="majorHAnsi"/>
          <w:sz w:val="16"/>
          <w:szCs w:val="16"/>
        </w:rPr>
      </w:pPr>
      <w:r w:rsidRPr="000F35ED">
        <w:rPr>
          <w:rFonts w:asciiTheme="majorHAnsi" w:hAnsiTheme="majorHAnsi"/>
          <w:sz w:val="16"/>
          <w:szCs w:val="16"/>
        </w:rPr>
        <w:separator/>
      </w:r>
    </w:p>
    <w:p w14:paraId="54B012FA" w14:textId="77777777" w:rsidR="000D5E01" w:rsidRPr="000F35ED" w:rsidRDefault="000D5E0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178AD2A" w14:textId="77777777" w:rsidR="000D5E01" w:rsidRPr="000F35ED" w:rsidRDefault="000D5E0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E2010B" w14:textId="532071A4" w:rsidR="00AB27FF" w:rsidRPr="00714026" w:rsidRDefault="00AB27FF" w:rsidP="00264AE8">
      <w:pPr>
        <w:pStyle w:val="FootnoteText"/>
        <w:ind w:firstLine="720"/>
        <w:rPr>
          <w:rFonts w:asciiTheme="majorHAnsi" w:hAnsiTheme="majorHAnsi"/>
          <w:sz w:val="16"/>
          <w:szCs w:val="16"/>
        </w:rPr>
      </w:pPr>
      <w:r w:rsidRPr="00714026">
        <w:rPr>
          <w:rStyle w:val="FootnoteReference"/>
          <w:rFonts w:asciiTheme="majorHAnsi" w:hAnsiTheme="majorHAnsi"/>
          <w:sz w:val="16"/>
          <w:szCs w:val="16"/>
        </w:rPr>
        <w:footnoteRef/>
      </w:r>
      <w:r w:rsidRPr="00714026">
        <w:rPr>
          <w:rFonts w:asciiTheme="majorHAnsi" w:hAnsiTheme="majorHAnsi"/>
          <w:sz w:val="16"/>
          <w:szCs w:val="16"/>
        </w:rPr>
        <w:t xml:space="preserve"> </w:t>
      </w:r>
      <w:r w:rsidR="00714026" w:rsidRPr="00714026">
        <w:rPr>
          <w:rFonts w:asciiTheme="majorHAnsi" w:hAnsiTheme="majorHAnsi"/>
          <w:sz w:val="16"/>
          <w:szCs w:val="16"/>
        </w:rPr>
        <w:t>Hereinafter “Convention” or “American Convention”.</w:t>
      </w:r>
    </w:p>
  </w:footnote>
  <w:footnote w:id="3">
    <w:p w14:paraId="08C45CB2" w14:textId="1018CCBF" w:rsidR="00AB27FF" w:rsidRPr="00714026" w:rsidRDefault="00AB27FF" w:rsidP="00264AE8">
      <w:pPr>
        <w:pStyle w:val="FootnoteText"/>
        <w:ind w:firstLine="720"/>
        <w:jc w:val="both"/>
        <w:rPr>
          <w:rFonts w:asciiTheme="majorHAnsi" w:hAnsiTheme="majorHAnsi"/>
          <w:color w:val="auto"/>
          <w:sz w:val="16"/>
          <w:szCs w:val="16"/>
        </w:rPr>
      </w:pPr>
      <w:r w:rsidRPr="00714026">
        <w:rPr>
          <w:rStyle w:val="FootnoteReference"/>
          <w:rFonts w:asciiTheme="majorHAnsi" w:hAnsiTheme="majorHAnsi"/>
          <w:color w:val="auto"/>
          <w:sz w:val="16"/>
          <w:szCs w:val="16"/>
        </w:rPr>
        <w:footnoteRef/>
      </w:r>
      <w:r w:rsidRPr="00714026">
        <w:rPr>
          <w:rFonts w:asciiTheme="majorHAnsi" w:hAnsiTheme="majorHAnsi"/>
          <w:bCs/>
          <w:color w:val="auto"/>
          <w:sz w:val="16"/>
          <w:szCs w:val="16"/>
        </w:rPr>
        <w:t xml:space="preserve"> </w:t>
      </w:r>
      <w:r w:rsidR="00714026" w:rsidRPr="00714026">
        <w:rPr>
          <w:rFonts w:asciiTheme="majorHAnsi" w:hAnsiTheme="majorHAnsi"/>
          <w:bCs/>
          <w:color w:val="auto"/>
          <w:sz w:val="16"/>
          <w:szCs w:val="16"/>
        </w:rPr>
        <w:t>Articles 19, 27.1 and 39 of the United Nations Convention on the Rights of the Child.</w:t>
      </w:r>
    </w:p>
  </w:footnote>
  <w:footnote w:id="4">
    <w:p w14:paraId="79F07139" w14:textId="076CBC30" w:rsidR="008E3BFE" w:rsidRPr="00714026" w:rsidRDefault="00264AE8" w:rsidP="00595445">
      <w:pPr>
        <w:pStyle w:val="FootnoteText"/>
        <w:jc w:val="both"/>
        <w:rPr>
          <w:rFonts w:ascii="Cambria" w:hAnsi="Cambria"/>
          <w:color w:val="000000" w:themeColor="text1"/>
          <w:sz w:val="16"/>
          <w:szCs w:val="16"/>
        </w:rPr>
      </w:pPr>
      <w:r>
        <w:rPr>
          <w:rFonts w:ascii="Cambria" w:hAnsi="Cambria"/>
          <w:color w:val="000000" w:themeColor="text1"/>
          <w:sz w:val="16"/>
          <w:szCs w:val="16"/>
        </w:rPr>
        <w:tab/>
      </w:r>
      <w:r w:rsidR="008E3BFE" w:rsidRPr="00714026">
        <w:rPr>
          <w:rStyle w:val="FootnoteReference"/>
          <w:rFonts w:ascii="Cambria" w:hAnsi="Cambria"/>
          <w:color w:val="000000" w:themeColor="text1"/>
          <w:sz w:val="16"/>
          <w:szCs w:val="16"/>
        </w:rPr>
        <w:footnoteRef/>
      </w:r>
      <w:r w:rsidR="008E3BFE" w:rsidRPr="00714026">
        <w:rPr>
          <w:rFonts w:ascii="Cambria" w:hAnsi="Cambria"/>
          <w:color w:val="000000" w:themeColor="text1"/>
          <w:sz w:val="16"/>
          <w:szCs w:val="16"/>
        </w:rPr>
        <w:t xml:space="preserve"> </w:t>
      </w:r>
      <w:r w:rsidR="00714026" w:rsidRPr="00595445">
        <w:rPr>
          <w:rFonts w:asciiTheme="majorHAnsi" w:hAnsiTheme="majorHAnsi"/>
          <w:bCs/>
          <w:color w:val="auto"/>
          <w:sz w:val="16"/>
          <w:szCs w:val="16"/>
        </w:rPr>
        <w:t>The</w:t>
      </w:r>
      <w:r w:rsidR="00714026" w:rsidRPr="00714026">
        <w:rPr>
          <w:rFonts w:ascii="Cambria" w:hAnsi="Cambria"/>
          <w:color w:val="000000" w:themeColor="text1"/>
          <w:sz w:val="16"/>
          <w:szCs w:val="16"/>
        </w:rPr>
        <w:t xml:space="preserve"> observations of each party were duly forwarded to the opposing party.</w:t>
      </w:r>
    </w:p>
  </w:footnote>
  <w:footnote w:id="5">
    <w:p w14:paraId="24B76C27" w14:textId="0DD378DC" w:rsidR="00625702" w:rsidRPr="00703436" w:rsidRDefault="00625702" w:rsidP="00EF0723">
      <w:pPr>
        <w:pStyle w:val="FootnoteText"/>
        <w:ind w:firstLine="720"/>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714DAB">
        <w:rPr>
          <w:rFonts w:asciiTheme="majorHAnsi" w:hAnsiTheme="majorHAnsi"/>
          <w:color w:val="auto"/>
          <w:sz w:val="16"/>
          <w:szCs w:val="16"/>
        </w:rPr>
        <w:t xml:space="preserve"> </w:t>
      </w:r>
      <w:r w:rsidR="00D22F29" w:rsidRPr="00D22F29">
        <w:rPr>
          <w:rFonts w:asciiTheme="majorHAnsi" w:hAnsiTheme="majorHAnsi"/>
          <w:color w:val="auto"/>
          <w:sz w:val="16"/>
          <w:szCs w:val="16"/>
        </w:rPr>
        <w:t xml:space="preserve">IACHR, Report No. 169/11. Case 12.066. Admissibility and Merits. </w:t>
      </w:r>
      <w:r w:rsidR="00D22F29" w:rsidRPr="00703436">
        <w:rPr>
          <w:rFonts w:asciiTheme="majorHAnsi" w:hAnsiTheme="majorHAnsi"/>
          <w:color w:val="auto"/>
          <w:sz w:val="16"/>
          <w:szCs w:val="16"/>
          <w:lang w:val="pt-BR"/>
        </w:rPr>
        <w:t>Hacienda Brasil Verde. Brazil. November 3, 2011, paragraph 43.</w:t>
      </w:r>
    </w:p>
  </w:footnote>
  <w:footnote w:id="6">
    <w:p w14:paraId="51E127B1" w14:textId="590859FE" w:rsidR="00625702" w:rsidRPr="00D22F29" w:rsidRDefault="00625702" w:rsidP="00EF0723">
      <w:pPr>
        <w:pStyle w:val="FootnoteText"/>
        <w:ind w:firstLine="720"/>
        <w:jc w:val="both"/>
        <w:rPr>
          <w:rFonts w:asciiTheme="majorHAnsi" w:hAnsiTheme="majorHAnsi"/>
          <w:color w:val="auto"/>
          <w:sz w:val="16"/>
          <w:szCs w:val="16"/>
        </w:rPr>
      </w:pPr>
      <w:r w:rsidRPr="00D22F29">
        <w:rPr>
          <w:rStyle w:val="FootnoteReference"/>
          <w:rFonts w:asciiTheme="majorHAnsi" w:hAnsiTheme="majorHAnsi"/>
          <w:color w:val="auto"/>
          <w:sz w:val="16"/>
          <w:szCs w:val="16"/>
        </w:rPr>
        <w:footnoteRef/>
      </w:r>
      <w:r w:rsidRPr="00703436">
        <w:rPr>
          <w:rFonts w:asciiTheme="majorHAnsi" w:hAnsiTheme="majorHAnsi"/>
          <w:color w:val="auto"/>
          <w:sz w:val="16"/>
          <w:szCs w:val="16"/>
          <w:lang w:val="pt-BR"/>
        </w:rPr>
        <w:t xml:space="preserve"> </w:t>
      </w:r>
      <w:r w:rsidR="00D22F29" w:rsidRPr="00703436">
        <w:rPr>
          <w:rFonts w:asciiTheme="majorHAnsi" w:hAnsiTheme="majorHAnsi"/>
          <w:color w:val="auto"/>
          <w:sz w:val="16"/>
          <w:szCs w:val="16"/>
          <w:lang w:val="pt-BR"/>
        </w:rPr>
        <w:t xml:space="preserve">IACHR, Report No. 420/21. Petition 1564-14. Admissibility. </w:t>
      </w:r>
      <w:r w:rsidR="00D22F29" w:rsidRPr="00D22F29">
        <w:rPr>
          <w:rFonts w:asciiTheme="majorHAnsi" w:hAnsiTheme="majorHAnsi"/>
          <w:color w:val="auto"/>
          <w:sz w:val="16"/>
          <w:szCs w:val="16"/>
        </w:rPr>
        <w:t>J.Z and S.Z. Brazil. December 31, 2021, paragraph 19.</w:t>
      </w:r>
    </w:p>
  </w:footnote>
  <w:footnote w:id="7">
    <w:p w14:paraId="5A3C600C" w14:textId="6002406A" w:rsidR="00625702" w:rsidRPr="00D22F29" w:rsidRDefault="00625702" w:rsidP="00EF0723">
      <w:pPr>
        <w:pStyle w:val="FootnoteText"/>
        <w:ind w:firstLine="720"/>
        <w:jc w:val="both"/>
        <w:rPr>
          <w:rFonts w:asciiTheme="majorHAnsi" w:hAnsiTheme="majorHAnsi"/>
          <w:color w:val="auto"/>
          <w:sz w:val="16"/>
          <w:szCs w:val="16"/>
        </w:rPr>
      </w:pPr>
      <w:r w:rsidRPr="00FD237E">
        <w:rPr>
          <w:rStyle w:val="FootnoteReference"/>
          <w:rFonts w:asciiTheme="majorHAnsi" w:hAnsiTheme="majorHAnsi"/>
          <w:color w:val="auto"/>
          <w:sz w:val="16"/>
          <w:szCs w:val="16"/>
        </w:rPr>
        <w:footnoteRef/>
      </w:r>
      <w:r w:rsidRPr="00714DAB">
        <w:rPr>
          <w:rFonts w:asciiTheme="majorHAnsi" w:hAnsiTheme="majorHAnsi"/>
          <w:color w:val="auto"/>
          <w:sz w:val="16"/>
          <w:szCs w:val="16"/>
        </w:rPr>
        <w:t xml:space="preserve"> </w:t>
      </w:r>
      <w:r w:rsidR="00D22F29" w:rsidRPr="00D22F29">
        <w:rPr>
          <w:rFonts w:asciiTheme="majorHAnsi" w:hAnsiTheme="majorHAnsi"/>
          <w:color w:val="auto"/>
          <w:sz w:val="16"/>
          <w:szCs w:val="16"/>
        </w:rPr>
        <w:t>Similarly: IACHR, Report No. 79/23. Petition 1388-14. Admissibility. Márcio José Sabino Pereira and family. Brazil. June 7, 2023, paragraph 12 ("The Public Prosecutor's Office requested that the case be closed, which was granted by the Judiciary, and there is no legal provision that allows for an appeal of this decision. Consequently, the Commission notes that the petitioner does not have an ordinary, adequate, and effective means of challenging closure of the investigation. Consequently, the IACHR considers it appropriate to apply the exception provided for in Article 46.2.a of the American Convention in this case."); IACHR, Report No. 226/20. Petition 32-07. Admissibility. Márcio Antônio Maia de Souza and family members. Brazil. September 6, 2020, paragraphs 8 and 9 ("since the Public Prosecutor's Office requested that the investigation be closed and this request was granted by the Judiciary, the petitioner was not allowed to exhaust other remedies. Therefore, the exception is contained in Article 46.2.b of the American Convention. [...] In addition, the Commission notes that the alleged victim's family members were prevented from appealing the decision to close the police investigation and that they were also unable to request that it be closed, as they are prevented from doing so by Brazilian law. In circumstances such as these, the Commission considers that without prejudging the merits and as it has done in cases of a similar nature, the exception to exhaustion referred to in Article 46.2.a of the American Convention is applicable to the present petition."); IACHR, Report No. 351/22. Petition 1387-12. Admissibility. Alberto Castillo Cruz and family. Mexico. May 19, 2022, paragraphs 22 to 24.</w:t>
      </w:r>
    </w:p>
  </w:footnote>
  <w:footnote w:id="8">
    <w:p w14:paraId="13CDA973" w14:textId="73F39C87" w:rsidR="00625702" w:rsidRPr="00D22F29" w:rsidRDefault="00625702" w:rsidP="00B10779">
      <w:pPr>
        <w:pStyle w:val="FootnoteText"/>
        <w:ind w:firstLine="720"/>
        <w:jc w:val="both"/>
        <w:rPr>
          <w:rFonts w:asciiTheme="majorHAnsi" w:hAnsiTheme="majorHAnsi"/>
          <w:color w:val="auto"/>
          <w:sz w:val="16"/>
          <w:szCs w:val="16"/>
        </w:rPr>
      </w:pPr>
      <w:r w:rsidRPr="00FD237E">
        <w:rPr>
          <w:rStyle w:val="FootnoteReference"/>
          <w:rFonts w:asciiTheme="majorHAnsi" w:hAnsiTheme="majorHAnsi"/>
          <w:color w:val="auto"/>
          <w:sz w:val="16"/>
          <w:szCs w:val="16"/>
        </w:rPr>
        <w:footnoteRef/>
      </w:r>
      <w:r w:rsidRPr="00714DAB">
        <w:rPr>
          <w:rFonts w:asciiTheme="majorHAnsi" w:hAnsiTheme="majorHAnsi"/>
          <w:color w:val="auto"/>
          <w:sz w:val="16"/>
          <w:szCs w:val="16"/>
        </w:rPr>
        <w:t xml:space="preserve"> </w:t>
      </w:r>
      <w:r w:rsidR="00D22F29" w:rsidRPr="00D22F29">
        <w:rPr>
          <w:rFonts w:asciiTheme="majorHAnsi" w:hAnsiTheme="majorHAnsi"/>
          <w:color w:val="auto"/>
          <w:sz w:val="16"/>
          <w:szCs w:val="16"/>
        </w:rPr>
        <w:t xml:space="preserve">IACHR, Report No. 41/07. Petition 998-05. Admissibility. </w:t>
      </w:r>
      <w:r w:rsidR="00D22F29" w:rsidRPr="00714DAB">
        <w:rPr>
          <w:rFonts w:asciiTheme="majorHAnsi" w:hAnsiTheme="majorHAnsi"/>
          <w:color w:val="auto"/>
          <w:sz w:val="16"/>
          <w:szCs w:val="16"/>
          <w:lang w:val="pt-BR"/>
        </w:rPr>
        <w:t xml:space="preserve">Lazinho Brambilla da Silva. Brazil. </w:t>
      </w:r>
      <w:r w:rsidR="00D22F29" w:rsidRPr="00D22F29">
        <w:rPr>
          <w:rFonts w:asciiTheme="majorHAnsi" w:hAnsiTheme="majorHAnsi"/>
          <w:color w:val="auto"/>
          <w:sz w:val="16"/>
          <w:szCs w:val="16"/>
        </w:rPr>
        <w:t>June 23, 2007, paragraphs 74-75.</w:t>
      </w:r>
    </w:p>
  </w:footnote>
  <w:footnote w:id="9">
    <w:p w14:paraId="4628CA51" w14:textId="56C3B8BD" w:rsidR="00775DCB" w:rsidRPr="00703436" w:rsidRDefault="00775DCB" w:rsidP="00775DCB">
      <w:pPr>
        <w:pStyle w:val="FootnoteText"/>
        <w:ind w:firstLine="720"/>
        <w:jc w:val="both"/>
        <w:rPr>
          <w:rFonts w:ascii="Cambria" w:hAnsi="Cambria"/>
          <w:sz w:val="16"/>
          <w:szCs w:val="16"/>
        </w:rPr>
      </w:pPr>
      <w:r w:rsidRPr="00A11B3B">
        <w:rPr>
          <w:rStyle w:val="FootnoteReference"/>
          <w:rFonts w:ascii="Cambria" w:hAnsi="Cambria"/>
          <w:sz w:val="16"/>
          <w:szCs w:val="16"/>
        </w:rPr>
        <w:footnoteRef/>
      </w:r>
      <w:r w:rsidRPr="00775DCB">
        <w:rPr>
          <w:rFonts w:ascii="Cambria" w:hAnsi="Cambria"/>
          <w:sz w:val="16"/>
          <w:szCs w:val="16"/>
        </w:rPr>
        <w:t xml:space="preserve"> Inter-American Court of Human Rights. Case of Cabrera García and Montiel Flores Vs. Mexico. Preliminary Objection, Merits, Reparations, and Costs. Judgment of November 26, 2010. Series C No. 220, para. 18.</w:t>
      </w:r>
    </w:p>
  </w:footnote>
  <w:footnote w:id="10">
    <w:p w14:paraId="3A4847F3" w14:textId="5BF8428E" w:rsidR="00775DCB" w:rsidRPr="00703436" w:rsidRDefault="00775DCB" w:rsidP="00775DCB">
      <w:pPr>
        <w:pStyle w:val="FootnoteText"/>
        <w:ind w:firstLine="720"/>
        <w:jc w:val="both"/>
        <w:rPr>
          <w:rFonts w:ascii="Cambria" w:hAnsi="Cambria"/>
          <w:sz w:val="16"/>
          <w:szCs w:val="16"/>
        </w:rPr>
      </w:pPr>
      <w:r w:rsidRPr="00A11B3B">
        <w:rPr>
          <w:rStyle w:val="FootnoteReference"/>
          <w:rFonts w:ascii="Cambria" w:hAnsi="Cambria"/>
          <w:sz w:val="16"/>
          <w:szCs w:val="16"/>
        </w:rPr>
        <w:footnoteRef/>
      </w:r>
      <w:r w:rsidRPr="00775DCB">
        <w:rPr>
          <w:rFonts w:ascii="Cambria" w:hAnsi="Cambria"/>
          <w:sz w:val="16"/>
          <w:szCs w:val="16"/>
        </w:rPr>
        <w:t xml:space="preserve"> Inter-American Court of Human Rights. Case of Cabrera García and Montiel Flores Vs. Mexico. Preliminary Objection, Merits, Reparations, and Costs. Judgment of November 26, 2010. Series C No. 220, para. 19.</w:t>
      </w:r>
    </w:p>
  </w:footnote>
  <w:footnote w:id="11">
    <w:p w14:paraId="476ECB9B" w14:textId="623D8DA9" w:rsidR="00775DCB" w:rsidRPr="00A11B3B" w:rsidRDefault="00775DCB" w:rsidP="00775DCB">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775DCB">
        <w:rPr>
          <w:rFonts w:ascii="Cambria" w:hAnsi="Cambria"/>
          <w:sz w:val="16"/>
          <w:szCs w:val="16"/>
        </w:rPr>
        <w:t xml:space="preserve"> Inter-American Court of Human Rights. Case of Palma Mendoza and others Vs. Ecuador. Preliminary Objection and Merits. Judgment of September 3, 2012. Series C No. 247, para. 18; Inter-American Court of Human Rights. Case of Rosadio Villavicencio Vs. Peru. Preliminary Objections, Merits, Reparations, and Costs. Judgment of October 14, 2019. Series C No. 388, para. 24; Inter-American Court of Human Rights. Case of Cabrera García and Montiel Flores Vs. Mexico. Preliminary Objection, Merits, Reparations, and Costs. Judgment of November 26, 2010. Series C No. 220, para.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ACAF" w14:textId="77777777" w:rsidR="00714DAB" w:rsidRDefault="00714DAB" w:rsidP="00714DAB">
    <w:pPr>
      <w:pStyle w:val="Header"/>
      <w:tabs>
        <w:tab w:val="clear" w:pos="4320"/>
        <w:tab w:val="clear" w:pos="8640"/>
      </w:tabs>
      <w:jc w:val="center"/>
      <w:rPr>
        <w:sz w:val="22"/>
        <w:szCs w:val="22"/>
      </w:rPr>
    </w:pPr>
    <w:r>
      <w:rPr>
        <w:noProof/>
        <w:sz w:val="22"/>
        <w:szCs w:val="22"/>
      </w:rPr>
      <w:drawing>
        <wp:inline distT="0" distB="0" distL="0" distR="0" wp14:anchorId="54059394" wp14:editId="74FB737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14F56147" w:rsidR="00040C3A" w:rsidRPr="00714DAB" w:rsidRDefault="00580292" w:rsidP="00714DAB">
    <w:pPr>
      <w:pStyle w:val="Header"/>
      <w:tabs>
        <w:tab w:val="clear" w:pos="4320"/>
        <w:tab w:val="clear" w:pos="8640"/>
      </w:tabs>
      <w:jc w:val="center"/>
      <w:rPr>
        <w:sz w:val="22"/>
        <w:szCs w:val="22"/>
      </w:rPr>
    </w:pPr>
    <w:r>
      <w:rPr>
        <w:sz w:val="22"/>
        <w:szCs w:val="22"/>
      </w:rPr>
      <w:pict w14:anchorId="0C6A5AF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E832A9"/>
    <w:multiLevelType w:val="hybridMultilevel"/>
    <w:tmpl w:val="D3D2A676"/>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B89FE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8A0A3D"/>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CC2CC0"/>
    <w:multiLevelType w:val="hybridMultilevel"/>
    <w:tmpl w:val="F5FA2CAC"/>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3" w15:restartNumberingAfterBreak="0">
    <w:nsid w:val="7FD26732"/>
    <w:multiLevelType w:val="hybridMultilevel"/>
    <w:tmpl w:val="59BCDF6A"/>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11415443">
    <w:abstractNumId w:val="5"/>
  </w:num>
  <w:num w:numId="2" w16cid:durableId="218593413">
    <w:abstractNumId w:val="7"/>
  </w:num>
  <w:num w:numId="3" w16cid:durableId="473913312">
    <w:abstractNumId w:val="57"/>
  </w:num>
  <w:num w:numId="4" w16cid:durableId="1615093887">
    <w:abstractNumId w:val="24"/>
  </w:num>
  <w:num w:numId="5" w16cid:durableId="487482738">
    <w:abstractNumId w:val="51"/>
  </w:num>
  <w:num w:numId="6" w16cid:durableId="173963807">
    <w:abstractNumId w:val="29"/>
  </w:num>
  <w:num w:numId="7" w16cid:durableId="752627363">
    <w:abstractNumId w:val="9"/>
  </w:num>
  <w:num w:numId="8" w16cid:durableId="1630161499">
    <w:abstractNumId w:val="20"/>
  </w:num>
  <w:num w:numId="9" w16cid:durableId="1613590790">
    <w:abstractNumId w:val="40"/>
  </w:num>
  <w:num w:numId="10" w16cid:durableId="1587424966">
    <w:abstractNumId w:val="44"/>
  </w:num>
  <w:num w:numId="11" w16cid:durableId="2075466315">
    <w:abstractNumId w:val="1"/>
  </w:num>
  <w:num w:numId="12" w16cid:durableId="867909075">
    <w:abstractNumId w:val="39"/>
  </w:num>
  <w:num w:numId="13" w16cid:durableId="1366447746">
    <w:abstractNumId w:val="46"/>
  </w:num>
  <w:num w:numId="14" w16cid:durableId="361327519">
    <w:abstractNumId w:val="2"/>
  </w:num>
  <w:num w:numId="15" w16cid:durableId="1884368821">
    <w:abstractNumId w:val="3"/>
  </w:num>
  <w:num w:numId="16" w16cid:durableId="937754664">
    <w:abstractNumId w:val="10"/>
  </w:num>
  <w:num w:numId="17" w16cid:durableId="1141264887">
    <w:abstractNumId w:val="11"/>
  </w:num>
  <w:num w:numId="18" w16cid:durableId="264115336">
    <w:abstractNumId w:val="12"/>
  </w:num>
  <w:num w:numId="19" w16cid:durableId="582379774">
    <w:abstractNumId w:val="13"/>
  </w:num>
  <w:num w:numId="20" w16cid:durableId="516424886">
    <w:abstractNumId w:val="14"/>
  </w:num>
  <w:num w:numId="21" w16cid:durableId="1533107980">
    <w:abstractNumId w:val="15"/>
  </w:num>
  <w:num w:numId="22" w16cid:durableId="1074744522">
    <w:abstractNumId w:val="16"/>
  </w:num>
  <w:num w:numId="23" w16cid:durableId="1572888533">
    <w:abstractNumId w:val="18"/>
  </w:num>
  <w:num w:numId="24" w16cid:durableId="265161765">
    <w:abstractNumId w:val="19"/>
  </w:num>
  <w:num w:numId="25" w16cid:durableId="1522209471">
    <w:abstractNumId w:val="21"/>
  </w:num>
  <w:num w:numId="26" w16cid:durableId="641887249">
    <w:abstractNumId w:val="22"/>
  </w:num>
  <w:num w:numId="27" w16cid:durableId="2122869005">
    <w:abstractNumId w:val="25"/>
  </w:num>
  <w:num w:numId="28" w16cid:durableId="1245920740">
    <w:abstractNumId w:val="26"/>
  </w:num>
  <w:num w:numId="29" w16cid:durableId="420682487">
    <w:abstractNumId w:val="27"/>
  </w:num>
  <w:num w:numId="30" w16cid:durableId="908883137">
    <w:abstractNumId w:val="28"/>
  </w:num>
  <w:num w:numId="31" w16cid:durableId="606695322">
    <w:abstractNumId w:val="30"/>
  </w:num>
  <w:num w:numId="32" w16cid:durableId="1111053784">
    <w:abstractNumId w:val="31"/>
  </w:num>
  <w:num w:numId="33" w16cid:durableId="1345085023">
    <w:abstractNumId w:val="32"/>
  </w:num>
  <w:num w:numId="34" w16cid:durableId="1818843194">
    <w:abstractNumId w:val="33"/>
  </w:num>
  <w:num w:numId="35" w16cid:durableId="112603432">
    <w:abstractNumId w:val="34"/>
  </w:num>
  <w:num w:numId="36" w16cid:durableId="1312373127">
    <w:abstractNumId w:val="36"/>
  </w:num>
  <w:num w:numId="37" w16cid:durableId="1076632600">
    <w:abstractNumId w:val="37"/>
  </w:num>
  <w:num w:numId="38" w16cid:durableId="1769622567">
    <w:abstractNumId w:val="38"/>
  </w:num>
  <w:num w:numId="39" w16cid:durableId="308947549">
    <w:abstractNumId w:val="41"/>
  </w:num>
  <w:num w:numId="40" w16cid:durableId="2066875243">
    <w:abstractNumId w:val="42"/>
  </w:num>
  <w:num w:numId="41" w16cid:durableId="1082526017">
    <w:abstractNumId w:val="49"/>
  </w:num>
  <w:num w:numId="42" w16cid:durableId="1404327507">
    <w:abstractNumId w:val="52"/>
  </w:num>
  <w:num w:numId="43" w16cid:durableId="877619288">
    <w:abstractNumId w:val="53"/>
  </w:num>
  <w:num w:numId="44" w16cid:durableId="131945523">
    <w:abstractNumId w:val="55"/>
  </w:num>
  <w:num w:numId="45" w16cid:durableId="1061371418">
    <w:abstractNumId w:val="56"/>
  </w:num>
  <w:num w:numId="46" w16cid:durableId="519046197">
    <w:abstractNumId w:val="58"/>
  </w:num>
  <w:num w:numId="47" w16cid:durableId="1483960415">
    <w:abstractNumId w:val="59"/>
  </w:num>
  <w:num w:numId="48" w16cid:durableId="18971292">
    <w:abstractNumId w:val="60"/>
  </w:num>
  <w:num w:numId="49" w16cid:durableId="2074619888">
    <w:abstractNumId w:val="61"/>
  </w:num>
  <w:num w:numId="50" w16cid:durableId="1401054583">
    <w:abstractNumId w:val="62"/>
  </w:num>
  <w:num w:numId="51" w16cid:durableId="897206185">
    <w:abstractNumId w:val="23"/>
  </w:num>
  <w:num w:numId="52" w16cid:durableId="768238786">
    <w:abstractNumId w:val="43"/>
  </w:num>
  <w:num w:numId="53" w16cid:durableId="872887196">
    <w:abstractNumId w:val="54"/>
  </w:num>
  <w:num w:numId="54" w16cid:durableId="1180776320">
    <w:abstractNumId w:val="47"/>
  </w:num>
  <w:num w:numId="55" w16cid:durableId="979114738">
    <w:abstractNumId w:val="6"/>
  </w:num>
  <w:num w:numId="56" w16cid:durableId="1650671320">
    <w:abstractNumId w:val="45"/>
  </w:num>
  <w:num w:numId="57" w16cid:durableId="260992192">
    <w:abstractNumId w:val="35"/>
  </w:num>
  <w:num w:numId="58" w16cid:durableId="1614314664">
    <w:abstractNumId w:val="0"/>
  </w:num>
  <w:num w:numId="59" w16cid:durableId="89592180">
    <w:abstractNumId w:val="17"/>
  </w:num>
  <w:num w:numId="60" w16cid:durableId="2032410244">
    <w:abstractNumId w:val="50"/>
  </w:num>
  <w:num w:numId="61" w16cid:durableId="2115175338">
    <w:abstractNumId w:val="8"/>
  </w:num>
  <w:num w:numId="62" w16cid:durableId="733236888">
    <w:abstractNumId w:val="4"/>
  </w:num>
  <w:num w:numId="63" w16cid:durableId="1080057803">
    <w:abstractNumId w:val="63"/>
  </w:num>
  <w:num w:numId="64" w16cid:durableId="21169971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ZA"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0AA2"/>
    <w:rsid w:val="0001100B"/>
    <w:rsid w:val="000131C1"/>
    <w:rsid w:val="000149E6"/>
    <w:rsid w:val="00014E91"/>
    <w:rsid w:val="0001788C"/>
    <w:rsid w:val="00020C18"/>
    <w:rsid w:val="00023CCC"/>
    <w:rsid w:val="000246EA"/>
    <w:rsid w:val="00026C06"/>
    <w:rsid w:val="000337EF"/>
    <w:rsid w:val="00034F98"/>
    <w:rsid w:val="0003582B"/>
    <w:rsid w:val="000364FC"/>
    <w:rsid w:val="00040C3A"/>
    <w:rsid w:val="000419AD"/>
    <w:rsid w:val="000433C9"/>
    <w:rsid w:val="00050063"/>
    <w:rsid w:val="000529AD"/>
    <w:rsid w:val="000541A2"/>
    <w:rsid w:val="0005538C"/>
    <w:rsid w:val="000607B7"/>
    <w:rsid w:val="000647B8"/>
    <w:rsid w:val="00066076"/>
    <w:rsid w:val="0006641F"/>
    <w:rsid w:val="000716C5"/>
    <w:rsid w:val="00073049"/>
    <w:rsid w:val="00073665"/>
    <w:rsid w:val="00074FAC"/>
    <w:rsid w:val="00074FB3"/>
    <w:rsid w:val="00075E23"/>
    <w:rsid w:val="000815E7"/>
    <w:rsid w:val="000865AB"/>
    <w:rsid w:val="000874E7"/>
    <w:rsid w:val="0009280F"/>
    <w:rsid w:val="0009344A"/>
    <w:rsid w:val="000A1AC3"/>
    <w:rsid w:val="000A392E"/>
    <w:rsid w:val="000A575F"/>
    <w:rsid w:val="000A5B01"/>
    <w:rsid w:val="000B2BEB"/>
    <w:rsid w:val="000B43BB"/>
    <w:rsid w:val="000C2F1A"/>
    <w:rsid w:val="000C4640"/>
    <w:rsid w:val="000C5C69"/>
    <w:rsid w:val="000D10DB"/>
    <w:rsid w:val="000D4267"/>
    <w:rsid w:val="000D5E01"/>
    <w:rsid w:val="000D7963"/>
    <w:rsid w:val="000E040B"/>
    <w:rsid w:val="000E5EB5"/>
    <w:rsid w:val="000F34D0"/>
    <w:rsid w:val="000F35ED"/>
    <w:rsid w:val="00100AE2"/>
    <w:rsid w:val="001069B6"/>
    <w:rsid w:val="00107131"/>
    <w:rsid w:val="0010736F"/>
    <w:rsid w:val="001112AC"/>
    <w:rsid w:val="00113F73"/>
    <w:rsid w:val="00121CC2"/>
    <w:rsid w:val="00126384"/>
    <w:rsid w:val="0012736F"/>
    <w:rsid w:val="00133BA3"/>
    <w:rsid w:val="00133EE5"/>
    <w:rsid w:val="0014089D"/>
    <w:rsid w:val="0014172C"/>
    <w:rsid w:val="00141C48"/>
    <w:rsid w:val="00143883"/>
    <w:rsid w:val="001441FE"/>
    <w:rsid w:val="001449E6"/>
    <w:rsid w:val="001457EE"/>
    <w:rsid w:val="00147DD4"/>
    <w:rsid w:val="00150313"/>
    <w:rsid w:val="00155947"/>
    <w:rsid w:val="00161EA8"/>
    <w:rsid w:val="00164DD1"/>
    <w:rsid w:val="00167A34"/>
    <w:rsid w:val="00173666"/>
    <w:rsid w:val="00187F23"/>
    <w:rsid w:val="001934A4"/>
    <w:rsid w:val="001A0DBF"/>
    <w:rsid w:val="001A7870"/>
    <w:rsid w:val="001B21C3"/>
    <w:rsid w:val="001B2318"/>
    <w:rsid w:val="001B3A00"/>
    <w:rsid w:val="001C1B41"/>
    <w:rsid w:val="001C55DF"/>
    <w:rsid w:val="001C7ECC"/>
    <w:rsid w:val="001D2206"/>
    <w:rsid w:val="001D65EF"/>
    <w:rsid w:val="001E426A"/>
    <w:rsid w:val="001E49E7"/>
    <w:rsid w:val="001E5934"/>
    <w:rsid w:val="001E7F07"/>
    <w:rsid w:val="001F3189"/>
    <w:rsid w:val="001F6FFA"/>
    <w:rsid w:val="001F7201"/>
    <w:rsid w:val="002023E5"/>
    <w:rsid w:val="00204009"/>
    <w:rsid w:val="0020550E"/>
    <w:rsid w:val="002136A8"/>
    <w:rsid w:val="00222F53"/>
    <w:rsid w:val="00223A29"/>
    <w:rsid w:val="002250A3"/>
    <w:rsid w:val="002271FD"/>
    <w:rsid w:val="0022736D"/>
    <w:rsid w:val="00233CFB"/>
    <w:rsid w:val="00235217"/>
    <w:rsid w:val="00235691"/>
    <w:rsid w:val="00237AF4"/>
    <w:rsid w:val="00246D1F"/>
    <w:rsid w:val="00247403"/>
    <w:rsid w:val="00247542"/>
    <w:rsid w:val="00247649"/>
    <w:rsid w:val="0025182B"/>
    <w:rsid w:val="00253B95"/>
    <w:rsid w:val="00253E93"/>
    <w:rsid w:val="00257978"/>
    <w:rsid w:val="00264AE8"/>
    <w:rsid w:val="00266B61"/>
    <w:rsid w:val="0026712A"/>
    <w:rsid w:val="002704DB"/>
    <w:rsid w:val="0027100F"/>
    <w:rsid w:val="00273C62"/>
    <w:rsid w:val="00284DC1"/>
    <w:rsid w:val="00285608"/>
    <w:rsid w:val="00286769"/>
    <w:rsid w:val="00291ED7"/>
    <w:rsid w:val="00296900"/>
    <w:rsid w:val="002A0AAE"/>
    <w:rsid w:val="002A0C19"/>
    <w:rsid w:val="002A4763"/>
    <w:rsid w:val="002A5820"/>
    <w:rsid w:val="002B09A7"/>
    <w:rsid w:val="002B63B0"/>
    <w:rsid w:val="002B6870"/>
    <w:rsid w:val="002C507C"/>
    <w:rsid w:val="002D19CC"/>
    <w:rsid w:val="002D2B26"/>
    <w:rsid w:val="002D7EA2"/>
    <w:rsid w:val="002E1290"/>
    <w:rsid w:val="002E187C"/>
    <w:rsid w:val="002E2426"/>
    <w:rsid w:val="002E24CF"/>
    <w:rsid w:val="002E678C"/>
    <w:rsid w:val="002F31E4"/>
    <w:rsid w:val="002F379B"/>
    <w:rsid w:val="002F3916"/>
    <w:rsid w:val="002F43B4"/>
    <w:rsid w:val="002F7E89"/>
    <w:rsid w:val="00300939"/>
    <w:rsid w:val="00302733"/>
    <w:rsid w:val="003039E4"/>
    <w:rsid w:val="00303ABC"/>
    <w:rsid w:val="003104A0"/>
    <w:rsid w:val="00311C9C"/>
    <w:rsid w:val="00312AC2"/>
    <w:rsid w:val="00312C63"/>
    <w:rsid w:val="0031300C"/>
    <w:rsid w:val="00314078"/>
    <w:rsid w:val="0031535D"/>
    <w:rsid w:val="003239B8"/>
    <w:rsid w:val="0033169F"/>
    <w:rsid w:val="00332403"/>
    <w:rsid w:val="00342894"/>
    <w:rsid w:val="00343C15"/>
    <w:rsid w:val="00344977"/>
    <w:rsid w:val="00346517"/>
    <w:rsid w:val="00346C95"/>
    <w:rsid w:val="003535A3"/>
    <w:rsid w:val="00354756"/>
    <w:rsid w:val="00356185"/>
    <w:rsid w:val="00360380"/>
    <w:rsid w:val="00363F62"/>
    <w:rsid w:val="003642D6"/>
    <w:rsid w:val="00367765"/>
    <w:rsid w:val="0037123D"/>
    <w:rsid w:val="0037519E"/>
    <w:rsid w:val="0037551B"/>
    <w:rsid w:val="003756D0"/>
    <w:rsid w:val="00377667"/>
    <w:rsid w:val="0038429C"/>
    <w:rsid w:val="00386CF0"/>
    <w:rsid w:val="0038709A"/>
    <w:rsid w:val="003906FE"/>
    <w:rsid w:val="003A39A9"/>
    <w:rsid w:val="003B3A8F"/>
    <w:rsid w:val="003B70FB"/>
    <w:rsid w:val="003C22A9"/>
    <w:rsid w:val="003C2955"/>
    <w:rsid w:val="003C499C"/>
    <w:rsid w:val="003C5EF0"/>
    <w:rsid w:val="003C676B"/>
    <w:rsid w:val="003D3BC2"/>
    <w:rsid w:val="003D69C1"/>
    <w:rsid w:val="003D7924"/>
    <w:rsid w:val="003E644D"/>
    <w:rsid w:val="003E6A3C"/>
    <w:rsid w:val="003E6CA1"/>
    <w:rsid w:val="003E76DB"/>
    <w:rsid w:val="003F1230"/>
    <w:rsid w:val="003F544B"/>
    <w:rsid w:val="004023EB"/>
    <w:rsid w:val="004065A8"/>
    <w:rsid w:val="004067C8"/>
    <w:rsid w:val="00411485"/>
    <w:rsid w:val="004165C2"/>
    <w:rsid w:val="00420EC6"/>
    <w:rsid w:val="00422745"/>
    <w:rsid w:val="00424F4B"/>
    <w:rsid w:val="004253A6"/>
    <w:rsid w:val="00433114"/>
    <w:rsid w:val="004336C4"/>
    <w:rsid w:val="00441DD5"/>
    <w:rsid w:val="00441ECB"/>
    <w:rsid w:val="00445193"/>
    <w:rsid w:val="00447C46"/>
    <w:rsid w:val="00453B13"/>
    <w:rsid w:val="004547E7"/>
    <w:rsid w:val="00455296"/>
    <w:rsid w:val="004570EE"/>
    <w:rsid w:val="00460733"/>
    <w:rsid w:val="00462C1B"/>
    <w:rsid w:val="004639EA"/>
    <w:rsid w:val="004656CD"/>
    <w:rsid w:val="00467753"/>
    <w:rsid w:val="00467B7E"/>
    <w:rsid w:val="00473BB4"/>
    <w:rsid w:val="00475E4E"/>
    <w:rsid w:val="004761B8"/>
    <w:rsid w:val="00477592"/>
    <w:rsid w:val="00477B74"/>
    <w:rsid w:val="00486F1C"/>
    <w:rsid w:val="0048726D"/>
    <w:rsid w:val="00491E52"/>
    <w:rsid w:val="0049419D"/>
    <w:rsid w:val="00495BDC"/>
    <w:rsid w:val="00496970"/>
    <w:rsid w:val="004A278B"/>
    <w:rsid w:val="004A29C0"/>
    <w:rsid w:val="004A3499"/>
    <w:rsid w:val="004A6A54"/>
    <w:rsid w:val="004B332B"/>
    <w:rsid w:val="004C1508"/>
    <w:rsid w:val="004C20D2"/>
    <w:rsid w:val="004C2312"/>
    <w:rsid w:val="004C4B62"/>
    <w:rsid w:val="004C54C9"/>
    <w:rsid w:val="004C55B7"/>
    <w:rsid w:val="004D4ABA"/>
    <w:rsid w:val="004D6025"/>
    <w:rsid w:val="004E2649"/>
    <w:rsid w:val="004E39F6"/>
    <w:rsid w:val="004E7298"/>
    <w:rsid w:val="004F0B05"/>
    <w:rsid w:val="004F1F31"/>
    <w:rsid w:val="00501399"/>
    <w:rsid w:val="0050633D"/>
    <w:rsid w:val="00507BC4"/>
    <w:rsid w:val="0051078D"/>
    <w:rsid w:val="005128E4"/>
    <w:rsid w:val="005133DB"/>
    <w:rsid w:val="00516A0D"/>
    <w:rsid w:val="00522115"/>
    <w:rsid w:val="0052234F"/>
    <w:rsid w:val="00525560"/>
    <w:rsid w:val="00527F9C"/>
    <w:rsid w:val="00533AEE"/>
    <w:rsid w:val="00537F33"/>
    <w:rsid w:val="005408AF"/>
    <w:rsid w:val="0054211B"/>
    <w:rsid w:val="00544C49"/>
    <w:rsid w:val="00547CCB"/>
    <w:rsid w:val="005516A1"/>
    <w:rsid w:val="00552E97"/>
    <w:rsid w:val="00554EAE"/>
    <w:rsid w:val="00563557"/>
    <w:rsid w:val="00567F67"/>
    <w:rsid w:val="00570308"/>
    <w:rsid w:val="0057402A"/>
    <w:rsid w:val="005769C8"/>
    <w:rsid w:val="005771D0"/>
    <w:rsid w:val="005776AC"/>
    <w:rsid w:val="0057795E"/>
    <w:rsid w:val="00580292"/>
    <w:rsid w:val="00580EF0"/>
    <w:rsid w:val="00584073"/>
    <w:rsid w:val="005904C8"/>
    <w:rsid w:val="0059191A"/>
    <w:rsid w:val="005921FF"/>
    <w:rsid w:val="00595445"/>
    <w:rsid w:val="00596FFC"/>
    <w:rsid w:val="005A133A"/>
    <w:rsid w:val="005A23BC"/>
    <w:rsid w:val="005A24ED"/>
    <w:rsid w:val="005A6D0E"/>
    <w:rsid w:val="005A7BFD"/>
    <w:rsid w:val="005B180B"/>
    <w:rsid w:val="005B421D"/>
    <w:rsid w:val="005B52B0"/>
    <w:rsid w:val="005B60BB"/>
    <w:rsid w:val="005B6806"/>
    <w:rsid w:val="005B6A07"/>
    <w:rsid w:val="005C15D6"/>
    <w:rsid w:val="005C4225"/>
    <w:rsid w:val="005D3DFB"/>
    <w:rsid w:val="005E1672"/>
    <w:rsid w:val="005E2197"/>
    <w:rsid w:val="005E4951"/>
    <w:rsid w:val="005F0DAD"/>
    <w:rsid w:val="005F0F33"/>
    <w:rsid w:val="005F0F36"/>
    <w:rsid w:val="005F1251"/>
    <w:rsid w:val="006006EA"/>
    <w:rsid w:val="00600DEB"/>
    <w:rsid w:val="0060653C"/>
    <w:rsid w:val="00614BEA"/>
    <w:rsid w:val="00625702"/>
    <w:rsid w:val="0062595C"/>
    <w:rsid w:val="0062795E"/>
    <w:rsid w:val="00627C9F"/>
    <w:rsid w:val="006311E9"/>
    <w:rsid w:val="00631D05"/>
    <w:rsid w:val="00632354"/>
    <w:rsid w:val="00642671"/>
    <w:rsid w:val="00642810"/>
    <w:rsid w:val="00643864"/>
    <w:rsid w:val="00644925"/>
    <w:rsid w:val="00646423"/>
    <w:rsid w:val="00646DC7"/>
    <w:rsid w:val="00646EEB"/>
    <w:rsid w:val="0064780D"/>
    <w:rsid w:val="006514B8"/>
    <w:rsid w:val="00652333"/>
    <w:rsid w:val="0065254D"/>
    <w:rsid w:val="00654B53"/>
    <w:rsid w:val="00655639"/>
    <w:rsid w:val="00660F88"/>
    <w:rsid w:val="00662DA3"/>
    <w:rsid w:val="00664F8A"/>
    <w:rsid w:val="006660E3"/>
    <w:rsid w:val="00666F84"/>
    <w:rsid w:val="00671900"/>
    <w:rsid w:val="00674295"/>
    <w:rsid w:val="00677F73"/>
    <w:rsid w:val="0068009E"/>
    <w:rsid w:val="00685204"/>
    <w:rsid w:val="00692219"/>
    <w:rsid w:val="00693FE1"/>
    <w:rsid w:val="0069474E"/>
    <w:rsid w:val="006A01C5"/>
    <w:rsid w:val="006A17D2"/>
    <w:rsid w:val="006A192C"/>
    <w:rsid w:val="006A20E7"/>
    <w:rsid w:val="006A2CA5"/>
    <w:rsid w:val="006A73E6"/>
    <w:rsid w:val="006B1E15"/>
    <w:rsid w:val="006B2D5C"/>
    <w:rsid w:val="006B5A25"/>
    <w:rsid w:val="006B5EE6"/>
    <w:rsid w:val="006B65F4"/>
    <w:rsid w:val="006C15B2"/>
    <w:rsid w:val="006C4EB1"/>
    <w:rsid w:val="006C5675"/>
    <w:rsid w:val="006D1983"/>
    <w:rsid w:val="006D4210"/>
    <w:rsid w:val="006E0166"/>
    <w:rsid w:val="006E22A3"/>
    <w:rsid w:val="006E30C3"/>
    <w:rsid w:val="006E422D"/>
    <w:rsid w:val="006E7B34"/>
    <w:rsid w:val="006F7B50"/>
    <w:rsid w:val="0070185B"/>
    <w:rsid w:val="00703436"/>
    <w:rsid w:val="00704E90"/>
    <w:rsid w:val="0070578D"/>
    <w:rsid w:val="0070697F"/>
    <w:rsid w:val="00710AE8"/>
    <w:rsid w:val="00712D6A"/>
    <w:rsid w:val="00714026"/>
    <w:rsid w:val="00714DAB"/>
    <w:rsid w:val="007169FF"/>
    <w:rsid w:val="00716DDC"/>
    <w:rsid w:val="0072199C"/>
    <w:rsid w:val="00722C9F"/>
    <w:rsid w:val="0072489E"/>
    <w:rsid w:val="007253B8"/>
    <w:rsid w:val="00730AAD"/>
    <w:rsid w:val="00732F14"/>
    <w:rsid w:val="007351A1"/>
    <w:rsid w:val="0073741F"/>
    <w:rsid w:val="00752FB6"/>
    <w:rsid w:val="00753B0C"/>
    <w:rsid w:val="00760838"/>
    <w:rsid w:val="00763A93"/>
    <w:rsid w:val="0076643F"/>
    <w:rsid w:val="007665A8"/>
    <w:rsid w:val="00771ABF"/>
    <w:rsid w:val="00775DCB"/>
    <w:rsid w:val="007768E9"/>
    <w:rsid w:val="0077698F"/>
    <w:rsid w:val="00777F63"/>
    <w:rsid w:val="00784F24"/>
    <w:rsid w:val="00790EC3"/>
    <w:rsid w:val="00791835"/>
    <w:rsid w:val="00791A37"/>
    <w:rsid w:val="00793E05"/>
    <w:rsid w:val="00795A4E"/>
    <w:rsid w:val="007A3A6B"/>
    <w:rsid w:val="007A5817"/>
    <w:rsid w:val="007B05C4"/>
    <w:rsid w:val="007B0CAB"/>
    <w:rsid w:val="007B167D"/>
    <w:rsid w:val="007B3021"/>
    <w:rsid w:val="007B319F"/>
    <w:rsid w:val="007B60E9"/>
    <w:rsid w:val="007B6CC3"/>
    <w:rsid w:val="007B76D3"/>
    <w:rsid w:val="007C3334"/>
    <w:rsid w:val="007D1725"/>
    <w:rsid w:val="007D2B98"/>
    <w:rsid w:val="007D4BB7"/>
    <w:rsid w:val="007D5B29"/>
    <w:rsid w:val="007D7605"/>
    <w:rsid w:val="007E21BC"/>
    <w:rsid w:val="007E5572"/>
    <w:rsid w:val="007E5D1F"/>
    <w:rsid w:val="007E7C82"/>
    <w:rsid w:val="007F588D"/>
    <w:rsid w:val="0080214D"/>
    <w:rsid w:val="00803F1C"/>
    <w:rsid w:val="00803F42"/>
    <w:rsid w:val="0080600E"/>
    <w:rsid w:val="00806C00"/>
    <w:rsid w:val="00807BAF"/>
    <w:rsid w:val="00811EDB"/>
    <w:rsid w:val="00817612"/>
    <w:rsid w:val="008338A4"/>
    <w:rsid w:val="00834D49"/>
    <w:rsid w:val="00837C45"/>
    <w:rsid w:val="00842C98"/>
    <w:rsid w:val="00844730"/>
    <w:rsid w:val="008457C2"/>
    <w:rsid w:val="00852E9F"/>
    <w:rsid w:val="00855486"/>
    <w:rsid w:val="00857A82"/>
    <w:rsid w:val="00860DC6"/>
    <w:rsid w:val="008652C5"/>
    <w:rsid w:val="00873836"/>
    <w:rsid w:val="00883C95"/>
    <w:rsid w:val="00885737"/>
    <w:rsid w:val="00890650"/>
    <w:rsid w:val="00890943"/>
    <w:rsid w:val="00897E12"/>
    <w:rsid w:val="008A7E0F"/>
    <w:rsid w:val="008B12F5"/>
    <w:rsid w:val="008B3786"/>
    <w:rsid w:val="008B53E7"/>
    <w:rsid w:val="008B59C3"/>
    <w:rsid w:val="008C02D8"/>
    <w:rsid w:val="008C651D"/>
    <w:rsid w:val="008C7CF1"/>
    <w:rsid w:val="008D6F99"/>
    <w:rsid w:val="008D768D"/>
    <w:rsid w:val="008E18AF"/>
    <w:rsid w:val="008E3759"/>
    <w:rsid w:val="008E3BFE"/>
    <w:rsid w:val="008F1912"/>
    <w:rsid w:val="008F5C54"/>
    <w:rsid w:val="00900A8E"/>
    <w:rsid w:val="0090270B"/>
    <w:rsid w:val="009041DC"/>
    <w:rsid w:val="00904D68"/>
    <w:rsid w:val="009116E8"/>
    <w:rsid w:val="00917A75"/>
    <w:rsid w:val="00917B5A"/>
    <w:rsid w:val="00920A58"/>
    <w:rsid w:val="00920A8C"/>
    <w:rsid w:val="00920E6D"/>
    <w:rsid w:val="00923CC3"/>
    <w:rsid w:val="00933BE8"/>
    <w:rsid w:val="00934A2C"/>
    <w:rsid w:val="00936647"/>
    <w:rsid w:val="009404EB"/>
    <w:rsid w:val="00942945"/>
    <w:rsid w:val="0094523F"/>
    <w:rsid w:val="009456E1"/>
    <w:rsid w:val="00945902"/>
    <w:rsid w:val="00946ACD"/>
    <w:rsid w:val="00950761"/>
    <w:rsid w:val="0095180E"/>
    <w:rsid w:val="00951C2A"/>
    <w:rsid w:val="00953DBA"/>
    <w:rsid w:val="00957130"/>
    <w:rsid w:val="0096706E"/>
    <w:rsid w:val="009675CA"/>
    <w:rsid w:val="00974491"/>
    <w:rsid w:val="00974709"/>
    <w:rsid w:val="00975046"/>
    <w:rsid w:val="00975889"/>
    <w:rsid w:val="00975C4E"/>
    <w:rsid w:val="009770E8"/>
    <w:rsid w:val="00980282"/>
    <w:rsid w:val="00981571"/>
    <w:rsid w:val="00981F2C"/>
    <w:rsid w:val="00981FBA"/>
    <w:rsid w:val="009840FA"/>
    <w:rsid w:val="00984B40"/>
    <w:rsid w:val="00985868"/>
    <w:rsid w:val="00985FD4"/>
    <w:rsid w:val="009959F6"/>
    <w:rsid w:val="00997BC5"/>
    <w:rsid w:val="009A4F41"/>
    <w:rsid w:val="009B23A8"/>
    <w:rsid w:val="009B381B"/>
    <w:rsid w:val="009B5E3A"/>
    <w:rsid w:val="009C563B"/>
    <w:rsid w:val="009C5AF2"/>
    <w:rsid w:val="009D1200"/>
    <w:rsid w:val="009D1753"/>
    <w:rsid w:val="009D3249"/>
    <w:rsid w:val="009D7611"/>
    <w:rsid w:val="009E0B61"/>
    <w:rsid w:val="009E204C"/>
    <w:rsid w:val="009E4A68"/>
    <w:rsid w:val="009E53DE"/>
    <w:rsid w:val="009E592E"/>
    <w:rsid w:val="009F3A7E"/>
    <w:rsid w:val="009F618A"/>
    <w:rsid w:val="00A10734"/>
    <w:rsid w:val="00A11212"/>
    <w:rsid w:val="00A11E44"/>
    <w:rsid w:val="00A128D4"/>
    <w:rsid w:val="00A14B51"/>
    <w:rsid w:val="00A20E1B"/>
    <w:rsid w:val="00A2749A"/>
    <w:rsid w:val="00A27CDF"/>
    <w:rsid w:val="00A30795"/>
    <w:rsid w:val="00A323B5"/>
    <w:rsid w:val="00A328B3"/>
    <w:rsid w:val="00A357BE"/>
    <w:rsid w:val="00A35EA2"/>
    <w:rsid w:val="00A372DA"/>
    <w:rsid w:val="00A37F2E"/>
    <w:rsid w:val="00A456C0"/>
    <w:rsid w:val="00A50FCF"/>
    <w:rsid w:val="00A528D1"/>
    <w:rsid w:val="00A53003"/>
    <w:rsid w:val="00A545A9"/>
    <w:rsid w:val="00A558F5"/>
    <w:rsid w:val="00A60E5F"/>
    <w:rsid w:val="00A610CD"/>
    <w:rsid w:val="00A735CD"/>
    <w:rsid w:val="00A75799"/>
    <w:rsid w:val="00A758AA"/>
    <w:rsid w:val="00A75CC3"/>
    <w:rsid w:val="00A8174B"/>
    <w:rsid w:val="00A84B77"/>
    <w:rsid w:val="00A86E82"/>
    <w:rsid w:val="00A92649"/>
    <w:rsid w:val="00A934A2"/>
    <w:rsid w:val="00A96E5F"/>
    <w:rsid w:val="00AA09A2"/>
    <w:rsid w:val="00AA4BEF"/>
    <w:rsid w:val="00AA6416"/>
    <w:rsid w:val="00AA7996"/>
    <w:rsid w:val="00AB0171"/>
    <w:rsid w:val="00AB27FF"/>
    <w:rsid w:val="00AB2CCA"/>
    <w:rsid w:val="00AC0800"/>
    <w:rsid w:val="00AC118A"/>
    <w:rsid w:val="00AC1419"/>
    <w:rsid w:val="00AC19CB"/>
    <w:rsid w:val="00AD1410"/>
    <w:rsid w:val="00AD3B33"/>
    <w:rsid w:val="00AE26D0"/>
    <w:rsid w:val="00AE2A26"/>
    <w:rsid w:val="00AE5488"/>
    <w:rsid w:val="00AE6D2B"/>
    <w:rsid w:val="00AE6F91"/>
    <w:rsid w:val="00AE7A89"/>
    <w:rsid w:val="00AE7C9A"/>
    <w:rsid w:val="00AF3067"/>
    <w:rsid w:val="00AF5571"/>
    <w:rsid w:val="00B00068"/>
    <w:rsid w:val="00B00746"/>
    <w:rsid w:val="00B02389"/>
    <w:rsid w:val="00B07341"/>
    <w:rsid w:val="00B10779"/>
    <w:rsid w:val="00B15DE1"/>
    <w:rsid w:val="00B30539"/>
    <w:rsid w:val="00B314DB"/>
    <w:rsid w:val="00B361F2"/>
    <w:rsid w:val="00B3718B"/>
    <w:rsid w:val="00B44BCA"/>
    <w:rsid w:val="00B45456"/>
    <w:rsid w:val="00B45654"/>
    <w:rsid w:val="00B4632A"/>
    <w:rsid w:val="00B51266"/>
    <w:rsid w:val="00B51940"/>
    <w:rsid w:val="00B530F1"/>
    <w:rsid w:val="00B6505B"/>
    <w:rsid w:val="00B650D5"/>
    <w:rsid w:val="00B74BF9"/>
    <w:rsid w:val="00B85AC3"/>
    <w:rsid w:val="00B86604"/>
    <w:rsid w:val="00B86788"/>
    <w:rsid w:val="00B878DB"/>
    <w:rsid w:val="00B93CD7"/>
    <w:rsid w:val="00B95931"/>
    <w:rsid w:val="00BA276C"/>
    <w:rsid w:val="00BA2A06"/>
    <w:rsid w:val="00BA2DA7"/>
    <w:rsid w:val="00BA5ACD"/>
    <w:rsid w:val="00BA5C4C"/>
    <w:rsid w:val="00BA660D"/>
    <w:rsid w:val="00BB306F"/>
    <w:rsid w:val="00BB3B20"/>
    <w:rsid w:val="00BB4704"/>
    <w:rsid w:val="00BC2A79"/>
    <w:rsid w:val="00BC2D7E"/>
    <w:rsid w:val="00BD4B89"/>
    <w:rsid w:val="00BD5922"/>
    <w:rsid w:val="00BD6291"/>
    <w:rsid w:val="00BE15A5"/>
    <w:rsid w:val="00BE4B9C"/>
    <w:rsid w:val="00BF02CB"/>
    <w:rsid w:val="00BF49A6"/>
    <w:rsid w:val="00BF6FD8"/>
    <w:rsid w:val="00C03680"/>
    <w:rsid w:val="00C04151"/>
    <w:rsid w:val="00C04DC2"/>
    <w:rsid w:val="00C05133"/>
    <w:rsid w:val="00C054DF"/>
    <w:rsid w:val="00C0639D"/>
    <w:rsid w:val="00C106FD"/>
    <w:rsid w:val="00C111FF"/>
    <w:rsid w:val="00C12F6B"/>
    <w:rsid w:val="00C164FD"/>
    <w:rsid w:val="00C21657"/>
    <w:rsid w:val="00C21762"/>
    <w:rsid w:val="00C21FEF"/>
    <w:rsid w:val="00C24543"/>
    <w:rsid w:val="00C25420"/>
    <w:rsid w:val="00C256A2"/>
    <w:rsid w:val="00C3078F"/>
    <w:rsid w:val="00C33CE7"/>
    <w:rsid w:val="00C36409"/>
    <w:rsid w:val="00C370C9"/>
    <w:rsid w:val="00C41750"/>
    <w:rsid w:val="00C45BC6"/>
    <w:rsid w:val="00C51515"/>
    <w:rsid w:val="00C51D80"/>
    <w:rsid w:val="00C5660B"/>
    <w:rsid w:val="00C66B72"/>
    <w:rsid w:val="00C67DD9"/>
    <w:rsid w:val="00C7503D"/>
    <w:rsid w:val="00C80795"/>
    <w:rsid w:val="00C81501"/>
    <w:rsid w:val="00C87AC4"/>
    <w:rsid w:val="00C94B07"/>
    <w:rsid w:val="00C9567A"/>
    <w:rsid w:val="00C96AA4"/>
    <w:rsid w:val="00C96AFF"/>
    <w:rsid w:val="00CB0A52"/>
    <w:rsid w:val="00CB212D"/>
    <w:rsid w:val="00CB2660"/>
    <w:rsid w:val="00CB48E5"/>
    <w:rsid w:val="00CB6614"/>
    <w:rsid w:val="00CC0249"/>
    <w:rsid w:val="00CC1094"/>
    <w:rsid w:val="00CC1C92"/>
    <w:rsid w:val="00CC5E90"/>
    <w:rsid w:val="00CD046C"/>
    <w:rsid w:val="00CD5CEE"/>
    <w:rsid w:val="00CD6CCF"/>
    <w:rsid w:val="00CE076C"/>
    <w:rsid w:val="00CE5185"/>
    <w:rsid w:val="00CE5199"/>
    <w:rsid w:val="00CE66D5"/>
    <w:rsid w:val="00CF0816"/>
    <w:rsid w:val="00CF637A"/>
    <w:rsid w:val="00CF6976"/>
    <w:rsid w:val="00D02CD8"/>
    <w:rsid w:val="00D03E48"/>
    <w:rsid w:val="00D059DE"/>
    <w:rsid w:val="00D05ABD"/>
    <w:rsid w:val="00D1117E"/>
    <w:rsid w:val="00D13FCE"/>
    <w:rsid w:val="00D16BB5"/>
    <w:rsid w:val="00D202EB"/>
    <w:rsid w:val="00D21316"/>
    <w:rsid w:val="00D22F29"/>
    <w:rsid w:val="00D26228"/>
    <w:rsid w:val="00D306D1"/>
    <w:rsid w:val="00D30800"/>
    <w:rsid w:val="00D34786"/>
    <w:rsid w:val="00D358AF"/>
    <w:rsid w:val="00D37BFC"/>
    <w:rsid w:val="00D42F1E"/>
    <w:rsid w:val="00D44270"/>
    <w:rsid w:val="00D451D6"/>
    <w:rsid w:val="00D47A8E"/>
    <w:rsid w:val="00D51692"/>
    <w:rsid w:val="00D52C24"/>
    <w:rsid w:val="00D52D14"/>
    <w:rsid w:val="00D56A62"/>
    <w:rsid w:val="00D63BD0"/>
    <w:rsid w:val="00D64EE9"/>
    <w:rsid w:val="00D65118"/>
    <w:rsid w:val="00D712D3"/>
    <w:rsid w:val="00D71422"/>
    <w:rsid w:val="00D723DD"/>
    <w:rsid w:val="00D72DC6"/>
    <w:rsid w:val="00D7558D"/>
    <w:rsid w:val="00D81D92"/>
    <w:rsid w:val="00D834AA"/>
    <w:rsid w:val="00D86434"/>
    <w:rsid w:val="00D876F9"/>
    <w:rsid w:val="00D8772D"/>
    <w:rsid w:val="00D91630"/>
    <w:rsid w:val="00D91AF2"/>
    <w:rsid w:val="00D93E24"/>
    <w:rsid w:val="00DA2224"/>
    <w:rsid w:val="00DA4E2F"/>
    <w:rsid w:val="00DA7B5F"/>
    <w:rsid w:val="00DA7BF9"/>
    <w:rsid w:val="00DB7F79"/>
    <w:rsid w:val="00DC04D7"/>
    <w:rsid w:val="00DC11E7"/>
    <w:rsid w:val="00DC15CF"/>
    <w:rsid w:val="00DC2CFD"/>
    <w:rsid w:val="00DC2DFA"/>
    <w:rsid w:val="00DC3817"/>
    <w:rsid w:val="00DC7023"/>
    <w:rsid w:val="00DC769A"/>
    <w:rsid w:val="00DD145E"/>
    <w:rsid w:val="00DD189E"/>
    <w:rsid w:val="00DD3D4D"/>
    <w:rsid w:val="00DD3D86"/>
    <w:rsid w:val="00DD4AD2"/>
    <w:rsid w:val="00DD5187"/>
    <w:rsid w:val="00DE34D7"/>
    <w:rsid w:val="00DE7593"/>
    <w:rsid w:val="00DF1E04"/>
    <w:rsid w:val="00DF1EC4"/>
    <w:rsid w:val="00DF266C"/>
    <w:rsid w:val="00DF3401"/>
    <w:rsid w:val="00DF3ED5"/>
    <w:rsid w:val="00DF4D70"/>
    <w:rsid w:val="00E01C23"/>
    <w:rsid w:val="00E02ED6"/>
    <w:rsid w:val="00E0340B"/>
    <w:rsid w:val="00E04A90"/>
    <w:rsid w:val="00E0551F"/>
    <w:rsid w:val="00E072AB"/>
    <w:rsid w:val="00E07F16"/>
    <w:rsid w:val="00E1172C"/>
    <w:rsid w:val="00E1328D"/>
    <w:rsid w:val="00E167CE"/>
    <w:rsid w:val="00E219C7"/>
    <w:rsid w:val="00E2348E"/>
    <w:rsid w:val="00E25984"/>
    <w:rsid w:val="00E31933"/>
    <w:rsid w:val="00E32FA9"/>
    <w:rsid w:val="00E3322A"/>
    <w:rsid w:val="00E3460C"/>
    <w:rsid w:val="00E40376"/>
    <w:rsid w:val="00E4118C"/>
    <w:rsid w:val="00E42404"/>
    <w:rsid w:val="00E43157"/>
    <w:rsid w:val="00E45224"/>
    <w:rsid w:val="00E45C69"/>
    <w:rsid w:val="00E461CE"/>
    <w:rsid w:val="00E50178"/>
    <w:rsid w:val="00E526D9"/>
    <w:rsid w:val="00E5568B"/>
    <w:rsid w:val="00E55F62"/>
    <w:rsid w:val="00E57CF9"/>
    <w:rsid w:val="00E70755"/>
    <w:rsid w:val="00E720CA"/>
    <w:rsid w:val="00E757F9"/>
    <w:rsid w:val="00E77B2D"/>
    <w:rsid w:val="00E77E10"/>
    <w:rsid w:val="00E812CC"/>
    <w:rsid w:val="00E81D12"/>
    <w:rsid w:val="00E83A19"/>
    <w:rsid w:val="00E84EB5"/>
    <w:rsid w:val="00E84FA1"/>
    <w:rsid w:val="00E85662"/>
    <w:rsid w:val="00E86F7E"/>
    <w:rsid w:val="00E8789F"/>
    <w:rsid w:val="00E97B71"/>
    <w:rsid w:val="00E97CB1"/>
    <w:rsid w:val="00EA1A34"/>
    <w:rsid w:val="00EA3D34"/>
    <w:rsid w:val="00EA7537"/>
    <w:rsid w:val="00EB1A15"/>
    <w:rsid w:val="00EB3CE2"/>
    <w:rsid w:val="00EB454D"/>
    <w:rsid w:val="00EB6142"/>
    <w:rsid w:val="00EC3C4B"/>
    <w:rsid w:val="00ED2B12"/>
    <w:rsid w:val="00ED3F88"/>
    <w:rsid w:val="00ED43D9"/>
    <w:rsid w:val="00ED549D"/>
    <w:rsid w:val="00ED5F76"/>
    <w:rsid w:val="00ED76BE"/>
    <w:rsid w:val="00EE00E9"/>
    <w:rsid w:val="00EE0AA6"/>
    <w:rsid w:val="00EE10AD"/>
    <w:rsid w:val="00EE2674"/>
    <w:rsid w:val="00EE2C30"/>
    <w:rsid w:val="00EE4573"/>
    <w:rsid w:val="00EF0723"/>
    <w:rsid w:val="00EF0F37"/>
    <w:rsid w:val="00EF542A"/>
    <w:rsid w:val="00EF619B"/>
    <w:rsid w:val="00EF634D"/>
    <w:rsid w:val="00F00B55"/>
    <w:rsid w:val="00F02AD1"/>
    <w:rsid w:val="00F07C05"/>
    <w:rsid w:val="00F11AE5"/>
    <w:rsid w:val="00F17F2E"/>
    <w:rsid w:val="00F21187"/>
    <w:rsid w:val="00F253CC"/>
    <w:rsid w:val="00F26DFA"/>
    <w:rsid w:val="00F26F6B"/>
    <w:rsid w:val="00F27918"/>
    <w:rsid w:val="00F34727"/>
    <w:rsid w:val="00F34D16"/>
    <w:rsid w:val="00F37106"/>
    <w:rsid w:val="00F372FC"/>
    <w:rsid w:val="00F40ED6"/>
    <w:rsid w:val="00F41CDE"/>
    <w:rsid w:val="00F42983"/>
    <w:rsid w:val="00F4461F"/>
    <w:rsid w:val="00F4466B"/>
    <w:rsid w:val="00F45663"/>
    <w:rsid w:val="00F468DB"/>
    <w:rsid w:val="00F519CF"/>
    <w:rsid w:val="00F52001"/>
    <w:rsid w:val="00F539D8"/>
    <w:rsid w:val="00F56BA5"/>
    <w:rsid w:val="00F603A8"/>
    <w:rsid w:val="00F60E22"/>
    <w:rsid w:val="00F62569"/>
    <w:rsid w:val="00F64D6A"/>
    <w:rsid w:val="00F72F63"/>
    <w:rsid w:val="00F74313"/>
    <w:rsid w:val="00F74F6E"/>
    <w:rsid w:val="00F75DF2"/>
    <w:rsid w:val="00F81395"/>
    <w:rsid w:val="00F81BB8"/>
    <w:rsid w:val="00F917D1"/>
    <w:rsid w:val="00F9653B"/>
    <w:rsid w:val="00FA134D"/>
    <w:rsid w:val="00FA2BFC"/>
    <w:rsid w:val="00FA4AB8"/>
    <w:rsid w:val="00FA66C4"/>
    <w:rsid w:val="00FB598E"/>
    <w:rsid w:val="00FB62CF"/>
    <w:rsid w:val="00FC3E04"/>
    <w:rsid w:val="00FC7F77"/>
    <w:rsid w:val="00FD3C3B"/>
    <w:rsid w:val="00FE07DD"/>
    <w:rsid w:val="00FE089D"/>
    <w:rsid w:val="00FE1D2A"/>
    <w:rsid w:val="00FE4C93"/>
    <w:rsid w:val="00FE5E34"/>
    <w:rsid w:val="00FE6B45"/>
    <w:rsid w:val="00FE6D1F"/>
    <w:rsid w:val="00FF38E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character" w:customStyle="1" w:styleId="normaltextrun">
    <w:name w:val="normaltextrun"/>
    <w:basedOn w:val="DefaultParagraphFont"/>
    <w:rsid w:val="003C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36846231">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507258363">
      <w:bodyDiv w:val="1"/>
      <w:marLeft w:val="0"/>
      <w:marRight w:val="0"/>
      <w:marTop w:val="0"/>
      <w:marBottom w:val="0"/>
      <w:divBdr>
        <w:top w:val="none" w:sz="0" w:space="0" w:color="auto"/>
        <w:left w:val="none" w:sz="0" w:space="0" w:color="auto"/>
        <w:bottom w:val="none" w:sz="0" w:space="0" w:color="auto"/>
        <w:right w:val="none" w:sz="0" w:space="0" w:color="auto"/>
      </w:divBdr>
    </w:div>
    <w:div w:id="592586796">
      <w:bodyDiv w:val="1"/>
      <w:marLeft w:val="0"/>
      <w:marRight w:val="0"/>
      <w:marTop w:val="0"/>
      <w:marBottom w:val="0"/>
      <w:divBdr>
        <w:top w:val="none" w:sz="0" w:space="0" w:color="auto"/>
        <w:left w:val="none" w:sz="0" w:space="0" w:color="auto"/>
        <w:bottom w:val="none" w:sz="0" w:space="0" w:color="auto"/>
        <w:right w:val="none" w:sz="0" w:space="0" w:color="auto"/>
      </w:divBdr>
    </w:div>
    <w:div w:id="763572163">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900776">
      <w:bodyDiv w:val="1"/>
      <w:marLeft w:val="0"/>
      <w:marRight w:val="0"/>
      <w:marTop w:val="0"/>
      <w:marBottom w:val="0"/>
      <w:divBdr>
        <w:top w:val="none" w:sz="0" w:space="0" w:color="auto"/>
        <w:left w:val="none" w:sz="0" w:space="0" w:color="auto"/>
        <w:bottom w:val="none" w:sz="0" w:space="0" w:color="auto"/>
        <w:right w:val="none" w:sz="0" w:space="0" w:color="auto"/>
      </w:divBdr>
    </w:div>
    <w:div w:id="1258177828">
      <w:bodyDiv w:val="1"/>
      <w:marLeft w:val="0"/>
      <w:marRight w:val="0"/>
      <w:marTop w:val="0"/>
      <w:marBottom w:val="0"/>
      <w:divBdr>
        <w:top w:val="none" w:sz="0" w:space="0" w:color="auto"/>
        <w:left w:val="none" w:sz="0" w:space="0" w:color="auto"/>
        <w:bottom w:val="none" w:sz="0" w:space="0" w:color="auto"/>
        <w:right w:val="none" w:sz="0" w:space="0" w:color="auto"/>
      </w:divBdr>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10292601">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111023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788748">
      <w:bodyDiv w:val="1"/>
      <w:marLeft w:val="0"/>
      <w:marRight w:val="0"/>
      <w:marTop w:val="0"/>
      <w:marBottom w:val="0"/>
      <w:divBdr>
        <w:top w:val="none" w:sz="0" w:space="0" w:color="auto"/>
        <w:left w:val="none" w:sz="0" w:space="0" w:color="auto"/>
        <w:bottom w:val="none" w:sz="0" w:space="0" w:color="auto"/>
        <w:right w:val="none" w:sz="0" w:space="0" w:color="auto"/>
      </w:divBdr>
    </w:div>
    <w:div w:id="1820532709">
      <w:bodyDiv w:val="1"/>
      <w:marLeft w:val="0"/>
      <w:marRight w:val="0"/>
      <w:marTop w:val="0"/>
      <w:marBottom w:val="0"/>
      <w:divBdr>
        <w:top w:val="none" w:sz="0" w:space="0" w:color="auto"/>
        <w:left w:val="none" w:sz="0" w:space="0" w:color="auto"/>
        <w:bottom w:val="none" w:sz="0" w:space="0" w:color="auto"/>
        <w:right w:val="none" w:sz="0" w:space="0" w:color="auto"/>
      </w:divBdr>
    </w:div>
    <w:div w:id="1906523837">
      <w:bodyDiv w:val="1"/>
      <w:marLeft w:val="0"/>
      <w:marRight w:val="0"/>
      <w:marTop w:val="0"/>
      <w:marBottom w:val="0"/>
      <w:divBdr>
        <w:top w:val="none" w:sz="0" w:space="0" w:color="auto"/>
        <w:left w:val="none" w:sz="0" w:space="0" w:color="auto"/>
        <w:bottom w:val="none" w:sz="0" w:space="0" w:color="auto"/>
        <w:right w:val="none" w:sz="0" w:space="0" w:color="auto"/>
      </w:divBdr>
    </w:div>
    <w:div w:id="1970549580">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77/24</dc:title>
  <dc:creator/>
  <cp:lastModifiedBy/>
  <cp:revision>1</cp:revision>
  <dcterms:created xsi:type="dcterms:W3CDTF">2024-08-21T15:24:00Z</dcterms:created>
  <dcterms:modified xsi:type="dcterms:W3CDTF">2024-08-21T21:56:00Z</dcterms:modified>
</cp:coreProperties>
</file>