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57F80204" w:rsidR="00040C3A" w:rsidRPr="003C32BC" w:rsidRDefault="00C165C0"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75573080">
                <wp:simplePos x="0" y="0"/>
                <wp:positionH relativeFrom="column">
                  <wp:posOffset>1208598</wp:posOffset>
                </wp:positionH>
                <wp:positionV relativeFrom="paragraph">
                  <wp:posOffset>76504</wp:posOffset>
                </wp:positionV>
                <wp:extent cx="4269851"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269851"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F43544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00890">
                              <w:rPr>
                                <w:rFonts w:asciiTheme="majorHAnsi" w:hAnsiTheme="majorHAnsi" w:cs="Arial"/>
                                <w:b/>
                                <w:bCs/>
                                <w:color w:val="0D0D0D" w:themeColor="text1" w:themeTint="F2"/>
                                <w:sz w:val="36"/>
                                <w:szCs w:val="40"/>
                              </w:rPr>
                              <w:t>103</w:t>
                            </w:r>
                            <w:r w:rsidRPr="004B7EB6">
                              <w:rPr>
                                <w:rFonts w:asciiTheme="majorHAnsi" w:hAnsiTheme="majorHAnsi" w:cs="Arial"/>
                                <w:b/>
                                <w:bCs/>
                                <w:color w:val="0D0D0D" w:themeColor="text1" w:themeTint="F2"/>
                                <w:sz w:val="36"/>
                                <w:szCs w:val="40"/>
                              </w:rPr>
                              <w:t>/</w:t>
                            </w:r>
                            <w:r w:rsidR="00744868" w:rsidRPr="001C1E24">
                              <w:rPr>
                                <w:rFonts w:asciiTheme="majorHAnsi" w:hAnsiTheme="majorHAnsi" w:cs="Arial"/>
                                <w:b/>
                                <w:bCs/>
                                <w:color w:val="0D0D0D" w:themeColor="text1" w:themeTint="F2"/>
                                <w:sz w:val="36"/>
                                <w:szCs w:val="40"/>
                              </w:rPr>
                              <w:t>2</w:t>
                            </w:r>
                            <w:r w:rsidR="001C1E24" w:rsidRPr="001C1E24">
                              <w:rPr>
                                <w:rFonts w:asciiTheme="majorHAnsi" w:hAnsiTheme="majorHAnsi" w:cs="Arial"/>
                                <w:b/>
                                <w:bCs/>
                                <w:color w:val="0D0D0D" w:themeColor="text1" w:themeTint="F2"/>
                                <w:sz w:val="36"/>
                                <w:szCs w:val="40"/>
                              </w:rPr>
                              <w:t>4</w:t>
                            </w:r>
                          </w:p>
                          <w:p w14:paraId="2F09FD78" w14:textId="574F516D" w:rsidR="00322450" w:rsidRPr="00744868" w:rsidRDefault="001C1E2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2225-15</w:t>
                            </w:r>
                          </w:p>
                          <w:p w14:paraId="137925A6" w14:textId="0E652BC3"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1C1E24">
                              <w:rPr>
                                <w:rFonts w:asciiTheme="majorHAnsi" w:hAnsiTheme="majorHAnsi" w:cs="Arial"/>
                                <w:color w:val="0D0D0D" w:themeColor="text1" w:themeTint="F2"/>
                                <w:szCs w:val="22"/>
                              </w:rPr>
                              <w:t xml:space="preserve">ADMISSIBILITY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46030E2" w14:textId="4966038C" w:rsidR="0041686E" w:rsidRPr="001063BB" w:rsidRDefault="002501BE" w:rsidP="0041686E">
                            <w:pPr>
                              <w:spacing w:line="276" w:lineRule="auto"/>
                              <w:rPr>
                                <w:rFonts w:asciiTheme="majorHAnsi" w:hAnsiTheme="majorHAnsi" w:cs="Arial"/>
                                <w:color w:val="0D0D0D" w:themeColor="text1" w:themeTint="F2"/>
                                <w:szCs w:val="22"/>
                              </w:rPr>
                            </w:pPr>
                            <w:r w:rsidRPr="001063BB">
                              <w:rPr>
                                <w:rFonts w:asciiTheme="majorHAnsi" w:hAnsiTheme="majorHAnsi" w:cs="Arial"/>
                                <w:color w:val="0D0D0D" w:themeColor="text1" w:themeTint="F2"/>
                                <w:szCs w:val="22"/>
                              </w:rPr>
                              <w:t xml:space="preserve">ADOLESCENTS </w:t>
                            </w:r>
                            <w:r w:rsidR="00CF6C25" w:rsidRPr="001063BB">
                              <w:rPr>
                                <w:rFonts w:asciiTheme="majorHAnsi" w:hAnsiTheme="majorHAnsi" w:cs="Arial"/>
                                <w:color w:val="0D0D0D" w:themeColor="text1" w:themeTint="F2"/>
                                <w:szCs w:val="22"/>
                              </w:rPr>
                              <w:t xml:space="preserve">IN THE CUSTODY OF </w:t>
                            </w:r>
                            <w:r w:rsidRPr="001063BB">
                              <w:rPr>
                                <w:rFonts w:asciiTheme="majorHAnsi" w:hAnsiTheme="majorHAnsi" w:cs="Arial"/>
                                <w:color w:val="0D0D0D" w:themeColor="text1" w:themeTint="F2"/>
                                <w:szCs w:val="22"/>
                              </w:rPr>
                              <w:t xml:space="preserve">SOCIO-EDUCATIONAL CENTERS OF BELO HORIZONTE </w:t>
                            </w:r>
                          </w:p>
                          <w:p w14:paraId="07E90BFE" w14:textId="2586BC4C" w:rsidR="005B52B0" w:rsidRPr="004B7EB6" w:rsidRDefault="002501BE"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15pt;margin-top:6pt;width:336.2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" filled="f" stroked="f" strokeweight=".5pt">
                <v:textbox>
                  <w:txbxContent>
                    <w:p w14:paraId="7E26BC12" w14:textId="5F43544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00890">
                        <w:rPr>
                          <w:rFonts w:asciiTheme="majorHAnsi" w:hAnsiTheme="majorHAnsi" w:cs="Arial"/>
                          <w:b/>
                          <w:bCs/>
                          <w:color w:val="0D0D0D" w:themeColor="text1" w:themeTint="F2"/>
                          <w:sz w:val="36"/>
                          <w:szCs w:val="40"/>
                        </w:rPr>
                        <w:t>103</w:t>
                      </w:r>
                      <w:r w:rsidRPr="004B7EB6">
                        <w:rPr>
                          <w:rFonts w:asciiTheme="majorHAnsi" w:hAnsiTheme="majorHAnsi" w:cs="Arial"/>
                          <w:b/>
                          <w:bCs/>
                          <w:color w:val="0D0D0D" w:themeColor="text1" w:themeTint="F2"/>
                          <w:sz w:val="36"/>
                          <w:szCs w:val="40"/>
                        </w:rPr>
                        <w:t>/</w:t>
                      </w:r>
                      <w:r w:rsidR="00744868" w:rsidRPr="001C1E24">
                        <w:rPr>
                          <w:rFonts w:asciiTheme="majorHAnsi" w:hAnsiTheme="majorHAnsi" w:cs="Arial"/>
                          <w:b/>
                          <w:bCs/>
                          <w:color w:val="0D0D0D" w:themeColor="text1" w:themeTint="F2"/>
                          <w:sz w:val="36"/>
                          <w:szCs w:val="40"/>
                        </w:rPr>
                        <w:t>2</w:t>
                      </w:r>
                      <w:r w:rsidR="001C1E24" w:rsidRPr="001C1E24">
                        <w:rPr>
                          <w:rFonts w:asciiTheme="majorHAnsi" w:hAnsiTheme="majorHAnsi" w:cs="Arial"/>
                          <w:b/>
                          <w:bCs/>
                          <w:color w:val="0D0D0D" w:themeColor="text1" w:themeTint="F2"/>
                          <w:sz w:val="36"/>
                          <w:szCs w:val="40"/>
                        </w:rPr>
                        <w:t>4</w:t>
                      </w:r>
                    </w:p>
                    <w:p w14:paraId="2F09FD78" w14:textId="574F516D" w:rsidR="00322450" w:rsidRPr="00744868" w:rsidRDefault="001C1E2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2225-15</w:t>
                      </w:r>
                    </w:p>
                    <w:p w14:paraId="137925A6" w14:textId="0E652BC3"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1C1E24">
                        <w:rPr>
                          <w:rFonts w:asciiTheme="majorHAnsi" w:hAnsiTheme="majorHAnsi" w:cs="Arial"/>
                          <w:color w:val="0D0D0D" w:themeColor="text1" w:themeTint="F2"/>
                          <w:szCs w:val="22"/>
                        </w:rPr>
                        <w:t xml:space="preserve">ADMISSIBILITY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46030E2" w14:textId="4966038C" w:rsidR="0041686E" w:rsidRPr="001063BB" w:rsidRDefault="002501BE" w:rsidP="0041686E">
                      <w:pPr>
                        <w:spacing w:line="276" w:lineRule="auto"/>
                        <w:rPr>
                          <w:rFonts w:asciiTheme="majorHAnsi" w:hAnsiTheme="majorHAnsi" w:cs="Arial"/>
                          <w:color w:val="0D0D0D" w:themeColor="text1" w:themeTint="F2"/>
                          <w:szCs w:val="22"/>
                        </w:rPr>
                      </w:pPr>
                      <w:r w:rsidRPr="001063BB">
                        <w:rPr>
                          <w:rFonts w:asciiTheme="majorHAnsi" w:hAnsiTheme="majorHAnsi" w:cs="Arial"/>
                          <w:color w:val="0D0D0D" w:themeColor="text1" w:themeTint="F2"/>
                          <w:szCs w:val="22"/>
                        </w:rPr>
                        <w:t xml:space="preserve">ADOLESCENTS </w:t>
                      </w:r>
                      <w:r w:rsidR="00CF6C25" w:rsidRPr="001063BB">
                        <w:rPr>
                          <w:rFonts w:asciiTheme="majorHAnsi" w:hAnsiTheme="majorHAnsi" w:cs="Arial"/>
                          <w:color w:val="0D0D0D" w:themeColor="text1" w:themeTint="F2"/>
                          <w:szCs w:val="22"/>
                        </w:rPr>
                        <w:t xml:space="preserve">IN THE CUSTODY OF </w:t>
                      </w:r>
                      <w:r w:rsidRPr="001063BB">
                        <w:rPr>
                          <w:rFonts w:asciiTheme="majorHAnsi" w:hAnsiTheme="majorHAnsi" w:cs="Arial"/>
                          <w:color w:val="0D0D0D" w:themeColor="text1" w:themeTint="F2"/>
                          <w:szCs w:val="22"/>
                        </w:rPr>
                        <w:t xml:space="preserve">SOCIO-EDUCATIONAL CENTERS OF BELO HORIZONTE </w:t>
                      </w:r>
                    </w:p>
                    <w:p w14:paraId="07E90BFE" w14:textId="2586BC4C" w:rsidR="005B52B0" w:rsidRPr="004B7EB6" w:rsidRDefault="002501BE"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BRAZIL</w:t>
                      </w:r>
                    </w:p>
                  </w:txbxContent>
                </v:textbox>
              </v:shape>
            </w:pict>
          </mc:Fallback>
        </mc:AlternateContent>
      </w:r>
      <w:r w:rsidR="001C1E24"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224B707C">
                <wp:simplePos x="0" y="0"/>
                <wp:positionH relativeFrom="column">
                  <wp:posOffset>-372794</wp:posOffset>
                </wp:positionH>
                <wp:positionV relativeFrom="paragraph">
                  <wp:posOffset>126658</wp:posOffset>
                </wp:positionV>
                <wp:extent cx="1350499"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50499"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599A6F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471C5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w:t>
                            </w:r>
                            <w:r w:rsidR="00900079">
                              <w:rPr>
                                <w:rFonts w:asciiTheme="minorHAnsi" w:hAnsiTheme="minorHAnsi"/>
                                <w:color w:val="FFFFFF" w:themeColor="background1"/>
                                <w:sz w:val="22"/>
                                <w:lang w:val="pt-BR"/>
                              </w:rPr>
                              <w:t>I</w:t>
                            </w:r>
                            <w:r w:rsidRPr="004B7EB6">
                              <w:rPr>
                                <w:rFonts w:asciiTheme="minorHAnsi" w:hAnsiTheme="minorHAnsi"/>
                                <w:color w:val="FFFFFF" w:themeColor="background1"/>
                                <w:sz w:val="22"/>
                                <w:lang w:val="pt-BR"/>
                              </w:rPr>
                              <w:t>I</w:t>
                            </w:r>
                          </w:p>
                          <w:p w14:paraId="330BBEF7" w14:textId="106FEBF7" w:rsidR="00627C9F" w:rsidRPr="000F3758" w:rsidRDefault="00627C9F" w:rsidP="002C1641">
                            <w:pPr>
                              <w:jc w:val="right"/>
                              <w:rPr>
                                <w:rFonts w:asciiTheme="minorHAnsi" w:hAnsiTheme="minorHAnsi"/>
                                <w:color w:val="FFFFFF" w:themeColor="background1"/>
                                <w:sz w:val="22"/>
                                <w:lang w:val="pt-BR"/>
                              </w:rPr>
                            </w:pPr>
                            <w:r w:rsidRPr="000F3758">
                              <w:rPr>
                                <w:rFonts w:asciiTheme="minorHAnsi" w:hAnsiTheme="minorHAnsi"/>
                                <w:color w:val="FFFFFF" w:themeColor="background1"/>
                                <w:sz w:val="22"/>
                                <w:lang w:val="pt-BR"/>
                              </w:rPr>
                              <w:t xml:space="preserve">Doc. </w:t>
                            </w:r>
                            <w:r w:rsidR="00200890">
                              <w:rPr>
                                <w:rFonts w:asciiTheme="minorHAnsi" w:hAnsiTheme="minorHAnsi"/>
                                <w:color w:val="FFFFFF" w:themeColor="background1"/>
                                <w:sz w:val="22"/>
                                <w:lang w:val="pt-BR"/>
                              </w:rPr>
                              <w:t>108</w:t>
                            </w:r>
                          </w:p>
                          <w:p w14:paraId="64A9D0B0" w14:textId="19B2270A" w:rsidR="00627C9F" w:rsidRPr="000F3758" w:rsidRDefault="00C165C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12 July</w:t>
                            </w:r>
                            <w:r w:rsidR="00FE0533" w:rsidRPr="000F3758">
                              <w:rPr>
                                <w:rFonts w:asciiTheme="minorHAnsi" w:hAnsiTheme="minorHAnsi"/>
                                <w:color w:val="FFFFFF" w:themeColor="background1"/>
                                <w:sz w:val="22"/>
                                <w:lang w:val="pt-BR"/>
                              </w:rPr>
                              <w:t xml:space="preserve"> </w:t>
                            </w:r>
                            <w:r w:rsidR="00627C9F" w:rsidRPr="000F3758">
                              <w:rPr>
                                <w:rFonts w:asciiTheme="minorHAnsi" w:hAnsiTheme="minorHAnsi"/>
                                <w:color w:val="FFFFFF" w:themeColor="background1"/>
                                <w:sz w:val="22"/>
                                <w:lang w:val="pt-BR"/>
                              </w:rPr>
                              <w:t>20</w:t>
                            </w:r>
                            <w:r w:rsidR="00744868" w:rsidRPr="000F3758">
                              <w:rPr>
                                <w:rFonts w:asciiTheme="minorHAnsi" w:hAnsiTheme="minorHAnsi"/>
                                <w:color w:val="FFFFFF" w:themeColor="background1"/>
                                <w:sz w:val="22"/>
                                <w:lang w:val="pt-BR"/>
                              </w:rPr>
                              <w:t>2</w:t>
                            </w:r>
                            <w:r w:rsidR="00FE0533" w:rsidRPr="000F3758">
                              <w:rPr>
                                <w:rFonts w:asciiTheme="minorHAnsi" w:hAnsiTheme="minorHAnsi"/>
                                <w:color w:val="FFFFFF" w:themeColor="background1"/>
                                <w:sz w:val="22"/>
                                <w:lang w:val="pt-BR"/>
                              </w:rPr>
                              <w:t>4</w:t>
                            </w:r>
                          </w:p>
                          <w:p w14:paraId="61B7CA4D" w14:textId="7AD472C0" w:rsidR="00627C9F" w:rsidRPr="000F3758" w:rsidRDefault="00627C9F" w:rsidP="002C1641">
                            <w:pPr>
                              <w:jc w:val="right"/>
                              <w:rPr>
                                <w:rFonts w:asciiTheme="minorHAnsi" w:hAnsiTheme="minorHAnsi"/>
                                <w:color w:val="FFFFFF" w:themeColor="background1"/>
                                <w:sz w:val="22"/>
                                <w:lang w:val="pt-BR"/>
                              </w:rPr>
                            </w:pPr>
                            <w:r w:rsidRPr="000F3758">
                              <w:rPr>
                                <w:rFonts w:asciiTheme="minorHAnsi" w:hAnsiTheme="minorHAnsi"/>
                                <w:color w:val="FFFFFF" w:themeColor="background1"/>
                                <w:sz w:val="22"/>
                                <w:lang w:val="pt-BR"/>
                              </w:rPr>
                              <w:t>Original:</w:t>
                            </w:r>
                            <w:r w:rsidR="002C1641" w:rsidRPr="000F3758">
                              <w:rPr>
                                <w:rFonts w:asciiTheme="minorHAnsi" w:hAnsiTheme="minorHAnsi"/>
                                <w:color w:val="FFFFFF" w:themeColor="background1"/>
                                <w:sz w:val="22"/>
                                <w:lang w:val="pt-BR"/>
                              </w:rPr>
                              <w:t xml:space="preserve"> </w:t>
                            </w:r>
                            <w:r w:rsidR="00FE0533" w:rsidRPr="000F3758">
                              <w:rPr>
                                <w:rFonts w:asciiTheme="minorHAnsi" w:hAnsiTheme="minorHAnsi"/>
                                <w:color w:val="FFFFFF" w:themeColor="background1"/>
                                <w:sz w:val="22"/>
                                <w:lang w:val="pt-BR"/>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35pt;margin-top:9.95pt;width:106.3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" filled="f" stroked="f" strokeweight=".5pt">
                <v:textbox>
                  <w:txbxContent>
                    <w:p w14:paraId="7C466132" w14:textId="3599A6F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471C5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w:t>
                      </w:r>
                      <w:r w:rsidR="00900079">
                        <w:rPr>
                          <w:rFonts w:asciiTheme="minorHAnsi" w:hAnsiTheme="minorHAnsi"/>
                          <w:color w:val="FFFFFF" w:themeColor="background1"/>
                          <w:sz w:val="22"/>
                          <w:lang w:val="pt-BR"/>
                        </w:rPr>
                        <w:t>I</w:t>
                      </w:r>
                      <w:r w:rsidRPr="004B7EB6">
                        <w:rPr>
                          <w:rFonts w:asciiTheme="minorHAnsi" w:hAnsiTheme="minorHAnsi"/>
                          <w:color w:val="FFFFFF" w:themeColor="background1"/>
                          <w:sz w:val="22"/>
                          <w:lang w:val="pt-BR"/>
                        </w:rPr>
                        <w:t>I</w:t>
                      </w:r>
                    </w:p>
                    <w:p w14:paraId="330BBEF7" w14:textId="106FEBF7" w:rsidR="00627C9F" w:rsidRPr="000F3758" w:rsidRDefault="00627C9F" w:rsidP="002C1641">
                      <w:pPr>
                        <w:jc w:val="right"/>
                        <w:rPr>
                          <w:rFonts w:asciiTheme="minorHAnsi" w:hAnsiTheme="minorHAnsi"/>
                          <w:color w:val="FFFFFF" w:themeColor="background1"/>
                          <w:sz w:val="22"/>
                          <w:lang w:val="pt-BR"/>
                        </w:rPr>
                      </w:pPr>
                      <w:r w:rsidRPr="000F3758">
                        <w:rPr>
                          <w:rFonts w:asciiTheme="minorHAnsi" w:hAnsiTheme="minorHAnsi"/>
                          <w:color w:val="FFFFFF" w:themeColor="background1"/>
                          <w:sz w:val="22"/>
                          <w:lang w:val="pt-BR"/>
                        </w:rPr>
                        <w:t xml:space="preserve">Doc. </w:t>
                      </w:r>
                      <w:r w:rsidR="00200890">
                        <w:rPr>
                          <w:rFonts w:asciiTheme="minorHAnsi" w:hAnsiTheme="minorHAnsi"/>
                          <w:color w:val="FFFFFF" w:themeColor="background1"/>
                          <w:sz w:val="22"/>
                          <w:lang w:val="pt-BR"/>
                        </w:rPr>
                        <w:t>108</w:t>
                      </w:r>
                    </w:p>
                    <w:p w14:paraId="64A9D0B0" w14:textId="19B2270A" w:rsidR="00627C9F" w:rsidRPr="000F3758" w:rsidRDefault="00C165C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12 July</w:t>
                      </w:r>
                      <w:r w:rsidR="00FE0533" w:rsidRPr="000F3758">
                        <w:rPr>
                          <w:rFonts w:asciiTheme="minorHAnsi" w:hAnsiTheme="minorHAnsi"/>
                          <w:color w:val="FFFFFF" w:themeColor="background1"/>
                          <w:sz w:val="22"/>
                          <w:lang w:val="pt-BR"/>
                        </w:rPr>
                        <w:t xml:space="preserve"> </w:t>
                      </w:r>
                      <w:r w:rsidR="00627C9F" w:rsidRPr="000F3758">
                        <w:rPr>
                          <w:rFonts w:asciiTheme="minorHAnsi" w:hAnsiTheme="minorHAnsi"/>
                          <w:color w:val="FFFFFF" w:themeColor="background1"/>
                          <w:sz w:val="22"/>
                          <w:lang w:val="pt-BR"/>
                        </w:rPr>
                        <w:t>20</w:t>
                      </w:r>
                      <w:r w:rsidR="00744868" w:rsidRPr="000F3758">
                        <w:rPr>
                          <w:rFonts w:asciiTheme="minorHAnsi" w:hAnsiTheme="minorHAnsi"/>
                          <w:color w:val="FFFFFF" w:themeColor="background1"/>
                          <w:sz w:val="22"/>
                          <w:lang w:val="pt-BR"/>
                        </w:rPr>
                        <w:t>2</w:t>
                      </w:r>
                      <w:r w:rsidR="00FE0533" w:rsidRPr="000F3758">
                        <w:rPr>
                          <w:rFonts w:asciiTheme="minorHAnsi" w:hAnsiTheme="minorHAnsi"/>
                          <w:color w:val="FFFFFF" w:themeColor="background1"/>
                          <w:sz w:val="22"/>
                          <w:lang w:val="pt-BR"/>
                        </w:rPr>
                        <w:t>4</w:t>
                      </w:r>
                    </w:p>
                    <w:p w14:paraId="61B7CA4D" w14:textId="7AD472C0" w:rsidR="00627C9F" w:rsidRPr="000F3758" w:rsidRDefault="00627C9F" w:rsidP="002C1641">
                      <w:pPr>
                        <w:jc w:val="right"/>
                        <w:rPr>
                          <w:rFonts w:asciiTheme="minorHAnsi" w:hAnsiTheme="minorHAnsi"/>
                          <w:color w:val="FFFFFF" w:themeColor="background1"/>
                          <w:sz w:val="22"/>
                          <w:lang w:val="pt-BR"/>
                        </w:rPr>
                      </w:pPr>
                      <w:r w:rsidRPr="000F3758">
                        <w:rPr>
                          <w:rFonts w:asciiTheme="minorHAnsi" w:hAnsiTheme="minorHAnsi"/>
                          <w:color w:val="FFFFFF" w:themeColor="background1"/>
                          <w:sz w:val="22"/>
                          <w:lang w:val="pt-BR"/>
                        </w:rPr>
                        <w:t>Original:</w:t>
                      </w:r>
                      <w:r w:rsidR="002C1641" w:rsidRPr="000F3758">
                        <w:rPr>
                          <w:rFonts w:asciiTheme="minorHAnsi" w:hAnsiTheme="minorHAnsi"/>
                          <w:color w:val="FFFFFF" w:themeColor="background1"/>
                          <w:sz w:val="22"/>
                          <w:lang w:val="pt-BR"/>
                        </w:rPr>
                        <w:t xml:space="preserve"> </w:t>
                      </w:r>
                      <w:r w:rsidR="00FE0533" w:rsidRPr="000F3758">
                        <w:rPr>
                          <w:rFonts w:asciiTheme="minorHAnsi" w:hAnsiTheme="minorHAnsi"/>
                          <w:color w:val="FFFFFF" w:themeColor="background1"/>
                          <w:sz w:val="22"/>
                          <w:lang w:val="pt-BR"/>
                        </w:rPr>
                        <w:t>Portuguese</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DB4B0" w14:textId="77777777" w:rsidR="00814485" w:rsidRDefault="00814485" w:rsidP="002501BE">
                            <w:pPr>
                              <w:tabs>
                                <w:tab w:val="center" w:pos="5400"/>
                              </w:tabs>
                              <w:suppressAutoHyphens/>
                              <w:spacing w:before="60"/>
                              <w:rPr>
                                <w:rFonts w:asciiTheme="majorHAnsi" w:hAnsiTheme="majorHAnsi"/>
                                <w:color w:val="0D0D0D" w:themeColor="text1" w:themeTint="F2"/>
                                <w:sz w:val="18"/>
                                <w:szCs w:val="22"/>
                              </w:rPr>
                            </w:pPr>
                          </w:p>
                          <w:p w14:paraId="0E82D5E9" w14:textId="3EE6C5C2"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C165C0">
                              <w:rPr>
                                <w:rFonts w:asciiTheme="majorHAnsi" w:hAnsiTheme="majorHAnsi"/>
                                <w:color w:val="0D0D0D" w:themeColor="text1" w:themeTint="F2"/>
                                <w:sz w:val="18"/>
                                <w:szCs w:val="22"/>
                              </w:rPr>
                              <w:t>July 12</w:t>
                            </w:r>
                            <w:r w:rsidRPr="003C32BC">
                              <w:rPr>
                                <w:rFonts w:asciiTheme="majorHAnsi" w:hAnsiTheme="majorHAnsi"/>
                                <w:color w:val="0D0D0D" w:themeColor="text1" w:themeTint="F2"/>
                                <w:sz w:val="18"/>
                                <w:szCs w:val="22"/>
                              </w:rPr>
                              <w:t>, 20</w:t>
                            </w:r>
                            <w:r w:rsidR="0041686E">
                              <w:rPr>
                                <w:rFonts w:asciiTheme="majorHAnsi" w:hAnsiTheme="majorHAnsi"/>
                                <w:color w:val="0D0D0D" w:themeColor="text1" w:themeTint="F2"/>
                                <w:sz w:val="18"/>
                                <w:szCs w:val="22"/>
                              </w:rPr>
                              <w:t>2</w:t>
                            </w:r>
                            <w:r w:rsidR="001063BB">
                              <w:rPr>
                                <w:rFonts w:asciiTheme="majorHAnsi" w:hAnsiTheme="majorHAnsi"/>
                                <w:color w:val="0D0D0D" w:themeColor="text1" w:themeTint="F2"/>
                                <w:sz w:val="18"/>
                                <w:szCs w:val="22"/>
                              </w:rPr>
                              <w:t>4</w:t>
                            </w:r>
                            <w:r w:rsidR="00C165C0">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6F3DB4B0" w14:textId="77777777" w:rsidR="00814485" w:rsidRDefault="00814485" w:rsidP="002501BE">
                      <w:pPr>
                        <w:tabs>
                          <w:tab w:val="center" w:pos="5400"/>
                        </w:tabs>
                        <w:suppressAutoHyphens/>
                        <w:spacing w:before="60"/>
                        <w:rPr>
                          <w:rFonts w:asciiTheme="majorHAnsi" w:hAnsiTheme="majorHAnsi"/>
                          <w:color w:val="0D0D0D" w:themeColor="text1" w:themeTint="F2"/>
                          <w:sz w:val="18"/>
                          <w:szCs w:val="22"/>
                        </w:rPr>
                      </w:pPr>
                    </w:p>
                    <w:p w14:paraId="0E82D5E9" w14:textId="3EE6C5C2"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C165C0">
                        <w:rPr>
                          <w:rFonts w:asciiTheme="majorHAnsi" w:hAnsiTheme="majorHAnsi"/>
                          <w:color w:val="0D0D0D" w:themeColor="text1" w:themeTint="F2"/>
                          <w:sz w:val="18"/>
                          <w:szCs w:val="22"/>
                        </w:rPr>
                        <w:t>July 12</w:t>
                      </w:r>
                      <w:r w:rsidRPr="003C32BC">
                        <w:rPr>
                          <w:rFonts w:asciiTheme="majorHAnsi" w:hAnsiTheme="majorHAnsi"/>
                          <w:color w:val="0D0D0D" w:themeColor="text1" w:themeTint="F2"/>
                          <w:sz w:val="18"/>
                          <w:szCs w:val="22"/>
                        </w:rPr>
                        <w:t>, 20</w:t>
                      </w:r>
                      <w:r w:rsidR="0041686E">
                        <w:rPr>
                          <w:rFonts w:asciiTheme="majorHAnsi" w:hAnsiTheme="majorHAnsi"/>
                          <w:color w:val="0D0D0D" w:themeColor="text1" w:themeTint="F2"/>
                          <w:sz w:val="18"/>
                          <w:szCs w:val="22"/>
                        </w:rPr>
                        <w:t>2</w:t>
                      </w:r>
                      <w:r w:rsidR="001063BB">
                        <w:rPr>
                          <w:rFonts w:asciiTheme="majorHAnsi" w:hAnsiTheme="majorHAnsi"/>
                          <w:color w:val="0D0D0D" w:themeColor="text1" w:themeTint="F2"/>
                          <w:sz w:val="18"/>
                          <w:szCs w:val="22"/>
                        </w:rPr>
                        <w:t>4</w:t>
                      </w:r>
                      <w:r w:rsidR="00C165C0">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1F93968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165C0">
                              <w:rPr>
                                <w:rFonts w:asciiTheme="majorHAnsi" w:hAnsiTheme="majorHAnsi"/>
                                <w:color w:val="595959" w:themeColor="text1" w:themeTint="A6"/>
                                <w:sz w:val="18"/>
                              </w:rPr>
                              <w:t>103</w:t>
                            </w:r>
                            <w:r w:rsidRPr="003C32BC">
                              <w:rPr>
                                <w:rFonts w:asciiTheme="majorHAnsi" w:hAnsiTheme="majorHAnsi"/>
                                <w:color w:val="595959" w:themeColor="text1" w:themeTint="A6"/>
                                <w:sz w:val="18"/>
                              </w:rPr>
                              <w:t>/</w:t>
                            </w:r>
                            <w:r w:rsidR="00C165C0">
                              <w:rPr>
                                <w:rFonts w:asciiTheme="majorHAnsi" w:hAnsiTheme="majorHAnsi"/>
                                <w:color w:val="595959" w:themeColor="text1" w:themeTint="A6"/>
                                <w:sz w:val="18"/>
                              </w:rPr>
                              <w:t>24</w:t>
                            </w:r>
                            <w:r w:rsidR="00827669">
                              <w:rPr>
                                <w:rFonts w:asciiTheme="majorHAnsi" w:hAnsiTheme="majorHAnsi"/>
                                <w:color w:val="595959" w:themeColor="text1" w:themeTint="A6"/>
                                <w:sz w:val="18"/>
                              </w:rPr>
                              <w:t xml:space="preserve">. Petition 2225-15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827669">
                              <w:rPr>
                                <w:rFonts w:asciiTheme="majorHAnsi" w:hAnsiTheme="majorHAnsi"/>
                                <w:color w:val="595959" w:themeColor="text1" w:themeTint="A6"/>
                                <w:sz w:val="18"/>
                              </w:rPr>
                              <w:t xml:space="preserve">. Adolescents </w:t>
                            </w:r>
                            <w:r w:rsidR="007B764D">
                              <w:rPr>
                                <w:rFonts w:asciiTheme="majorHAnsi" w:hAnsiTheme="majorHAnsi"/>
                                <w:color w:val="595959" w:themeColor="text1" w:themeTint="A6"/>
                                <w:sz w:val="18"/>
                              </w:rPr>
                              <w:t xml:space="preserve">in the custody of </w:t>
                            </w:r>
                            <w:r w:rsidR="00160750">
                              <w:rPr>
                                <w:rFonts w:asciiTheme="majorHAnsi" w:hAnsiTheme="majorHAnsi"/>
                                <w:color w:val="595959" w:themeColor="text1" w:themeTint="A6"/>
                                <w:sz w:val="18"/>
                              </w:rPr>
                              <w:t>S</w:t>
                            </w:r>
                            <w:r w:rsidR="00827669">
                              <w:rPr>
                                <w:rFonts w:asciiTheme="majorHAnsi" w:hAnsiTheme="majorHAnsi"/>
                                <w:color w:val="595959" w:themeColor="text1" w:themeTint="A6"/>
                                <w:sz w:val="18"/>
                              </w:rPr>
                              <w:t>ocio-educational Centers of Belo Horizonte. Brazil.</w:t>
                            </w:r>
                            <w:r w:rsidRPr="007607C4">
                              <w:rPr>
                                <w:rFonts w:asciiTheme="majorHAnsi" w:hAnsiTheme="majorHAnsi"/>
                                <w:color w:val="595959" w:themeColor="text1" w:themeTint="A6"/>
                                <w:sz w:val="18"/>
                              </w:rPr>
                              <w:t xml:space="preserve"> </w:t>
                            </w:r>
                            <w:r w:rsidR="00160750">
                              <w:rPr>
                                <w:rFonts w:asciiTheme="majorHAnsi" w:hAnsiTheme="majorHAnsi"/>
                                <w:color w:val="595959" w:themeColor="text1" w:themeTint="A6"/>
                                <w:sz w:val="18"/>
                              </w:rPr>
                              <w:t>July 12,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1F93968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165C0">
                        <w:rPr>
                          <w:rFonts w:asciiTheme="majorHAnsi" w:hAnsiTheme="majorHAnsi"/>
                          <w:color w:val="595959" w:themeColor="text1" w:themeTint="A6"/>
                          <w:sz w:val="18"/>
                        </w:rPr>
                        <w:t>103</w:t>
                      </w:r>
                      <w:r w:rsidRPr="003C32BC">
                        <w:rPr>
                          <w:rFonts w:asciiTheme="majorHAnsi" w:hAnsiTheme="majorHAnsi"/>
                          <w:color w:val="595959" w:themeColor="text1" w:themeTint="A6"/>
                          <w:sz w:val="18"/>
                        </w:rPr>
                        <w:t>/</w:t>
                      </w:r>
                      <w:r w:rsidR="00C165C0">
                        <w:rPr>
                          <w:rFonts w:asciiTheme="majorHAnsi" w:hAnsiTheme="majorHAnsi"/>
                          <w:color w:val="595959" w:themeColor="text1" w:themeTint="A6"/>
                          <w:sz w:val="18"/>
                        </w:rPr>
                        <w:t>24</w:t>
                      </w:r>
                      <w:r w:rsidR="00827669">
                        <w:rPr>
                          <w:rFonts w:asciiTheme="majorHAnsi" w:hAnsiTheme="majorHAnsi"/>
                          <w:color w:val="595959" w:themeColor="text1" w:themeTint="A6"/>
                          <w:sz w:val="18"/>
                        </w:rPr>
                        <w:t xml:space="preserve">. Petition 2225-15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827669">
                        <w:rPr>
                          <w:rFonts w:asciiTheme="majorHAnsi" w:hAnsiTheme="majorHAnsi"/>
                          <w:color w:val="595959" w:themeColor="text1" w:themeTint="A6"/>
                          <w:sz w:val="18"/>
                        </w:rPr>
                        <w:t xml:space="preserve">. Adolescents </w:t>
                      </w:r>
                      <w:r w:rsidR="007B764D">
                        <w:rPr>
                          <w:rFonts w:asciiTheme="majorHAnsi" w:hAnsiTheme="majorHAnsi"/>
                          <w:color w:val="595959" w:themeColor="text1" w:themeTint="A6"/>
                          <w:sz w:val="18"/>
                        </w:rPr>
                        <w:t xml:space="preserve">in the custody of </w:t>
                      </w:r>
                      <w:r w:rsidR="00160750">
                        <w:rPr>
                          <w:rFonts w:asciiTheme="majorHAnsi" w:hAnsiTheme="majorHAnsi"/>
                          <w:color w:val="595959" w:themeColor="text1" w:themeTint="A6"/>
                          <w:sz w:val="18"/>
                        </w:rPr>
                        <w:t>S</w:t>
                      </w:r>
                      <w:r w:rsidR="00827669">
                        <w:rPr>
                          <w:rFonts w:asciiTheme="majorHAnsi" w:hAnsiTheme="majorHAnsi"/>
                          <w:color w:val="595959" w:themeColor="text1" w:themeTint="A6"/>
                          <w:sz w:val="18"/>
                        </w:rPr>
                        <w:t>ocio-educational Centers of Belo Horizonte. Brazil.</w:t>
                      </w:r>
                      <w:r w:rsidRPr="007607C4">
                        <w:rPr>
                          <w:rFonts w:asciiTheme="majorHAnsi" w:hAnsiTheme="majorHAnsi"/>
                          <w:color w:val="595959" w:themeColor="text1" w:themeTint="A6"/>
                          <w:sz w:val="18"/>
                        </w:rPr>
                        <w:t xml:space="preserve"> </w:t>
                      </w:r>
                      <w:r w:rsidR="00160750">
                        <w:rPr>
                          <w:rFonts w:asciiTheme="majorHAnsi" w:hAnsiTheme="majorHAnsi"/>
                          <w:color w:val="595959" w:themeColor="text1" w:themeTint="A6"/>
                          <w:sz w:val="18"/>
                        </w:rPr>
                        <w:t>July 12, 2024</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85DB4E6" w:rsidR="003C32BC" w:rsidRPr="003C32BC" w:rsidRDefault="00160750"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51EFFF8B">
                <wp:simplePos x="0" y="0"/>
                <wp:positionH relativeFrom="column">
                  <wp:posOffset>1208598</wp:posOffset>
                </wp:positionH>
                <wp:positionV relativeFrom="paragraph">
                  <wp:posOffset>726578</wp:posOffset>
                </wp:positionV>
                <wp:extent cx="2085975" cy="572494"/>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724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15pt;margin-top:57.2pt;width:164.25pt;height:4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hBeAIAAGw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72038E6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5CF7D81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60750">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5CF7D81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60750">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2815397" w14:textId="77777777" w:rsidR="004174B2" w:rsidRPr="00466D0B" w:rsidRDefault="004174B2" w:rsidP="004174B2">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174B2" w:rsidRPr="000B6B7A" w14:paraId="710D7BE2" w14:textId="77777777" w:rsidTr="009B35B0">
        <w:tc>
          <w:tcPr>
            <w:tcW w:w="3690" w:type="dxa"/>
            <w:tcBorders>
              <w:top w:val="single" w:sz="4" w:space="0" w:color="auto"/>
              <w:bottom w:val="single" w:sz="6" w:space="0" w:color="auto"/>
            </w:tcBorders>
            <w:shd w:val="clear" w:color="auto" w:fill="67AE3C"/>
            <w:vAlign w:val="center"/>
          </w:tcPr>
          <w:p w14:paraId="4670AC7C" w14:textId="77777777" w:rsidR="004174B2" w:rsidRPr="000B6B7A" w:rsidRDefault="004174B2" w:rsidP="009B35B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6B95E8B6" w14:textId="012FB7C2" w:rsidR="004174B2" w:rsidRPr="000B6B7A" w:rsidRDefault="003A0AEA" w:rsidP="009B35B0">
            <w:pPr>
              <w:jc w:val="both"/>
              <w:rPr>
                <w:rFonts w:ascii="Cambria" w:hAnsi="Cambria"/>
                <w:bCs/>
                <w:sz w:val="20"/>
                <w:szCs w:val="20"/>
              </w:rPr>
            </w:pPr>
            <w:r w:rsidRPr="00113C7D">
              <w:rPr>
                <w:rFonts w:ascii="Cambria" w:hAnsi="Cambria"/>
                <w:bCs/>
                <w:color w:val="000000" w:themeColor="text1"/>
                <w:sz w:val="20"/>
                <w:szCs w:val="20"/>
              </w:rPr>
              <w:t>Afrânio José Fonseca Nardy</w:t>
            </w:r>
          </w:p>
        </w:tc>
      </w:tr>
      <w:tr w:rsidR="003A0AEA" w:rsidRPr="008632ED" w14:paraId="0B2B4B16" w14:textId="77777777" w:rsidTr="009B35B0">
        <w:tc>
          <w:tcPr>
            <w:tcW w:w="3690" w:type="dxa"/>
            <w:tcBorders>
              <w:top w:val="single" w:sz="6" w:space="0" w:color="auto"/>
              <w:bottom w:val="single" w:sz="6" w:space="0" w:color="auto"/>
            </w:tcBorders>
            <w:shd w:val="clear" w:color="auto" w:fill="67AE3C"/>
            <w:vAlign w:val="center"/>
          </w:tcPr>
          <w:p w14:paraId="2D56915A" w14:textId="10CEF4E6" w:rsidR="003A0AEA" w:rsidRPr="000B6B7A" w:rsidRDefault="003A5975" w:rsidP="003A0AE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5DD2F32EEDA476CAE67C0F0A63B2971"/>
                </w:placeholder>
                <w:dropDownList>
                  <w:listItem w:value="Choose an item."/>
                  <w:listItem w:displayText="Alleged victim" w:value="Alleged victim"/>
                  <w:listItem w:displayText="Alleged victims" w:value="Alleged victims"/>
                </w:dropDownList>
              </w:sdtPr>
              <w:sdtEndPr/>
              <w:sdtContent>
                <w:r w:rsidR="003A0AEA">
                  <w:rPr>
                    <w:rFonts w:ascii="Cambria" w:hAnsi="Cambria"/>
                    <w:b/>
                    <w:bCs/>
                    <w:color w:val="FFFFFF" w:themeColor="background1"/>
                    <w:sz w:val="20"/>
                    <w:szCs w:val="20"/>
                  </w:rPr>
                  <w:t>Alleged victims</w:t>
                </w:r>
              </w:sdtContent>
            </w:sdt>
            <w:r w:rsidR="003A0AEA" w:rsidRPr="000C4365">
              <w:rPr>
                <w:rFonts w:ascii="Cambria" w:hAnsi="Cambria"/>
                <w:b/>
                <w:bCs/>
                <w:color w:val="FFFFFF" w:themeColor="background1"/>
                <w:sz w:val="20"/>
                <w:szCs w:val="20"/>
              </w:rPr>
              <w:t>:</w:t>
            </w:r>
          </w:p>
        </w:tc>
        <w:tc>
          <w:tcPr>
            <w:tcW w:w="5670" w:type="dxa"/>
            <w:vAlign w:val="center"/>
          </w:tcPr>
          <w:p w14:paraId="6D12F419" w14:textId="6F28A458" w:rsidR="003A0AEA" w:rsidRPr="001063BB" w:rsidRDefault="003A0AEA" w:rsidP="003A0AEA">
            <w:pPr>
              <w:jc w:val="both"/>
              <w:rPr>
                <w:rFonts w:ascii="Cambria" w:hAnsi="Cambria"/>
                <w:bCs/>
                <w:sz w:val="20"/>
                <w:szCs w:val="20"/>
                <w:lang w:val="pt-BR"/>
              </w:rPr>
            </w:pPr>
            <w:r w:rsidRPr="001063BB">
              <w:rPr>
                <w:rFonts w:ascii="Cambria" w:hAnsi="Cambria"/>
                <w:sz w:val="20"/>
                <w:szCs w:val="20"/>
                <w:lang w:val="pt-BR"/>
              </w:rPr>
              <w:t xml:space="preserve">Adolescents deprived of liberty at the Centro Socioeducativo Santa Terezinha (CSEST), </w:t>
            </w:r>
            <w:r w:rsidR="00C27132" w:rsidRPr="001063BB">
              <w:rPr>
                <w:rFonts w:ascii="Cambria" w:hAnsi="Cambria"/>
                <w:sz w:val="20"/>
                <w:szCs w:val="20"/>
                <w:lang w:val="pt-BR"/>
              </w:rPr>
              <w:t xml:space="preserve">the </w:t>
            </w:r>
            <w:r w:rsidRPr="001063BB">
              <w:rPr>
                <w:rFonts w:ascii="Cambria" w:hAnsi="Cambria"/>
                <w:sz w:val="20"/>
                <w:szCs w:val="20"/>
                <w:lang w:val="pt-BR"/>
              </w:rPr>
              <w:t xml:space="preserve">Centro de Atendimento ao Adolescente Lindeia (CEAD Lindeia), </w:t>
            </w:r>
            <w:r w:rsidR="00C27132" w:rsidRPr="001063BB">
              <w:rPr>
                <w:rFonts w:ascii="Cambria" w:hAnsi="Cambria"/>
                <w:sz w:val="20"/>
                <w:szCs w:val="20"/>
                <w:lang w:val="pt-BR"/>
              </w:rPr>
              <w:t xml:space="preserve">the </w:t>
            </w:r>
            <w:r w:rsidRPr="001063BB">
              <w:rPr>
                <w:rFonts w:ascii="Cambria" w:hAnsi="Cambria"/>
                <w:sz w:val="20"/>
                <w:szCs w:val="20"/>
                <w:lang w:val="pt-BR"/>
              </w:rPr>
              <w:t>Centro de Reeducação Social São Jerônimo (CRSSJ)</w:t>
            </w:r>
            <w:r w:rsidR="00C27132" w:rsidRPr="001063BB">
              <w:rPr>
                <w:rFonts w:ascii="Cambria" w:hAnsi="Cambria"/>
                <w:sz w:val="20"/>
                <w:szCs w:val="20"/>
                <w:lang w:val="pt-BR"/>
              </w:rPr>
              <w:t xml:space="preserve">, and the </w:t>
            </w:r>
            <w:r w:rsidRPr="001063BB">
              <w:rPr>
                <w:rFonts w:ascii="Cambria" w:hAnsi="Cambria"/>
                <w:sz w:val="20"/>
                <w:szCs w:val="20"/>
                <w:lang w:val="pt-BR"/>
              </w:rPr>
              <w:t>Centro Socioeducativo Santa Clara (CSE Santa Clara)</w:t>
            </w:r>
          </w:p>
        </w:tc>
      </w:tr>
      <w:tr w:rsidR="003A0AEA" w:rsidRPr="000B6B7A" w14:paraId="0B790289" w14:textId="77777777" w:rsidTr="009B35B0">
        <w:tc>
          <w:tcPr>
            <w:tcW w:w="3690" w:type="dxa"/>
            <w:tcBorders>
              <w:top w:val="single" w:sz="6" w:space="0" w:color="auto"/>
              <w:bottom w:val="single" w:sz="6" w:space="0" w:color="auto"/>
            </w:tcBorders>
            <w:shd w:val="clear" w:color="auto" w:fill="67AE3C"/>
            <w:vAlign w:val="center"/>
          </w:tcPr>
          <w:p w14:paraId="16EC42F7" w14:textId="77777777" w:rsidR="003A0AEA" w:rsidRPr="000B6B7A" w:rsidRDefault="003A0AEA" w:rsidP="003A0AEA">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00D1CB83" w14:textId="2F38A695" w:rsidR="003A0AEA" w:rsidRPr="000B6B7A" w:rsidRDefault="00C27132" w:rsidP="003A0AEA">
            <w:pPr>
              <w:jc w:val="both"/>
              <w:rPr>
                <w:rFonts w:ascii="Cambria" w:hAnsi="Cambria"/>
                <w:bCs/>
                <w:sz w:val="20"/>
                <w:szCs w:val="20"/>
              </w:rPr>
            </w:pPr>
            <w:r>
              <w:rPr>
                <w:rFonts w:ascii="Cambria" w:hAnsi="Cambria"/>
                <w:bCs/>
                <w:sz w:val="20"/>
                <w:szCs w:val="20"/>
              </w:rPr>
              <w:t>Brazil</w:t>
            </w:r>
          </w:p>
        </w:tc>
      </w:tr>
      <w:tr w:rsidR="003A0AEA" w:rsidRPr="000B6B7A" w14:paraId="7B32D4AB" w14:textId="77777777" w:rsidTr="009B35B0">
        <w:tc>
          <w:tcPr>
            <w:tcW w:w="3690" w:type="dxa"/>
            <w:tcBorders>
              <w:top w:val="single" w:sz="6" w:space="0" w:color="auto"/>
              <w:bottom w:val="single" w:sz="6" w:space="0" w:color="auto"/>
            </w:tcBorders>
            <w:shd w:val="clear" w:color="auto" w:fill="67AE3C"/>
            <w:vAlign w:val="center"/>
          </w:tcPr>
          <w:p w14:paraId="3C63001D" w14:textId="77777777" w:rsidR="003A0AEA" w:rsidRPr="000B6B7A" w:rsidRDefault="003A0AEA" w:rsidP="003A0AEA">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3D081C4F" w14:textId="1FF72339" w:rsidR="003A0AEA" w:rsidRPr="000B6B7A" w:rsidRDefault="003A0AEA" w:rsidP="00C5024C">
            <w:pPr>
              <w:jc w:val="both"/>
              <w:rPr>
                <w:rFonts w:ascii="Cambria" w:hAnsi="Cambria"/>
                <w:bCs/>
                <w:sz w:val="20"/>
                <w:szCs w:val="20"/>
              </w:rPr>
            </w:pPr>
            <w:r w:rsidRPr="00231857">
              <w:rPr>
                <w:rFonts w:asciiTheme="majorHAnsi" w:hAnsiTheme="majorHAnsi"/>
                <w:bCs/>
                <w:sz w:val="20"/>
                <w:szCs w:val="20"/>
              </w:rPr>
              <w:t>Art</w:t>
            </w:r>
            <w:r>
              <w:rPr>
                <w:rFonts w:asciiTheme="majorHAnsi" w:hAnsiTheme="majorHAnsi"/>
                <w:bCs/>
                <w:sz w:val="20"/>
                <w:szCs w:val="20"/>
              </w:rPr>
              <w:t xml:space="preserve">icles </w:t>
            </w:r>
            <w:r w:rsidRPr="00231857">
              <w:rPr>
                <w:rFonts w:asciiTheme="majorHAnsi" w:hAnsiTheme="majorHAnsi"/>
                <w:bCs/>
                <w:sz w:val="20"/>
                <w:szCs w:val="20"/>
              </w:rPr>
              <w:t>5 (</w:t>
            </w:r>
            <w:r>
              <w:rPr>
                <w:rFonts w:asciiTheme="majorHAnsi" w:hAnsiTheme="majorHAnsi"/>
                <w:bCs/>
                <w:sz w:val="20"/>
                <w:szCs w:val="20"/>
              </w:rPr>
              <w:t>humane treatment</w:t>
            </w:r>
            <w:r w:rsidRPr="00231857">
              <w:rPr>
                <w:rFonts w:asciiTheme="majorHAnsi" w:hAnsiTheme="majorHAnsi"/>
                <w:bCs/>
                <w:sz w:val="20"/>
                <w:szCs w:val="20"/>
              </w:rPr>
              <w:t>), 8 (judicial</w:t>
            </w:r>
            <w:r>
              <w:rPr>
                <w:rFonts w:asciiTheme="majorHAnsi" w:hAnsiTheme="majorHAnsi"/>
                <w:bCs/>
                <w:sz w:val="20"/>
                <w:szCs w:val="20"/>
              </w:rPr>
              <w:t xml:space="preserve"> guarantees</w:t>
            </w:r>
            <w:r w:rsidRPr="00231857">
              <w:rPr>
                <w:rFonts w:asciiTheme="majorHAnsi" w:hAnsiTheme="majorHAnsi"/>
                <w:bCs/>
                <w:sz w:val="20"/>
                <w:szCs w:val="20"/>
              </w:rPr>
              <w:t>),</w:t>
            </w:r>
            <w:r w:rsidR="00C5024C">
              <w:rPr>
                <w:rFonts w:asciiTheme="majorHAnsi" w:hAnsiTheme="majorHAnsi"/>
                <w:bCs/>
                <w:sz w:val="20"/>
                <w:szCs w:val="20"/>
              </w:rPr>
              <w:t xml:space="preserve"> 17 (protection of the family),</w:t>
            </w:r>
            <w:r w:rsidRPr="00231857">
              <w:rPr>
                <w:rFonts w:asciiTheme="majorHAnsi" w:hAnsiTheme="majorHAnsi"/>
                <w:bCs/>
                <w:sz w:val="20"/>
                <w:szCs w:val="20"/>
              </w:rPr>
              <w:t xml:space="preserve"> 19 (</w:t>
            </w:r>
            <w:r>
              <w:rPr>
                <w:rFonts w:asciiTheme="majorHAnsi" w:hAnsiTheme="majorHAnsi"/>
                <w:bCs/>
                <w:sz w:val="20"/>
                <w:szCs w:val="20"/>
              </w:rPr>
              <w:t>rights of the child</w:t>
            </w:r>
            <w:r w:rsidRPr="00231857">
              <w:rPr>
                <w:rFonts w:asciiTheme="majorHAnsi" w:hAnsiTheme="majorHAnsi"/>
                <w:bCs/>
                <w:sz w:val="20"/>
                <w:szCs w:val="20"/>
              </w:rPr>
              <w:t>), 25 (judicial</w:t>
            </w:r>
            <w:r>
              <w:rPr>
                <w:rFonts w:asciiTheme="majorHAnsi" w:hAnsiTheme="majorHAnsi"/>
                <w:bCs/>
                <w:sz w:val="20"/>
                <w:szCs w:val="20"/>
              </w:rPr>
              <w:t xml:space="preserve"> protection</w:t>
            </w:r>
            <w:r w:rsidRPr="00231857">
              <w:rPr>
                <w:rFonts w:asciiTheme="majorHAnsi" w:hAnsiTheme="majorHAnsi"/>
                <w:bCs/>
                <w:sz w:val="20"/>
                <w:szCs w:val="20"/>
              </w:rPr>
              <w:t>)</w:t>
            </w:r>
            <w:r w:rsidR="00F02B5F">
              <w:rPr>
                <w:rFonts w:asciiTheme="majorHAnsi" w:hAnsiTheme="majorHAnsi"/>
                <w:bCs/>
                <w:sz w:val="20"/>
                <w:szCs w:val="20"/>
              </w:rPr>
              <w:t xml:space="preserve">, and 26 (economic, cultural, social and environmental rights) </w:t>
            </w:r>
            <w:r>
              <w:rPr>
                <w:rFonts w:asciiTheme="majorHAnsi" w:hAnsiTheme="majorHAnsi"/>
                <w:bCs/>
                <w:sz w:val="20"/>
                <w:szCs w:val="20"/>
              </w:rPr>
              <w:t>of the American Convention on Human Rights</w:t>
            </w:r>
            <w:r w:rsidR="0020722E">
              <w:rPr>
                <w:rFonts w:asciiTheme="majorHAnsi" w:hAnsiTheme="majorHAnsi"/>
                <w:bCs/>
                <w:sz w:val="20"/>
                <w:szCs w:val="20"/>
              </w:rPr>
              <w:t>,</w:t>
            </w:r>
            <w:r w:rsidRPr="00231857">
              <w:rPr>
                <w:rFonts w:asciiTheme="majorHAnsi" w:hAnsiTheme="majorHAnsi"/>
                <w:bCs/>
                <w:sz w:val="20"/>
                <w:szCs w:val="20"/>
                <w:vertAlign w:val="superscript"/>
              </w:rPr>
              <w:footnoteReference w:id="2"/>
            </w:r>
            <w:r w:rsidR="0020722E">
              <w:rPr>
                <w:rFonts w:asciiTheme="majorHAnsi" w:hAnsiTheme="majorHAnsi"/>
                <w:bCs/>
                <w:sz w:val="20"/>
                <w:szCs w:val="20"/>
              </w:rPr>
              <w:t xml:space="preserve"> in conjunction with Articles 1(1) (obligation to respect the rights) and 2 (</w:t>
            </w:r>
            <w:r w:rsidR="00582430">
              <w:rPr>
                <w:rFonts w:asciiTheme="majorHAnsi" w:hAnsiTheme="majorHAnsi"/>
                <w:bCs/>
                <w:sz w:val="20"/>
                <w:szCs w:val="20"/>
              </w:rPr>
              <w:t>domestic legal effects</w:t>
            </w:r>
            <w:r w:rsidR="0020722E">
              <w:rPr>
                <w:rFonts w:asciiTheme="majorHAnsi" w:hAnsiTheme="majorHAnsi"/>
                <w:bCs/>
                <w:sz w:val="20"/>
                <w:szCs w:val="20"/>
              </w:rPr>
              <w:t xml:space="preserve">); and Article 13 (education) of the Protocol of San Salvador. </w:t>
            </w:r>
          </w:p>
        </w:tc>
      </w:tr>
    </w:tbl>
    <w:p w14:paraId="68159962" w14:textId="77777777" w:rsidR="004174B2" w:rsidRPr="000B6B7A" w:rsidRDefault="004174B2" w:rsidP="004174B2">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174B2" w:rsidRPr="000B6B7A" w14:paraId="2823F583" w14:textId="77777777" w:rsidTr="009B35B0">
        <w:tc>
          <w:tcPr>
            <w:tcW w:w="3690" w:type="dxa"/>
            <w:tcBorders>
              <w:top w:val="single" w:sz="6" w:space="0" w:color="auto"/>
              <w:bottom w:val="single" w:sz="6" w:space="0" w:color="auto"/>
            </w:tcBorders>
            <w:shd w:val="clear" w:color="auto" w:fill="67AE3C"/>
            <w:vAlign w:val="center"/>
          </w:tcPr>
          <w:p w14:paraId="1FAA28C8" w14:textId="77777777" w:rsidR="004174B2" w:rsidRPr="000B6B7A" w:rsidRDefault="004174B2" w:rsidP="009B35B0">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5DEB54E0" w14:textId="37DFA5E0" w:rsidR="004174B2" w:rsidRPr="000B6B7A" w:rsidRDefault="009D56ED" w:rsidP="009B35B0">
            <w:pPr>
              <w:jc w:val="both"/>
              <w:rPr>
                <w:rFonts w:ascii="Cambria" w:hAnsi="Cambria"/>
                <w:bCs/>
                <w:sz w:val="20"/>
                <w:szCs w:val="20"/>
              </w:rPr>
            </w:pPr>
            <w:r>
              <w:rPr>
                <w:rFonts w:ascii="Cambria" w:hAnsi="Cambria"/>
                <w:bCs/>
                <w:sz w:val="20"/>
                <w:szCs w:val="20"/>
              </w:rPr>
              <w:t xml:space="preserve">December 29, 2015 </w:t>
            </w:r>
          </w:p>
        </w:tc>
      </w:tr>
      <w:tr w:rsidR="004174B2" w:rsidRPr="000B6B7A" w14:paraId="052330B6" w14:textId="77777777" w:rsidTr="009B35B0">
        <w:tc>
          <w:tcPr>
            <w:tcW w:w="3690" w:type="dxa"/>
            <w:tcBorders>
              <w:top w:val="single" w:sz="6" w:space="0" w:color="auto"/>
              <w:bottom w:val="single" w:sz="6" w:space="0" w:color="auto"/>
            </w:tcBorders>
            <w:shd w:val="clear" w:color="auto" w:fill="67AE3C"/>
            <w:vAlign w:val="center"/>
          </w:tcPr>
          <w:p w14:paraId="068E57CB" w14:textId="77777777" w:rsidR="004174B2" w:rsidRPr="000B6B7A" w:rsidRDefault="004174B2" w:rsidP="009B35B0">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1DCAB8E0" w14:textId="64A4FAA1" w:rsidR="004174B2" w:rsidRPr="000B6B7A" w:rsidRDefault="009D56ED" w:rsidP="009B35B0">
            <w:pPr>
              <w:jc w:val="both"/>
              <w:rPr>
                <w:rFonts w:ascii="Cambria" w:hAnsi="Cambria"/>
                <w:bCs/>
                <w:sz w:val="20"/>
                <w:szCs w:val="20"/>
              </w:rPr>
            </w:pPr>
            <w:r>
              <w:rPr>
                <w:rFonts w:asciiTheme="majorHAnsi" w:hAnsiTheme="majorHAnsi"/>
                <w:bCs/>
                <w:sz w:val="20"/>
                <w:szCs w:val="20"/>
              </w:rPr>
              <w:t>June 3, 2016</w:t>
            </w:r>
            <w:r w:rsidR="001063BB">
              <w:rPr>
                <w:rFonts w:asciiTheme="majorHAnsi" w:hAnsiTheme="majorHAnsi"/>
                <w:bCs/>
                <w:sz w:val="20"/>
                <w:szCs w:val="20"/>
              </w:rPr>
              <w:t>;</w:t>
            </w:r>
            <w:r>
              <w:rPr>
                <w:rFonts w:asciiTheme="majorHAnsi" w:hAnsiTheme="majorHAnsi"/>
                <w:bCs/>
                <w:sz w:val="20"/>
                <w:szCs w:val="20"/>
              </w:rPr>
              <w:t xml:space="preserve"> October 27, 2017</w:t>
            </w:r>
          </w:p>
        </w:tc>
      </w:tr>
      <w:tr w:rsidR="004174B2" w:rsidRPr="000B6B7A" w14:paraId="48142197" w14:textId="77777777" w:rsidTr="009B35B0">
        <w:tc>
          <w:tcPr>
            <w:tcW w:w="3690" w:type="dxa"/>
            <w:tcBorders>
              <w:top w:val="single" w:sz="6" w:space="0" w:color="auto"/>
              <w:bottom w:val="single" w:sz="6" w:space="0" w:color="auto"/>
            </w:tcBorders>
            <w:shd w:val="clear" w:color="auto" w:fill="67AE3C"/>
            <w:vAlign w:val="center"/>
          </w:tcPr>
          <w:p w14:paraId="32106699" w14:textId="77777777" w:rsidR="004174B2" w:rsidRPr="000B6B7A" w:rsidRDefault="004174B2" w:rsidP="009B35B0">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3A3CC310" w14:textId="55691A2F" w:rsidR="004174B2" w:rsidRPr="000B6B7A" w:rsidRDefault="009D56ED" w:rsidP="009B35B0">
            <w:pPr>
              <w:jc w:val="both"/>
              <w:rPr>
                <w:rFonts w:ascii="Cambria" w:hAnsi="Cambria"/>
                <w:bCs/>
                <w:sz w:val="20"/>
                <w:szCs w:val="20"/>
              </w:rPr>
            </w:pPr>
            <w:r>
              <w:rPr>
                <w:rFonts w:ascii="Cambria" w:hAnsi="Cambria"/>
                <w:bCs/>
                <w:sz w:val="20"/>
                <w:szCs w:val="20"/>
              </w:rPr>
              <w:t xml:space="preserve">May 13, 2019 </w:t>
            </w:r>
          </w:p>
        </w:tc>
      </w:tr>
      <w:tr w:rsidR="00171448" w:rsidRPr="000B6B7A" w14:paraId="3DCA2E2B" w14:textId="77777777" w:rsidTr="009B35B0">
        <w:tc>
          <w:tcPr>
            <w:tcW w:w="3690" w:type="dxa"/>
            <w:tcBorders>
              <w:top w:val="single" w:sz="6" w:space="0" w:color="auto"/>
              <w:bottom w:val="single" w:sz="6" w:space="0" w:color="auto"/>
            </w:tcBorders>
            <w:shd w:val="clear" w:color="auto" w:fill="67AE3C"/>
            <w:vAlign w:val="center"/>
          </w:tcPr>
          <w:p w14:paraId="74DC06FF" w14:textId="627D44F5" w:rsidR="00171448" w:rsidRDefault="00E1420E" w:rsidP="009B35B0">
            <w:pPr>
              <w:jc w:val="center"/>
              <w:rPr>
                <w:rFonts w:ascii="Cambria" w:hAnsi="Cambria"/>
                <w:b/>
                <w:color w:val="FFFFFF" w:themeColor="background1"/>
                <w:sz w:val="20"/>
                <w:szCs w:val="20"/>
              </w:rPr>
            </w:pPr>
            <w:r>
              <w:rPr>
                <w:rFonts w:ascii="Cambria" w:hAnsi="Cambria"/>
                <w:b/>
                <w:color w:val="FFFFFF" w:themeColor="background1"/>
                <w:sz w:val="20"/>
                <w:szCs w:val="20"/>
              </w:rPr>
              <w:t>Request for extension:</w:t>
            </w:r>
          </w:p>
        </w:tc>
        <w:tc>
          <w:tcPr>
            <w:tcW w:w="5670" w:type="dxa"/>
            <w:vAlign w:val="center"/>
          </w:tcPr>
          <w:p w14:paraId="380548E4" w14:textId="181E57D6" w:rsidR="00171448" w:rsidRDefault="00E1420E" w:rsidP="009B35B0">
            <w:pPr>
              <w:jc w:val="both"/>
              <w:rPr>
                <w:rFonts w:ascii="Cambria" w:hAnsi="Cambria"/>
                <w:bCs/>
                <w:sz w:val="20"/>
                <w:szCs w:val="20"/>
              </w:rPr>
            </w:pPr>
            <w:r>
              <w:rPr>
                <w:rFonts w:ascii="Cambria" w:hAnsi="Cambria"/>
                <w:bCs/>
                <w:sz w:val="20"/>
                <w:szCs w:val="20"/>
              </w:rPr>
              <w:t>August 13, 2019</w:t>
            </w:r>
          </w:p>
        </w:tc>
      </w:tr>
      <w:tr w:rsidR="004174B2" w:rsidRPr="000B6B7A" w14:paraId="516EE277" w14:textId="77777777" w:rsidTr="009B35B0">
        <w:trPr>
          <w:trHeight w:val="264"/>
        </w:trPr>
        <w:tc>
          <w:tcPr>
            <w:tcW w:w="3690" w:type="dxa"/>
            <w:tcBorders>
              <w:top w:val="single" w:sz="6" w:space="0" w:color="auto"/>
              <w:bottom w:val="single" w:sz="6" w:space="0" w:color="auto"/>
            </w:tcBorders>
            <w:shd w:val="clear" w:color="auto" w:fill="67AE3C"/>
            <w:vAlign w:val="center"/>
          </w:tcPr>
          <w:p w14:paraId="47598375" w14:textId="77777777" w:rsidR="004174B2" w:rsidRPr="000B6B7A" w:rsidRDefault="004174B2" w:rsidP="009B35B0">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50150508" w14:textId="1F06F427" w:rsidR="004174B2" w:rsidRPr="000B6B7A" w:rsidRDefault="00BF4AC0" w:rsidP="009B35B0">
            <w:pPr>
              <w:jc w:val="both"/>
              <w:rPr>
                <w:rFonts w:ascii="Cambria" w:hAnsi="Cambria"/>
                <w:bCs/>
                <w:sz w:val="20"/>
                <w:szCs w:val="20"/>
              </w:rPr>
            </w:pPr>
            <w:r>
              <w:rPr>
                <w:rFonts w:ascii="Cambria" w:hAnsi="Cambria"/>
                <w:bCs/>
                <w:sz w:val="20"/>
                <w:szCs w:val="20"/>
              </w:rPr>
              <w:t xml:space="preserve">January 6, 2020 </w:t>
            </w:r>
          </w:p>
        </w:tc>
      </w:tr>
      <w:tr w:rsidR="004174B2" w:rsidRPr="000B6B7A" w14:paraId="12C9851C" w14:textId="77777777" w:rsidTr="009B35B0">
        <w:tc>
          <w:tcPr>
            <w:tcW w:w="3690" w:type="dxa"/>
            <w:tcBorders>
              <w:top w:val="single" w:sz="6" w:space="0" w:color="auto"/>
              <w:bottom w:val="single" w:sz="6" w:space="0" w:color="auto"/>
            </w:tcBorders>
            <w:shd w:val="clear" w:color="auto" w:fill="67AE3C"/>
            <w:vAlign w:val="center"/>
          </w:tcPr>
          <w:p w14:paraId="25F2D1EA" w14:textId="10DC2946" w:rsidR="004174B2" w:rsidRPr="000B6B7A" w:rsidRDefault="00544D63" w:rsidP="009B35B0">
            <w:pPr>
              <w:jc w:val="center"/>
              <w:rPr>
                <w:rFonts w:ascii="Cambria" w:hAnsi="Cambria"/>
                <w:b/>
                <w:bCs/>
                <w:color w:val="FFFFFF" w:themeColor="background1"/>
                <w:sz w:val="20"/>
                <w:szCs w:val="20"/>
              </w:rPr>
            </w:pPr>
            <w:r>
              <w:rPr>
                <w:rFonts w:ascii="Cambria" w:hAnsi="Cambria"/>
                <w:b/>
                <w:bCs/>
                <w:color w:val="FFFFFF" w:themeColor="background1"/>
                <w:sz w:val="20"/>
                <w:szCs w:val="20"/>
              </w:rPr>
              <w:t>Notice of possible archiving</w:t>
            </w:r>
          </w:p>
        </w:tc>
        <w:tc>
          <w:tcPr>
            <w:tcW w:w="5670" w:type="dxa"/>
            <w:vAlign w:val="center"/>
          </w:tcPr>
          <w:p w14:paraId="6F6BB9F3" w14:textId="4F9E6314" w:rsidR="004174B2" w:rsidRPr="000B6B7A" w:rsidRDefault="00544D63" w:rsidP="009B35B0">
            <w:pPr>
              <w:jc w:val="both"/>
              <w:rPr>
                <w:rFonts w:ascii="Cambria" w:hAnsi="Cambria"/>
                <w:bCs/>
                <w:sz w:val="20"/>
                <w:szCs w:val="20"/>
              </w:rPr>
            </w:pPr>
            <w:r>
              <w:rPr>
                <w:rFonts w:ascii="Cambria" w:hAnsi="Cambria"/>
                <w:bCs/>
                <w:sz w:val="20"/>
                <w:szCs w:val="20"/>
              </w:rPr>
              <w:t>November 10, 2020</w:t>
            </w:r>
            <w:r w:rsidR="001063BB">
              <w:rPr>
                <w:rFonts w:ascii="Cambria" w:hAnsi="Cambria"/>
                <w:bCs/>
                <w:sz w:val="20"/>
                <w:szCs w:val="20"/>
              </w:rPr>
              <w:t>;</w:t>
            </w:r>
            <w:r>
              <w:rPr>
                <w:rFonts w:ascii="Cambria" w:hAnsi="Cambria"/>
                <w:bCs/>
                <w:sz w:val="20"/>
                <w:szCs w:val="20"/>
              </w:rPr>
              <w:t xml:space="preserve"> December 21, 2021 </w:t>
            </w:r>
          </w:p>
        </w:tc>
      </w:tr>
      <w:tr w:rsidR="004174B2" w:rsidRPr="000B6B7A" w14:paraId="546E9385" w14:textId="77777777" w:rsidTr="009B35B0">
        <w:tc>
          <w:tcPr>
            <w:tcW w:w="3690" w:type="dxa"/>
            <w:tcBorders>
              <w:top w:val="single" w:sz="6" w:space="0" w:color="auto"/>
              <w:bottom w:val="single" w:sz="6" w:space="0" w:color="auto"/>
            </w:tcBorders>
            <w:shd w:val="clear" w:color="auto" w:fill="67AE3C"/>
            <w:vAlign w:val="center"/>
          </w:tcPr>
          <w:p w14:paraId="580430F4" w14:textId="0D99C5AD" w:rsidR="004174B2" w:rsidRPr="000B6B7A" w:rsidRDefault="004174B2" w:rsidP="009B35B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the </w:t>
            </w:r>
            <w:r w:rsidR="00544D63">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33D6D9CE" w14:textId="1396C89D" w:rsidR="004174B2" w:rsidRPr="000B6B7A" w:rsidRDefault="001063BB" w:rsidP="009B35B0">
            <w:pPr>
              <w:jc w:val="both"/>
              <w:rPr>
                <w:rFonts w:ascii="Cambria" w:hAnsi="Cambria"/>
                <w:bCs/>
                <w:sz w:val="20"/>
                <w:szCs w:val="20"/>
              </w:rPr>
            </w:pPr>
            <w:r w:rsidRPr="001063BB">
              <w:rPr>
                <w:rFonts w:ascii="Cambria" w:hAnsi="Cambria"/>
                <w:bCs/>
                <w:sz w:val="20"/>
                <w:szCs w:val="20"/>
              </w:rPr>
              <w:t>February 16, 2022</w:t>
            </w:r>
            <w:r>
              <w:rPr>
                <w:rFonts w:ascii="Cambria" w:hAnsi="Cambria"/>
                <w:bCs/>
                <w:sz w:val="20"/>
                <w:szCs w:val="20"/>
              </w:rPr>
              <w:t>;</w:t>
            </w:r>
            <w:r w:rsidRPr="001063BB">
              <w:rPr>
                <w:rFonts w:ascii="Cambria" w:hAnsi="Cambria"/>
                <w:bCs/>
                <w:sz w:val="20"/>
                <w:szCs w:val="20"/>
              </w:rPr>
              <w:t xml:space="preserve"> March 20, 2023</w:t>
            </w:r>
            <w:r>
              <w:rPr>
                <w:rFonts w:ascii="Cambria" w:hAnsi="Cambria"/>
                <w:bCs/>
                <w:sz w:val="20"/>
                <w:szCs w:val="20"/>
              </w:rPr>
              <w:t>;</w:t>
            </w:r>
            <w:r w:rsidRPr="001063BB">
              <w:rPr>
                <w:rFonts w:ascii="Cambria" w:hAnsi="Cambria"/>
                <w:bCs/>
                <w:sz w:val="20"/>
                <w:szCs w:val="20"/>
              </w:rPr>
              <w:t xml:space="preserve"> April 14, 2023</w:t>
            </w:r>
            <w:r>
              <w:rPr>
                <w:rFonts w:ascii="Cambria" w:hAnsi="Cambria"/>
                <w:bCs/>
                <w:sz w:val="20"/>
                <w:szCs w:val="20"/>
              </w:rPr>
              <w:t>;</w:t>
            </w:r>
            <w:r w:rsidRPr="001063BB">
              <w:rPr>
                <w:rFonts w:ascii="Cambria" w:hAnsi="Cambria"/>
                <w:bCs/>
                <w:sz w:val="20"/>
                <w:szCs w:val="20"/>
              </w:rPr>
              <w:t xml:space="preserve"> December 18, 2023</w:t>
            </w:r>
          </w:p>
        </w:tc>
      </w:tr>
    </w:tbl>
    <w:p w14:paraId="311E2D6F" w14:textId="77777777" w:rsidR="004174B2" w:rsidRPr="000B6B7A" w:rsidRDefault="004174B2" w:rsidP="004174B2">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4174B2" w:rsidRPr="000B6B7A" w14:paraId="52B832DE" w14:textId="77777777" w:rsidTr="009B35B0">
        <w:trPr>
          <w:cantSplit/>
        </w:trPr>
        <w:tc>
          <w:tcPr>
            <w:tcW w:w="3690" w:type="dxa"/>
            <w:tcBorders>
              <w:top w:val="single" w:sz="4" w:space="0" w:color="auto"/>
              <w:bottom w:val="single" w:sz="6" w:space="0" w:color="auto"/>
            </w:tcBorders>
            <w:shd w:val="clear" w:color="auto" w:fill="67AE3C"/>
            <w:vAlign w:val="center"/>
          </w:tcPr>
          <w:p w14:paraId="6DC1C62D" w14:textId="77777777" w:rsidR="004174B2" w:rsidRPr="000B6B7A" w:rsidRDefault="004174B2" w:rsidP="009B35B0">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3DDC97CC" w14:textId="77777777" w:rsidR="004174B2" w:rsidRPr="000B6B7A" w:rsidRDefault="004174B2" w:rsidP="009B35B0">
            <w:pPr>
              <w:rPr>
                <w:rFonts w:asciiTheme="majorHAnsi" w:hAnsiTheme="majorHAnsi"/>
                <w:bCs/>
                <w:sz w:val="20"/>
                <w:szCs w:val="20"/>
              </w:rPr>
            </w:pPr>
            <w:r>
              <w:rPr>
                <w:rFonts w:asciiTheme="majorHAnsi" w:hAnsiTheme="majorHAnsi"/>
                <w:bCs/>
                <w:sz w:val="20"/>
                <w:szCs w:val="20"/>
              </w:rPr>
              <w:t>Yes</w:t>
            </w:r>
          </w:p>
        </w:tc>
      </w:tr>
      <w:tr w:rsidR="004174B2" w:rsidRPr="000B6B7A" w14:paraId="55998014" w14:textId="77777777" w:rsidTr="009B35B0">
        <w:trPr>
          <w:cantSplit/>
        </w:trPr>
        <w:tc>
          <w:tcPr>
            <w:tcW w:w="3690" w:type="dxa"/>
            <w:tcBorders>
              <w:top w:val="single" w:sz="6" w:space="0" w:color="auto"/>
              <w:bottom w:val="single" w:sz="6" w:space="0" w:color="auto"/>
            </w:tcBorders>
            <w:shd w:val="clear" w:color="auto" w:fill="67AE3C"/>
            <w:vAlign w:val="center"/>
          </w:tcPr>
          <w:p w14:paraId="7F844C9B" w14:textId="77777777" w:rsidR="004174B2" w:rsidRPr="000B6B7A" w:rsidRDefault="004174B2" w:rsidP="009B35B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117BCDF9" w14:textId="77777777" w:rsidR="004174B2" w:rsidRPr="000B6B7A" w:rsidRDefault="004174B2" w:rsidP="009B35B0">
            <w:pPr>
              <w:rPr>
                <w:rFonts w:asciiTheme="majorHAnsi" w:hAnsiTheme="majorHAnsi"/>
                <w:bCs/>
                <w:sz w:val="20"/>
                <w:szCs w:val="20"/>
              </w:rPr>
            </w:pPr>
            <w:r>
              <w:rPr>
                <w:rFonts w:asciiTheme="majorHAnsi" w:hAnsiTheme="majorHAnsi"/>
                <w:bCs/>
                <w:sz w:val="20"/>
                <w:szCs w:val="20"/>
              </w:rPr>
              <w:t>Yes</w:t>
            </w:r>
          </w:p>
        </w:tc>
      </w:tr>
      <w:tr w:rsidR="004174B2" w:rsidRPr="000B6B7A" w14:paraId="23498CDC" w14:textId="77777777" w:rsidTr="009B35B0">
        <w:trPr>
          <w:cantSplit/>
        </w:trPr>
        <w:tc>
          <w:tcPr>
            <w:tcW w:w="3690" w:type="dxa"/>
            <w:tcBorders>
              <w:top w:val="single" w:sz="6" w:space="0" w:color="auto"/>
              <w:bottom w:val="single" w:sz="6" w:space="0" w:color="auto"/>
            </w:tcBorders>
            <w:shd w:val="clear" w:color="auto" w:fill="67AE3C"/>
            <w:vAlign w:val="center"/>
          </w:tcPr>
          <w:p w14:paraId="7CD36910" w14:textId="77777777" w:rsidR="004174B2" w:rsidRPr="000B6B7A" w:rsidRDefault="004174B2" w:rsidP="009B35B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557276EF" w14:textId="77777777" w:rsidR="004174B2" w:rsidRPr="000B6B7A" w:rsidRDefault="004174B2" w:rsidP="009B35B0">
            <w:pPr>
              <w:rPr>
                <w:rFonts w:asciiTheme="majorHAnsi" w:hAnsiTheme="majorHAnsi"/>
                <w:bCs/>
                <w:sz w:val="20"/>
                <w:szCs w:val="20"/>
              </w:rPr>
            </w:pPr>
            <w:r>
              <w:rPr>
                <w:rFonts w:asciiTheme="majorHAnsi" w:hAnsiTheme="majorHAnsi"/>
                <w:bCs/>
                <w:sz w:val="20"/>
                <w:szCs w:val="20"/>
              </w:rPr>
              <w:t>Yes</w:t>
            </w:r>
          </w:p>
        </w:tc>
      </w:tr>
      <w:tr w:rsidR="004174B2" w:rsidRPr="000B6B7A" w14:paraId="4E314246" w14:textId="77777777" w:rsidTr="009B35B0">
        <w:trPr>
          <w:cantSplit/>
        </w:trPr>
        <w:tc>
          <w:tcPr>
            <w:tcW w:w="3690" w:type="dxa"/>
            <w:tcBorders>
              <w:top w:val="single" w:sz="6" w:space="0" w:color="auto"/>
              <w:bottom w:val="single" w:sz="6" w:space="0" w:color="auto"/>
            </w:tcBorders>
            <w:shd w:val="clear" w:color="auto" w:fill="67AE3C"/>
            <w:vAlign w:val="center"/>
          </w:tcPr>
          <w:p w14:paraId="57ADAC30" w14:textId="77777777" w:rsidR="004174B2" w:rsidRPr="000B6B7A" w:rsidRDefault="004174B2" w:rsidP="009B35B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3CB3863A" w14:textId="2884A90C" w:rsidR="004174B2" w:rsidRPr="000B6B7A" w:rsidRDefault="004174B2" w:rsidP="009B35B0">
            <w:pPr>
              <w:jc w:val="both"/>
              <w:rPr>
                <w:rFonts w:asciiTheme="majorHAnsi" w:hAnsiTheme="majorHAnsi"/>
                <w:bCs/>
                <w:sz w:val="20"/>
                <w:szCs w:val="20"/>
              </w:rPr>
            </w:pPr>
            <w:r>
              <w:rPr>
                <w:rFonts w:asciiTheme="majorHAnsi" w:hAnsiTheme="majorHAnsi"/>
                <w:bCs/>
                <w:sz w:val="20"/>
                <w:szCs w:val="20"/>
              </w:rPr>
              <w:t>Yes</w:t>
            </w:r>
            <w:r w:rsidRPr="005F5EEF">
              <w:rPr>
                <w:rFonts w:asciiTheme="majorHAnsi" w:hAnsiTheme="majorHAnsi"/>
                <w:bCs/>
                <w:sz w:val="20"/>
                <w:szCs w:val="20"/>
              </w:rPr>
              <w:t>, American</w:t>
            </w:r>
            <w:r>
              <w:rPr>
                <w:rFonts w:asciiTheme="majorHAnsi" w:hAnsiTheme="majorHAnsi"/>
                <w:bCs/>
                <w:sz w:val="20"/>
                <w:szCs w:val="20"/>
              </w:rPr>
              <w:t xml:space="preserve"> Convention </w:t>
            </w:r>
            <w:r w:rsidRPr="005F5EEF">
              <w:rPr>
                <w:rFonts w:asciiTheme="majorHAnsi" w:hAnsiTheme="majorHAnsi"/>
                <w:bCs/>
                <w:sz w:val="20"/>
                <w:szCs w:val="20"/>
              </w:rPr>
              <w:t>(</w:t>
            </w:r>
            <w:r>
              <w:rPr>
                <w:rFonts w:asciiTheme="majorHAnsi" w:hAnsiTheme="majorHAnsi"/>
                <w:bCs/>
                <w:sz w:val="20"/>
                <w:szCs w:val="20"/>
              </w:rPr>
              <w:t>instrument ratifi</w:t>
            </w:r>
            <w:r w:rsidR="00A6499F">
              <w:rPr>
                <w:rFonts w:asciiTheme="majorHAnsi" w:hAnsiTheme="majorHAnsi"/>
                <w:bCs/>
                <w:sz w:val="20"/>
                <w:szCs w:val="20"/>
              </w:rPr>
              <w:t xml:space="preserve">ed on September </w:t>
            </w:r>
            <w:r>
              <w:rPr>
                <w:rFonts w:asciiTheme="majorHAnsi" w:hAnsiTheme="majorHAnsi"/>
                <w:bCs/>
                <w:sz w:val="20"/>
                <w:szCs w:val="20"/>
              </w:rPr>
              <w:t xml:space="preserve">25, </w:t>
            </w:r>
            <w:r w:rsidRPr="005F5EEF">
              <w:rPr>
                <w:rFonts w:asciiTheme="majorHAnsi" w:hAnsiTheme="majorHAnsi"/>
                <w:bCs/>
                <w:sz w:val="20"/>
                <w:szCs w:val="20"/>
              </w:rPr>
              <w:t>19</w:t>
            </w:r>
            <w:r w:rsidR="00A6499F">
              <w:rPr>
                <w:rFonts w:asciiTheme="majorHAnsi" w:hAnsiTheme="majorHAnsi"/>
                <w:bCs/>
                <w:sz w:val="20"/>
                <w:szCs w:val="20"/>
              </w:rPr>
              <w:t>92</w:t>
            </w:r>
            <w:r w:rsidRPr="005F5EEF">
              <w:rPr>
                <w:rFonts w:asciiTheme="majorHAnsi" w:hAnsiTheme="majorHAnsi"/>
                <w:bCs/>
                <w:sz w:val="20"/>
                <w:szCs w:val="20"/>
              </w:rPr>
              <w:t xml:space="preserve">); </w:t>
            </w:r>
            <w:r w:rsidR="00721810">
              <w:rPr>
                <w:rFonts w:asciiTheme="majorHAnsi" w:hAnsiTheme="majorHAnsi"/>
                <w:bCs/>
                <w:sz w:val="20"/>
                <w:szCs w:val="20"/>
              </w:rPr>
              <w:t>Protocol of San Salvador (instrument ratified on August 21, 1996)</w:t>
            </w:r>
          </w:p>
        </w:tc>
      </w:tr>
    </w:tbl>
    <w:p w14:paraId="52C86426" w14:textId="77777777" w:rsidR="004174B2" w:rsidRPr="000B6B7A" w:rsidRDefault="004174B2" w:rsidP="004174B2">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4174B2" w:rsidRPr="000B6B7A" w14:paraId="6A92AD1E" w14:textId="77777777" w:rsidTr="009B35B0">
        <w:trPr>
          <w:cantSplit/>
        </w:trPr>
        <w:tc>
          <w:tcPr>
            <w:tcW w:w="3690" w:type="dxa"/>
            <w:tcBorders>
              <w:top w:val="single" w:sz="4" w:space="0" w:color="auto"/>
              <w:bottom w:val="single" w:sz="6" w:space="0" w:color="auto"/>
            </w:tcBorders>
            <w:shd w:val="clear" w:color="auto" w:fill="67AE3C"/>
            <w:vAlign w:val="center"/>
          </w:tcPr>
          <w:p w14:paraId="6CB6F525" w14:textId="77777777" w:rsidR="004174B2" w:rsidRPr="000B6B7A" w:rsidRDefault="004174B2" w:rsidP="009B35B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1E7897F" w14:textId="77777777" w:rsidR="004174B2" w:rsidRPr="000B6B7A" w:rsidRDefault="004174B2" w:rsidP="009B35B0">
            <w:pPr>
              <w:jc w:val="both"/>
              <w:rPr>
                <w:rFonts w:ascii="Cambria" w:hAnsi="Cambria"/>
                <w:bCs/>
                <w:sz w:val="20"/>
                <w:szCs w:val="20"/>
              </w:rPr>
            </w:pPr>
            <w:r>
              <w:rPr>
                <w:rFonts w:ascii="Cambria" w:hAnsi="Cambria"/>
                <w:bCs/>
                <w:sz w:val="20"/>
                <w:szCs w:val="20"/>
              </w:rPr>
              <w:t>No.</w:t>
            </w:r>
          </w:p>
        </w:tc>
      </w:tr>
      <w:tr w:rsidR="004174B2" w:rsidRPr="000B6B7A" w14:paraId="63FD7F1C" w14:textId="77777777" w:rsidTr="009B35B0">
        <w:trPr>
          <w:cantSplit/>
        </w:trPr>
        <w:tc>
          <w:tcPr>
            <w:tcW w:w="3690" w:type="dxa"/>
            <w:tcBorders>
              <w:top w:val="single" w:sz="6" w:space="0" w:color="auto"/>
              <w:bottom w:val="single" w:sz="6" w:space="0" w:color="auto"/>
            </w:tcBorders>
            <w:shd w:val="clear" w:color="auto" w:fill="67AE3C"/>
            <w:vAlign w:val="center"/>
          </w:tcPr>
          <w:p w14:paraId="18084BE4" w14:textId="77777777" w:rsidR="004174B2" w:rsidRPr="000B6B7A" w:rsidRDefault="004174B2" w:rsidP="009B35B0">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11542433" w14:textId="5A7E43E9" w:rsidR="004174B2" w:rsidRPr="000B6B7A" w:rsidRDefault="004174B2" w:rsidP="009B35B0">
            <w:pPr>
              <w:jc w:val="both"/>
              <w:rPr>
                <w:rFonts w:ascii="Cambria" w:hAnsi="Cambria"/>
                <w:bCs/>
                <w:sz w:val="20"/>
                <w:szCs w:val="20"/>
              </w:rPr>
            </w:pPr>
            <w:r w:rsidRPr="005F5EEF">
              <w:rPr>
                <w:rFonts w:asciiTheme="majorHAnsi" w:hAnsiTheme="majorHAnsi"/>
                <w:bCs/>
                <w:sz w:val="20"/>
                <w:szCs w:val="20"/>
              </w:rPr>
              <w:t>A</w:t>
            </w:r>
            <w:r>
              <w:rPr>
                <w:rFonts w:asciiTheme="majorHAnsi" w:hAnsiTheme="majorHAnsi"/>
                <w:bCs/>
                <w:sz w:val="20"/>
                <w:szCs w:val="20"/>
              </w:rPr>
              <w:t xml:space="preserve">rticles </w:t>
            </w:r>
            <w:r w:rsidRPr="005F5EEF">
              <w:rPr>
                <w:rFonts w:asciiTheme="majorHAnsi" w:hAnsiTheme="majorHAnsi"/>
                <w:bCs/>
                <w:sz w:val="20"/>
                <w:szCs w:val="20"/>
              </w:rPr>
              <w:t>5 (</w:t>
            </w:r>
            <w:r>
              <w:rPr>
                <w:rFonts w:asciiTheme="majorHAnsi" w:hAnsiTheme="majorHAnsi"/>
                <w:bCs/>
                <w:sz w:val="20"/>
                <w:szCs w:val="20"/>
              </w:rPr>
              <w:t>humane treatment</w:t>
            </w:r>
            <w:r w:rsidRPr="005F5EEF">
              <w:rPr>
                <w:rFonts w:asciiTheme="majorHAnsi" w:hAnsiTheme="majorHAnsi"/>
                <w:bCs/>
                <w:sz w:val="20"/>
                <w:szCs w:val="20"/>
              </w:rPr>
              <w:t>), 8 (judicial</w:t>
            </w:r>
            <w:r>
              <w:rPr>
                <w:rFonts w:asciiTheme="majorHAnsi" w:hAnsiTheme="majorHAnsi"/>
                <w:bCs/>
                <w:sz w:val="20"/>
                <w:szCs w:val="20"/>
              </w:rPr>
              <w:t xml:space="preserve"> guarantees</w:t>
            </w:r>
            <w:r w:rsidRPr="005F5EEF">
              <w:rPr>
                <w:rFonts w:asciiTheme="majorHAnsi" w:hAnsiTheme="majorHAnsi"/>
                <w:bCs/>
                <w:sz w:val="20"/>
                <w:szCs w:val="20"/>
              </w:rPr>
              <w:t>), 17 (protec</w:t>
            </w:r>
            <w:r>
              <w:rPr>
                <w:rFonts w:asciiTheme="majorHAnsi" w:hAnsiTheme="majorHAnsi"/>
                <w:bCs/>
                <w:sz w:val="20"/>
                <w:szCs w:val="20"/>
              </w:rPr>
              <w:t>tion of the family</w:t>
            </w:r>
            <w:r w:rsidRPr="005F5EEF">
              <w:rPr>
                <w:rFonts w:asciiTheme="majorHAnsi" w:hAnsiTheme="majorHAnsi"/>
                <w:bCs/>
                <w:sz w:val="20"/>
                <w:szCs w:val="20"/>
              </w:rPr>
              <w:t>), 19 (</w:t>
            </w:r>
            <w:r>
              <w:rPr>
                <w:rFonts w:asciiTheme="majorHAnsi" w:hAnsiTheme="majorHAnsi"/>
                <w:bCs/>
                <w:sz w:val="20"/>
                <w:szCs w:val="20"/>
              </w:rPr>
              <w:t>rights of the child</w:t>
            </w:r>
            <w:r w:rsidRPr="005F5EEF">
              <w:rPr>
                <w:rFonts w:asciiTheme="majorHAnsi" w:hAnsiTheme="majorHAnsi"/>
                <w:bCs/>
                <w:sz w:val="20"/>
                <w:szCs w:val="20"/>
              </w:rPr>
              <w:t>), 25 (judicial</w:t>
            </w:r>
            <w:r>
              <w:rPr>
                <w:rFonts w:asciiTheme="majorHAnsi" w:hAnsiTheme="majorHAnsi"/>
                <w:bCs/>
                <w:sz w:val="20"/>
                <w:szCs w:val="20"/>
              </w:rPr>
              <w:t xml:space="preserve"> protection</w:t>
            </w:r>
            <w:r w:rsidRPr="005F5EEF">
              <w:rPr>
                <w:rFonts w:asciiTheme="majorHAnsi" w:hAnsiTheme="majorHAnsi"/>
                <w:bCs/>
                <w:sz w:val="20"/>
                <w:szCs w:val="20"/>
              </w:rPr>
              <w:t>)</w:t>
            </w:r>
            <w:r w:rsidR="00311E5F">
              <w:rPr>
                <w:rFonts w:asciiTheme="majorHAnsi" w:hAnsiTheme="majorHAnsi"/>
                <w:bCs/>
                <w:sz w:val="20"/>
                <w:szCs w:val="20"/>
              </w:rPr>
              <w:t xml:space="preserve">, and 26 (economic, social, cultural and environmental rights), </w:t>
            </w:r>
            <w:r>
              <w:rPr>
                <w:rFonts w:asciiTheme="majorHAnsi" w:hAnsiTheme="majorHAnsi"/>
                <w:bCs/>
                <w:sz w:val="20"/>
                <w:szCs w:val="20"/>
              </w:rPr>
              <w:t xml:space="preserve">in </w:t>
            </w:r>
            <w:r w:rsidR="00311E5F">
              <w:rPr>
                <w:rFonts w:asciiTheme="majorHAnsi" w:hAnsiTheme="majorHAnsi"/>
                <w:bCs/>
                <w:sz w:val="20"/>
                <w:szCs w:val="20"/>
              </w:rPr>
              <w:t xml:space="preserve">conjunction with </w:t>
            </w:r>
            <w:r>
              <w:rPr>
                <w:rFonts w:asciiTheme="majorHAnsi" w:hAnsiTheme="majorHAnsi"/>
                <w:bCs/>
                <w:sz w:val="20"/>
                <w:szCs w:val="20"/>
              </w:rPr>
              <w:t xml:space="preserve">Articles </w:t>
            </w:r>
            <w:r w:rsidRPr="005F5EEF">
              <w:rPr>
                <w:rFonts w:asciiTheme="majorHAnsi" w:hAnsiTheme="majorHAnsi"/>
                <w:bCs/>
                <w:sz w:val="20"/>
                <w:szCs w:val="20"/>
              </w:rPr>
              <w:t>1</w:t>
            </w:r>
            <w:r>
              <w:rPr>
                <w:rFonts w:asciiTheme="majorHAnsi" w:hAnsiTheme="majorHAnsi"/>
                <w:bCs/>
                <w:sz w:val="20"/>
                <w:szCs w:val="20"/>
              </w:rPr>
              <w:t>(</w:t>
            </w:r>
            <w:r w:rsidRPr="005F5EEF">
              <w:rPr>
                <w:rFonts w:asciiTheme="majorHAnsi" w:hAnsiTheme="majorHAnsi"/>
                <w:bCs/>
                <w:sz w:val="20"/>
                <w:szCs w:val="20"/>
              </w:rPr>
              <w:t>1</w:t>
            </w:r>
            <w:r>
              <w:rPr>
                <w:rFonts w:asciiTheme="majorHAnsi" w:hAnsiTheme="majorHAnsi"/>
                <w:bCs/>
                <w:sz w:val="20"/>
                <w:szCs w:val="20"/>
              </w:rPr>
              <w:t>)</w:t>
            </w:r>
            <w:r w:rsidRPr="005F5EEF">
              <w:rPr>
                <w:rFonts w:asciiTheme="majorHAnsi" w:hAnsiTheme="majorHAnsi"/>
                <w:bCs/>
                <w:sz w:val="20"/>
                <w:szCs w:val="20"/>
              </w:rPr>
              <w:t xml:space="preserve"> (obliga</w:t>
            </w:r>
            <w:r>
              <w:rPr>
                <w:rFonts w:asciiTheme="majorHAnsi" w:hAnsiTheme="majorHAnsi"/>
                <w:bCs/>
                <w:sz w:val="20"/>
                <w:szCs w:val="20"/>
              </w:rPr>
              <w:t>tion to respect rights</w:t>
            </w:r>
            <w:r w:rsidRPr="005F5EEF">
              <w:rPr>
                <w:rFonts w:asciiTheme="majorHAnsi" w:hAnsiTheme="majorHAnsi"/>
                <w:bCs/>
                <w:sz w:val="20"/>
                <w:szCs w:val="20"/>
              </w:rPr>
              <w:t xml:space="preserve">) </w:t>
            </w:r>
            <w:r>
              <w:rPr>
                <w:rFonts w:asciiTheme="majorHAnsi" w:hAnsiTheme="majorHAnsi"/>
                <w:bCs/>
                <w:sz w:val="20"/>
                <w:szCs w:val="20"/>
              </w:rPr>
              <w:t xml:space="preserve">and </w:t>
            </w:r>
            <w:r w:rsidRPr="005F5EEF">
              <w:rPr>
                <w:rFonts w:asciiTheme="majorHAnsi" w:hAnsiTheme="majorHAnsi"/>
                <w:bCs/>
                <w:sz w:val="20"/>
                <w:szCs w:val="20"/>
              </w:rPr>
              <w:t>2 (</w:t>
            </w:r>
            <w:r w:rsidR="00644407">
              <w:rPr>
                <w:rFonts w:asciiTheme="majorHAnsi" w:hAnsiTheme="majorHAnsi"/>
                <w:bCs/>
                <w:sz w:val="20"/>
                <w:szCs w:val="20"/>
              </w:rPr>
              <w:t>domestic legal effects</w:t>
            </w:r>
            <w:r w:rsidRPr="005F5EEF">
              <w:rPr>
                <w:rFonts w:asciiTheme="majorHAnsi" w:hAnsiTheme="majorHAnsi"/>
                <w:bCs/>
                <w:sz w:val="20"/>
                <w:szCs w:val="20"/>
              </w:rPr>
              <w:t xml:space="preserve">) </w:t>
            </w:r>
            <w:r>
              <w:rPr>
                <w:rFonts w:asciiTheme="majorHAnsi" w:hAnsiTheme="majorHAnsi"/>
                <w:bCs/>
                <w:sz w:val="20"/>
                <w:szCs w:val="20"/>
              </w:rPr>
              <w:t xml:space="preserve">of the </w:t>
            </w:r>
            <w:r w:rsidRPr="005F5EEF">
              <w:rPr>
                <w:rFonts w:asciiTheme="majorHAnsi" w:hAnsiTheme="majorHAnsi"/>
                <w:bCs/>
                <w:sz w:val="20"/>
                <w:szCs w:val="20"/>
              </w:rPr>
              <w:t>American</w:t>
            </w:r>
            <w:r>
              <w:rPr>
                <w:rFonts w:asciiTheme="majorHAnsi" w:hAnsiTheme="majorHAnsi"/>
                <w:bCs/>
                <w:sz w:val="20"/>
                <w:szCs w:val="20"/>
              </w:rPr>
              <w:t xml:space="preserve"> Convention</w:t>
            </w:r>
            <w:r w:rsidRPr="005F5EEF">
              <w:rPr>
                <w:rFonts w:asciiTheme="majorHAnsi" w:hAnsiTheme="majorHAnsi"/>
                <w:bCs/>
                <w:sz w:val="20"/>
                <w:szCs w:val="20"/>
              </w:rPr>
              <w:t xml:space="preserve">; </w:t>
            </w:r>
            <w:r>
              <w:rPr>
                <w:rFonts w:asciiTheme="majorHAnsi" w:hAnsiTheme="majorHAnsi"/>
                <w:bCs/>
                <w:sz w:val="20"/>
                <w:szCs w:val="20"/>
              </w:rPr>
              <w:t>Article</w:t>
            </w:r>
            <w:r w:rsidR="00A33213">
              <w:rPr>
                <w:rFonts w:asciiTheme="majorHAnsi" w:hAnsiTheme="majorHAnsi"/>
                <w:bCs/>
                <w:sz w:val="20"/>
                <w:szCs w:val="20"/>
              </w:rPr>
              <w:t xml:space="preserve"> 13 (education) of the Protocol of San Salvador</w:t>
            </w:r>
          </w:p>
        </w:tc>
      </w:tr>
      <w:tr w:rsidR="004174B2" w:rsidRPr="000B6B7A" w14:paraId="6B84699B" w14:textId="77777777" w:rsidTr="009B35B0">
        <w:trPr>
          <w:cantSplit/>
        </w:trPr>
        <w:tc>
          <w:tcPr>
            <w:tcW w:w="3690" w:type="dxa"/>
            <w:tcBorders>
              <w:top w:val="single" w:sz="6" w:space="0" w:color="auto"/>
              <w:bottom w:val="single" w:sz="6" w:space="0" w:color="auto"/>
            </w:tcBorders>
            <w:shd w:val="clear" w:color="auto" w:fill="67AE3C"/>
            <w:vAlign w:val="center"/>
          </w:tcPr>
          <w:p w14:paraId="0F02330F" w14:textId="77777777" w:rsidR="004174B2" w:rsidRPr="000B6B7A" w:rsidRDefault="004174B2" w:rsidP="009B35B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626D90C7" w14:textId="77777777" w:rsidR="004174B2" w:rsidRPr="000B6B7A" w:rsidRDefault="004174B2" w:rsidP="009B35B0">
            <w:pPr>
              <w:rPr>
                <w:rFonts w:ascii="Cambria" w:hAnsi="Cambria"/>
                <w:bCs/>
                <w:sz w:val="20"/>
                <w:szCs w:val="20"/>
              </w:rPr>
            </w:pPr>
            <w:r>
              <w:rPr>
                <w:rFonts w:ascii="Cambria" w:hAnsi="Cambria"/>
                <w:bCs/>
                <w:sz w:val="20"/>
                <w:szCs w:val="20"/>
              </w:rPr>
              <w:t>Yes, in the terms of Section VI</w:t>
            </w:r>
          </w:p>
          <w:p w14:paraId="20580354" w14:textId="77777777" w:rsidR="004174B2" w:rsidRPr="000B6B7A" w:rsidRDefault="004174B2" w:rsidP="009B35B0">
            <w:pPr>
              <w:rPr>
                <w:rFonts w:ascii="Cambria" w:hAnsi="Cambria"/>
                <w:bCs/>
                <w:sz w:val="20"/>
                <w:szCs w:val="20"/>
              </w:rPr>
            </w:pPr>
          </w:p>
        </w:tc>
      </w:tr>
      <w:tr w:rsidR="004174B2" w:rsidRPr="000B6B7A" w14:paraId="302E77C0" w14:textId="77777777" w:rsidTr="009B35B0">
        <w:trPr>
          <w:cantSplit/>
        </w:trPr>
        <w:tc>
          <w:tcPr>
            <w:tcW w:w="3690" w:type="dxa"/>
            <w:tcBorders>
              <w:top w:val="single" w:sz="6" w:space="0" w:color="auto"/>
              <w:bottom w:val="single" w:sz="6" w:space="0" w:color="auto"/>
            </w:tcBorders>
            <w:shd w:val="clear" w:color="auto" w:fill="67AE3C"/>
            <w:vAlign w:val="center"/>
          </w:tcPr>
          <w:p w14:paraId="51D45312" w14:textId="77777777" w:rsidR="004174B2" w:rsidRPr="000B6B7A" w:rsidRDefault="004174B2" w:rsidP="009B35B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5983CBCE" w14:textId="77777777" w:rsidR="004174B2" w:rsidRPr="000B6B7A" w:rsidRDefault="004174B2" w:rsidP="009B35B0">
            <w:pPr>
              <w:rPr>
                <w:rFonts w:asciiTheme="majorHAnsi" w:hAnsiTheme="majorHAnsi"/>
                <w:bCs/>
                <w:sz w:val="20"/>
                <w:szCs w:val="20"/>
              </w:rPr>
            </w:pPr>
            <w:r>
              <w:rPr>
                <w:rFonts w:asciiTheme="majorHAnsi" w:hAnsiTheme="majorHAnsi"/>
                <w:bCs/>
                <w:sz w:val="20"/>
                <w:szCs w:val="20"/>
              </w:rPr>
              <w:t>Yes, in the terms of Section VI</w:t>
            </w:r>
          </w:p>
        </w:tc>
      </w:tr>
    </w:tbl>
    <w:p w14:paraId="260662C0" w14:textId="77777777" w:rsidR="00055C99" w:rsidRPr="00113C7D" w:rsidRDefault="00055C99" w:rsidP="00582430">
      <w:pPr>
        <w:spacing w:before="360" w:after="240"/>
        <w:ind w:firstLine="720"/>
        <w:jc w:val="both"/>
        <w:rPr>
          <w:rFonts w:asciiTheme="majorHAnsi" w:hAnsiTheme="majorHAnsi"/>
          <w:b/>
          <w:color w:val="000000" w:themeColor="text1"/>
          <w:sz w:val="20"/>
          <w:szCs w:val="20"/>
        </w:rPr>
      </w:pPr>
      <w:r w:rsidRPr="00113C7D">
        <w:rPr>
          <w:rFonts w:asciiTheme="majorHAnsi" w:hAnsiTheme="majorHAnsi"/>
          <w:b/>
          <w:color w:val="000000" w:themeColor="text1"/>
          <w:sz w:val="20"/>
          <w:szCs w:val="20"/>
        </w:rPr>
        <w:t xml:space="preserve">V. </w:t>
      </w:r>
      <w:r w:rsidRPr="00113C7D">
        <w:rPr>
          <w:rFonts w:asciiTheme="majorHAnsi" w:hAnsiTheme="majorHAnsi"/>
          <w:b/>
          <w:color w:val="000000" w:themeColor="text1"/>
          <w:sz w:val="20"/>
          <w:szCs w:val="20"/>
        </w:rPr>
        <w:tab/>
        <w:t xml:space="preserve">POSITIONS OF THE PARTIES </w:t>
      </w:r>
    </w:p>
    <w:p w14:paraId="5E07365E" w14:textId="77777777" w:rsidR="00055C99" w:rsidRPr="00113C7D" w:rsidRDefault="00055C99" w:rsidP="00055C99">
      <w:pPr>
        <w:pStyle w:val="ListParagraph"/>
        <w:spacing w:after="240"/>
        <w:jc w:val="both"/>
        <w:rPr>
          <w:i/>
          <w:iCs/>
          <w:color w:val="auto"/>
          <w:sz w:val="20"/>
          <w:szCs w:val="20"/>
        </w:rPr>
      </w:pPr>
      <w:bookmarkStart w:id="0" w:name="_Hlk80180807"/>
      <w:r w:rsidRPr="00113C7D">
        <w:rPr>
          <w:i/>
          <w:iCs/>
          <w:color w:val="auto"/>
          <w:sz w:val="20"/>
          <w:szCs w:val="20"/>
        </w:rPr>
        <w:t xml:space="preserve">The petitioner’s arguments </w:t>
      </w:r>
    </w:p>
    <w:p w14:paraId="55BD8D16" w14:textId="434D7A61" w:rsidR="00055C99" w:rsidRPr="00113C7D" w:rsidRDefault="00055C99" w:rsidP="00E12744">
      <w:pPr>
        <w:pStyle w:val="ListParagraph"/>
        <w:numPr>
          <w:ilvl w:val="0"/>
          <w:numId w:val="55"/>
        </w:numPr>
        <w:spacing w:after="240"/>
        <w:jc w:val="both"/>
        <w:rPr>
          <w:color w:val="auto"/>
          <w:sz w:val="20"/>
          <w:szCs w:val="20"/>
        </w:rPr>
      </w:pPr>
      <w:r>
        <w:rPr>
          <w:color w:val="auto"/>
          <w:sz w:val="20"/>
          <w:szCs w:val="20"/>
        </w:rPr>
        <w:t xml:space="preserve">The petitioner alleges that adolescents deprived of liberty in </w:t>
      </w:r>
      <w:r w:rsidRPr="00113C7D">
        <w:rPr>
          <w:color w:val="auto"/>
          <w:sz w:val="20"/>
          <w:szCs w:val="20"/>
        </w:rPr>
        <w:t xml:space="preserve">Belo Horizonte, </w:t>
      </w:r>
      <w:r w:rsidR="009C65A6">
        <w:rPr>
          <w:color w:val="auto"/>
          <w:sz w:val="20"/>
          <w:szCs w:val="20"/>
        </w:rPr>
        <w:t>detained at</w:t>
      </w:r>
      <w:r>
        <w:rPr>
          <w:color w:val="auto"/>
          <w:sz w:val="20"/>
          <w:szCs w:val="20"/>
        </w:rPr>
        <w:t xml:space="preserve"> four socio-educational centers, were submitted to lack of water; overcrowding; failure to separate the adolescents according to age, physique, and infraction committed; </w:t>
      </w:r>
      <w:r w:rsidR="009D6580">
        <w:rPr>
          <w:color w:val="auto"/>
          <w:sz w:val="20"/>
          <w:szCs w:val="20"/>
        </w:rPr>
        <w:t xml:space="preserve">detention </w:t>
      </w:r>
      <w:r>
        <w:rPr>
          <w:color w:val="auto"/>
          <w:sz w:val="20"/>
          <w:szCs w:val="20"/>
        </w:rPr>
        <w:t>of adolescents from other regions; failure to carry out appropriate socio-educational activities</w:t>
      </w:r>
      <w:r w:rsidRPr="00113C7D">
        <w:rPr>
          <w:color w:val="auto"/>
          <w:sz w:val="20"/>
          <w:szCs w:val="20"/>
        </w:rPr>
        <w:t xml:space="preserve">; </w:t>
      </w:r>
      <w:r>
        <w:rPr>
          <w:color w:val="auto"/>
          <w:sz w:val="20"/>
          <w:szCs w:val="20"/>
        </w:rPr>
        <w:t>lack of sufficient agents and technical personnel</w:t>
      </w:r>
      <w:r w:rsidRPr="00113C7D">
        <w:rPr>
          <w:color w:val="auto"/>
          <w:sz w:val="20"/>
          <w:szCs w:val="20"/>
        </w:rPr>
        <w:t xml:space="preserve">; </w:t>
      </w:r>
      <w:r>
        <w:rPr>
          <w:color w:val="auto"/>
          <w:sz w:val="20"/>
          <w:szCs w:val="20"/>
        </w:rPr>
        <w:t xml:space="preserve">among other issues related to the conditions and structural features of those centers. </w:t>
      </w:r>
    </w:p>
    <w:p w14:paraId="63DA7622" w14:textId="39A2DF43" w:rsidR="00055C99" w:rsidRPr="00113C7D" w:rsidRDefault="00055C99" w:rsidP="00055C99">
      <w:pPr>
        <w:pStyle w:val="ListParagraph"/>
        <w:numPr>
          <w:ilvl w:val="0"/>
          <w:numId w:val="55"/>
        </w:numPr>
        <w:spacing w:after="240"/>
        <w:jc w:val="both"/>
        <w:rPr>
          <w:sz w:val="20"/>
          <w:szCs w:val="20"/>
        </w:rPr>
      </w:pPr>
      <w:r>
        <w:rPr>
          <w:color w:val="auto"/>
          <w:sz w:val="20"/>
          <w:szCs w:val="20"/>
        </w:rPr>
        <w:t xml:space="preserve">According to the petitioner, on December 14, 2015, the judge </w:t>
      </w:r>
      <w:r w:rsidR="009B0EE2">
        <w:rPr>
          <w:color w:val="auto"/>
          <w:sz w:val="20"/>
          <w:szCs w:val="20"/>
        </w:rPr>
        <w:t xml:space="preserve">of the Court of Infractions for Children and Youth </w:t>
      </w:r>
      <w:r>
        <w:rPr>
          <w:color w:val="auto"/>
          <w:sz w:val="20"/>
          <w:szCs w:val="20"/>
        </w:rPr>
        <w:t xml:space="preserve">of the </w:t>
      </w:r>
      <w:r w:rsidR="009B0EE2">
        <w:rPr>
          <w:color w:val="auto"/>
          <w:sz w:val="20"/>
          <w:szCs w:val="20"/>
        </w:rPr>
        <w:t>d</w:t>
      </w:r>
      <w:r>
        <w:rPr>
          <w:color w:val="auto"/>
          <w:sz w:val="20"/>
          <w:szCs w:val="20"/>
        </w:rPr>
        <w:t xml:space="preserve">istrict of </w:t>
      </w:r>
      <w:r w:rsidRPr="00113C7D">
        <w:rPr>
          <w:color w:val="auto"/>
          <w:sz w:val="20"/>
          <w:szCs w:val="20"/>
        </w:rPr>
        <w:t xml:space="preserve">Belo Horizonte </w:t>
      </w:r>
      <w:r>
        <w:rPr>
          <w:color w:val="auto"/>
          <w:sz w:val="20"/>
          <w:szCs w:val="20"/>
        </w:rPr>
        <w:t xml:space="preserve">issued four judicial orders to establish administrative procedures for looking into irregularities and the </w:t>
      </w:r>
      <w:r w:rsidRPr="00113C7D">
        <w:rPr>
          <w:sz w:val="20"/>
          <w:szCs w:val="20"/>
        </w:rPr>
        <w:t xml:space="preserve">Centro Socioeducativo Santa Terezinha (CSEST), </w:t>
      </w:r>
      <w:r>
        <w:rPr>
          <w:sz w:val="20"/>
          <w:szCs w:val="20"/>
        </w:rPr>
        <w:t xml:space="preserve">the </w:t>
      </w:r>
      <w:r w:rsidRPr="00113C7D">
        <w:rPr>
          <w:sz w:val="20"/>
          <w:szCs w:val="20"/>
        </w:rPr>
        <w:t xml:space="preserve">Centro de Atendimento ao Adolescente Lindeia (CEAD Lindeia), </w:t>
      </w:r>
      <w:r>
        <w:rPr>
          <w:sz w:val="20"/>
          <w:szCs w:val="20"/>
        </w:rPr>
        <w:t xml:space="preserve">the </w:t>
      </w:r>
      <w:r w:rsidRPr="00113C7D">
        <w:rPr>
          <w:sz w:val="20"/>
          <w:szCs w:val="20"/>
        </w:rPr>
        <w:t>Centro de Reeducação Social São Jerônimo (CRSSJ)</w:t>
      </w:r>
      <w:r>
        <w:rPr>
          <w:sz w:val="20"/>
          <w:szCs w:val="20"/>
        </w:rPr>
        <w:t xml:space="preserve">, and the </w:t>
      </w:r>
      <w:r w:rsidRPr="00113C7D">
        <w:rPr>
          <w:sz w:val="20"/>
          <w:szCs w:val="20"/>
        </w:rPr>
        <w:t xml:space="preserve">Centro Socioeducativo Santa Clara (CSE Santa Clara). </w:t>
      </w:r>
      <w:r w:rsidRPr="00113C7D">
        <w:rPr>
          <w:color w:val="auto"/>
          <w:sz w:val="20"/>
          <w:szCs w:val="20"/>
        </w:rPr>
        <w:t xml:space="preserve"> </w:t>
      </w:r>
    </w:p>
    <w:p w14:paraId="4EF2DAD4" w14:textId="5415ABDC" w:rsidR="00055C99" w:rsidRPr="00113C7D" w:rsidRDefault="00055C99" w:rsidP="00055C99">
      <w:pPr>
        <w:pStyle w:val="ListParagraph"/>
        <w:numPr>
          <w:ilvl w:val="0"/>
          <w:numId w:val="55"/>
        </w:numPr>
        <w:spacing w:after="240"/>
        <w:jc w:val="both"/>
        <w:rPr>
          <w:sz w:val="20"/>
          <w:szCs w:val="20"/>
        </w:rPr>
      </w:pPr>
      <w:r>
        <w:rPr>
          <w:color w:val="auto"/>
          <w:sz w:val="20"/>
          <w:szCs w:val="20"/>
        </w:rPr>
        <w:t xml:space="preserve">In the terms of those orders, the adolescents deprived of liberty at the </w:t>
      </w:r>
      <w:r w:rsidRPr="00113C7D">
        <w:rPr>
          <w:color w:val="auto"/>
          <w:sz w:val="20"/>
          <w:szCs w:val="20"/>
        </w:rPr>
        <w:t xml:space="preserve">CRSSJ </w:t>
      </w:r>
      <w:r>
        <w:rPr>
          <w:color w:val="auto"/>
          <w:sz w:val="20"/>
          <w:szCs w:val="20"/>
        </w:rPr>
        <w:t xml:space="preserve">and the </w:t>
      </w:r>
      <w:r w:rsidRPr="00113C7D">
        <w:rPr>
          <w:color w:val="auto"/>
          <w:sz w:val="20"/>
          <w:szCs w:val="20"/>
        </w:rPr>
        <w:t xml:space="preserve">CSEST </w:t>
      </w:r>
      <w:r>
        <w:rPr>
          <w:color w:val="auto"/>
          <w:sz w:val="20"/>
          <w:szCs w:val="20"/>
        </w:rPr>
        <w:t>did not have regular access to water, and the State should have halted the reception of more adolescents at th</w:t>
      </w:r>
      <w:r w:rsidR="00605AD5">
        <w:rPr>
          <w:color w:val="auto"/>
          <w:sz w:val="20"/>
          <w:szCs w:val="20"/>
        </w:rPr>
        <w:t>ose centers</w:t>
      </w:r>
      <w:r>
        <w:rPr>
          <w:color w:val="auto"/>
          <w:sz w:val="20"/>
          <w:szCs w:val="20"/>
        </w:rPr>
        <w:t xml:space="preserve"> until the restrictions and shortcomings of its water supply system were </w:t>
      </w:r>
      <w:r w:rsidR="00D01FBA">
        <w:rPr>
          <w:color w:val="auto"/>
          <w:sz w:val="20"/>
          <w:szCs w:val="20"/>
        </w:rPr>
        <w:t xml:space="preserve">revolved. </w:t>
      </w:r>
      <w:r>
        <w:rPr>
          <w:color w:val="auto"/>
          <w:sz w:val="20"/>
          <w:szCs w:val="20"/>
        </w:rPr>
        <w:t>At the same time</w:t>
      </w:r>
      <w:r w:rsidRPr="00113C7D">
        <w:rPr>
          <w:color w:val="auto"/>
          <w:sz w:val="20"/>
          <w:szCs w:val="20"/>
        </w:rPr>
        <w:t xml:space="preserve">, </w:t>
      </w:r>
      <w:r>
        <w:rPr>
          <w:color w:val="auto"/>
          <w:sz w:val="20"/>
          <w:szCs w:val="20"/>
        </w:rPr>
        <w:t xml:space="preserve">the </w:t>
      </w:r>
      <w:r w:rsidRPr="00113C7D">
        <w:rPr>
          <w:color w:val="auto"/>
          <w:sz w:val="20"/>
          <w:szCs w:val="20"/>
        </w:rPr>
        <w:t xml:space="preserve">CEAD Lindeia </w:t>
      </w:r>
      <w:r>
        <w:rPr>
          <w:color w:val="auto"/>
          <w:sz w:val="20"/>
          <w:szCs w:val="20"/>
        </w:rPr>
        <w:t>(</w:t>
      </w:r>
      <w:r w:rsidRPr="00113C7D">
        <w:rPr>
          <w:color w:val="auto"/>
          <w:sz w:val="20"/>
          <w:szCs w:val="20"/>
        </w:rPr>
        <w:t xml:space="preserve">i) </w:t>
      </w:r>
      <w:r>
        <w:rPr>
          <w:color w:val="auto"/>
          <w:sz w:val="20"/>
          <w:szCs w:val="20"/>
        </w:rPr>
        <w:t>was overcrowded, with the presence of many adolescents from other regions; (</w:t>
      </w:r>
      <w:r w:rsidRPr="00113C7D">
        <w:rPr>
          <w:color w:val="auto"/>
          <w:sz w:val="20"/>
          <w:szCs w:val="20"/>
        </w:rPr>
        <w:t xml:space="preserve">ii) </w:t>
      </w:r>
      <w:r>
        <w:rPr>
          <w:color w:val="auto"/>
          <w:sz w:val="20"/>
          <w:szCs w:val="20"/>
        </w:rPr>
        <w:t>fail</w:t>
      </w:r>
      <w:r w:rsidR="00D01FBA">
        <w:rPr>
          <w:color w:val="auto"/>
          <w:sz w:val="20"/>
          <w:szCs w:val="20"/>
        </w:rPr>
        <w:t>ed</w:t>
      </w:r>
      <w:r>
        <w:rPr>
          <w:color w:val="auto"/>
          <w:sz w:val="20"/>
          <w:szCs w:val="20"/>
        </w:rPr>
        <w:t xml:space="preserve"> to duly separate the adolescents based on the criteria of age, physique, and infractions; and (</w:t>
      </w:r>
      <w:r w:rsidRPr="00113C7D">
        <w:rPr>
          <w:color w:val="auto"/>
          <w:sz w:val="20"/>
          <w:szCs w:val="20"/>
        </w:rPr>
        <w:t xml:space="preserve">iii) </w:t>
      </w:r>
      <w:r>
        <w:rPr>
          <w:color w:val="auto"/>
          <w:sz w:val="20"/>
          <w:szCs w:val="20"/>
        </w:rPr>
        <w:t xml:space="preserve">was receiving adolescents older than 14 years </w:t>
      </w:r>
      <w:r w:rsidRPr="00113C7D">
        <w:rPr>
          <w:color w:val="auto"/>
          <w:sz w:val="20"/>
          <w:szCs w:val="20"/>
        </w:rPr>
        <w:t>(</w:t>
      </w:r>
      <w:r>
        <w:rPr>
          <w:color w:val="auto"/>
          <w:sz w:val="20"/>
          <w:szCs w:val="20"/>
        </w:rPr>
        <w:t xml:space="preserve">an </w:t>
      </w:r>
      <w:r w:rsidRPr="00113C7D">
        <w:rPr>
          <w:color w:val="auto"/>
          <w:sz w:val="20"/>
          <w:szCs w:val="20"/>
        </w:rPr>
        <w:t xml:space="preserve">irregular </w:t>
      </w:r>
      <w:r>
        <w:rPr>
          <w:color w:val="auto"/>
          <w:sz w:val="20"/>
          <w:szCs w:val="20"/>
        </w:rPr>
        <w:t>change in that unit’s age profile</w:t>
      </w:r>
      <w:r w:rsidRPr="00113C7D">
        <w:rPr>
          <w:color w:val="auto"/>
          <w:sz w:val="20"/>
          <w:szCs w:val="20"/>
        </w:rPr>
        <w:t xml:space="preserve">). </w:t>
      </w:r>
      <w:r>
        <w:rPr>
          <w:color w:val="auto"/>
          <w:sz w:val="20"/>
          <w:szCs w:val="20"/>
        </w:rPr>
        <w:t xml:space="preserve">The petitioner argues that the State should stop receiving adolescents from other regions, as well as adolescents over the age of 14. In addition, at the </w:t>
      </w:r>
      <w:r w:rsidRPr="00113C7D">
        <w:rPr>
          <w:color w:val="auto"/>
          <w:sz w:val="20"/>
          <w:szCs w:val="20"/>
        </w:rPr>
        <w:t xml:space="preserve">CSE Santa Clara </w:t>
      </w:r>
      <w:r>
        <w:rPr>
          <w:color w:val="auto"/>
          <w:sz w:val="20"/>
          <w:szCs w:val="20"/>
        </w:rPr>
        <w:t xml:space="preserve">the adolescents are being kept in their dormitories, with which they are not carrying out the socio-educational activities provided for in their respective Individual Plans for Attention. </w:t>
      </w:r>
    </w:p>
    <w:p w14:paraId="55C1E71B" w14:textId="5B0D0360" w:rsidR="00055C99" w:rsidRPr="00113C7D" w:rsidRDefault="00055C99" w:rsidP="00582430">
      <w:pPr>
        <w:pStyle w:val="ListParagraph"/>
        <w:numPr>
          <w:ilvl w:val="0"/>
          <w:numId w:val="55"/>
        </w:numPr>
        <w:spacing w:after="360"/>
        <w:jc w:val="both"/>
        <w:rPr>
          <w:sz w:val="20"/>
          <w:szCs w:val="20"/>
        </w:rPr>
      </w:pPr>
      <w:r>
        <w:rPr>
          <w:color w:val="auto"/>
          <w:sz w:val="20"/>
          <w:szCs w:val="20"/>
        </w:rPr>
        <w:t xml:space="preserve">Even so, as of June 2, </w:t>
      </w:r>
      <w:r w:rsidRPr="00113C7D">
        <w:rPr>
          <w:color w:val="auto"/>
          <w:sz w:val="20"/>
          <w:szCs w:val="20"/>
        </w:rPr>
        <w:t>2016</w:t>
      </w:r>
      <w:r>
        <w:rPr>
          <w:color w:val="auto"/>
          <w:sz w:val="20"/>
          <w:szCs w:val="20"/>
        </w:rPr>
        <w:t xml:space="preserve"> irregularities persisted at the units mentioned</w:t>
      </w:r>
      <w:r w:rsidRPr="00113C7D">
        <w:rPr>
          <w:color w:val="auto"/>
          <w:sz w:val="20"/>
          <w:szCs w:val="20"/>
        </w:rPr>
        <w:t xml:space="preserve">. </w:t>
      </w:r>
      <w:r>
        <w:rPr>
          <w:color w:val="auto"/>
          <w:sz w:val="20"/>
          <w:szCs w:val="20"/>
        </w:rPr>
        <w:t xml:space="preserve">The table below summarizes the information presented by the petitioner:  </w:t>
      </w:r>
    </w:p>
    <w:tbl>
      <w:tblPr>
        <w:tblStyle w:val="TableGrid"/>
        <w:tblW w:w="8647" w:type="dxa"/>
        <w:tblInd w:w="69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2"/>
        <w:gridCol w:w="7655"/>
      </w:tblGrid>
      <w:tr w:rsidR="00055C99" w:rsidRPr="00113C7D" w14:paraId="2A2B741A" w14:textId="77777777" w:rsidTr="009B35B0">
        <w:tc>
          <w:tcPr>
            <w:tcW w:w="992" w:type="dxa"/>
            <w:shd w:val="clear" w:color="auto" w:fill="000000" w:themeFill="text1"/>
          </w:tcPr>
          <w:p w14:paraId="0ACBECD3" w14:textId="48604222" w:rsidR="00055C99" w:rsidRPr="00113C7D" w:rsidRDefault="00055C99" w:rsidP="009B35B0">
            <w:pPr>
              <w:tabs>
                <w:tab w:val="left" w:pos="142"/>
              </w:tabs>
              <w:spacing w:before="120" w:after="120"/>
              <w:jc w:val="center"/>
              <w:rPr>
                <w:rFonts w:ascii="Cambria" w:hAnsi="Cambria"/>
                <w:b/>
                <w:bCs/>
                <w:color w:val="FFFFFF" w:themeColor="background1"/>
                <w:sz w:val="18"/>
                <w:szCs w:val="18"/>
              </w:rPr>
            </w:pPr>
            <w:r w:rsidRPr="00113C7D">
              <w:rPr>
                <w:rFonts w:ascii="Cambria" w:hAnsi="Cambria"/>
                <w:b/>
                <w:bCs/>
                <w:color w:val="FFFFFF" w:themeColor="background1"/>
                <w:sz w:val="18"/>
                <w:szCs w:val="18"/>
              </w:rPr>
              <w:t>Uni</w:t>
            </w:r>
            <w:r w:rsidR="00C3274E">
              <w:rPr>
                <w:rFonts w:ascii="Cambria" w:hAnsi="Cambria"/>
                <w:b/>
                <w:bCs/>
                <w:color w:val="FFFFFF" w:themeColor="background1"/>
                <w:sz w:val="18"/>
                <w:szCs w:val="18"/>
              </w:rPr>
              <w:t>t</w:t>
            </w:r>
          </w:p>
        </w:tc>
        <w:tc>
          <w:tcPr>
            <w:tcW w:w="7655" w:type="dxa"/>
            <w:shd w:val="clear" w:color="auto" w:fill="000000" w:themeFill="text1"/>
          </w:tcPr>
          <w:p w14:paraId="4C491159" w14:textId="51B6C343" w:rsidR="00055C99" w:rsidRPr="00113C7D" w:rsidRDefault="00C3274E" w:rsidP="009B35B0">
            <w:pPr>
              <w:tabs>
                <w:tab w:val="left" w:pos="142"/>
              </w:tabs>
              <w:spacing w:before="120" w:after="120"/>
              <w:jc w:val="center"/>
              <w:rPr>
                <w:rFonts w:ascii="Cambria" w:hAnsi="Cambria"/>
                <w:b/>
                <w:bCs/>
                <w:color w:val="FFFFFF" w:themeColor="background1"/>
                <w:sz w:val="18"/>
                <w:szCs w:val="18"/>
              </w:rPr>
            </w:pPr>
            <w:r>
              <w:rPr>
                <w:rFonts w:ascii="Cambria" w:hAnsi="Cambria"/>
                <w:b/>
                <w:bCs/>
                <w:color w:val="FFFFFF" w:themeColor="background1"/>
                <w:sz w:val="18"/>
                <w:szCs w:val="18"/>
              </w:rPr>
              <w:t xml:space="preserve">Summary of the facts alleged </w:t>
            </w:r>
          </w:p>
        </w:tc>
      </w:tr>
      <w:tr w:rsidR="00055C99" w:rsidRPr="00113C7D" w14:paraId="4A11801C" w14:textId="77777777" w:rsidTr="009B35B0">
        <w:tc>
          <w:tcPr>
            <w:tcW w:w="992" w:type="dxa"/>
          </w:tcPr>
          <w:p w14:paraId="6011CB15" w14:textId="77777777" w:rsidR="00055C99" w:rsidRPr="00113C7D" w:rsidRDefault="00055C99" w:rsidP="009B35B0">
            <w:pPr>
              <w:tabs>
                <w:tab w:val="left" w:pos="142"/>
              </w:tabs>
              <w:jc w:val="center"/>
              <w:rPr>
                <w:rFonts w:ascii="Cambria" w:hAnsi="Cambria"/>
                <w:b/>
                <w:bCs/>
                <w:sz w:val="18"/>
                <w:szCs w:val="18"/>
              </w:rPr>
            </w:pPr>
          </w:p>
          <w:p w14:paraId="25A8C2F7" w14:textId="77777777" w:rsidR="00055C99" w:rsidRPr="00113C7D" w:rsidRDefault="00055C99" w:rsidP="009B35B0">
            <w:pPr>
              <w:tabs>
                <w:tab w:val="left" w:pos="142"/>
              </w:tabs>
              <w:jc w:val="center"/>
              <w:rPr>
                <w:rFonts w:ascii="Cambria" w:hAnsi="Cambria"/>
                <w:b/>
                <w:bCs/>
                <w:sz w:val="18"/>
                <w:szCs w:val="18"/>
              </w:rPr>
            </w:pPr>
          </w:p>
          <w:p w14:paraId="564C4B81" w14:textId="77777777" w:rsidR="00055C99" w:rsidRPr="00113C7D" w:rsidRDefault="00055C99" w:rsidP="009B35B0">
            <w:pPr>
              <w:tabs>
                <w:tab w:val="left" w:pos="142"/>
              </w:tabs>
              <w:jc w:val="center"/>
              <w:rPr>
                <w:rFonts w:ascii="Cambria" w:hAnsi="Cambria"/>
                <w:b/>
                <w:bCs/>
                <w:sz w:val="18"/>
                <w:szCs w:val="18"/>
              </w:rPr>
            </w:pPr>
            <w:r w:rsidRPr="00113C7D">
              <w:rPr>
                <w:rFonts w:ascii="Cambria" w:hAnsi="Cambria"/>
                <w:b/>
                <w:bCs/>
                <w:sz w:val="18"/>
                <w:szCs w:val="18"/>
              </w:rPr>
              <w:t>CRSSJ</w:t>
            </w:r>
          </w:p>
        </w:tc>
        <w:tc>
          <w:tcPr>
            <w:tcW w:w="7655" w:type="dxa"/>
          </w:tcPr>
          <w:p w14:paraId="47F98288" w14:textId="797E94AE" w:rsidR="00055C99" w:rsidRPr="00113C7D" w:rsidRDefault="00423C4E" w:rsidP="009B35B0">
            <w:pPr>
              <w:tabs>
                <w:tab w:val="left" w:pos="142"/>
              </w:tabs>
              <w:spacing w:before="120" w:after="120"/>
              <w:jc w:val="both"/>
              <w:rPr>
                <w:rFonts w:ascii="Cambria" w:hAnsi="Cambria"/>
                <w:sz w:val="18"/>
                <w:szCs w:val="18"/>
              </w:rPr>
            </w:pPr>
            <w:r>
              <w:rPr>
                <w:rFonts w:ascii="Cambria" w:hAnsi="Cambria"/>
                <w:sz w:val="18"/>
                <w:szCs w:val="18"/>
              </w:rPr>
              <w:t xml:space="preserve">This center is a unit caring for female adolescents. The works </w:t>
            </w:r>
            <w:r w:rsidR="00B70C3E">
              <w:rPr>
                <w:rFonts w:ascii="Cambria" w:hAnsi="Cambria"/>
                <w:sz w:val="18"/>
                <w:szCs w:val="18"/>
              </w:rPr>
              <w:t xml:space="preserve">to </w:t>
            </w:r>
            <w:r>
              <w:rPr>
                <w:rFonts w:ascii="Cambria" w:hAnsi="Cambria"/>
                <w:sz w:val="18"/>
                <w:szCs w:val="18"/>
              </w:rPr>
              <w:t xml:space="preserve">ensure regular water supply and build the nursery had not been completed. There was no nursing team at night. Lack of technical personnel and socio-educational agents in sufficient numbers. The criteria for separating adolescents by age, physique, and infraction were not being observed. Irregular coexistence of </w:t>
            </w:r>
            <w:r w:rsidR="006B76BF">
              <w:rPr>
                <w:rFonts w:ascii="Cambria" w:hAnsi="Cambria"/>
                <w:sz w:val="18"/>
                <w:szCs w:val="18"/>
              </w:rPr>
              <w:t xml:space="preserve">persons detained under different regimes </w:t>
            </w:r>
            <w:r w:rsidR="006F0EB1">
              <w:rPr>
                <w:rFonts w:ascii="Cambria" w:hAnsi="Cambria"/>
                <w:sz w:val="18"/>
                <w:szCs w:val="18"/>
              </w:rPr>
              <w:t xml:space="preserve">(provisional cautionary hold, detention-sanction, definitive detention). Lack of places </w:t>
            </w:r>
            <w:r w:rsidR="00C85023">
              <w:rPr>
                <w:rFonts w:ascii="Cambria" w:hAnsi="Cambria"/>
                <w:sz w:val="18"/>
                <w:szCs w:val="18"/>
              </w:rPr>
              <w:t xml:space="preserve">in </w:t>
            </w:r>
            <w:r w:rsidR="006F0EB1">
              <w:rPr>
                <w:rFonts w:ascii="Cambria" w:hAnsi="Cambria"/>
                <w:sz w:val="18"/>
                <w:szCs w:val="18"/>
              </w:rPr>
              <w:t>course</w:t>
            </w:r>
            <w:r w:rsidR="00C85023">
              <w:rPr>
                <w:rFonts w:ascii="Cambria" w:hAnsi="Cambria"/>
                <w:sz w:val="18"/>
                <w:szCs w:val="18"/>
              </w:rPr>
              <w:t>s</w:t>
            </w:r>
            <w:r w:rsidR="006F0EB1">
              <w:rPr>
                <w:rFonts w:ascii="Cambria" w:hAnsi="Cambria"/>
                <w:sz w:val="18"/>
                <w:szCs w:val="18"/>
              </w:rPr>
              <w:t xml:space="preserve"> for professional training. Not enough vehicles to meet the demand for socio-educational activities outside the facility. </w:t>
            </w:r>
            <w:r w:rsidR="006F2D77">
              <w:rPr>
                <w:rFonts w:ascii="Cambria" w:hAnsi="Cambria"/>
                <w:sz w:val="18"/>
                <w:szCs w:val="18"/>
              </w:rPr>
              <w:t xml:space="preserve">No budget to promote contact and stimulate </w:t>
            </w:r>
            <w:r w:rsidR="0084744C">
              <w:rPr>
                <w:rFonts w:ascii="Cambria" w:hAnsi="Cambria"/>
                <w:sz w:val="18"/>
                <w:szCs w:val="18"/>
              </w:rPr>
              <w:t xml:space="preserve">the persons held engaging with their families. Most of the adolescents deprived of liberty were from other regions of the state. Overcrowding. Detainees with mental suffering without proper services. </w:t>
            </w:r>
          </w:p>
        </w:tc>
      </w:tr>
      <w:tr w:rsidR="00055C99" w:rsidRPr="00113C7D" w14:paraId="735DA9C3" w14:textId="77777777" w:rsidTr="009B35B0">
        <w:tc>
          <w:tcPr>
            <w:tcW w:w="992" w:type="dxa"/>
            <w:shd w:val="clear" w:color="auto" w:fill="D9D9D9" w:themeFill="background1" w:themeFillShade="D9"/>
          </w:tcPr>
          <w:p w14:paraId="1C6C90CF" w14:textId="77777777" w:rsidR="00055C99" w:rsidRPr="00113C7D" w:rsidRDefault="00055C99" w:rsidP="009B35B0">
            <w:pPr>
              <w:tabs>
                <w:tab w:val="left" w:pos="142"/>
              </w:tabs>
              <w:jc w:val="center"/>
              <w:rPr>
                <w:rFonts w:ascii="Cambria" w:hAnsi="Cambria"/>
                <w:b/>
                <w:bCs/>
                <w:sz w:val="18"/>
                <w:szCs w:val="18"/>
              </w:rPr>
            </w:pPr>
          </w:p>
          <w:p w14:paraId="0BFC187D" w14:textId="77777777" w:rsidR="00055C99" w:rsidRPr="00113C7D" w:rsidRDefault="00055C99" w:rsidP="009B35B0">
            <w:pPr>
              <w:tabs>
                <w:tab w:val="left" w:pos="142"/>
              </w:tabs>
              <w:jc w:val="center"/>
              <w:rPr>
                <w:rFonts w:ascii="Cambria" w:hAnsi="Cambria"/>
                <w:b/>
                <w:bCs/>
                <w:sz w:val="18"/>
                <w:szCs w:val="18"/>
              </w:rPr>
            </w:pPr>
          </w:p>
          <w:p w14:paraId="61442B3B" w14:textId="77777777" w:rsidR="00055C99" w:rsidRPr="00113C7D" w:rsidRDefault="00055C99" w:rsidP="009B35B0">
            <w:pPr>
              <w:tabs>
                <w:tab w:val="left" w:pos="142"/>
              </w:tabs>
              <w:jc w:val="center"/>
              <w:rPr>
                <w:rFonts w:ascii="Cambria" w:hAnsi="Cambria"/>
                <w:b/>
                <w:bCs/>
                <w:sz w:val="18"/>
                <w:szCs w:val="18"/>
              </w:rPr>
            </w:pPr>
            <w:r w:rsidRPr="00113C7D">
              <w:rPr>
                <w:rFonts w:ascii="Cambria" w:hAnsi="Cambria"/>
                <w:b/>
                <w:bCs/>
                <w:sz w:val="18"/>
                <w:szCs w:val="18"/>
              </w:rPr>
              <w:t>CSEST</w:t>
            </w:r>
          </w:p>
        </w:tc>
        <w:tc>
          <w:tcPr>
            <w:tcW w:w="7655" w:type="dxa"/>
            <w:shd w:val="clear" w:color="auto" w:fill="D9D9D9" w:themeFill="background1" w:themeFillShade="D9"/>
          </w:tcPr>
          <w:p w14:paraId="0F3B5CA4" w14:textId="1B1B3B55" w:rsidR="00055C99" w:rsidRPr="00113C7D" w:rsidRDefault="00055C99" w:rsidP="009B35B0">
            <w:pPr>
              <w:tabs>
                <w:tab w:val="left" w:pos="142"/>
              </w:tabs>
              <w:spacing w:before="120" w:after="120"/>
              <w:jc w:val="both"/>
              <w:rPr>
                <w:rFonts w:ascii="Cambria" w:hAnsi="Cambria"/>
                <w:sz w:val="18"/>
                <w:szCs w:val="18"/>
              </w:rPr>
            </w:pPr>
            <w:r w:rsidRPr="00113C7D">
              <w:rPr>
                <w:rFonts w:ascii="Cambria" w:hAnsi="Cambria"/>
                <w:sz w:val="18"/>
                <w:szCs w:val="18"/>
              </w:rPr>
              <w:t>Continu</w:t>
            </w:r>
            <w:r w:rsidR="0014555D">
              <w:rPr>
                <w:rFonts w:ascii="Cambria" w:hAnsi="Cambria"/>
                <w:sz w:val="18"/>
                <w:szCs w:val="18"/>
              </w:rPr>
              <w:t xml:space="preserve">ed shortcomings in </w:t>
            </w:r>
            <w:r w:rsidR="00A46513">
              <w:rPr>
                <w:rFonts w:ascii="Cambria" w:hAnsi="Cambria"/>
                <w:sz w:val="18"/>
                <w:szCs w:val="18"/>
              </w:rPr>
              <w:t xml:space="preserve">water supply and availability. Nursing team is absent at night. Technical personnel and socio-educational agents are too few in number. Failure to abide by the criteria of separating adolescents by age, physique, and infraction. Overcrowding. </w:t>
            </w:r>
            <w:r w:rsidR="00C85023">
              <w:rPr>
                <w:rFonts w:ascii="Cambria" w:hAnsi="Cambria"/>
                <w:sz w:val="18"/>
                <w:szCs w:val="18"/>
              </w:rPr>
              <w:t xml:space="preserve">Lack of places in courses for professional training. Accumulation of trash in area outside the unit, resulting in rat and cockroach infestations. </w:t>
            </w:r>
          </w:p>
        </w:tc>
      </w:tr>
      <w:tr w:rsidR="00055C99" w:rsidRPr="00113C7D" w14:paraId="62458106" w14:textId="77777777" w:rsidTr="009B35B0">
        <w:tc>
          <w:tcPr>
            <w:tcW w:w="992" w:type="dxa"/>
          </w:tcPr>
          <w:p w14:paraId="6B4681CB" w14:textId="77777777" w:rsidR="00055C99" w:rsidRPr="00113C7D" w:rsidRDefault="00055C99" w:rsidP="009B35B0">
            <w:pPr>
              <w:tabs>
                <w:tab w:val="left" w:pos="142"/>
              </w:tabs>
              <w:jc w:val="center"/>
              <w:rPr>
                <w:rFonts w:ascii="Cambria" w:hAnsi="Cambria"/>
                <w:b/>
                <w:bCs/>
                <w:sz w:val="18"/>
                <w:szCs w:val="18"/>
              </w:rPr>
            </w:pPr>
          </w:p>
          <w:p w14:paraId="0AEE2E94" w14:textId="77777777" w:rsidR="00055C99" w:rsidRPr="00113C7D" w:rsidRDefault="00055C99" w:rsidP="009B35B0">
            <w:pPr>
              <w:tabs>
                <w:tab w:val="left" w:pos="142"/>
              </w:tabs>
              <w:jc w:val="center"/>
              <w:rPr>
                <w:rFonts w:ascii="Cambria" w:hAnsi="Cambria"/>
                <w:b/>
                <w:bCs/>
                <w:sz w:val="18"/>
                <w:szCs w:val="18"/>
              </w:rPr>
            </w:pPr>
            <w:r w:rsidRPr="00113C7D">
              <w:rPr>
                <w:rFonts w:ascii="Cambria" w:hAnsi="Cambria"/>
                <w:b/>
                <w:bCs/>
                <w:sz w:val="18"/>
                <w:szCs w:val="18"/>
              </w:rPr>
              <w:t>CSE Santa Clara</w:t>
            </w:r>
          </w:p>
        </w:tc>
        <w:tc>
          <w:tcPr>
            <w:tcW w:w="7655" w:type="dxa"/>
          </w:tcPr>
          <w:p w14:paraId="6E7D918B" w14:textId="548C04C7" w:rsidR="00055C99" w:rsidRPr="00113C7D" w:rsidRDefault="009F28D1" w:rsidP="009B35B0">
            <w:pPr>
              <w:tabs>
                <w:tab w:val="left" w:pos="142"/>
              </w:tabs>
              <w:spacing w:before="120" w:after="120"/>
              <w:jc w:val="both"/>
              <w:rPr>
                <w:rFonts w:ascii="Cambria" w:hAnsi="Cambria"/>
                <w:sz w:val="18"/>
                <w:szCs w:val="18"/>
              </w:rPr>
            </w:pPr>
            <w:r>
              <w:rPr>
                <w:rFonts w:ascii="Cambria" w:hAnsi="Cambria"/>
                <w:sz w:val="18"/>
                <w:szCs w:val="18"/>
              </w:rPr>
              <w:t>Facilities in precarious condition. Nursing team absent at night. Technical personnel and socio-educational personnel too few in number. Failure to abide by the criteria for separating adolescents by age, phy</w:t>
            </w:r>
            <w:r w:rsidR="00CE4046">
              <w:rPr>
                <w:rFonts w:ascii="Cambria" w:hAnsi="Cambria"/>
                <w:sz w:val="18"/>
                <w:szCs w:val="18"/>
              </w:rPr>
              <w:t>si</w:t>
            </w:r>
            <w:r>
              <w:rPr>
                <w:rFonts w:ascii="Cambria" w:hAnsi="Cambria"/>
                <w:sz w:val="18"/>
                <w:szCs w:val="18"/>
              </w:rPr>
              <w:t xml:space="preserve">que and infraction. </w:t>
            </w:r>
            <w:r w:rsidR="00CE4046">
              <w:rPr>
                <w:rFonts w:ascii="Cambria" w:hAnsi="Cambria"/>
                <w:sz w:val="18"/>
                <w:szCs w:val="18"/>
              </w:rPr>
              <w:t xml:space="preserve">Overcrowding. Lack of sufficient places in courses for professional training. Lack of vehicles to meet the demand for </w:t>
            </w:r>
            <w:r w:rsidR="00DE0469">
              <w:rPr>
                <w:rFonts w:ascii="Cambria" w:hAnsi="Cambria"/>
                <w:sz w:val="18"/>
                <w:szCs w:val="18"/>
              </w:rPr>
              <w:t xml:space="preserve">socio-educational services outside the facility. Large number of detainees experience mental suffering. </w:t>
            </w:r>
          </w:p>
        </w:tc>
      </w:tr>
      <w:tr w:rsidR="00055C99" w:rsidRPr="00113C7D" w14:paraId="18439E0E" w14:textId="77777777" w:rsidTr="009B35B0">
        <w:tc>
          <w:tcPr>
            <w:tcW w:w="992" w:type="dxa"/>
            <w:shd w:val="clear" w:color="auto" w:fill="D9D9D9" w:themeFill="background1" w:themeFillShade="D9"/>
          </w:tcPr>
          <w:p w14:paraId="1F73A304" w14:textId="77777777" w:rsidR="00055C99" w:rsidRPr="00113C7D" w:rsidRDefault="00055C99" w:rsidP="009B35B0">
            <w:pPr>
              <w:tabs>
                <w:tab w:val="left" w:pos="142"/>
              </w:tabs>
              <w:spacing w:before="120" w:after="120"/>
              <w:jc w:val="center"/>
              <w:rPr>
                <w:rFonts w:ascii="Cambria" w:hAnsi="Cambria"/>
                <w:b/>
                <w:bCs/>
                <w:sz w:val="18"/>
                <w:szCs w:val="18"/>
              </w:rPr>
            </w:pPr>
            <w:r w:rsidRPr="00113C7D">
              <w:rPr>
                <w:rFonts w:ascii="Cambria" w:hAnsi="Cambria"/>
                <w:b/>
                <w:bCs/>
                <w:sz w:val="18"/>
                <w:szCs w:val="18"/>
              </w:rPr>
              <w:t>CEAD Lindeia</w:t>
            </w:r>
          </w:p>
        </w:tc>
        <w:tc>
          <w:tcPr>
            <w:tcW w:w="7655" w:type="dxa"/>
            <w:shd w:val="clear" w:color="auto" w:fill="D9D9D9" w:themeFill="background1" w:themeFillShade="D9"/>
          </w:tcPr>
          <w:p w14:paraId="32419025" w14:textId="71DF9870" w:rsidR="00055C99" w:rsidRPr="00113C7D" w:rsidRDefault="00DE0469" w:rsidP="009B35B0">
            <w:pPr>
              <w:pStyle w:val="ListParagraph"/>
              <w:tabs>
                <w:tab w:val="left" w:pos="142"/>
                <w:tab w:val="left" w:pos="1329"/>
              </w:tabs>
              <w:spacing w:before="120" w:after="120"/>
              <w:ind w:left="0" w:right="115"/>
              <w:jc w:val="both"/>
              <w:rPr>
                <w:sz w:val="18"/>
                <w:szCs w:val="18"/>
              </w:rPr>
            </w:pPr>
            <w:r>
              <w:rPr>
                <w:sz w:val="18"/>
                <w:szCs w:val="18"/>
              </w:rPr>
              <w:t xml:space="preserve">Overcrowding </w:t>
            </w:r>
            <w:r w:rsidR="00A33E67">
              <w:rPr>
                <w:sz w:val="18"/>
                <w:szCs w:val="18"/>
              </w:rPr>
              <w:t xml:space="preserve">and adolescents forced to sleep on the floor in the dormitories. Nursing team absent at night. </w:t>
            </w:r>
            <w:r w:rsidR="00502087">
              <w:rPr>
                <w:sz w:val="18"/>
                <w:szCs w:val="18"/>
              </w:rPr>
              <w:t xml:space="preserve">No physician to serve the unit. Too few technical personnel. Failure to abide by the criteria of separation of adolescents by age, physique, and infraction. </w:t>
            </w:r>
            <w:r w:rsidR="00EF33D3">
              <w:rPr>
                <w:sz w:val="18"/>
                <w:szCs w:val="18"/>
              </w:rPr>
              <w:t xml:space="preserve">Disrepair </w:t>
            </w:r>
            <w:r w:rsidR="00502087">
              <w:rPr>
                <w:sz w:val="18"/>
                <w:szCs w:val="18"/>
              </w:rPr>
              <w:t xml:space="preserve">in the sanitary facilities. Lack of ventilation in the dormitories. </w:t>
            </w:r>
            <w:r w:rsidR="004D27B9">
              <w:rPr>
                <w:sz w:val="18"/>
                <w:szCs w:val="18"/>
              </w:rPr>
              <w:t xml:space="preserve"> </w:t>
            </w:r>
          </w:p>
        </w:tc>
      </w:tr>
    </w:tbl>
    <w:p w14:paraId="751344EB" w14:textId="73047451" w:rsidR="00055C99" w:rsidRPr="00113C7D" w:rsidRDefault="00055C99" w:rsidP="00055C99">
      <w:pPr>
        <w:pStyle w:val="ListParagraph"/>
        <w:numPr>
          <w:ilvl w:val="0"/>
          <w:numId w:val="55"/>
        </w:numPr>
        <w:spacing w:before="240" w:after="240"/>
        <w:jc w:val="both"/>
        <w:rPr>
          <w:color w:val="auto"/>
          <w:sz w:val="20"/>
          <w:szCs w:val="20"/>
        </w:rPr>
      </w:pPr>
      <w:r>
        <w:rPr>
          <w:sz w:val="20"/>
          <w:szCs w:val="20"/>
        </w:rPr>
        <w:t xml:space="preserve">The petitioner reports that all the units were subject to judicial inspection, and the information above was </w:t>
      </w:r>
      <w:r w:rsidR="00346B57">
        <w:rPr>
          <w:sz w:val="20"/>
          <w:szCs w:val="20"/>
        </w:rPr>
        <w:t>passed on</w:t>
      </w:r>
      <w:r>
        <w:rPr>
          <w:sz w:val="20"/>
          <w:szCs w:val="20"/>
        </w:rPr>
        <w:t xml:space="preserve"> to the National Justice Council (CNJ: </w:t>
      </w:r>
      <w:r w:rsidRPr="00113C7D">
        <w:rPr>
          <w:sz w:val="20"/>
          <w:szCs w:val="20"/>
        </w:rPr>
        <w:t>Conselho Nacional de Justiça</w:t>
      </w:r>
      <w:r>
        <w:rPr>
          <w:sz w:val="20"/>
          <w:szCs w:val="20"/>
        </w:rPr>
        <w:t>)</w:t>
      </w:r>
      <w:r w:rsidRPr="00113C7D">
        <w:rPr>
          <w:sz w:val="20"/>
          <w:szCs w:val="20"/>
        </w:rPr>
        <w:t xml:space="preserve">. </w:t>
      </w:r>
      <w:r>
        <w:rPr>
          <w:sz w:val="20"/>
          <w:szCs w:val="20"/>
        </w:rPr>
        <w:t xml:space="preserve">The Inter-American Commission received copies of the receipts from the </w:t>
      </w:r>
      <w:r w:rsidR="00445BB0">
        <w:rPr>
          <w:sz w:val="20"/>
          <w:szCs w:val="20"/>
        </w:rPr>
        <w:t xml:space="preserve">inspection registry of the CNJ for </w:t>
      </w:r>
      <w:r>
        <w:rPr>
          <w:sz w:val="20"/>
          <w:szCs w:val="20"/>
        </w:rPr>
        <w:t xml:space="preserve">April </w:t>
      </w:r>
      <w:r w:rsidRPr="00113C7D">
        <w:rPr>
          <w:sz w:val="20"/>
          <w:szCs w:val="20"/>
        </w:rPr>
        <w:t>2016.</w:t>
      </w:r>
    </w:p>
    <w:p w14:paraId="7F47D04C" w14:textId="27F6202C" w:rsidR="00055C99" w:rsidRPr="00113C7D" w:rsidRDefault="00055C99" w:rsidP="00055C99">
      <w:pPr>
        <w:pStyle w:val="ListParagraph"/>
        <w:numPr>
          <w:ilvl w:val="0"/>
          <w:numId w:val="55"/>
        </w:numPr>
        <w:spacing w:after="240"/>
        <w:jc w:val="both"/>
        <w:rPr>
          <w:color w:val="auto"/>
          <w:sz w:val="20"/>
          <w:szCs w:val="20"/>
        </w:rPr>
      </w:pPr>
      <w:r>
        <w:rPr>
          <w:sz w:val="20"/>
          <w:szCs w:val="20"/>
        </w:rPr>
        <w:t xml:space="preserve">Moreover, the </w:t>
      </w:r>
      <w:r w:rsidRPr="00113C7D">
        <w:rPr>
          <w:sz w:val="20"/>
          <w:szCs w:val="20"/>
        </w:rPr>
        <w:t xml:space="preserve">CRSSJ </w:t>
      </w:r>
      <w:r>
        <w:rPr>
          <w:sz w:val="20"/>
          <w:szCs w:val="20"/>
        </w:rPr>
        <w:t xml:space="preserve">was also the subject of a public civil action aimed at compelling the State to build and maintain </w:t>
      </w:r>
      <w:r w:rsidR="00092E8D">
        <w:rPr>
          <w:sz w:val="20"/>
          <w:szCs w:val="20"/>
        </w:rPr>
        <w:t xml:space="preserve">a nursery </w:t>
      </w:r>
      <w:r>
        <w:rPr>
          <w:sz w:val="20"/>
          <w:szCs w:val="20"/>
        </w:rPr>
        <w:t xml:space="preserve">to allow adolescents who are mothers and their children to live together during the period of breastfeeding </w:t>
      </w:r>
      <w:r w:rsidRPr="00113C7D">
        <w:rPr>
          <w:sz w:val="20"/>
          <w:szCs w:val="20"/>
        </w:rPr>
        <w:t>(</w:t>
      </w:r>
      <w:r w:rsidR="00CF64FD">
        <w:rPr>
          <w:sz w:val="20"/>
          <w:szCs w:val="20"/>
        </w:rPr>
        <w:t xml:space="preserve">Case </w:t>
      </w:r>
      <w:r w:rsidRPr="00113C7D">
        <w:rPr>
          <w:sz w:val="20"/>
          <w:szCs w:val="20"/>
        </w:rPr>
        <w:t xml:space="preserve">0024.14.217.186-7). </w:t>
      </w:r>
      <w:r>
        <w:rPr>
          <w:sz w:val="20"/>
          <w:szCs w:val="20"/>
        </w:rPr>
        <w:t xml:space="preserve">That action, </w:t>
      </w:r>
      <w:r w:rsidR="00442449">
        <w:rPr>
          <w:sz w:val="20"/>
          <w:szCs w:val="20"/>
        </w:rPr>
        <w:t xml:space="preserve">brought </w:t>
      </w:r>
      <w:r>
        <w:rPr>
          <w:sz w:val="20"/>
          <w:szCs w:val="20"/>
        </w:rPr>
        <w:t xml:space="preserve">by the Attorney General’s Office, met with a favorable decision by the </w:t>
      </w:r>
      <w:r w:rsidR="0037296E">
        <w:rPr>
          <w:sz w:val="20"/>
          <w:szCs w:val="20"/>
        </w:rPr>
        <w:t xml:space="preserve">judge </w:t>
      </w:r>
      <w:r>
        <w:rPr>
          <w:sz w:val="20"/>
          <w:szCs w:val="20"/>
        </w:rPr>
        <w:t xml:space="preserve">for Children and Youth Infractions of the district of </w:t>
      </w:r>
      <w:r w:rsidRPr="00113C7D">
        <w:rPr>
          <w:sz w:val="20"/>
          <w:szCs w:val="20"/>
        </w:rPr>
        <w:t xml:space="preserve">Belo Horizonte </w:t>
      </w:r>
      <w:r>
        <w:rPr>
          <w:sz w:val="20"/>
          <w:szCs w:val="20"/>
        </w:rPr>
        <w:t xml:space="preserve">on December </w:t>
      </w:r>
      <w:r w:rsidRPr="00113C7D">
        <w:rPr>
          <w:sz w:val="20"/>
          <w:szCs w:val="20"/>
        </w:rPr>
        <w:t>9</w:t>
      </w:r>
      <w:r>
        <w:rPr>
          <w:sz w:val="20"/>
          <w:szCs w:val="20"/>
        </w:rPr>
        <w:t>,</w:t>
      </w:r>
      <w:r w:rsidRPr="00113C7D">
        <w:rPr>
          <w:sz w:val="20"/>
          <w:szCs w:val="20"/>
        </w:rPr>
        <w:t xml:space="preserve"> 2014. </w:t>
      </w:r>
      <w:r>
        <w:rPr>
          <w:sz w:val="20"/>
          <w:szCs w:val="20"/>
        </w:rPr>
        <w:t xml:space="preserve">Nonetheless, after an appeal by the State the decision was overturned by the Court of Justice of </w:t>
      </w:r>
      <w:r w:rsidRPr="00113C7D">
        <w:rPr>
          <w:sz w:val="20"/>
          <w:szCs w:val="20"/>
        </w:rPr>
        <w:t xml:space="preserve">Minas Gerais (TJMG) </w:t>
      </w:r>
      <w:r>
        <w:rPr>
          <w:sz w:val="20"/>
          <w:szCs w:val="20"/>
        </w:rPr>
        <w:t xml:space="preserve">on July 8, </w:t>
      </w:r>
      <w:r w:rsidRPr="00113C7D">
        <w:rPr>
          <w:sz w:val="20"/>
          <w:szCs w:val="20"/>
        </w:rPr>
        <w:t xml:space="preserve">2016. </w:t>
      </w:r>
      <w:r>
        <w:rPr>
          <w:sz w:val="20"/>
          <w:szCs w:val="20"/>
        </w:rPr>
        <w:t xml:space="preserve">According to the </w:t>
      </w:r>
      <w:r w:rsidRPr="00113C7D">
        <w:rPr>
          <w:sz w:val="20"/>
          <w:szCs w:val="20"/>
        </w:rPr>
        <w:t xml:space="preserve">TJMG, </w:t>
      </w:r>
      <w:r w:rsidR="00B65753">
        <w:rPr>
          <w:sz w:val="20"/>
          <w:szCs w:val="20"/>
        </w:rPr>
        <w:t>the</w:t>
      </w:r>
      <w:r>
        <w:rPr>
          <w:sz w:val="20"/>
          <w:szCs w:val="20"/>
        </w:rPr>
        <w:t xml:space="preserve"> reorganization of the Judicial Branch subdivided justice for children and adolescents into </w:t>
      </w:r>
      <w:r w:rsidR="00B65753">
        <w:rPr>
          <w:sz w:val="20"/>
          <w:szCs w:val="20"/>
        </w:rPr>
        <w:t xml:space="preserve">the </w:t>
      </w:r>
      <w:r>
        <w:rPr>
          <w:sz w:val="20"/>
          <w:szCs w:val="20"/>
        </w:rPr>
        <w:t>Civil Court for Children and Adolescents and</w:t>
      </w:r>
      <w:r w:rsidR="00FC2ED5">
        <w:rPr>
          <w:sz w:val="20"/>
          <w:szCs w:val="20"/>
        </w:rPr>
        <w:t xml:space="preserve"> the Court of Infractions </w:t>
      </w:r>
      <w:r>
        <w:rPr>
          <w:sz w:val="20"/>
          <w:szCs w:val="20"/>
        </w:rPr>
        <w:t xml:space="preserve">for Children and Adolescents, and the matter regarding breastfeeding mothers would correspond to the Civil Court, not to the </w:t>
      </w:r>
      <w:r w:rsidR="00067503">
        <w:rPr>
          <w:sz w:val="20"/>
          <w:szCs w:val="20"/>
        </w:rPr>
        <w:t xml:space="preserve">Infractions Court </w:t>
      </w:r>
      <w:r>
        <w:rPr>
          <w:sz w:val="20"/>
          <w:szCs w:val="20"/>
        </w:rPr>
        <w:t xml:space="preserve">that had issued the judgment of first instance. </w:t>
      </w:r>
    </w:p>
    <w:p w14:paraId="010EE73A" w14:textId="35F8189E" w:rsidR="00055C99" w:rsidRPr="00113C7D" w:rsidRDefault="00055C99" w:rsidP="00055C99">
      <w:pPr>
        <w:pStyle w:val="ListParagraph"/>
        <w:numPr>
          <w:ilvl w:val="0"/>
          <w:numId w:val="55"/>
        </w:numPr>
        <w:spacing w:after="240"/>
        <w:jc w:val="both"/>
        <w:rPr>
          <w:color w:val="auto"/>
          <w:sz w:val="20"/>
          <w:szCs w:val="20"/>
        </w:rPr>
      </w:pPr>
      <w:r>
        <w:rPr>
          <w:sz w:val="20"/>
          <w:szCs w:val="20"/>
        </w:rPr>
        <w:t xml:space="preserve">The petitioner also reports that the state of </w:t>
      </w:r>
      <w:r w:rsidRPr="00113C7D">
        <w:rPr>
          <w:sz w:val="20"/>
          <w:szCs w:val="20"/>
        </w:rPr>
        <w:t xml:space="preserve">Minas Gerais </w:t>
      </w:r>
      <w:r w:rsidR="00E54EF7">
        <w:rPr>
          <w:sz w:val="20"/>
          <w:szCs w:val="20"/>
        </w:rPr>
        <w:t xml:space="preserve">filed a writ of mandamus </w:t>
      </w:r>
      <w:r>
        <w:rPr>
          <w:sz w:val="20"/>
          <w:szCs w:val="20"/>
        </w:rPr>
        <w:t xml:space="preserve">against the Judge of the Court </w:t>
      </w:r>
      <w:r w:rsidR="002F0F1C">
        <w:rPr>
          <w:sz w:val="20"/>
          <w:szCs w:val="20"/>
        </w:rPr>
        <w:t xml:space="preserve">of Infractions </w:t>
      </w:r>
      <w:r>
        <w:rPr>
          <w:sz w:val="20"/>
          <w:szCs w:val="20"/>
        </w:rPr>
        <w:t>for Children and Adolescents o</w:t>
      </w:r>
      <w:r w:rsidR="00E03441">
        <w:rPr>
          <w:sz w:val="20"/>
          <w:szCs w:val="20"/>
        </w:rPr>
        <w:t>f</w:t>
      </w:r>
      <w:r>
        <w:rPr>
          <w:sz w:val="20"/>
          <w:szCs w:val="20"/>
        </w:rPr>
        <w:t xml:space="preserve"> the District of </w:t>
      </w:r>
      <w:r w:rsidRPr="00113C7D">
        <w:rPr>
          <w:sz w:val="20"/>
          <w:szCs w:val="20"/>
        </w:rPr>
        <w:t>Belo Horizonte (</w:t>
      </w:r>
      <w:r>
        <w:rPr>
          <w:sz w:val="20"/>
          <w:szCs w:val="20"/>
        </w:rPr>
        <w:t xml:space="preserve">Case </w:t>
      </w:r>
      <w:r w:rsidRPr="00113C7D">
        <w:rPr>
          <w:sz w:val="20"/>
          <w:szCs w:val="20"/>
        </w:rPr>
        <w:t xml:space="preserve">1.0000.16.008869-6/000) </w:t>
      </w:r>
      <w:r>
        <w:rPr>
          <w:sz w:val="20"/>
          <w:szCs w:val="20"/>
        </w:rPr>
        <w:t>after the judge (</w:t>
      </w:r>
      <w:r w:rsidRPr="00113C7D">
        <w:rPr>
          <w:sz w:val="20"/>
          <w:szCs w:val="20"/>
        </w:rPr>
        <w:t xml:space="preserve">i) </w:t>
      </w:r>
      <w:r>
        <w:rPr>
          <w:sz w:val="20"/>
          <w:szCs w:val="20"/>
        </w:rPr>
        <w:t xml:space="preserve">established a procedure for looking into the irregularity related to the </w:t>
      </w:r>
      <w:r w:rsidRPr="00113C7D">
        <w:rPr>
          <w:sz w:val="20"/>
          <w:szCs w:val="20"/>
        </w:rPr>
        <w:t>CSEST</w:t>
      </w:r>
      <w:r>
        <w:rPr>
          <w:sz w:val="20"/>
          <w:szCs w:val="20"/>
        </w:rPr>
        <w:t>, and</w:t>
      </w:r>
      <w:r w:rsidRPr="00113C7D">
        <w:rPr>
          <w:sz w:val="20"/>
          <w:szCs w:val="20"/>
        </w:rPr>
        <w:t xml:space="preserve"> </w:t>
      </w:r>
      <w:r>
        <w:rPr>
          <w:sz w:val="20"/>
          <w:szCs w:val="20"/>
        </w:rPr>
        <w:t>(</w:t>
      </w:r>
      <w:r w:rsidRPr="00113C7D">
        <w:rPr>
          <w:sz w:val="20"/>
          <w:szCs w:val="20"/>
        </w:rPr>
        <w:t>ii) determin</w:t>
      </w:r>
      <w:r>
        <w:rPr>
          <w:sz w:val="20"/>
          <w:szCs w:val="20"/>
        </w:rPr>
        <w:t>e</w:t>
      </w:r>
      <w:r w:rsidR="00232D30">
        <w:rPr>
          <w:sz w:val="20"/>
          <w:szCs w:val="20"/>
        </w:rPr>
        <w:t>d</w:t>
      </w:r>
      <w:r>
        <w:rPr>
          <w:sz w:val="20"/>
          <w:szCs w:val="20"/>
        </w:rPr>
        <w:t xml:space="preserve"> that the State </w:t>
      </w:r>
      <w:r w:rsidR="00C0513A">
        <w:rPr>
          <w:sz w:val="20"/>
          <w:szCs w:val="20"/>
        </w:rPr>
        <w:t xml:space="preserve">shall </w:t>
      </w:r>
      <w:r>
        <w:rPr>
          <w:sz w:val="20"/>
          <w:szCs w:val="20"/>
        </w:rPr>
        <w:t xml:space="preserve">not receive more youths at the Center until the shortcomings in the water supply system are </w:t>
      </w:r>
      <w:r w:rsidR="00C0513A">
        <w:rPr>
          <w:sz w:val="20"/>
          <w:szCs w:val="20"/>
        </w:rPr>
        <w:t>resolved. O</w:t>
      </w:r>
      <w:r>
        <w:rPr>
          <w:sz w:val="20"/>
          <w:szCs w:val="20"/>
        </w:rPr>
        <w:t xml:space="preserve">n March </w:t>
      </w:r>
      <w:r w:rsidRPr="00113C7D">
        <w:rPr>
          <w:sz w:val="20"/>
          <w:szCs w:val="20"/>
        </w:rPr>
        <w:t>11</w:t>
      </w:r>
      <w:r>
        <w:rPr>
          <w:sz w:val="20"/>
          <w:szCs w:val="20"/>
        </w:rPr>
        <w:t>,</w:t>
      </w:r>
      <w:r w:rsidRPr="00113C7D">
        <w:rPr>
          <w:sz w:val="20"/>
          <w:szCs w:val="20"/>
        </w:rPr>
        <w:t xml:space="preserve"> 2016, </w:t>
      </w:r>
      <w:r w:rsidR="00C0513A">
        <w:rPr>
          <w:sz w:val="20"/>
          <w:szCs w:val="20"/>
        </w:rPr>
        <w:t xml:space="preserve">the </w:t>
      </w:r>
      <w:r w:rsidR="00C0513A" w:rsidRPr="00113C7D">
        <w:rPr>
          <w:sz w:val="20"/>
          <w:szCs w:val="20"/>
        </w:rPr>
        <w:t>TJMG decid</w:t>
      </w:r>
      <w:r w:rsidR="00C0513A">
        <w:rPr>
          <w:sz w:val="20"/>
          <w:szCs w:val="20"/>
        </w:rPr>
        <w:t>ed</w:t>
      </w:r>
      <w:r w:rsidR="00C0513A" w:rsidRPr="00113C7D">
        <w:rPr>
          <w:sz w:val="20"/>
          <w:szCs w:val="20"/>
        </w:rPr>
        <w:t xml:space="preserve"> </w:t>
      </w:r>
      <w:r>
        <w:rPr>
          <w:sz w:val="20"/>
          <w:szCs w:val="20"/>
        </w:rPr>
        <w:t xml:space="preserve">to </w:t>
      </w:r>
      <w:r w:rsidRPr="00113C7D">
        <w:rPr>
          <w:sz w:val="20"/>
          <w:szCs w:val="20"/>
        </w:rPr>
        <w:t>suspend</w:t>
      </w:r>
      <w:r>
        <w:rPr>
          <w:sz w:val="20"/>
          <w:szCs w:val="20"/>
        </w:rPr>
        <w:t xml:space="preserve"> </w:t>
      </w:r>
      <w:r w:rsidR="00232D30">
        <w:rPr>
          <w:sz w:val="20"/>
          <w:szCs w:val="20"/>
        </w:rPr>
        <w:t xml:space="preserve">the </w:t>
      </w:r>
      <w:r>
        <w:rPr>
          <w:sz w:val="20"/>
          <w:szCs w:val="20"/>
        </w:rPr>
        <w:t>judge</w:t>
      </w:r>
      <w:r w:rsidR="005D74C1">
        <w:rPr>
          <w:sz w:val="20"/>
          <w:szCs w:val="20"/>
        </w:rPr>
        <w:t>’s decision</w:t>
      </w:r>
      <w:r>
        <w:rPr>
          <w:sz w:val="20"/>
          <w:szCs w:val="20"/>
        </w:rPr>
        <w:t xml:space="preserve"> and to authorize the Center to receive more youths. </w:t>
      </w:r>
    </w:p>
    <w:p w14:paraId="33C95A09" w14:textId="42F17F98" w:rsidR="00055C99" w:rsidRPr="00113C7D" w:rsidRDefault="00055C99" w:rsidP="00055C99">
      <w:pPr>
        <w:pStyle w:val="ListParagraph"/>
        <w:numPr>
          <w:ilvl w:val="0"/>
          <w:numId w:val="55"/>
        </w:numPr>
        <w:spacing w:after="240"/>
        <w:jc w:val="both"/>
        <w:rPr>
          <w:color w:val="auto"/>
          <w:sz w:val="20"/>
          <w:szCs w:val="20"/>
        </w:rPr>
      </w:pPr>
      <w:r>
        <w:rPr>
          <w:sz w:val="20"/>
          <w:szCs w:val="20"/>
        </w:rPr>
        <w:t xml:space="preserve">In conclusion, </w:t>
      </w:r>
      <w:r w:rsidR="005D74C1">
        <w:rPr>
          <w:sz w:val="20"/>
          <w:szCs w:val="20"/>
        </w:rPr>
        <w:t xml:space="preserve">in addition to denouncing </w:t>
      </w:r>
      <w:r>
        <w:rPr>
          <w:sz w:val="20"/>
          <w:szCs w:val="20"/>
        </w:rPr>
        <w:t xml:space="preserve">the socio-educational centers, the petitioner reports on the violent deaths of four adolescents: </w:t>
      </w:r>
      <w:r w:rsidRPr="00113C7D">
        <w:rPr>
          <w:sz w:val="20"/>
          <w:szCs w:val="20"/>
        </w:rPr>
        <w:t xml:space="preserve">Richard Santana Bicalho Rocha </w:t>
      </w:r>
      <w:r>
        <w:rPr>
          <w:sz w:val="20"/>
          <w:szCs w:val="20"/>
        </w:rPr>
        <w:t xml:space="preserve">died in September </w:t>
      </w:r>
      <w:r w:rsidRPr="00113C7D">
        <w:rPr>
          <w:sz w:val="20"/>
          <w:szCs w:val="20"/>
        </w:rPr>
        <w:t xml:space="preserve">2021 </w:t>
      </w:r>
      <w:r>
        <w:rPr>
          <w:sz w:val="20"/>
          <w:szCs w:val="20"/>
        </w:rPr>
        <w:t xml:space="preserve">as a result of a contuse cranioencephalic </w:t>
      </w:r>
      <w:r w:rsidRPr="00113C7D">
        <w:rPr>
          <w:sz w:val="20"/>
          <w:szCs w:val="20"/>
        </w:rPr>
        <w:t>traumatism</w:t>
      </w:r>
      <w:r>
        <w:rPr>
          <w:sz w:val="20"/>
          <w:szCs w:val="20"/>
        </w:rPr>
        <w:t xml:space="preserve">; </w:t>
      </w:r>
      <w:r w:rsidRPr="00113C7D">
        <w:rPr>
          <w:sz w:val="20"/>
          <w:szCs w:val="20"/>
        </w:rPr>
        <w:t xml:space="preserve">Israel Junio Alves dos Reis </w:t>
      </w:r>
      <w:r>
        <w:rPr>
          <w:sz w:val="20"/>
          <w:szCs w:val="20"/>
        </w:rPr>
        <w:t xml:space="preserve">died on January </w:t>
      </w:r>
      <w:r w:rsidRPr="00113C7D">
        <w:rPr>
          <w:sz w:val="20"/>
          <w:szCs w:val="20"/>
        </w:rPr>
        <w:t>6</w:t>
      </w:r>
      <w:r>
        <w:rPr>
          <w:sz w:val="20"/>
          <w:szCs w:val="20"/>
        </w:rPr>
        <w:t>,</w:t>
      </w:r>
      <w:r w:rsidRPr="00113C7D">
        <w:rPr>
          <w:sz w:val="20"/>
          <w:szCs w:val="20"/>
        </w:rPr>
        <w:t xml:space="preserve"> 2023</w:t>
      </w:r>
      <w:r>
        <w:rPr>
          <w:sz w:val="20"/>
          <w:szCs w:val="20"/>
        </w:rPr>
        <w:t xml:space="preserve">, due to the same cause; </w:t>
      </w:r>
      <w:r w:rsidRPr="00113C7D">
        <w:rPr>
          <w:sz w:val="20"/>
          <w:szCs w:val="20"/>
        </w:rPr>
        <w:t xml:space="preserve">Marco Antônio dos Reis Soares </w:t>
      </w:r>
      <w:r>
        <w:rPr>
          <w:sz w:val="20"/>
          <w:szCs w:val="20"/>
        </w:rPr>
        <w:t xml:space="preserve">died on January </w:t>
      </w:r>
      <w:r w:rsidRPr="00113C7D">
        <w:rPr>
          <w:sz w:val="20"/>
          <w:szCs w:val="20"/>
        </w:rPr>
        <w:t>11</w:t>
      </w:r>
      <w:r>
        <w:rPr>
          <w:sz w:val="20"/>
          <w:szCs w:val="20"/>
        </w:rPr>
        <w:t>,</w:t>
      </w:r>
      <w:r w:rsidRPr="00113C7D">
        <w:rPr>
          <w:sz w:val="20"/>
          <w:szCs w:val="20"/>
        </w:rPr>
        <w:t xml:space="preserve"> 2023 </w:t>
      </w:r>
      <w:r>
        <w:rPr>
          <w:sz w:val="20"/>
          <w:szCs w:val="20"/>
        </w:rPr>
        <w:t xml:space="preserve">after suffering gunshot wounds; </w:t>
      </w:r>
      <w:r w:rsidRPr="00113C7D">
        <w:rPr>
          <w:sz w:val="20"/>
          <w:szCs w:val="20"/>
        </w:rPr>
        <w:t xml:space="preserve">Keven Felipe da Silva Guimarães </w:t>
      </w:r>
      <w:r>
        <w:rPr>
          <w:sz w:val="20"/>
          <w:szCs w:val="20"/>
        </w:rPr>
        <w:t xml:space="preserve">died in May </w:t>
      </w:r>
      <w:r w:rsidRPr="00113C7D">
        <w:rPr>
          <w:sz w:val="20"/>
          <w:szCs w:val="20"/>
        </w:rPr>
        <w:t xml:space="preserve">2023 </w:t>
      </w:r>
      <w:r>
        <w:rPr>
          <w:sz w:val="20"/>
          <w:szCs w:val="20"/>
        </w:rPr>
        <w:t>as the result of a contuse</w:t>
      </w:r>
      <w:r w:rsidR="00F01E3A">
        <w:rPr>
          <w:sz w:val="20"/>
          <w:szCs w:val="20"/>
        </w:rPr>
        <w:t>d puncture</w:t>
      </w:r>
      <w:r>
        <w:rPr>
          <w:sz w:val="20"/>
          <w:szCs w:val="20"/>
        </w:rPr>
        <w:t xml:space="preserve"> polytrauma. The memorials submitted by the petitioner indicate that the four adolescents were also </w:t>
      </w:r>
      <w:r w:rsidR="009109BD">
        <w:rPr>
          <w:sz w:val="20"/>
          <w:szCs w:val="20"/>
        </w:rPr>
        <w:t xml:space="preserve">subject to </w:t>
      </w:r>
      <w:r>
        <w:rPr>
          <w:sz w:val="20"/>
          <w:szCs w:val="20"/>
        </w:rPr>
        <w:t>socio-educational measur</w:t>
      </w:r>
      <w:r w:rsidR="00DB4B10">
        <w:rPr>
          <w:sz w:val="20"/>
          <w:szCs w:val="20"/>
        </w:rPr>
        <w:t>e</w:t>
      </w:r>
      <w:r>
        <w:rPr>
          <w:sz w:val="20"/>
          <w:szCs w:val="20"/>
        </w:rPr>
        <w:t xml:space="preserve">s, and that the need for those measures ended with their deaths. For the petitioner, although the adolescents were not under the custody of the State, their violent deaths occurred in a context of social exclusion stemming from the State’s failure to provide comprehensive protection for children. </w:t>
      </w:r>
    </w:p>
    <w:p w14:paraId="4E8FED6D" w14:textId="77777777" w:rsidR="00055C99" w:rsidRPr="00113C7D" w:rsidRDefault="00055C99" w:rsidP="00055C99">
      <w:pPr>
        <w:pStyle w:val="ListParagraph"/>
        <w:spacing w:after="240"/>
        <w:jc w:val="both"/>
        <w:rPr>
          <w:i/>
          <w:iCs/>
          <w:color w:val="auto"/>
          <w:sz w:val="20"/>
          <w:szCs w:val="20"/>
        </w:rPr>
      </w:pPr>
      <w:r>
        <w:rPr>
          <w:i/>
          <w:iCs/>
          <w:sz w:val="20"/>
          <w:szCs w:val="20"/>
        </w:rPr>
        <w:t xml:space="preserve">The position of the Brazilian State </w:t>
      </w:r>
    </w:p>
    <w:p w14:paraId="029451FE" w14:textId="18CC5167" w:rsidR="00055C99" w:rsidRPr="00113C7D" w:rsidRDefault="00055C99" w:rsidP="00055C99">
      <w:pPr>
        <w:pStyle w:val="ListParagraph"/>
        <w:numPr>
          <w:ilvl w:val="0"/>
          <w:numId w:val="55"/>
        </w:numPr>
        <w:spacing w:after="240"/>
        <w:jc w:val="both"/>
        <w:rPr>
          <w:rFonts w:asciiTheme="majorHAnsi" w:hAnsiTheme="majorHAnsi"/>
          <w:color w:val="000000" w:themeColor="text1"/>
          <w:sz w:val="20"/>
          <w:szCs w:val="20"/>
        </w:rPr>
      </w:pPr>
      <w:r>
        <w:rPr>
          <w:color w:val="auto"/>
          <w:sz w:val="20"/>
          <w:szCs w:val="20"/>
        </w:rPr>
        <w:t xml:space="preserve">The Brazilian State notes that the petitioner is a judge who sits on the Court </w:t>
      </w:r>
      <w:r w:rsidR="00225747">
        <w:rPr>
          <w:color w:val="auto"/>
          <w:sz w:val="20"/>
          <w:szCs w:val="20"/>
        </w:rPr>
        <w:t xml:space="preserve">of Infractions </w:t>
      </w:r>
      <w:r>
        <w:rPr>
          <w:color w:val="auto"/>
          <w:sz w:val="20"/>
          <w:szCs w:val="20"/>
        </w:rPr>
        <w:t xml:space="preserve">for Children and Adolescents of </w:t>
      </w:r>
      <w:r w:rsidRPr="00113C7D">
        <w:rPr>
          <w:color w:val="auto"/>
          <w:sz w:val="20"/>
          <w:szCs w:val="20"/>
        </w:rPr>
        <w:t xml:space="preserve">Belo Horizonte, </w:t>
      </w:r>
      <w:r>
        <w:rPr>
          <w:color w:val="auto"/>
          <w:sz w:val="20"/>
          <w:szCs w:val="20"/>
        </w:rPr>
        <w:t xml:space="preserve">and that the petition is the result of supposed irregularities identified by him through the monitoring and accompaniment performed at four socio-educational units. </w:t>
      </w:r>
      <w:r w:rsidR="009109BD">
        <w:rPr>
          <w:color w:val="auto"/>
          <w:sz w:val="20"/>
          <w:szCs w:val="20"/>
        </w:rPr>
        <w:t xml:space="preserve">In the view of the </w:t>
      </w:r>
      <w:r>
        <w:rPr>
          <w:color w:val="auto"/>
          <w:sz w:val="20"/>
          <w:szCs w:val="20"/>
        </w:rPr>
        <w:t xml:space="preserve">State, as Article </w:t>
      </w:r>
      <w:r w:rsidRPr="00113C7D">
        <w:rPr>
          <w:color w:val="auto"/>
          <w:sz w:val="20"/>
          <w:szCs w:val="20"/>
        </w:rPr>
        <w:t xml:space="preserve">44 </w:t>
      </w:r>
      <w:r>
        <w:rPr>
          <w:color w:val="auto"/>
          <w:sz w:val="20"/>
          <w:szCs w:val="20"/>
        </w:rPr>
        <w:t>of the American Convention refers to “</w:t>
      </w:r>
      <w:r w:rsidR="00B37D89">
        <w:rPr>
          <w:color w:val="auto"/>
          <w:sz w:val="20"/>
          <w:szCs w:val="20"/>
        </w:rPr>
        <w:t xml:space="preserve">any </w:t>
      </w:r>
      <w:r>
        <w:rPr>
          <w:color w:val="auto"/>
          <w:sz w:val="20"/>
          <w:szCs w:val="20"/>
        </w:rPr>
        <w:t xml:space="preserve">nongovernmental </w:t>
      </w:r>
      <w:r w:rsidR="00B37D89">
        <w:rPr>
          <w:color w:val="auto"/>
          <w:sz w:val="20"/>
          <w:szCs w:val="20"/>
        </w:rPr>
        <w:t>entity</w:t>
      </w:r>
      <w:r>
        <w:rPr>
          <w:color w:val="auto"/>
          <w:sz w:val="20"/>
          <w:szCs w:val="20"/>
        </w:rPr>
        <w:t xml:space="preserve">,” the petitioner, </w:t>
      </w:r>
      <w:r w:rsidR="00966C05">
        <w:rPr>
          <w:color w:val="auto"/>
          <w:sz w:val="20"/>
          <w:szCs w:val="20"/>
        </w:rPr>
        <w:t xml:space="preserve">being </w:t>
      </w:r>
      <w:r>
        <w:rPr>
          <w:color w:val="auto"/>
          <w:sz w:val="20"/>
          <w:szCs w:val="20"/>
        </w:rPr>
        <w:t>a public servant</w:t>
      </w:r>
      <w:r w:rsidR="00966C05">
        <w:rPr>
          <w:color w:val="auto"/>
          <w:sz w:val="20"/>
          <w:szCs w:val="20"/>
        </w:rPr>
        <w:t>,</w:t>
      </w:r>
      <w:r>
        <w:rPr>
          <w:color w:val="auto"/>
          <w:sz w:val="20"/>
          <w:szCs w:val="20"/>
        </w:rPr>
        <w:t xml:space="preserve"> is not competent to come before the Inter-American Commission. </w:t>
      </w:r>
    </w:p>
    <w:p w14:paraId="0F1A41E9" w14:textId="07BDE3F8" w:rsidR="00055C99" w:rsidRPr="00113C7D" w:rsidRDefault="00055C99" w:rsidP="00055C99">
      <w:pPr>
        <w:pStyle w:val="ListParagraph"/>
        <w:numPr>
          <w:ilvl w:val="0"/>
          <w:numId w:val="55"/>
        </w:numPr>
        <w:spacing w:after="240"/>
        <w:jc w:val="both"/>
        <w:rPr>
          <w:rFonts w:asciiTheme="majorHAnsi" w:hAnsiTheme="majorHAnsi"/>
          <w:color w:val="000000" w:themeColor="text1"/>
          <w:sz w:val="20"/>
          <w:szCs w:val="20"/>
        </w:rPr>
      </w:pPr>
      <w:r>
        <w:rPr>
          <w:color w:val="auto"/>
          <w:sz w:val="20"/>
          <w:szCs w:val="20"/>
        </w:rPr>
        <w:t xml:space="preserve">The State also considers that domestic remedies were not exhausted. It argues that although the issues related to the socio-educational units have been the subject of various judicial actions, these actions were annulled or suspended, or were terminated without a judgment on the merits. Accordingly, the State </w:t>
      </w:r>
      <w:r>
        <w:rPr>
          <w:color w:val="auto"/>
          <w:sz w:val="20"/>
          <w:szCs w:val="20"/>
        </w:rPr>
        <w:lastRenderedPageBreak/>
        <w:t>presents a record of procedural movement in the proceeding to look into irregularities in care facilities (</w:t>
      </w:r>
      <w:r w:rsidRPr="00607F4A">
        <w:rPr>
          <w:i/>
          <w:iCs/>
          <w:color w:val="auto"/>
          <w:sz w:val="20"/>
          <w:szCs w:val="20"/>
        </w:rPr>
        <w:t>entidades de atendimento</w:t>
      </w:r>
      <w:r>
        <w:rPr>
          <w:color w:val="auto"/>
          <w:sz w:val="20"/>
          <w:szCs w:val="20"/>
        </w:rPr>
        <w:t>)</w:t>
      </w:r>
      <w:r w:rsidRPr="00113C7D">
        <w:rPr>
          <w:color w:val="auto"/>
          <w:sz w:val="20"/>
          <w:szCs w:val="20"/>
        </w:rPr>
        <w:t xml:space="preserve"> 1331857-40.2015.8.13.0024. </w:t>
      </w:r>
    </w:p>
    <w:p w14:paraId="7D5F49CE" w14:textId="3DC84990" w:rsidR="00055C99" w:rsidRPr="00113C7D" w:rsidRDefault="00055C99" w:rsidP="00055C99">
      <w:pPr>
        <w:pStyle w:val="ListParagraph"/>
        <w:numPr>
          <w:ilvl w:val="0"/>
          <w:numId w:val="55"/>
        </w:numPr>
        <w:spacing w:after="240"/>
        <w:jc w:val="both"/>
        <w:rPr>
          <w:rFonts w:asciiTheme="majorHAnsi" w:hAnsiTheme="majorHAnsi"/>
          <w:color w:val="000000" w:themeColor="text1"/>
          <w:sz w:val="20"/>
          <w:szCs w:val="20"/>
        </w:rPr>
      </w:pPr>
      <w:r>
        <w:rPr>
          <w:color w:val="auto"/>
          <w:sz w:val="20"/>
          <w:szCs w:val="20"/>
        </w:rPr>
        <w:t xml:space="preserve">As regards the </w:t>
      </w:r>
      <w:r w:rsidRPr="00113C7D">
        <w:rPr>
          <w:color w:val="auto"/>
          <w:sz w:val="20"/>
          <w:szCs w:val="20"/>
        </w:rPr>
        <w:t xml:space="preserve">CSEST, </w:t>
      </w:r>
      <w:r>
        <w:rPr>
          <w:color w:val="auto"/>
          <w:sz w:val="20"/>
          <w:szCs w:val="20"/>
        </w:rPr>
        <w:t xml:space="preserve">the judge of the </w:t>
      </w:r>
      <w:r w:rsidR="0054678A">
        <w:rPr>
          <w:color w:val="auto"/>
          <w:sz w:val="20"/>
          <w:szCs w:val="20"/>
        </w:rPr>
        <w:t xml:space="preserve">Court of Infractions for Children and Youth </w:t>
      </w:r>
      <w:r>
        <w:rPr>
          <w:color w:val="auto"/>
          <w:sz w:val="20"/>
          <w:szCs w:val="20"/>
        </w:rPr>
        <w:t xml:space="preserve">of </w:t>
      </w:r>
      <w:r w:rsidRPr="00113C7D">
        <w:rPr>
          <w:color w:val="auto"/>
          <w:sz w:val="20"/>
          <w:szCs w:val="20"/>
        </w:rPr>
        <w:t xml:space="preserve">Belo Horizonte </w:t>
      </w:r>
      <w:r>
        <w:rPr>
          <w:color w:val="auto"/>
          <w:sz w:val="20"/>
          <w:szCs w:val="20"/>
        </w:rPr>
        <w:t xml:space="preserve">had </w:t>
      </w:r>
      <w:r w:rsidR="007F3C05">
        <w:rPr>
          <w:color w:val="auto"/>
          <w:sz w:val="20"/>
          <w:szCs w:val="20"/>
        </w:rPr>
        <w:t>proffered</w:t>
      </w:r>
      <w:r>
        <w:rPr>
          <w:color w:val="auto"/>
          <w:sz w:val="20"/>
          <w:szCs w:val="20"/>
        </w:rPr>
        <w:t xml:space="preserve"> a decision that determined the establishment of an administrative procedure to look into irregularities in the unit, as well that the unit should not receive any more youths until a regular water supply could be secured. The State filed a </w:t>
      </w:r>
      <w:r w:rsidR="001821F0">
        <w:rPr>
          <w:color w:val="auto"/>
          <w:sz w:val="20"/>
          <w:szCs w:val="20"/>
        </w:rPr>
        <w:t>writ of mandamus (</w:t>
      </w:r>
      <w:r w:rsidRPr="001821F0">
        <w:rPr>
          <w:i/>
          <w:iCs/>
          <w:color w:val="auto"/>
          <w:sz w:val="20"/>
          <w:szCs w:val="20"/>
        </w:rPr>
        <w:t>mandado de segurança</w:t>
      </w:r>
      <w:r w:rsidR="001821F0">
        <w:rPr>
          <w:color w:val="auto"/>
          <w:sz w:val="20"/>
          <w:szCs w:val="20"/>
        </w:rPr>
        <w:t>)</w:t>
      </w:r>
      <w:r w:rsidRPr="00113C7D">
        <w:rPr>
          <w:color w:val="auto"/>
          <w:sz w:val="20"/>
          <w:szCs w:val="20"/>
        </w:rPr>
        <w:t xml:space="preserve"> </w:t>
      </w:r>
      <w:r>
        <w:rPr>
          <w:color w:val="auto"/>
          <w:sz w:val="20"/>
          <w:szCs w:val="20"/>
        </w:rPr>
        <w:t xml:space="preserve">against those determinations </w:t>
      </w:r>
      <w:r w:rsidRPr="00113C7D">
        <w:rPr>
          <w:color w:val="auto"/>
          <w:sz w:val="20"/>
          <w:szCs w:val="20"/>
        </w:rPr>
        <w:t>(</w:t>
      </w:r>
      <w:r>
        <w:rPr>
          <w:color w:val="auto"/>
          <w:sz w:val="20"/>
          <w:szCs w:val="20"/>
        </w:rPr>
        <w:t xml:space="preserve">Case </w:t>
      </w:r>
      <w:r w:rsidRPr="00113C7D">
        <w:rPr>
          <w:color w:val="auto"/>
          <w:sz w:val="20"/>
          <w:szCs w:val="20"/>
        </w:rPr>
        <w:t xml:space="preserve">1.000.16.008869-6/000) </w:t>
      </w:r>
      <w:r>
        <w:rPr>
          <w:color w:val="auto"/>
          <w:sz w:val="20"/>
          <w:szCs w:val="20"/>
        </w:rPr>
        <w:t>and</w:t>
      </w:r>
      <w:r w:rsidRPr="00113C7D">
        <w:rPr>
          <w:color w:val="auto"/>
          <w:sz w:val="20"/>
          <w:szCs w:val="20"/>
        </w:rPr>
        <w:t xml:space="preserve">, </w:t>
      </w:r>
      <w:r>
        <w:rPr>
          <w:color w:val="auto"/>
          <w:sz w:val="20"/>
          <w:szCs w:val="20"/>
        </w:rPr>
        <w:t xml:space="preserve">on March </w:t>
      </w:r>
      <w:r w:rsidRPr="00113C7D">
        <w:rPr>
          <w:sz w:val="20"/>
          <w:szCs w:val="20"/>
        </w:rPr>
        <w:t>11</w:t>
      </w:r>
      <w:r>
        <w:rPr>
          <w:sz w:val="20"/>
          <w:szCs w:val="20"/>
        </w:rPr>
        <w:t>,</w:t>
      </w:r>
      <w:r w:rsidRPr="00113C7D">
        <w:rPr>
          <w:sz w:val="20"/>
          <w:szCs w:val="20"/>
        </w:rPr>
        <w:t xml:space="preserve"> 2016, </w:t>
      </w:r>
      <w:r>
        <w:rPr>
          <w:sz w:val="20"/>
          <w:szCs w:val="20"/>
        </w:rPr>
        <w:t xml:space="preserve">the </w:t>
      </w:r>
      <w:r w:rsidRPr="00113C7D">
        <w:rPr>
          <w:sz w:val="20"/>
          <w:szCs w:val="20"/>
        </w:rPr>
        <w:t xml:space="preserve">TJMG </w:t>
      </w:r>
      <w:r>
        <w:rPr>
          <w:sz w:val="20"/>
          <w:szCs w:val="20"/>
        </w:rPr>
        <w:t>decided to suspend the determinations. According to the decision, interrupting the intake of new adolescents would be an “extreme and disproportio</w:t>
      </w:r>
      <w:r w:rsidR="007A20E9">
        <w:rPr>
          <w:sz w:val="20"/>
          <w:szCs w:val="20"/>
        </w:rPr>
        <w:t>nate</w:t>
      </w:r>
      <w:r>
        <w:rPr>
          <w:sz w:val="20"/>
          <w:szCs w:val="20"/>
        </w:rPr>
        <w:t xml:space="preserve"> measure,” for the State “recognizes the precarious situation of the facilities at the locale” and “has been making efforts to repair them.” </w:t>
      </w:r>
    </w:p>
    <w:p w14:paraId="4B9F6397" w14:textId="160D0EF1" w:rsidR="00055C99" w:rsidRPr="00113C7D" w:rsidRDefault="00055C99" w:rsidP="00055C99">
      <w:pPr>
        <w:pStyle w:val="ListParagraph"/>
        <w:numPr>
          <w:ilvl w:val="0"/>
          <w:numId w:val="55"/>
        </w:numPr>
        <w:spacing w:after="240"/>
        <w:jc w:val="both"/>
        <w:rPr>
          <w:rFonts w:asciiTheme="majorHAnsi" w:hAnsiTheme="majorHAnsi"/>
          <w:color w:val="000000" w:themeColor="text1"/>
          <w:sz w:val="20"/>
          <w:szCs w:val="20"/>
        </w:rPr>
      </w:pPr>
      <w:r>
        <w:rPr>
          <w:color w:val="auto"/>
          <w:sz w:val="20"/>
          <w:szCs w:val="20"/>
        </w:rPr>
        <w:t xml:space="preserve">As regards the </w:t>
      </w:r>
      <w:r w:rsidRPr="00113C7D">
        <w:rPr>
          <w:color w:val="auto"/>
          <w:sz w:val="20"/>
          <w:szCs w:val="20"/>
        </w:rPr>
        <w:t xml:space="preserve">CEAD Lindeia, </w:t>
      </w:r>
      <w:r>
        <w:rPr>
          <w:color w:val="auto"/>
          <w:sz w:val="20"/>
          <w:szCs w:val="20"/>
        </w:rPr>
        <w:t xml:space="preserve">the judge of the </w:t>
      </w:r>
      <w:r w:rsidR="00D1465C">
        <w:rPr>
          <w:color w:val="auto"/>
          <w:sz w:val="20"/>
          <w:szCs w:val="20"/>
        </w:rPr>
        <w:t xml:space="preserve">Court of Infractions for Children and Youth </w:t>
      </w:r>
      <w:r>
        <w:rPr>
          <w:color w:val="auto"/>
          <w:sz w:val="20"/>
          <w:szCs w:val="20"/>
        </w:rPr>
        <w:t>of</w:t>
      </w:r>
      <w:r w:rsidRPr="00113C7D">
        <w:rPr>
          <w:color w:val="auto"/>
          <w:sz w:val="20"/>
          <w:szCs w:val="20"/>
        </w:rPr>
        <w:t xml:space="preserve"> Belo Horizonte </w:t>
      </w:r>
      <w:r>
        <w:rPr>
          <w:color w:val="auto"/>
          <w:sz w:val="20"/>
          <w:szCs w:val="20"/>
        </w:rPr>
        <w:t xml:space="preserve">had handed down a decision that determined the establishment of an administrative procedure to look into irregularities at the unit, as well as deciding that the unit should not receive more youths from other regions or adolescents over the age of 14 years. The State challenged that decision by </w:t>
      </w:r>
      <w:r w:rsidR="003F1BFA">
        <w:rPr>
          <w:color w:val="auto"/>
          <w:sz w:val="20"/>
          <w:szCs w:val="20"/>
        </w:rPr>
        <w:t xml:space="preserve">a bill of review </w:t>
      </w:r>
      <w:r>
        <w:rPr>
          <w:color w:val="auto"/>
          <w:sz w:val="20"/>
          <w:szCs w:val="20"/>
        </w:rPr>
        <w:t>(</w:t>
      </w:r>
      <w:r w:rsidRPr="003F1BFA">
        <w:rPr>
          <w:i/>
          <w:iCs/>
          <w:color w:val="auto"/>
          <w:sz w:val="20"/>
          <w:szCs w:val="20"/>
        </w:rPr>
        <w:t>recurso de agravo de instrument</w:t>
      </w:r>
      <w:r w:rsidR="00764973" w:rsidRPr="003F1BFA">
        <w:rPr>
          <w:i/>
          <w:iCs/>
          <w:color w:val="auto"/>
          <w:sz w:val="20"/>
          <w:szCs w:val="20"/>
        </w:rPr>
        <w:t>o</w:t>
      </w:r>
      <w:r>
        <w:rPr>
          <w:color w:val="auto"/>
          <w:sz w:val="20"/>
          <w:szCs w:val="20"/>
        </w:rPr>
        <w:t xml:space="preserve">) and, on February </w:t>
      </w:r>
      <w:r w:rsidRPr="00113C7D">
        <w:rPr>
          <w:color w:val="auto"/>
          <w:sz w:val="20"/>
          <w:szCs w:val="20"/>
        </w:rPr>
        <w:t>22</w:t>
      </w:r>
      <w:r>
        <w:rPr>
          <w:color w:val="auto"/>
          <w:sz w:val="20"/>
          <w:szCs w:val="20"/>
        </w:rPr>
        <w:t>,</w:t>
      </w:r>
      <w:r w:rsidRPr="00113C7D">
        <w:rPr>
          <w:color w:val="auto"/>
          <w:sz w:val="20"/>
          <w:szCs w:val="20"/>
        </w:rPr>
        <w:t xml:space="preserve"> 2016, </w:t>
      </w:r>
      <w:r>
        <w:rPr>
          <w:color w:val="auto"/>
          <w:sz w:val="20"/>
          <w:szCs w:val="20"/>
        </w:rPr>
        <w:t xml:space="preserve">the </w:t>
      </w:r>
      <w:r w:rsidRPr="00113C7D">
        <w:rPr>
          <w:sz w:val="20"/>
          <w:szCs w:val="20"/>
        </w:rPr>
        <w:t>TJMG</w:t>
      </w:r>
      <w:r w:rsidRPr="00113C7D">
        <w:rPr>
          <w:color w:val="auto"/>
          <w:sz w:val="20"/>
          <w:szCs w:val="20"/>
        </w:rPr>
        <w:t xml:space="preserve"> decid</w:t>
      </w:r>
      <w:r>
        <w:rPr>
          <w:color w:val="auto"/>
          <w:sz w:val="20"/>
          <w:szCs w:val="20"/>
        </w:rPr>
        <w:t xml:space="preserve">ed to annul the </w:t>
      </w:r>
      <w:r w:rsidR="008915FB">
        <w:rPr>
          <w:color w:val="auto"/>
          <w:sz w:val="20"/>
          <w:szCs w:val="20"/>
        </w:rPr>
        <w:t xml:space="preserve">findings </w:t>
      </w:r>
      <w:r>
        <w:rPr>
          <w:color w:val="auto"/>
          <w:sz w:val="20"/>
          <w:szCs w:val="20"/>
        </w:rPr>
        <w:t xml:space="preserve">of the judge of the </w:t>
      </w:r>
      <w:r w:rsidR="003F1BFA">
        <w:rPr>
          <w:color w:val="auto"/>
          <w:sz w:val="20"/>
          <w:szCs w:val="20"/>
        </w:rPr>
        <w:t xml:space="preserve">Court of Infractions, </w:t>
      </w:r>
      <w:r>
        <w:rPr>
          <w:color w:val="auto"/>
          <w:sz w:val="20"/>
          <w:szCs w:val="20"/>
        </w:rPr>
        <w:t xml:space="preserve">as it considered them to violate the principle of separation of powers </w:t>
      </w:r>
      <w:r w:rsidRPr="00113C7D">
        <w:rPr>
          <w:color w:val="auto"/>
          <w:sz w:val="20"/>
          <w:szCs w:val="20"/>
        </w:rPr>
        <w:t>(</w:t>
      </w:r>
      <w:r>
        <w:rPr>
          <w:color w:val="auto"/>
          <w:sz w:val="20"/>
          <w:szCs w:val="20"/>
        </w:rPr>
        <w:t xml:space="preserve">Case </w:t>
      </w:r>
      <w:r w:rsidRPr="00113C7D">
        <w:rPr>
          <w:color w:val="auto"/>
          <w:sz w:val="20"/>
          <w:szCs w:val="20"/>
        </w:rPr>
        <w:t xml:space="preserve">1.0024.15.159517-0/001). </w:t>
      </w:r>
      <w:r>
        <w:rPr>
          <w:color w:val="auto"/>
          <w:sz w:val="20"/>
          <w:szCs w:val="20"/>
        </w:rPr>
        <w:t xml:space="preserve">According to the decision of the Court, the decisions on receiving adolescents of a certain age or geographic origin correspond exclusively to the Executive </w:t>
      </w:r>
      <w:r w:rsidR="005938E2">
        <w:rPr>
          <w:color w:val="auto"/>
          <w:sz w:val="20"/>
          <w:szCs w:val="20"/>
        </w:rPr>
        <w:t>b</w:t>
      </w:r>
      <w:r>
        <w:rPr>
          <w:color w:val="auto"/>
          <w:sz w:val="20"/>
          <w:szCs w:val="20"/>
        </w:rPr>
        <w:t xml:space="preserve">ranch. The decision also mentions that the unit “has a planned capacity for </w:t>
      </w:r>
      <w:r w:rsidRPr="00113C7D">
        <w:rPr>
          <w:color w:val="auto"/>
          <w:sz w:val="20"/>
          <w:szCs w:val="20"/>
        </w:rPr>
        <w:t xml:space="preserve">30 </w:t>
      </w:r>
      <w:r>
        <w:rPr>
          <w:color w:val="auto"/>
          <w:sz w:val="20"/>
          <w:szCs w:val="20"/>
        </w:rPr>
        <w:t xml:space="preserve">persons, and there are only seven adolescents beyond this number.” On that basis, it states that at the unit there is not a “flagrant unviability of the service provided” by the unit in question. </w:t>
      </w:r>
    </w:p>
    <w:p w14:paraId="3CBC6628" w14:textId="3F157E95" w:rsidR="00055C99" w:rsidRPr="00113C7D" w:rsidRDefault="00055C99" w:rsidP="00055C99">
      <w:pPr>
        <w:pStyle w:val="ListParagraph"/>
        <w:numPr>
          <w:ilvl w:val="0"/>
          <w:numId w:val="55"/>
        </w:numPr>
        <w:spacing w:after="240"/>
        <w:jc w:val="both"/>
        <w:rPr>
          <w:rFonts w:asciiTheme="majorHAnsi" w:hAnsiTheme="majorHAnsi"/>
          <w:color w:val="000000" w:themeColor="text1"/>
          <w:sz w:val="20"/>
          <w:szCs w:val="20"/>
        </w:rPr>
      </w:pPr>
      <w:r>
        <w:rPr>
          <w:color w:val="auto"/>
          <w:sz w:val="20"/>
          <w:szCs w:val="20"/>
        </w:rPr>
        <w:t xml:space="preserve">As regards the </w:t>
      </w:r>
      <w:r w:rsidRPr="00113C7D">
        <w:rPr>
          <w:color w:val="auto"/>
          <w:sz w:val="20"/>
          <w:szCs w:val="20"/>
        </w:rPr>
        <w:t xml:space="preserve">CRSSJ, </w:t>
      </w:r>
      <w:r>
        <w:rPr>
          <w:color w:val="auto"/>
          <w:sz w:val="20"/>
          <w:szCs w:val="20"/>
        </w:rPr>
        <w:t xml:space="preserve">the judge of the </w:t>
      </w:r>
      <w:r w:rsidR="000F32A7">
        <w:rPr>
          <w:color w:val="auto"/>
          <w:sz w:val="20"/>
          <w:szCs w:val="20"/>
        </w:rPr>
        <w:t xml:space="preserve">Court of Infractions for Children and Youth </w:t>
      </w:r>
      <w:r>
        <w:rPr>
          <w:color w:val="auto"/>
          <w:sz w:val="20"/>
          <w:szCs w:val="20"/>
        </w:rPr>
        <w:t>of</w:t>
      </w:r>
      <w:r w:rsidRPr="00113C7D">
        <w:rPr>
          <w:color w:val="auto"/>
          <w:sz w:val="20"/>
          <w:szCs w:val="20"/>
        </w:rPr>
        <w:t xml:space="preserve"> Belo Horizonte, </w:t>
      </w:r>
      <w:r>
        <w:rPr>
          <w:color w:val="auto"/>
          <w:sz w:val="20"/>
          <w:szCs w:val="20"/>
        </w:rPr>
        <w:t xml:space="preserve">on analyzing </w:t>
      </w:r>
      <w:r w:rsidR="00A8484F">
        <w:rPr>
          <w:color w:val="auto"/>
          <w:sz w:val="20"/>
          <w:szCs w:val="20"/>
        </w:rPr>
        <w:t xml:space="preserve">a petition </w:t>
      </w:r>
      <w:r>
        <w:rPr>
          <w:color w:val="auto"/>
          <w:sz w:val="20"/>
          <w:szCs w:val="20"/>
        </w:rPr>
        <w:t>to look into irregularities, determine</w:t>
      </w:r>
      <w:r w:rsidR="008E4400">
        <w:rPr>
          <w:color w:val="auto"/>
          <w:sz w:val="20"/>
          <w:szCs w:val="20"/>
        </w:rPr>
        <w:t>d</w:t>
      </w:r>
      <w:r>
        <w:rPr>
          <w:color w:val="auto"/>
          <w:sz w:val="20"/>
          <w:szCs w:val="20"/>
        </w:rPr>
        <w:t xml:space="preserve"> that the State should present a plan for correcting irregularities at the </w:t>
      </w:r>
      <w:r w:rsidR="008E4400">
        <w:rPr>
          <w:color w:val="auto"/>
          <w:sz w:val="20"/>
          <w:szCs w:val="20"/>
        </w:rPr>
        <w:t xml:space="preserve">detention </w:t>
      </w:r>
      <w:r>
        <w:rPr>
          <w:color w:val="auto"/>
          <w:sz w:val="20"/>
          <w:szCs w:val="20"/>
        </w:rPr>
        <w:t xml:space="preserve">center. The State appealed that decision by </w:t>
      </w:r>
      <w:r w:rsidR="00FC14EE">
        <w:rPr>
          <w:color w:val="auto"/>
          <w:sz w:val="20"/>
          <w:szCs w:val="20"/>
        </w:rPr>
        <w:t xml:space="preserve">a bill of review </w:t>
      </w:r>
      <w:r>
        <w:rPr>
          <w:color w:val="auto"/>
          <w:sz w:val="20"/>
          <w:szCs w:val="20"/>
        </w:rPr>
        <w:t xml:space="preserve">and, on June </w:t>
      </w:r>
      <w:r w:rsidRPr="00113C7D">
        <w:rPr>
          <w:color w:val="auto"/>
          <w:sz w:val="20"/>
          <w:szCs w:val="20"/>
        </w:rPr>
        <w:t>12</w:t>
      </w:r>
      <w:r>
        <w:rPr>
          <w:color w:val="auto"/>
          <w:sz w:val="20"/>
          <w:szCs w:val="20"/>
        </w:rPr>
        <w:t>,</w:t>
      </w:r>
      <w:r w:rsidRPr="00113C7D">
        <w:rPr>
          <w:color w:val="auto"/>
          <w:sz w:val="20"/>
          <w:szCs w:val="20"/>
        </w:rPr>
        <w:t xml:space="preserve"> 2015, </w:t>
      </w:r>
      <w:r>
        <w:rPr>
          <w:color w:val="auto"/>
          <w:sz w:val="20"/>
          <w:szCs w:val="20"/>
        </w:rPr>
        <w:t xml:space="preserve">the </w:t>
      </w:r>
      <w:r w:rsidRPr="00113C7D">
        <w:rPr>
          <w:sz w:val="20"/>
          <w:szCs w:val="20"/>
        </w:rPr>
        <w:t>TJMG</w:t>
      </w:r>
      <w:r w:rsidRPr="00113C7D">
        <w:rPr>
          <w:color w:val="auto"/>
          <w:sz w:val="20"/>
          <w:szCs w:val="20"/>
        </w:rPr>
        <w:t xml:space="preserve"> decid</w:t>
      </w:r>
      <w:r>
        <w:rPr>
          <w:color w:val="auto"/>
          <w:sz w:val="20"/>
          <w:szCs w:val="20"/>
        </w:rPr>
        <w:t>ed</w:t>
      </w:r>
      <w:r w:rsidRPr="00113C7D">
        <w:rPr>
          <w:color w:val="auto"/>
          <w:sz w:val="20"/>
          <w:szCs w:val="20"/>
        </w:rPr>
        <w:t xml:space="preserve"> </w:t>
      </w:r>
      <w:r>
        <w:rPr>
          <w:color w:val="auto"/>
          <w:sz w:val="20"/>
          <w:szCs w:val="20"/>
        </w:rPr>
        <w:t xml:space="preserve">that the determination by the judge of the </w:t>
      </w:r>
      <w:r w:rsidR="00FC14EE">
        <w:rPr>
          <w:color w:val="auto"/>
          <w:sz w:val="20"/>
          <w:szCs w:val="20"/>
        </w:rPr>
        <w:t xml:space="preserve">Court of Infractions </w:t>
      </w:r>
      <w:r>
        <w:rPr>
          <w:color w:val="auto"/>
          <w:sz w:val="20"/>
          <w:szCs w:val="20"/>
        </w:rPr>
        <w:t xml:space="preserve">had been </w:t>
      </w:r>
      <w:r w:rsidRPr="00113C7D">
        <w:rPr>
          <w:color w:val="auto"/>
          <w:sz w:val="20"/>
          <w:szCs w:val="20"/>
        </w:rPr>
        <w:t xml:space="preserve">irregular, </w:t>
      </w:r>
      <w:r>
        <w:rPr>
          <w:color w:val="auto"/>
          <w:sz w:val="20"/>
          <w:szCs w:val="20"/>
        </w:rPr>
        <w:t xml:space="preserve">for issues of social rights </w:t>
      </w:r>
      <w:r w:rsidR="00D94679">
        <w:rPr>
          <w:color w:val="auto"/>
          <w:sz w:val="20"/>
          <w:szCs w:val="20"/>
        </w:rPr>
        <w:t xml:space="preserve">must </w:t>
      </w:r>
      <w:r>
        <w:rPr>
          <w:color w:val="auto"/>
          <w:sz w:val="20"/>
          <w:szCs w:val="20"/>
        </w:rPr>
        <w:t xml:space="preserve">be analyzed by a Civil Court for Children and Youth </w:t>
      </w:r>
      <w:r w:rsidRPr="00113C7D">
        <w:rPr>
          <w:color w:val="auto"/>
          <w:sz w:val="20"/>
          <w:szCs w:val="20"/>
        </w:rPr>
        <w:t>(</w:t>
      </w:r>
      <w:r>
        <w:rPr>
          <w:color w:val="auto"/>
          <w:sz w:val="20"/>
          <w:szCs w:val="20"/>
        </w:rPr>
        <w:t xml:space="preserve">Case </w:t>
      </w:r>
      <w:r w:rsidRPr="00113C7D">
        <w:rPr>
          <w:color w:val="auto"/>
          <w:sz w:val="20"/>
          <w:szCs w:val="20"/>
        </w:rPr>
        <w:t>1.0024.14.343176-5/001).</w:t>
      </w:r>
      <w:r>
        <w:rPr>
          <w:color w:val="auto"/>
          <w:sz w:val="20"/>
          <w:szCs w:val="20"/>
        </w:rPr>
        <w:t xml:space="preserve"> </w:t>
      </w:r>
    </w:p>
    <w:p w14:paraId="22A7DF41" w14:textId="44A552F9" w:rsidR="00055C99" w:rsidRPr="00113C7D" w:rsidRDefault="00055C99" w:rsidP="00055C99">
      <w:pPr>
        <w:pStyle w:val="ListParagraph"/>
        <w:numPr>
          <w:ilvl w:val="0"/>
          <w:numId w:val="55"/>
        </w:numPr>
        <w:spacing w:after="240"/>
        <w:jc w:val="both"/>
        <w:rPr>
          <w:rFonts w:asciiTheme="majorHAnsi" w:hAnsiTheme="majorHAnsi"/>
          <w:color w:val="000000" w:themeColor="text1"/>
          <w:sz w:val="20"/>
          <w:szCs w:val="20"/>
        </w:rPr>
      </w:pPr>
      <w:r>
        <w:rPr>
          <w:color w:val="auto"/>
          <w:sz w:val="20"/>
          <w:szCs w:val="20"/>
        </w:rPr>
        <w:t xml:space="preserve">The State also presented </w:t>
      </w:r>
      <w:r w:rsidRPr="00113C7D">
        <w:rPr>
          <w:color w:val="auto"/>
          <w:sz w:val="20"/>
          <w:szCs w:val="20"/>
        </w:rPr>
        <w:t>Memorand</w:t>
      </w:r>
      <w:r>
        <w:rPr>
          <w:color w:val="auto"/>
          <w:sz w:val="20"/>
          <w:szCs w:val="20"/>
        </w:rPr>
        <w:t>um</w:t>
      </w:r>
      <w:r w:rsidRPr="00113C7D">
        <w:rPr>
          <w:color w:val="auto"/>
          <w:sz w:val="20"/>
          <w:szCs w:val="20"/>
        </w:rPr>
        <w:t xml:space="preserve"> SESP/SGES 229/2019, </w:t>
      </w:r>
      <w:r>
        <w:rPr>
          <w:color w:val="auto"/>
          <w:sz w:val="20"/>
          <w:szCs w:val="20"/>
        </w:rPr>
        <w:t xml:space="preserve">of the government of the State of </w:t>
      </w:r>
      <w:r w:rsidRPr="00113C7D">
        <w:rPr>
          <w:color w:val="auto"/>
          <w:sz w:val="20"/>
          <w:szCs w:val="20"/>
        </w:rPr>
        <w:t>Minas Gerais, dat</w:t>
      </w:r>
      <w:r>
        <w:rPr>
          <w:color w:val="auto"/>
          <w:sz w:val="20"/>
          <w:szCs w:val="20"/>
        </w:rPr>
        <w:t>ed June</w:t>
      </w:r>
      <w:r w:rsidRPr="00113C7D">
        <w:rPr>
          <w:color w:val="auto"/>
          <w:sz w:val="20"/>
          <w:szCs w:val="20"/>
        </w:rPr>
        <w:t xml:space="preserve"> 14</w:t>
      </w:r>
      <w:r>
        <w:rPr>
          <w:color w:val="auto"/>
          <w:sz w:val="20"/>
          <w:szCs w:val="20"/>
        </w:rPr>
        <w:t>,</w:t>
      </w:r>
      <w:r w:rsidRPr="00113C7D">
        <w:rPr>
          <w:color w:val="auto"/>
          <w:sz w:val="20"/>
          <w:szCs w:val="20"/>
        </w:rPr>
        <w:t xml:space="preserve"> 2019, </w:t>
      </w:r>
      <w:r>
        <w:rPr>
          <w:color w:val="auto"/>
          <w:sz w:val="20"/>
          <w:szCs w:val="20"/>
        </w:rPr>
        <w:t>with the following information: (</w:t>
      </w:r>
      <w:r w:rsidRPr="00113C7D">
        <w:rPr>
          <w:color w:val="auto"/>
          <w:sz w:val="20"/>
          <w:szCs w:val="20"/>
        </w:rPr>
        <w:t xml:space="preserve">i) </w:t>
      </w:r>
      <w:r>
        <w:rPr>
          <w:color w:val="auto"/>
          <w:sz w:val="20"/>
          <w:szCs w:val="20"/>
        </w:rPr>
        <w:t xml:space="preserve">the works for water supply and construction of a nursery at the </w:t>
      </w:r>
      <w:r w:rsidRPr="00113C7D">
        <w:rPr>
          <w:color w:val="auto"/>
          <w:sz w:val="20"/>
          <w:szCs w:val="20"/>
        </w:rPr>
        <w:t xml:space="preserve">CRSSJ </w:t>
      </w:r>
      <w:r>
        <w:rPr>
          <w:color w:val="auto"/>
          <w:sz w:val="20"/>
          <w:szCs w:val="20"/>
        </w:rPr>
        <w:t>are said to have been concluded, and the unit was within its capacity to house 43 female adolescents; (</w:t>
      </w:r>
      <w:r w:rsidRPr="00113C7D">
        <w:rPr>
          <w:color w:val="auto"/>
          <w:sz w:val="20"/>
          <w:szCs w:val="20"/>
        </w:rPr>
        <w:t xml:space="preserve">ii) </w:t>
      </w:r>
      <w:r>
        <w:rPr>
          <w:color w:val="auto"/>
          <w:sz w:val="20"/>
          <w:szCs w:val="20"/>
        </w:rPr>
        <w:t>the</w:t>
      </w:r>
      <w:r w:rsidRPr="00113C7D">
        <w:rPr>
          <w:color w:val="auto"/>
          <w:sz w:val="20"/>
          <w:szCs w:val="20"/>
        </w:rPr>
        <w:t xml:space="preserve"> CSEST </w:t>
      </w:r>
      <w:r>
        <w:rPr>
          <w:color w:val="auto"/>
          <w:sz w:val="20"/>
          <w:szCs w:val="20"/>
        </w:rPr>
        <w:t>was said to have been entirely renovated in</w:t>
      </w:r>
      <w:r w:rsidRPr="00113C7D">
        <w:rPr>
          <w:color w:val="auto"/>
          <w:sz w:val="20"/>
          <w:szCs w:val="20"/>
        </w:rPr>
        <w:t xml:space="preserve"> 2017; </w:t>
      </w:r>
      <w:r>
        <w:rPr>
          <w:color w:val="auto"/>
          <w:sz w:val="20"/>
          <w:szCs w:val="20"/>
        </w:rPr>
        <w:t xml:space="preserve">the trash is collected three times a week; the unit has a capacity for 30 adolescents and had 36, </w:t>
      </w:r>
      <w:r w:rsidRPr="00113C7D">
        <w:rPr>
          <w:color w:val="auto"/>
          <w:sz w:val="20"/>
          <w:szCs w:val="20"/>
        </w:rPr>
        <w:t>“</w:t>
      </w:r>
      <w:r>
        <w:rPr>
          <w:color w:val="auto"/>
          <w:sz w:val="20"/>
          <w:szCs w:val="20"/>
        </w:rPr>
        <w:t xml:space="preserve">however, even in the face of overcrowding, all the adolescents </w:t>
      </w:r>
      <w:r w:rsidR="00780057">
        <w:rPr>
          <w:color w:val="auto"/>
          <w:sz w:val="20"/>
          <w:szCs w:val="20"/>
        </w:rPr>
        <w:t xml:space="preserve">cared for </w:t>
      </w:r>
      <w:r>
        <w:rPr>
          <w:color w:val="auto"/>
          <w:sz w:val="20"/>
          <w:szCs w:val="20"/>
        </w:rPr>
        <w:t>have enough beds to stay</w:t>
      </w:r>
      <w:r w:rsidRPr="00113C7D">
        <w:rPr>
          <w:color w:val="auto"/>
          <w:sz w:val="20"/>
          <w:szCs w:val="20"/>
        </w:rPr>
        <w:t xml:space="preserve">”; </w:t>
      </w:r>
      <w:r>
        <w:rPr>
          <w:color w:val="auto"/>
          <w:sz w:val="20"/>
          <w:szCs w:val="20"/>
        </w:rPr>
        <w:t>(</w:t>
      </w:r>
      <w:r w:rsidRPr="00113C7D">
        <w:rPr>
          <w:color w:val="auto"/>
          <w:sz w:val="20"/>
          <w:szCs w:val="20"/>
        </w:rPr>
        <w:t xml:space="preserve">iii) </w:t>
      </w:r>
      <w:r>
        <w:rPr>
          <w:color w:val="auto"/>
          <w:sz w:val="20"/>
          <w:szCs w:val="20"/>
        </w:rPr>
        <w:t xml:space="preserve">the </w:t>
      </w:r>
      <w:r w:rsidRPr="00113C7D">
        <w:rPr>
          <w:color w:val="auto"/>
          <w:sz w:val="20"/>
          <w:szCs w:val="20"/>
        </w:rPr>
        <w:t xml:space="preserve">Santa Clara </w:t>
      </w:r>
      <w:r>
        <w:rPr>
          <w:color w:val="auto"/>
          <w:sz w:val="20"/>
          <w:szCs w:val="20"/>
        </w:rPr>
        <w:t xml:space="preserve">CSE was renovated in </w:t>
      </w:r>
      <w:r w:rsidRPr="00113C7D">
        <w:rPr>
          <w:color w:val="auto"/>
          <w:sz w:val="20"/>
          <w:szCs w:val="20"/>
        </w:rPr>
        <w:t xml:space="preserve">2017 </w:t>
      </w:r>
      <w:r>
        <w:rPr>
          <w:color w:val="auto"/>
          <w:sz w:val="20"/>
          <w:szCs w:val="20"/>
        </w:rPr>
        <w:t xml:space="preserve">and </w:t>
      </w:r>
      <w:r w:rsidRPr="00113C7D">
        <w:rPr>
          <w:color w:val="auto"/>
          <w:sz w:val="20"/>
          <w:szCs w:val="20"/>
        </w:rPr>
        <w:t xml:space="preserve">2018; </w:t>
      </w:r>
      <w:r>
        <w:rPr>
          <w:color w:val="auto"/>
          <w:sz w:val="20"/>
          <w:szCs w:val="20"/>
        </w:rPr>
        <w:t xml:space="preserve">the unit has a capacity for 66 adolescents and had 78, “however, even in the face of overcrowding, all the adolescents have enough beds to stay”; and (iv) the Lindeia </w:t>
      </w:r>
      <w:r w:rsidRPr="00113C7D">
        <w:rPr>
          <w:color w:val="auto"/>
          <w:sz w:val="20"/>
          <w:szCs w:val="20"/>
        </w:rPr>
        <w:t xml:space="preserve">CEAD </w:t>
      </w:r>
      <w:r>
        <w:rPr>
          <w:color w:val="auto"/>
          <w:sz w:val="20"/>
          <w:szCs w:val="20"/>
        </w:rPr>
        <w:t>had a capacity for 30 adolescents and had 30; in 2017 work to renew the unit w</w:t>
      </w:r>
      <w:r w:rsidR="00763430">
        <w:rPr>
          <w:color w:val="auto"/>
          <w:sz w:val="20"/>
          <w:szCs w:val="20"/>
        </w:rPr>
        <w:t xml:space="preserve">as </w:t>
      </w:r>
      <w:r>
        <w:rPr>
          <w:color w:val="auto"/>
          <w:sz w:val="20"/>
          <w:szCs w:val="20"/>
        </w:rPr>
        <w:t>begun</w:t>
      </w:r>
      <w:r w:rsidR="009A5C95">
        <w:rPr>
          <w:color w:val="auto"/>
          <w:sz w:val="20"/>
          <w:szCs w:val="20"/>
        </w:rPr>
        <w:t xml:space="preserve"> that </w:t>
      </w:r>
      <w:r>
        <w:rPr>
          <w:color w:val="auto"/>
          <w:sz w:val="20"/>
          <w:szCs w:val="20"/>
        </w:rPr>
        <w:t>ha</w:t>
      </w:r>
      <w:r w:rsidR="00763430">
        <w:rPr>
          <w:color w:val="auto"/>
          <w:sz w:val="20"/>
          <w:szCs w:val="20"/>
        </w:rPr>
        <w:t>s</w:t>
      </w:r>
      <w:r>
        <w:rPr>
          <w:color w:val="auto"/>
          <w:sz w:val="20"/>
          <w:szCs w:val="20"/>
        </w:rPr>
        <w:t xml:space="preserve"> yet to conclude. </w:t>
      </w:r>
    </w:p>
    <w:p w14:paraId="1D2C8879" w14:textId="19AA826B" w:rsidR="00055C99" w:rsidRPr="00113C7D" w:rsidRDefault="00055C99" w:rsidP="00055C99">
      <w:pPr>
        <w:pStyle w:val="ListParagraph"/>
        <w:numPr>
          <w:ilvl w:val="0"/>
          <w:numId w:val="55"/>
        </w:numPr>
        <w:spacing w:after="240"/>
        <w:jc w:val="both"/>
        <w:rPr>
          <w:color w:val="000000" w:themeColor="text1"/>
          <w:sz w:val="20"/>
          <w:szCs w:val="20"/>
        </w:rPr>
      </w:pPr>
      <w:r>
        <w:rPr>
          <w:rFonts w:asciiTheme="majorHAnsi" w:hAnsiTheme="majorHAnsi"/>
          <w:color w:val="000000" w:themeColor="text1"/>
          <w:sz w:val="20"/>
          <w:szCs w:val="20"/>
        </w:rPr>
        <w:t xml:space="preserve">In addition, the State seeks to show the existence of a team of suitable professionals in sufficient number to care for the </w:t>
      </w:r>
      <w:r w:rsidRPr="00113C7D">
        <w:rPr>
          <w:rFonts w:asciiTheme="majorHAnsi" w:hAnsiTheme="majorHAnsi"/>
          <w:color w:val="000000" w:themeColor="text1"/>
          <w:sz w:val="20"/>
          <w:szCs w:val="20"/>
        </w:rPr>
        <w:t xml:space="preserve">adolescents. </w:t>
      </w:r>
      <w:r>
        <w:rPr>
          <w:rFonts w:asciiTheme="majorHAnsi" w:hAnsiTheme="majorHAnsi"/>
          <w:color w:val="000000" w:themeColor="text1"/>
          <w:sz w:val="20"/>
          <w:szCs w:val="20"/>
        </w:rPr>
        <w:t xml:space="preserve">In the terms of </w:t>
      </w:r>
      <w:r w:rsidRPr="00113C7D">
        <w:rPr>
          <w:rFonts w:asciiTheme="majorHAnsi" w:hAnsiTheme="majorHAnsi"/>
          <w:color w:val="000000" w:themeColor="text1"/>
          <w:sz w:val="20"/>
          <w:szCs w:val="20"/>
        </w:rPr>
        <w:t>Memorand</w:t>
      </w:r>
      <w:r>
        <w:rPr>
          <w:rFonts w:asciiTheme="majorHAnsi" w:hAnsiTheme="majorHAnsi"/>
          <w:color w:val="000000" w:themeColor="text1"/>
          <w:sz w:val="20"/>
          <w:szCs w:val="20"/>
        </w:rPr>
        <w:t>um</w:t>
      </w:r>
      <w:r w:rsidRPr="00113C7D">
        <w:rPr>
          <w:rFonts w:asciiTheme="majorHAnsi" w:hAnsiTheme="majorHAnsi"/>
          <w:color w:val="000000" w:themeColor="text1"/>
          <w:sz w:val="20"/>
          <w:szCs w:val="20"/>
        </w:rPr>
        <w:t xml:space="preserve"> SESP/DAS 58/2019, </w:t>
      </w:r>
      <w:r>
        <w:rPr>
          <w:rFonts w:asciiTheme="majorHAnsi" w:hAnsiTheme="majorHAnsi"/>
          <w:color w:val="000000" w:themeColor="text1"/>
          <w:sz w:val="20"/>
          <w:szCs w:val="20"/>
        </w:rPr>
        <w:t xml:space="preserve">it reports that there is an explanation based on the </w:t>
      </w:r>
      <w:r w:rsidR="007271D5">
        <w:rPr>
          <w:rFonts w:asciiTheme="majorHAnsi" w:hAnsiTheme="majorHAnsi"/>
          <w:color w:val="000000" w:themeColor="text1"/>
          <w:sz w:val="20"/>
          <w:szCs w:val="20"/>
        </w:rPr>
        <w:t xml:space="preserve">rules </w:t>
      </w:r>
      <w:r w:rsidR="00486B3C">
        <w:rPr>
          <w:rFonts w:asciiTheme="majorHAnsi" w:hAnsiTheme="majorHAnsi"/>
          <w:color w:val="000000" w:themeColor="text1"/>
          <w:sz w:val="20"/>
          <w:szCs w:val="20"/>
        </w:rPr>
        <w:t xml:space="preserve">concerning </w:t>
      </w:r>
      <w:r>
        <w:rPr>
          <w:rFonts w:asciiTheme="majorHAnsi" w:hAnsiTheme="majorHAnsi"/>
          <w:color w:val="000000" w:themeColor="text1"/>
          <w:sz w:val="20"/>
          <w:szCs w:val="20"/>
        </w:rPr>
        <w:t>the non-existence of any nursing team at night, highlighting that those professionals work from 7:00 a.m. to 9:00 p.m.</w:t>
      </w:r>
      <w:r w:rsidRPr="00113C7D">
        <w:rPr>
          <w:rFonts w:asciiTheme="majorHAnsi" w:hAnsiTheme="majorHAnsi"/>
          <w:color w:val="000000" w:themeColor="text1"/>
          <w:sz w:val="20"/>
          <w:szCs w:val="20"/>
        </w:rPr>
        <w:t xml:space="preserve"> </w:t>
      </w:r>
      <w:r>
        <w:rPr>
          <w:rFonts w:asciiTheme="majorHAnsi" w:hAnsiTheme="majorHAnsi"/>
          <w:color w:val="000000" w:themeColor="text1"/>
          <w:sz w:val="20"/>
          <w:szCs w:val="20"/>
        </w:rPr>
        <w:t>In addition to the team of health professionals</w:t>
      </w:r>
      <w:r w:rsidRPr="00113C7D">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there is a list of other professionals who work at the centers, which, according to the State, showed that the number of </w:t>
      </w:r>
      <w:r w:rsidR="005F12FC">
        <w:rPr>
          <w:rFonts w:asciiTheme="majorHAnsi" w:hAnsiTheme="majorHAnsi"/>
          <w:color w:val="000000" w:themeColor="text1"/>
          <w:sz w:val="20"/>
          <w:szCs w:val="20"/>
        </w:rPr>
        <w:t>t</w:t>
      </w:r>
      <w:r w:rsidR="00D4719D">
        <w:rPr>
          <w:rFonts w:asciiTheme="majorHAnsi" w:hAnsiTheme="majorHAnsi"/>
          <w:color w:val="000000" w:themeColor="text1"/>
          <w:sz w:val="20"/>
          <w:szCs w:val="20"/>
        </w:rPr>
        <w:t xml:space="preserve">eachers, </w:t>
      </w:r>
      <w:r>
        <w:rPr>
          <w:rFonts w:asciiTheme="majorHAnsi" w:hAnsiTheme="majorHAnsi"/>
          <w:color w:val="000000" w:themeColor="text1"/>
          <w:sz w:val="20"/>
          <w:szCs w:val="20"/>
        </w:rPr>
        <w:t xml:space="preserve">psychologists, occupational therapists, </w:t>
      </w:r>
      <w:r w:rsidR="006E4C75">
        <w:rPr>
          <w:rFonts w:asciiTheme="majorHAnsi" w:hAnsiTheme="majorHAnsi"/>
          <w:color w:val="000000" w:themeColor="text1"/>
          <w:sz w:val="20"/>
          <w:szCs w:val="20"/>
        </w:rPr>
        <w:t xml:space="preserve">security </w:t>
      </w:r>
      <w:r>
        <w:rPr>
          <w:rFonts w:asciiTheme="majorHAnsi" w:hAnsiTheme="majorHAnsi"/>
          <w:color w:val="000000" w:themeColor="text1"/>
          <w:sz w:val="20"/>
          <w:szCs w:val="20"/>
        </w:rPr>
        <w:t xml:space="preserve">agents, among other staff, has been satisfactory </w:t>
      </w:r>
      <w:r w:rsidRPr="00113C7D">
        <w:rPr>
          <w:rFonts w:asciiTheme="majorHAnsi" w:hAnsiTheme="majorHAnsi"/>
          <w:color w:val="000000" w:themeColor="text1"/>
          <w:sz w:val="20"/>
          <w:szCs w:val="20"/>
        </w:rPr>
        <w:t>(Memorand</w:t>
      </w:r>
      <w:r>
        <w:rPr>
          <w:rFonts w:asciiTheme="majorHAnsi" w:hAnsiTheme="majorHAnsi"/>
          <w:color w:val="000000" w:themeColor="text1"/>
          <w:sz w:val="20"/>
          <w:szCs w:val="20"/>
        </w:rPr>
        <w:t>um</w:t>
      </w:r>
      <w:r w:rsidRPr="00113C7D">
        <w:rPr>
          <w:rFonts w:asciiTheme="majorHAnsi" w:hAnsiTheme="majorHAnsi"/>
          <w:color w:val="000000" w:themeColor="text1"/>
          <w:sz w:val="20"/>
          <w:szCs w:val="20"/>
        </w:rPr>
        <w:t xml:space="preserve"> SESP/DOS 63/2019 </w:t>
      </w:r>
      <w:r>
        <w:rPr>
          <w:rFonts w:asciiTheme="majorHAnsi" w:hAnsiTheme="majorHAnsi"/>
          <w:color w:val="000000" w:themeColor="text1"/>
          <w:sz w:val="20"/>
          <w:szCs w:val="20"/>
        </w:rPr>
        <w:t>and</w:t>
      </w:r>
      <w:r w:rsidRPr="00113C7D">
        <w:rPr>
          <w:rFonts w:asciiTheme="majorHAnsi" w:hAnsiTheme="majorHAnsi"/>
          <w:color w:val="000000" w:themeColor="text1"/>
          <w:sz w:val="20"/>
          <w:szCs w:val="20"/>
        </w:rPr>
        <w:t xml:space="preserve"> Memorand</w:t>
      </w:r>
      <w:r>
        <w:rPr>
          <w:rFonts w:asciiTheme="majorHAnsi" w:hAnsiTheme="majorHAnsi"/>
          <w:color w:val="000000" w:themeColor="text1"/>
          <w:sz w:val="20"/>
          <w:szCs w:val="20"/>
        </w:rPr>
        <w:t>um</w:t>
      </w:r>
      <w:r w:rsidRPr="00113C7D">
        <w:rPr>
          <w:rFonts w:asciiTheme="majorHAnsi" w:hAnsiTheme="majorHAnsi"/>
          <w:color w:val="000000" w:themeColor="text1"/>
          <w:sz w:val="20"/>
          <w:szCs w:val="20"/>
        </w:rPr>
        <w:t xml:space="preserve"> SEJUSP/DSS 360/2019). </w:t>
      </w:r>
      <w:bookmarkEnd w:id="0"/>
    </w:p>
    <w:p w14:paraId="66C7AF33" w14:textId="77777777" w:rsidR="00055C99" w:rsidRPr="00113C7D" w:rsidRDefault="00055C99" w:rsidP="00055C99">
      <w:pPr>
        <w:pStyle w:val="ListParagraph"/>
        <w:spacing w:after="240"/>
        <w:jc w:val="both"/>
        <w:rPr>
          <w:color w:val="000000" w:themeColor="text1"/>
          <w:sz w:val="20"/>
          <w:szCs w:val="20"/>
        </w:rPr>
      </w:pPr>
      <w:r w:rsidRPr="00113C7D">
        <w:rPr>
          <w:b/>
          <w:bCs/>
          <w:color w:val="000000" w:themeColor="text1"/>
          <w:sz w:val="20"/>
          <w:szCs w:val="20"/>
        </w:rPr>
        <w:t>VI.</w:t>
      </w:r>
      <w:r w:rsidRPr="00113C7D">
        <w:rPr>
          <w:b/>
          <w:bCs/>
          <w:color w:val="000000" w:themeColor="text1"/>
          <w:sz w:val="20"/>
          <w:szCs w:val="20"/>
        </w:rPr>
        <w:tab/>
        <w:t>COMPET</w:t>
      </w:r>
      <w:r>
        <w:rPr>
          <w:b/>
          <w:bCs/>
          <w:color w:val="000000" w:themeColor="text1"/>
          <w:sz w:val="20"/>
          <w:szCs w:val="20"/>
        </w:rPr>
        <w:t>ENCE</w:t>
      </w:r>
      <w:r w:rsidRPr="00113C7D">
        <w:rPr>
          <w:b/>
          <w:bCs/>
          <w:color w:val="000000" w:themeColor="text1"/>
          <w:sz w:val="20"/>
          <w:szCs w:val="20"/>
        </w:rPr>
        <w:t xml:space="preserve"> </w:t>
      </w:r>
      <w:r w:rsidRPr="00113C7D">
        <w:rPr>
          <w:b/>
          <w:bCs/>
          <w:i/>
          <w:iCs/>
          <w:color w:val="000000" w:themeColor="text1"/>
          <w:sz w:val="20"/>
          <w:szCs w:val="20"/>
        </w:rPr>
        <w:t>RATIONE PERSONAE</w:t>
      </w:r>
      <w:r w:rsidRPr="00113C7D">
        <w:rPr>
          <w:b/>
          <w:bCs/>
          <w:color w:val="000000" w:themeColor="text1"/>
          <w:sz w:val="20"/>
          <w:szCs w:val="20"/>
        </w:rPr>
        <w:t xml:space="preserve"> </w:t>
      </w:r>
    </w:p>
    <w:p w14:paraId="15992AD8" w14:textId="5859633F"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 xml:space="preserve">The State considers that the petition is inadmissible because it was presented by a public servant. On this matter, the Inter-American Commission on Human Rights clarifies that in the terms of Article 44 of the American Convention on Human Rights, any person, group of persons, or nongovernmental entity may file </w:t>
      </w:r>
      <w:r w:rsidR="005149E1">
        <w:rPr>
          <w:bCs/>
          <w:color w:val="000000" w:themeColor="text1"/>
          <w:sz w:val="20"/>
          <w:szCs w:val="20"/>
        </w:rPr>
        <w:t xml:space="preserve">a </w:t>
      </w:r>
      <w:r>
        <w:rPr>
          <w:bCs/>
          <w:color w:val="000000" w:themeColor="text1"/>
          <w:sz w:val="20"/>
          <w:szCs w:val="20"/>
        </w:rPr>
        <w:t xml:space="preserve">petition with the Commission.  </w:t>
      </w:r>
      <w:r w:rsidR="005149E1">
        <w:rPr>
          <w:bCs/>
          <w:color w:val="000000" w:themeColor="text1"/>
          <w:sz w:val="20"/>
          <w:szCs w:val="20"/>
        </w:rPr>
        <w:t xml:space="preserve">Accordingly, </w:t>
      </w:r>
      <w:r>
        <w:rPr>
          <w:bCs/>
          <w:color w:val="000000" w:themeColor="text1"/>
          <w:sz w:val="20"/>
          <w:szCs w:val="20"/>
        </w:rPr>
        <w:t>there is no prohibition on public servants bring</w:t>
      </w:r>
      <w:r w:rsidR="00B21FCC">
        <w:rPr>
          <w:bCs/>
          <w:color w:val="000000" w:themeColor="text1"/>
          <w:sz w:val="20"/>
          <w:szCs w:val="20"/>
        </w:rPr>
        <w:t>ing</w:t>
      </w:r>
      <w:r>
        <w:rPr>
          <w:bCs/>
          <w:color w:val="000000" w:themeColor="text1"/>
          <w:sz w:val="20"/>
          <w:szCs w:val="20"/>
        </w:rPr>
        <w:t xml:space="preserve"> </w:t>
      </w:r>
      <w:r>
        <w:rPr>
          <w:bCs/>
          <w:color w:val="000000" w:themeColor="text1"/>
          <w:sz w:val="20"/>
          <w:szCs w:val="20"/>
        </w:rPr>
        <w:lastRenderedPageBreak/>
        <w:t>human rights situations to the attention of the Commission, as has already happened in other petitions and cases.</w:t>
      </w:r>
      <w:r w:rsidRPr="00113C7D">
        <w:rPr>
          <w:bCs/>
          <w:color w:val="000000" w:themeColor="text1"/>
          <w:sz w:val="20"/>
          <w:szCs w:val="20"/>
          <w:vertAlign w:val="superscript"/>
        </w:rPr>
        <w:footnoteReference w:id="4"/>
      </w:r>
    </w:p>
    <w:p w14:paraId="300D68DA" w14:textId="7F07F14F"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 xml:space="preserve">Another aspect of the Commission’s competence </w:t>
      </w:r>
      <w:r w:rsidRPr="00E37A69">
        <w:rPr>
          <w:bCs/>
          <w:i/>
          <w:iCs/>
          <w:color w:val="000000" w:themeColor="text1"/>
          <w:sz w:val="20"/>
          <w:szCs w:val="20"/>
        </w:rPr>
        <w:t>ratione personae</w:t>
      </w:r>
      <w:r w:rsidRPr="00113C7D">
        <w:rPr>
          <w:bCs/>
          <w:color w:val="000000" w:themeColor="text1"/>
          <w:sz w:val="20"/>
          <w:szCs w:val="20"/>
        </w:rPr>
        <w:t xml:space="preserve"> </w:t>
      </w:r>
      <w:r>
        <w:rPr>
          <w:bCs/>
          <w:color w:val="000000" w:themeColor="text1"/>
          <w:sz w:val="20"/>
          <w:szCs w:val="20"/>
        </w:rPr>
        <w:t xml:space="preserve">has to do with identifying </w:t>
      </w:r>
      <w:r w:rsidR="00B21FCC">
        <w:rPr>
          <w:bCs/>
          <w:color w:val="000000" w:themeColor="text1"/>
          <w:sz w:val="20"/>
          <w:szCs w:val="20"/>
        </w:rPr>
        <w:t xml:space="preserve">the </w:t>
      </w:r>
      <w:r>
        <w:rPr>
          <w:bCs/>
          <w:color w:val="000000" w:themeColor="text1"/>
          <w:sz w:val="20"/>
          <w:szCs w:val="20"/>
        </w:rPr>
        <w:t>possible victim</w:t>
      </w:r>
      <w:r w:rsidR="005C5F30">
        <w:rPr>
          <w:bCs/>
          <w:color w:val="000000" w:themeColor="text1"/>
          <w:sz w:val="20"/>
          <w:szCs w:val="20"/>
        </w:rPr>
        <w:t>s</w:t>
      </w:r>
      <w:r>
        <w:rPr>
          <w:bCs/>
          <w:color w:val="000000" w:themeColor="text1"/>
          <w:sz w:val="20"/>
          <w:szCs w:val="20"/>
        </w:rPr>
        <w:t xml:space="preserve">. The instant petition is focused on allegations of poor conditions to which adolescents were subjected at four socio-educational units. To date the petitioner has not presented the names of the adolescents who are possible victims, even though it identified the socio-educational units denounced and the period involved. The text of Article </w:t>
      </w:r>
      <w:r w:rsidRPr="00113C7D">
        <w:rPr>
          <w:bCs/>
          <w:color w:val="000000" w:themeColor="text1"/>
          <w:sz w:val="20"/>
          <w:szCs w:val="20"/>
        </w:rPr>
        <w:t xml:space="preserve">44 </w:t>
      </w:r>
      <w:r>
        <w:rPr>
          <w:bCs/>
          <w:color w:val="000000" w:themeColor="text1"/>
          <w:sz w:val="20"/>
          <w:szCs w:val="20"/>
        </w:rPr>
        <w:t>of the Convention does not contain limitations of competence in terms of the full and total identification of the persons affected by the alleged violation</w:t>
      </w:r>
      <w:r w:rsidRPr="00113C7D">
        <w:rPr>
          <w:bCs/>
          <w:color w:val="000000" w:themeColor="text1"/>
          <w:sz w:val="20"/>
          <w:szCs w:val="20"/>
        </w:rPr>
        <w:t xml:space="preserve">, </w:t>
      </w:r>
      <w:r>
        <w:rPr>
          <w:bCs/>
          <w:color w:val="000000" w:themeColor="text1"/>
          <w:sz w:val="20"/>
          <w:szCs w:val="20"/>
        </w:rPr>
        <w:t>allowing for an examination of violations which, due to their characteristics, may affect a given person or group of persons, but who are not necessarily fully identified. The Commission considers, as it has in the past, that the criterion for identifying the victims should be flexible, so long as the full identification of all the victims is determined with the evidence presented by the parties in the merits phase</w:t>
      </w:r>
      <w:r w:rsidRPr="00113C7D">
        <w:rPr>
          <w:bCs/>
          <w:color w:val="000000" w:themeColor="text1"/>
          <w:sz w:val="20"/>
          <w:szCs w:val="20"/>
        </w:rPr>
        <w:t>.</w:t>
      </w:r>
      <w:r w:rsidRPr="00113C7D">
        <w:rPr>
          <w:bCs/>
          <w:color w:val="000000" w:themeColor="text1"/>
          <w:sz w:val="20"/>
          <w:szCs w:val="20"/>
          <w:vertAlign w:val="superscript"/>
        </w:rPr>
        <w:footnoteReference w:id="5"/>
      </w:r>
      <w:r w:rsidRPr="00113C7D">
        <w:rPr>
          <w:bCs/>
          <w:color w:val="000000" w:themeColor="text1"/>
          <w:sz w:val="20"/>
          <w:szCs w:val="20"/>
        </w:rPr>
        <w:t xml:space="preserve"> </w:t>
      </w:r>
      <w:r>
        <w:rPr>
          <w:bCs/>
          <w:color w:val="000000" w:themeColor="text1"/>
          <w:sz w:val="20"/>
          <w:szCs w:val="20"/>
        </w:rPr>
        <w:t xml:space="preserve">In this regard, it is especially important that the petitioner identify the possible victims during the subsequent procedural stage. </w:t>
      </w:r>
    </w:p>
    <w:p w14:paraId="0D7C3882" w14:textId="3EC30B8A" w:rsidR="00055C99" w:rsidRPr="00113C7D" w:rsidRDefault="00055C99" w:rsidP="00055C99">
      <w:pPr>
        <w:pStyle w:val="ListParagraph"/>
        <w:spacing w:after="240"/>
        <w:jc w:val="both"/>
        <w:rPr>
          <w:color w:val="000000" w:themeColor="text1"/>
          <w:sz w:val="20"/>
          <w:szCs w:val="20"/>
        </w:rPr>
      </w:pPr>
      <w:r w:rsidRPr="00113C7D">
        <w:rPr>
          <w:b/>
          <w:bCs/>
          <w:color w:val="000000" w:themeColor="text1"/>
          <w:sz w:val="20"/>
          <w:szCs w:val="20"/>
        </w:rPr>
        <w:t>VII.</w:t>
      </w:r>
      <w:r w:rsidRPr="00113C7D">
        <w:rPr>
          <w:b/>
          <w:bCs/>
          <w:color w:val="000000" w:themeColor="text1"/>
          <w:sz w:val="20"/>
          <w:szCs w:val="20"/>
        </w:rPr>
        <w:tab/>
        <w:t>AN</w:t>
      </w:r>
      <w:r>
        <w:rPr>
          <w:b/>
          <w:bCs/>
          <w:color w:val="000000" w:themeColor="text1"/>
          <w:sz w:val="20"/>
          <w:szCs w:val="20"/>
        </w:rPr>
        <w:t>ALYSIS OF EXHAUSTION OF DOMESTIC REMEDIES AND TIME</w:t>
      </w:r>
      <w:r w:rsidR="002B1861">
        <w:rPr>
          <w:b/>
          <w:bCs/>
          <w:color w:val="000000" w:themeColor="text1"/>
          <w:sz w:val="20"/>
          <w:szCs w:val="20"/>
        </w:rPr>
        <w:t>LINESS OF PETITION</w:t>
      </w:r>
      <w:r>
        <w:rPr>
          <w:b/>
          <w:bCs/>
          <w:color w:val="000000" w:themeColor="text1"/>
          <w:sz w:val="20"/>
          <w:szCs w:val="20"/>
        </w:rPr>
        <w:t xml:space="preserve"> </w:t>
      </w:r>
      <w:bookmarkStart w:id="1" w:name="_Hlk72954899"/>
    </w:p>
    <w:p w14:paraId="71908760" w14:textId="6A03265E"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 xml:space="preserve">The main subject matter </w:t>
      </w:r>
      <w:r w:rsidR="00D1096F">
        <w:rPr>
          <w:bCs/>
          <w:color w:val="000000" w:themeColor="text1"/>
          <w:sz w:val="20"/>
          <w:szCs w:val="20"/>
        </w:rPr>
        <w:t xml:space="preserve">of the petition has to do with </w:t>
      </w:r>
      <w:r>
        <w:rPr>
          <w:bCs/>
          <w:color w:val="000000" w:themeColor="text1"/>
          <w:sz w:val="20"/>
          <w:szCs w:val="20"/>
        </w:rPr>
        <w:t xml:space="preserve">the allegations of poor conditions to which adolescents </w:t>
      </w:r>
      <w:r w:rsidR="00D1096F">
        <w:rPr>
          <w:bCs/>
          <w:color w:val="000000" w:themeColor="text1"/>
          <w:sz w:val="20"/>
          <w:szCs w:val="20"/>
        </w:rPr>
        <w:t xml:space="preserve">detained </w:t>
      </w:r>
      <w:r>
        <w:rPr>
          <w:bCs/>
          <w:color w:val="000000" w:themeColor="text1"/>
          <w:sz w:val="20"/>
          <w:szCs w:val="20"/>
        </w:rPr>
        <w:t>at four socio-educational units</w:t>
      </w:r>
      <w:r w:rsidR="006C1D97">
        <w:rPr>
          <w:bCs/>
          <w:color w:val="000000" w:themeColor="text1"/>
          <w:sz w:val="20"/>
          <w:szCs w:val="20"/>
        </w:rPr>
        <w:t xml:space="preserve"> are subjected</w:t>
      </w:r>
      <w:r>
        <w:rPr>
          <w:bCs/>
          <w:color w:val="000000" w:themeColor="text1"/>
          <w:sz w:val="20"/>
          <w:szCs w:val="20"/>
        </w:rPr>
        <w:t xml:space="preserve">. Though reference is also made to the deaths of </w:t>
      </w:r>
      <w:r w:rsidRPr="00113C7D">
        <w:rPr>
          <w:sz w:val="20"/>
          <w:szCs w:val="20"/>
        </w:rPr>
        <w:t>Richard Santana Bicalho Rocha, Israel Junio Alves dos Reis, Marco Antônio dos Reis Soares</w:t>
      </w:r>
      <w:r>
        <w:rPr>
          <w:sz w:val="20"/>
          <w:szCs w:val="20"/>
        </w:rPr>
        <w:t>, and</w:t>
      </w:r>
      <w:r w:rsidRPr="00113C7D">
        <w:rPr>
          <w:sz w:val="20"/>
          <w:szCs w:val="20"/>
        </w:rPr>
        <w:t xml:space="preserve"> Keven Felipe da Silva Guimarães, </w:t>
      </w:r>
      <w:r>
        <w:rPr>
          <w:sz w:val="20"/>
          <w:szCs w:val="20"/>
        </w:rPr>
        <w:t xml:space="preserve">regarding these deaths there is no </w:t>
      </w:r>
      <w:r w:rsidR="00935BD0">
        <w:rPr>
          <w:sz w:val="20"/>
          <w:szCs w:val="20"/>
        </w:rPr>
        <w:t xml:space="preserve">further </w:t>
      </w:r>
      <w:r>
        <w:rPr>
          <w:sz w:val="20"/>
          <w:szCs w:val="20"/>
        </w:rPr>
        <w:t xml:space="preserve">information nor details on how they are connected to the main allegations in the petition. In addition to not presenting details on the circumstances of the deaths, the petitioner does not attribute them to the action of state agents. Therefore, the analysis on exhaustion of domestic remedies and time for presentation will refer to the above-noted main subject of the petition. </w:t>
      </w:r>
    </w:p>
    <w:p w14:paraId="50A657E6" w14:textId="027240BA" w:rsidR="00055C99" w:rsidRPr="00113C7D" w:rsidRDefault="00055C99" w:rsidP="00055C99">
      <w:pPr>
        <w:pStyle w:val="ListParagraph"/>
        <w:numPr>
          <w:ilvl w:val="0"/>
          <w:numId w:val="55"/>
        </w:numPr>
        <w:spacing w:after="240"/>
        <w:jc w:val="both"/>
        <w:rPr>
          <w:bCs/>
          <w:color w:val="000000" w:themeColor="text1"/>
          <w:sz w:val="20"/>
          <w:szCs w:val="20"/>
        </w:rPr>
      </w:pPr>
      <w:r>
        <w:rPr>
          <w:bCs/>
          <w:color w:val="000000" w:themeColor="text1"/>
          <w:sz w:val="20"/>
          <w:szCs w:val="20"/>
        </w:rPr>
        <w:t>The State argues that although the issues related to the socio-educational units have been the subject of a variety of judicial actions</w:t>
      </w:r>
      <w:r w:rsidRPr="00113C7D">
        <w:rPr>
          <w:bCs/>
          <w:color w:val="000000" w:themeColor="text1"/>
          <w:sz w:val="20"/>
          <w:szCs w:val="20"/>
        </w:rPr>
        <w:t xml:space="preserve">, </w:t>
      </w:r>
      <w:r>
        <w:rPr>
          <w:bCs/>
          <w:color w:val="000000" w:themeColor="text1"/>
          <w:sz w:val="20"/>
          <w:szCs w:val="20"/>
        </w:rPr>
        <w:t>those actions were annulled or suspended</w:t>
      </w:r>
      <w:r w:rsidRPr="00113C7D">
        <w:rPr>
          <w:bCs/>
          <w:color w:val="000000" w:themeColor="text1"/>
          <w:sz w:val="20"/>
          <w:szCs w:val="20"/>
        </w:rPr>
        <w:t xml:space="preserve">, </w:t>
      </w:r>
      <w:r>
        <w:rPr>
          <w:bCs/>
          <w:color w:val="000000" w:themeColor="text1"/>
          <w:sz w:val="20"/>
          <w:szCs w:val="20"/>
        </w:rPr>
        <w:t xml:space="preserve">or were terminated without a judgment on the merits. However, the State only presents a record of procedural movements related to the process of looking into irregularities in </w:t>
      </w:r>
      <w:r w:rsidR="00442A7B">
        <w:rPr>
          <w:bCs/>
          <w:color w:val="000000" w:themeColor="text1"/>
          <w:sz w:val="20"/>
          <w:szCs w:val="20"/>
        </w:rPr>
        <w:t xml:space="preserve">care institutions </w:t>
      </w:r>
      <w:r>
        <w:rPr>
          <w:bCs/>
          <w:color w:val="000000" w:themeColor="text1"/>
          <w:sz w:val="20"/>
          <w:szCs w:val="20"/>
        </w:rPr>
        <w:t>(</w:t>
      </w:r>
      <w:r w:rsidRPr="00A349A2">
        <w:rPr>
          <w:bCs/>
          <w:i/>
          <w:iCs/>
          <w:color w:val="000000" w:themeColor="text1"/>
          <w:sz w:val="20"/>
          <w:szCs w:val="20"/>
        </w:rPr>
        <w:t>entidades de atendimento</w:t>
      </w:r>
      <w:r>
        <w:rPr>
          <w:bCs/>
          <w:color w:val="000000" w:themeColor="text1"/>
          <w:sz w:val="20"/>
          <w:szCs w:val="20"/>
        </w:rPr>
        <w:t>)</w:t>
      </w:r>
      <w:r w:rsidRPr="00113C7D">
        <w:rPr>
          <w:bCs/>
          <w:color w:val="000000" w:themeColor="text1"/>
          <w:sz w:val="20"/>
          <w:szCs w:val="20"/>
        </w:rPr>
        <w:t xml:space="preserve"> 1331857-40.2015.8.13.0024, </w:t>
      </w:r>
      <w:r>
        <w:rPr>
          <w:bCs/>
          <w:color w:val="000000" w:themeColor="text1"/>
          <w:sz w:val="20"/>
          <w:szCs w:val="20"/>
        </w:rPr>
        <w:t xml:space="preserve">it not being possible, based on the information presented by the State, to know which to which unit or units that process refers. </w:t>
      </w:r>
    </w:p>
    <w:p w14:paraId="1886ED4C" w14:textId="4F7A65E4"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The Inter-American Commission clarifies that the rule on prior exhaustion has the aim of allowing the national authorities to take cognizance of the alleged violation of a right protected and to resolve the situation before it is heard by an international body.</w:t>
      </w:r>
      <w:r w:rsidRPr="00113C7D">
        <w:rPr>
          <w:bCs/>
          <w:color w:val="000000" w:themeColor="text1"/>
          <w:sz w:val="20"/>
          <w:szCs w:val="20"/>
          <w:vertAlign w:val="superscript"/>
        </w:rPr>
        <w:footnoteReference w:id="6"/>
      </w:r>
      <w:r w:rsidRPr="00113C7D">
        <w:rPr>
          <w:bCs/>
          <w:color w:val="000000" w:themeColor="text1"/>
          <w:sz w:val="20"/>
          <w:szCs w:val="20"/>
        </w:rPr>
        <w:t xml:space="preserve"> </w:t>
      </w:r>
      <w:r>
        <w:rPr>
          <w:bCs/>
          <w:color w:val="000000" w:themeColor="text1"/>
          <w:sz w:val="20"/>
          <w:szCs w:val="20"/>
        </w:rPr>
        <w:t>In addition, the Commission notes that Article 95 of the Statute on Children and Adolescents (ECA) (Law 8,</w:t>
      </w:r>
      <w:r w:rsidRPr="00113C7D">
        <w:rPr>
          <w:bCs/>
          <w:color w:val="000000" w:themeColor="text1"/>
          <w:sz w:val="20"/>
          <w:szCs w:val="20"/>
        </w:rPr>
        <w:t xml:space="preserve">069, </w:t>
      </w:r>
      <w:r>
        <w:rPr>
          <w:bCs/>
          <w:color w:val="000000" w:themeColor="text1"/>
          <w:sz w:val="20"/>
          <w:szCs w:val="20"/>
        </w:rPr>
        <w:t xml:space="preserve">of July </w:t>
      </w:r>
      <w:r w:rsidRPr="00113C7D">
        <w:rPr>
          <w:bCs/>
          <w:color w:val="000000" w:themeColor="text1"/>
          <w:sz w:val="20"/>
          <w:szCs w:val="20"/>
        </w:rPr>
        <w:t>13</w:t>
      </w:r>
      <w:r>
        <w:rPr>
          <w:bCs/>
          <w:color w:val="000000" w:themeColor="text1"/>
          <w:sz w:val="20"/>
          <w:szCs w:val="20"/>
        </w:rPr>
        <w:t>,</w:t>
      </w:r>
      <w:r w:rsidRPr="00113C7D">
        <w:rPr>
          <w:bCs/>
          <w:color w:val="000000" w:themeColor="text1"/>
          <w:sz w:val="20"/>
          <w:szCs w:val="20"/>
        </w:rPr>
        <w:t xml:space="preserve"> 1990) pr</w:t>
      </w:r>
      <w:r>
        <w:rPr>
          <w:bCs/>
          <w:color w:val="000000" w:themeColor="text1"/>
          <w:sz w:val="20"/>
          <w:szCs w:val="20"/>
        </w:rPr>
        <w:t xml:space="preserve">ovides that the socio-educational units shall be inspected by the Judicial branch, the </w:t>
      </w:r>
      <w:r w:rsidR="007D2583">
        <w:rPr>
          <w:bCs/>
          <w:color w:val="000000" w:themeColor="text1"/>
          <w:sz w:val="20"/>
          <w:szCs w:val="20"/>
        </w:rPr>
        <w:t xml:space="preserve">Attorney General’s Office, </w:t>
      </w:r>
      <w:r>
        <w:rPr>
          <w:bCs/>
          <w:color w:val="000000" w:themeColor="text1"/>
          <w:sz w:val="20"/>
          <w:szCs w:val="20"/>
        </w:rPr>
        <w:t xml:space="preserve">and the </w:t>
      </w:r>
      <w:r w:rsidR="00BD1F8B">
        <w:rPr>
          <w:bCs/>
          <w:color w:val="000000" w:themeColor="text1"/>
          <w:sz w:val="20"/>
          <w:szCs w:val="20"/>
        </w:rPr>
        <w:t xml:space="preserve">Guardianship Councils </w:t>
      </w:r>
      <w:r>
        <w:rPr>
          <w:bCs/>
          <w:color w:val="000000" w:themeColor="text1"/>
          <w:sz w:val="20"/>
          <w:szCs w:val="20"/>
        </w:rPr>
        <w:t>(</w:t>
      </w:r>
      <w:r w:rsidRPr="00113C7D">
        <w:rPr>
          <w:bCs/>
          <w:color w:val="000000" w:themeColor="text1"/>
          <w:sz w:val="20"/>
          <w:szCs w:val="20"/>
        </w:rPr>
        <w:t>Conselhos Tutelares</w:t>
      </w:r>
      <w:r>
        <w:rPr>
          <w:bCs/>
          <w:color w:val="000000" w:themeColor="text1"/>
          <w:sz w:val="20"/>
          <w:szCs w:val="20"/>
        </w:rPr>
        <w:t>)</w:t>
      </w:r>
      <w:r w:rsidRPr="00113C7D">
        <w:rPr>
          <w:bCs/>
          <w:color w:val="000000" w:themeColor="text1"/>
          <w:sz w:val="20"/>
          <w:szCs w:val="20"/>
        </w:rPr>
        <w:t xml:space="preserve">. </w:t>
      </w:r>
      <w:r>
        <w:rPr>
          <w:bCs/>
          <w:color w:val="000000" w:themeColor="text1"/>
          <w:sz w:val="20"/>
          <w:szCs w:val="20"/>
        </w:rPr>
        <w:t xml:space="preserve">In addition, Article </w:t>
      </w:r>
      <w:r w:rsidRPr="00113C7D">
        <w:rPr>
          <w:bCs/>
          <w:color w:val="000000" w:themeColor="text1"/>
          <w:sz w:val="20"/>
          <w:szCs w:val="20"/>
        </w:rPr>
        <w:t xml:space="preserve">191 </w:t>
      </w:r>
      <w:r>
        <w:rPr>
          <w:bCs/>
          <w:color w:val="000000" w:themeColor="text1"/>
          <w:sz w:val="20"/>
          <w:szCs w:val="20"/>
        </w:rPr>
        <w:t xml:space="preserve">of the </w:t>
      </w:r>
      <w:r w:rsidRPr="00113C7D">
        <w:rPr>
          <w:bCs/>
          <w:color w:val="000000" w:themeColor="text1"/>
          <w:sz w:val="20"/>
          <w:szCs w:val="20"/>
        </w:rPr>
        <w:t xml:space="preserve">ECA </w:t>
      </w:r>
      <w:r>
        <w:rPr>
          <w:bCs/>
          <w:color w:val="000000" w:themeColor="text1"/>
          <w:sz w:val="20"/>
          <w:szCs w:val="20"/>
        </w:rPr>
        <w:t xml:space="preserve">provides for the possibility of establishing a procedure for </w:t>
      </w:r>
      <w:r w:rsidR="00DC3CEA">
        <w:rPr>
          <w:bCs/>
          <w:color w:val="000000" w:themeColor="text1"/>
          <w:sz w:val="20"/>
          <w:szCs w:val="20"/>
        </w:rPr>
        <w:t xml:space="preserve">looking into </w:t>
      </w:r>
      <w:r>
        <w:rPr>
          <w:bCs/>
          <w:color w:val="000000" w:themeColor="text1"/>
          <w:sz w:val="20"/>
          <w:szCs w:val="20"/>
        </w:rPr>
        <w:t xml:space="preserve">irregularities at the socio-educational units by an order of the judicial authority or representation of the </w:t>
      </w:r>
      <w:r w:rsidR="009971FD">
        <w:rPr>
          <w:bCs/>
          <w:color w:val="000000" w:themeColor="text1"/>
          <w:sz w:val="20"/>
          <w:szCs w:val="20"/>
        </w:rPr>
        <w:t xml:space="preserve">Attorney General’s Office </w:t>
      </w:r>
      <w:r>
        <w:rPr>
          <w:bCs/>
          <w:color w:val="000000" w:themeColor="text1"/>
          <w:sz w:val="20"/>
          <w:szCs w:val="20"/>
        </w:rPr>
        <w:t xml:space="preserve">or the </w:t>
      </w:r>
      <w:r w:rsidR="00A20B3D">
        <w:rPr>
          <w:bCs/>
          <w:color w:val="000000" w:themeColor="text1"/>
          <w:sz w:val="20"/>
          <w:szCs w:val="20"/>
        </w:rPr>
        <w:t xml:space="preserve">Guardianship Council. </w:t>
      </w:r>
    </w:p>
    <w:p w14:paraId="0B4A2ED1" w14:textId="1C16ABD4"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 xml:space="preserve">According to the facts narrated, the allegations about the four socio-educational units were first brought to the attention of the judicial authorities on December 14, 2015, when the judge of the </w:t>
      </w:r>
      <w:r w:rsidR="00131B0A">
        <w:rPr>
          <w:color w:val="auto"/>
          <w:sz w:val="20"/>
          <w:szCs w:val="20"/>
        </w:rPr>
        <w:t>Court of Infractions for Children and Youth</w:t>
      </w:r>
      <w:r w:rsidR="00131B0A">
        <w:rPr>
          <w:bCs/>
          <w:color w:val="000000" w:themeColor="text1"/>
          <w:sz w:val="20"/>
          <w:szCs w:val="20"/>
        </w:rPr>
        <w:t xml:space="preserve"> </w:t>
      </w:r>
      <w:r>
        <w:rPr>
          <w:bCs/>
          <w:color w:val="000000" w:themeColor="text1"/>
          <w:sz w:val="20"/>
          <w:szCs w:val="20"/>
        </w:rPr>
        <w:t xml:space="preserve">of the district of </w:t>
      </w:r>
      <w:r w:rsidRPr="00113C7D">
        <w:rPr>
          <w:bCs/>
          <w:color w:val="000000" w:themeColor="text1"/>
          <w:sz w:val="20"/>
          <w:szCs w:val="20"/>
        </w:rPr>
        <w:t xml:space="preserve">Belo Horizonte </w:t>
      </w:r>
      <w:r>
        <w:rPr>
          <w:bCs/>
          <w:color w:val="000000" w:themeColor="text1"/>
          <w:sz w:val="20"/>
          <w:szCs w:val="20"/>
        </w:rPr>
        <w:t xml:space="preserve">issued judicial orders establishing administrative procedures for investigating the irregularities at the units known as </w:t>
      </w:r>
      <w:r w:rsidRPr="00113C7D">
        <w:rPr>
          <w:bCs/>
          <w:color w:val="000000" w:themeColor="text1"/>
          <w:sz w:val="20"/>
          <w:szCs w:val="20"/>
        </w:rPr>
        <w:t>CRSSJ, CEAD Lindeia</w:t>
      </w:r>
      <w:r>
        <w:rPr>
          <w:bCs/>
          <w:color w:val="000000" w:themeColor="text1"/>
          <w:sz w:val="20"/>
          <w:szCs w:val="20"/>
        </w:rPr>
        <w:t>,</w:t>
      </w:r>
      <w:r w:rsidRPr="00113C7D">
        <w:rPr>
          <w:bCs/>
          <w:color w:val="000000" w:themeColor="text1"/>
          <w:sz w:val="20"/>
          <w:szCs w:val="20"/>
        </w:rPr>
        <w:t xml:space="preserve"> CSEST</w:t>
      </w:r>
      <w:r>
        <w:rPr>
          <w:bCs/>
          <w:color w:val="000000" w:themeColor="text1"/>
          <w:sz w:val="20"/>
          <w:szCs w:val="20"/>
        </w:rPr>
        <w:t>,</w:t>
      </w:r>
      <w:r w:rsidRPr="00113C7D">
        <w:rPr>
          <w:bCs/>
          <w:color w:val="000000" w:themeColor="text1"/>
          <w:sz w:val="20"/>
          <w:szCs w:val="20"/>
        </w:rPr>
        <w:t xml:space="preserve"> </w:t>
      </w:r>
      <w:r>
        <w:rPr>
          <w:bCs/>
          <w:color w:val="000000" w:themeColor="text1"/>
          <w:sz w:val="20"/>
          <w:szCs w:val="20"/>
        </w:rPr>
        <w:t xml:space="preserve">and </w:t>
      </w:r>
      <w:r w:rsidRPr="00113C7D">
        <w:rPr>
          <w:bCs/>
          <w:color w:val="000000" w:themeColor="text1"/>
          <w:sz w:val="20"/>
          <w:szCs w:val="20"/>
        </w:rPr>
        <w:t xml:space="preserve">CSE Santa Clara. </w:t>
      </w:r>
      <w:r w:rsidR="003C6376">
        <w:rPr>
          <w:bCs/>
          <w:color w:val="000000" w:themeColor="text1"/>
          <w:sz w:val="20"/>
          <w:szCs w:val="20"/>
        </w:rPr>
        <w:t>T</w:t>
      </w:r>
      <w:r>
        <w:rPr>
          <w:bCs/>
          <w:color w:val="000000" w:themeColor="text1"/>
          <w:sz w:val="20"/>
          <w:szCs w:val="20"/>
        </w:rPr>
        <w:t xml:space="preserve">hose orders </w:t>
      </w:r>
      <w:r w:rsidR="003C6376">
        <w:rPr>
          <w:bCs/>
          <w:color w:val="000000" w:themeColor="text1"/>
          <w:sz w:val="20"/>
          <w:szCs w:val="20"/>
        </w:rPr>
        <w:t xml:space="preserve">identified </w:t>
      </w:r>
      <w:r>
        <w:rPr>
          <w:bCs/>
          <w:color w:val="000000" w:themeColor="text1"/>
          <w:sz w:val="20"/>
          <w:szCs w:val="20"/>
        </w:rPr>
        <w:t xml:space="preserve">specific issues such as lack of regular access to water and </w:t>
      </w:r>
      <w:r>
        <w:rPr>
          <w:bCs/>
          <w:color w:val="000000" w:themeColor="text1"/>
          <w:sz w:val="20"/>
          <w:szCs w:val="20"/>
        </w:rPr>
        <w:lastRenderedPageBreak/>
        <w:t xml:space="preserve">overcrowding. The judge issued decisions for the units to not receive </w:t>
      </w:r>
      <w:r w:rsidR="00AA3734">
        <w:rPr>
          <w:bCs/>
          <w:color w:val="000000" w:themeColor="text1"/>
          <w:sz w:val="20"/>
          <w:szCs w:val="20"/>
        </w:rPr>
        <w:t xml:space="preserve">any </w:t>
      </w:r>
      <w:r>
        <w:rPr>
          <w:bCs/>
          <w:color w:val="000000" w:themeColor="text1"/>
          <w:sz w:val="20"/>
          <w:szCs w:val="20"/>
        </w:rPr>
        <w:t xml:space="preserve">more adolescents until the deficiencies were cured. </w:t>
      </w:r>
    </w:p>
    <w:p w14:paraId="37F2AFDD" w14:textId="45EA29A2"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 xml:space="preserve">As regards the units known as </w:t>
      </w:r>
      <w:r w:rsidRPr="00113C7D">
        <w:rPr>
          <w:bCs/>
          <w:color w:val="000000" w:themeColor="text1"/>
          <w:sz w:val="20"/>
          <w:szCs w:val="20"/>
        </w:rPr>
        <w:t>CRSSJ, CEAD Lindeia</w:t>
      </w:r>
      <w:r>
        <w:rPr>
          <w:bCs/>
          <w:color w:val="000000" w:themeColor="text1"/>
          <w:sz w:val="20"/>
          <w:szCs w:val="20"/>
        </w:rPr>
        <w:t>,</w:t>
      </w:r>
      <w:r w:rsidRPr="00113C7D">
        <w:rPr>
          <w:bCs/>
          <w:color w:val="000000" w:themeColor="text1"/>
          <w:sz w:val="20"/>
          <w:szCs w:val="20"/>
        </w:rPr>
        <w:t xml:space="preserve"> </w:t>
      </w:r>
      <w:r>
        <w:rPr>
          <w:bCs/>
          <w:color w:val="000000" w:themeColor="text1"/>
          <w:sz w:val="20"/>
          <w:szCs w:val="20"/>
        </w:rPr>
        <w:t xml:space="preserve">and </w:t>
      </w:r>
      <w:r w:rsidRPr="00113C7D">
        <w:rPr>
          <w:bCs/>
          <w:color w:val="000000" w:themeColor="text1"/>
          <w:sz w:val="20"/>
          <w:szCs w:val="20"/>
        </w:rPr>
        <w:t xml:space="preserve">CSEST, </w:t>
      </w:r>
      <w:r>
        <w:rPr>
          <w:bCs/>
          <w:color w:val="000000" w:themeColor="text1"/>
          <w:sz w:val="20"/>
          <w:szCs w:val="20"/>
        </w:rPr>
        <w:t xml:space="preserve">the IACHR received information that the judicial orders were contested by the state of </w:t>
      </w:r>
      <w:r w:rsidRPr="00113C7D">
        <w:rPr>
          <w:bCs/>
          <w:color w:val="000000" w:themeColor="text1"/>
          <w:sz w:val="20"/>
          <w:szCs w:val="20"/>
        </w:rPr>
        <w:t xml:space="preserve">Minas Gerais, </w:t>
      </w:r>
      <w:r>
        <w:rPr>
          <w:bCs/>
          <w:color w:val="000000" w:themeColor="text1"/>
          <w:sz w:val="20"/>
          <w:szCs w:val="20"/>
        </w:rPr>
        <w:t xml:space="preserve">which appealed to the </w:t>
      </w:r>
      <w:r w:rsidRPr="00113C7D">
        <w:rPr>
          <w:bCs/>
          <w:color w:val="000000" w:themeColor="text1"/>
          <w:sz w:val="20"/>
          <w:szCs w:val="20"/>
        </w:rPr>
        <w:t>TJMG (</w:t>
      </w:r>
      <w:r>
        <w:rPr>
          <w:bCs/>
          <w:color w:val="000000" w:themeColor="text1"/>
          <w:sz w:val="20"/>
          <w:szCs w:val="20"/>
        </w:rPr>
        <w:t>appellate court</w:t>
      </w:r>
      <w:r w:rsidRPr="00113C7D">
        <w:rPr>
          <w:bCs/>
          <w:color w:val="000000" w:themeColor="text1"/>
          <w:sz w:val="20"/>
          <w:szCs w:val="20"/>
        </w:rPr>
        <w:t xml:space="preserve">). </w:t>
      </w:r>
      <w:r>
        <w:rPr>
          <w:bCs/>
          <w:color w:val="000000" w:themeColor="text1"/>
          <w:sz w:val="20"/>
          <w:szCs w:val="20"/>
        </w:rPr>
        <w:t xml:space="preserve">This court, by decisions of June 12, </w:t>
      </w:r>
      <w:r w:rsidRPr="00113C7D">
        <w:rPr>
          <w:bCs/>
          <w:color w:val="000000" w:themeColor="text1"/>
          <w:sz w:val="20"/>
          <w:szCs w:val="20"/>
        </w:rPr>
        <w:t xml:space="preserve">2015, </w:t>
      </w:r>
      <w:r>
        <w:rPr>
          <w:bCs/>
          <w:color w:val="000000" w:themeColor="text1"/>
          <w:sz w:val="20"/>
          <w:szCs w:val="20"/>
        </w:rPr>
        <w:t xml:space="preserve">February </w:t>
      </w:r>
      <w:r w:rsidRPr="00113C7D">
        <w:rPr>
          <w:bCs/>
          <w:color w:val="000000" w:themeColor="text1"/>
          <w:sz w:val="20"/>
          <w:szCs w:val="20"/>
        </w:rPr>
        <w:t>22</w:t>
      </w:r>
      <w:r>
        <w:rPr>
          <w:bCs/>
          <w:color w:val="000000" w:themeColor="text1"/>
          <w:sz w:val="20"/>
          <w:szCs w:val="20"/>
        </w:rPr>
        <w:t>,</w:t>
      </w:r>
      <w:r w:rsidRPr="00113C7D">
        <w:rPr>
          <w:bCs/>
          <w:color w:val="000000" w:themeColor="text1"/>
          <w:sz w:val="20"/>
          <w:szCs w:val="20"/>
        </w:rPr>
        <w:t xml:space="preserve"> 2016</w:t>
      </w:r>
      <w:r>
        <w:rPr>
          <w:bCs/>
          <w:color w:val="000000" w:themeColor="text1"/>
          <w:sz w:val="20"/>
          <w:szCs w:val="20"/>
        </w:rPr>
        <w:t xml:space="preserve">, and March </w:t>
      </w:r>
      <w:r w:rsidRPr="00113C7D">
        <w:rPr>
          <w:bCs/>
          <w:color w:val="000000" w:themeColor="text1"/>
          <w:sz w:val="20"/>
          <w:szCs w:val="20"/>
        </w:rPr>
        <w:t>11</w:t>
      </w:r>
      <w:r>
        <w:rPr>
          <w:bCs/>
          <w:color w:val="000000" w:themeColor="text1"/>
          <w:sz w:val="20"/>
          <w:szCs w:val="20"/>
        </w:rPr>
        <w:t>,</w:t>
      </w:r>
      <w:r w:rsidRPr="00113C7D">
        <w:rPr>
          <w:bCs/>
          <w:color w:val="000000" w:themeColor="text1"/>
          <w:sz w:val="20"/>
          <w:szCs w:val="20"/>
        </w:rPr>
        <w:t xml:space="preserve"> 2016, </w:t>
      </w:r>
      <w:r>
        <w:rPr>
          <w:bCs/>
          <w:color w:val="000000" w:themeColor="text1"/>
          <w:sz w:val="20"/>
          <w:szCs w:val="20"/>
        </w:rPr>
        <w:t xml:space="preserve">overturned the determinations of the judge in relation to the units </w:t>
      </w:r>
      <w:r w:rsidRPr="00113C7D">
        <w:rPr>
          <w:bCs/>
          <w:color w:val="000000" w:themeColor="text1"/>
          <w:sz w:val="20"/>
          <w:szCs w:val="20"/>
        </w:rPr>
        <w:t>CRSSJ, CEAD Lindeia</w:t>
      </w:r>
      <w:r>
        <w:rPr>
          <w:bCs/>
          <w:color w:val="000000" w:themeColor="text1"/>
          <w:sz w:val="20"/>
          <w:szCs w:val="20"/>
        </w:rPr>
        <w:t>,</w:t>
      </w:r>
      <w:r w:rsidRPr="00113C7D">
        <w:rPr>
          <w:bCs/>
          <w:color w:val="000000" w:themeColor="text1"/>
          <w:sz w:val="20"/>
          <w:szCs w:val="20"/>
        </w:rPr>
        <w:t xml:space="preserve"> </w:t>
      </w:r>
      <w:r>
        <w:rPr>
          <w:bCs/>
          <w:color w:val="000000" w:themeColor="text1"/>
          <w:sz w:val="20"/>
          <w:szCs w:val="20"/>
        </w:rPr>
        <w:t xml:space="preserve">and </w:t>
      </w:r>
      <w:r w:rsidRPr="00113C7D">
        <w:rPr>
          <w:bCs/>
          <w:color w:val="000000" w:themeColor="text1"/>
          <w:sz w:val="20"/>
          <w:szCs w:val="20"/>
        </w:rPr>
        <w:t>CSEST, respecti</w:t>
      </w:r>
      <w:r>
        <w:rPr>
          <w:bCs/>
          <w:color w:val="000000" w:themeColor="text1"/>
          <w:sz w:val="20"/>
          <w:szCs w:val="20"/>
        </w:rPr>
        <w:t>vely</w:t>
      </w:r>
      <w:r w:rsidRPr="00113C7D">
        <w:rPr>
          <w:bCs/>
          <w:color w:val="000000" w:themeColor="text1"/>
          <w:sz w:val="20"/>
          <w:szCs w:val="20"/>
        </w:rPr>
        <w:t xml:space="preserve">. </w:t>
      </w:r>
      <w:r>
        <w:rPr>
          <w:bCs/>
          <w:color w:val="000000" w:themeColor="text1"/>
          <w:sz w:val="20"/>
          <w:szCs w:val="20"/>
        </w:rPr>
        <w:t xml:space="preserve">As for the unit </w:t>
      </w:r>
      <w:r w:rsidRPr="00113C7D">
        <w:rPr>
          <w:bCs/>
          <w:color w:val="000000" w:themeColor="text1"/>
          <w:sz w:val="20"/>
          <w:szCs w:val="20"/>
        </w:rPr>
        <w:t xml:space="preserve">CSE Santa Clara, </w:t>
      </w:r>
      <w:r>
        <w:rPr>
          <w:bCs/>
          <w:color w:val="000000" w:themeColor="text1"/>
          <w:sz w:val="20"/>
          <w:szCs w:val="20"/>
        </w:rPr>
        <w:t xml:space="preserve">however, there was no information regarding the continuity </w:t>
      </w:r>
      <w:r w:rsidR="00C015AF">
        <w:rPr>
          <w:bCs/>
          <w:color w:val="000000" w:themeColor="text1"/>
          <w:sz w:val="20"/>
          <w:szCs w:val="20"/>
        </w:rPr>
        <w:t xml:space="preserve">or </w:t>
      </w:r>
      <w:r>
        <w:rPr>
          <w:bCs/>
          <w:color w:val="000000" w:themeColor="text1"/>
          <w:sz w:val="20"/>
          <w:szCs w:val="20"/>
        </w:rPr>
        <w:t>end</w:t>
      </w:r>
      <w:r w:rsidR="00C015AF">
        <w:rPr>
          <w:bCs/>
          <w:color w:val="000000" w:themeColor="text1"/>
          <w:sz w:val="20"/>
          <w:szCs w:val="20"/>
        </w:rPr>
        <w:t>ing</w:t>
      </w:r>
      <w:r>
        <w:rPr>
          <w:bCs/>
          <w:color w:val="000000" w:themeColor="text1"/>
          <w:sz w:val="20"/>
          <w:szCs w:val="20"/>
        </w:rPr>
        <w:t xml:space="preserve"> of the procedure initiated with the judicial order mentioned by the petitioner. In addition, the </w:t>
      </w:r>
      <w:r w:rsidR="00C015AF">
        <w:rPr>
          <w:bCs/>
          <w:color w:val="000000" w:themeColor="text1"/>
          <w:sz w:val="20"/>
          <w:szCs w:val="20"/>
        </w:rPr>
        <w:t xml:space="preserve">Attorney General’s Office </w:t>
      </w:r>
      <w:r w:rsidR="00BD6237">
        <w:rPr>
          <w:bCs/>
          <w:color w:val="000000" w:themeColor="text1"/>
          <w:sz w:val="20"/>
          <w:szCs w:val="20"/>
        </w:rPr>
        <w:t xml:space="preserve">pursued </w:t>
      </w:r>
      <w:r>
        <w:rPr>
          <w:bCs/>
          <w:color w:val="000000" w:themeColor="text1"/>
          <w:sz w:val="20"/>
          <w:szCs w:val="20"/>
        </w:rPr>
        <w:t xml:space="preserve">a public civil action related to the </w:t>
      </w:r>
      <w:r w:rsidRPr="00113C7D">
        <w:rPr>
          <w:bCs/>
          <w:color w:val="000000" w:themeColor="text1"/>
          <w:sz w:val="20"/>
          <w:szCs w:val="20"/>
        </w:rPr>
        <w:t xml:space="preserve">CRSSJ </w:t>
      </w:r>
      <w:r>
        <w:rPr>
          <w:bCs/>
          <w:color w:val="000000" w:themeColor="text1"/>
          <w:sz w:val="20"/>
          <w:szCs w:val="20"/>
        </w:rPr>
        <w:t xml:space="preserve">aimed at compelling the State to build and maintain a nursery to make it possible for </w:t>
      </w:r>
      <w:r w:rsidR="00BD6237">
        <w:rPr>
          <w:bCs/>
          <w:color w:val="000000" w:themeColor="text1"/>
          <w:sz w:val="20"/>
          <w:szCs w:val="20"/>
        </w:rPr>
        <w:t xml:space="preserve">those </w:t>
      </w:r>
      <w:r>
        <w:rPr>
          <w:bCs/>
          <w:color w:val="000000" w:themeColor="text1"/>
          <w:sz w:val="20"/>
          <w:szCs w:val="20"/>
        </w:rPr>
        <w:t xml:space="preserve">adolescents </w:t>
      </w:r>
      <w:r w:rsidR="00BD6237">
        <w:rPr>
          <w:bCs/>
          <w:color w:val="000000" w:themeColor="text1"/>
          <w:sz w:val="20"/>
          <w:szCs w:val="20"/>
        </w:rPr>
        <w:t xml:space="preserve">who were breastfeeding </w:t>
      </w:r>
      <w:r>
        <w:rPr>
          <w:bCs/>
          <w:color w:val="000000" w:themeColor="text1"/>
          <w:sz w:val="20"/>
          <w:szCs w:val="20"/>
        </w:rPr>
        <w:t xml:space="preserve">to live with their children. The action had a favorable decision by the </w:t>
      </w:r>
      <w:r w:rsidR="00D26B7C">
        <w:rPr>
          <w:bCs/>
          <w:color w:val="000000" w:themeColor="text1"/>
          <w:sz w:val="20"/>
          <w:szCs w:val="20"/>
        </w:rPr>
        <w:t xml:space="preserve">judge </w:t>
      </w:r>
      <w:r>
        <w:rPr>
          <w:bCs/>
          <w:color w:val="000000" w:themeColor="text1"/>
          <w:sz w:val="20"/>
          <w:szCs w:val="20"/>
        </w:rPr>
        <w:t>of the</w:t>
      </w:r>
      <w:r w:rsidRPr="00113C7D">
        <w:rPr>
          <w:bCs/>
          <w:color w:val="000000" w:themeColor="text1"/>
          <w:sz w:val="20"/>
          <w:szCs w:val="20"/>
        </w:rPr>
        <w:t xml:space="preserve"> </w:t>
      </w:r>
      <w:r w:rsidR="006E2257">
        <w:rPr>
          <w:color w:val="auto"/>
          <w:sz w:val="20"/>
          <w:szCs w:val="20"/>
        </w:rPr>
        <w:t>Court of Infractions for Children and Youth</w:t>
      </w:r>
      <w:r w:rsidR="006E2257">
        <w:rPr>
          <w:bCs/>
          <w:color w:val="000000" w:themeColor="text1"/>
          <w:sz w:val="20"/>
          <w:szCs w:val="20"/>
        </w:rPr>
        <w:t xml:space="preserve"> </w:t>
      </w:r>
      <w:r>
        <w:rPr>
          <w:bCs/>
          <w:color w:val="000000" w:themeColor="text1"/>
          <w:sz w:val="20"/>
          <w:szCs w:val="20"/>
        </w:rPr>
        <w:t>of the district of</w:t>
      </w:r>
      <w:r w:rsidRPr="00113C7D">
        <w:rPr>
          <w:bCs/>
          <w:color w:val="000000" w:themeColor="text1"/>
          <w:sz w:val="20"/>
          <w:szCs w:val="20"/>
        </w:rPr>
        <w:t xml:space="preserve"> Belo Horizonte </w:t>
      </w:r>
      <w:r>
        <w:rPr>
          <w:bCs/>
          <w:color w:val="000000" w:themeColor="text1"/>
          <w:sz w:val="20"/>
          <w:szCs w:val="20"/>
        </w:rPr>
        <w:t xml:space="preserve">on December </w:t>
      </w:r>
      <w:r w:rsidRPr="00113C7D">
        <w:rPr>
          <w:bCs/>
          <w:color w:val="000000" w:themeColor="text1"/>
          <w:sz w:val="20"/>
          <w:szCs w:val="20"/>
        </w:rPr>
        <w:t>9</w:t>
      </w:r>
      <w:r>
        <w:rPr>
          <w:bCs/>
          <w:color w:val="000000" w:themeColor="text1"/>
          <w:sz w:val="20"/>
          <w:szCs w:val="20"/>
        </w:rPr>
        <w:t>,</w:t>
      </w:r>
      <w:r w:rsidRPr="00113C7D">
        <w:rPr>
          <w:bCs/>
          <w:color w:val="000000" w:themeColor="text1"/>
          <w:sz w:val="20"/>
          <w:szCs w:val="20"/>
        </w:rPr>
        <w:t xml:space="preserve"> 2014. </w:t>
      </w:r>
      <w:r>
        <w:rPr>
          <w:bCs/>
          <w:color w:val="000000" w:themeColor="text1"/>
          <w:sz w:val="20"/>
          <w:szCs w:val="20"/>
        </w:rPr>
        <w:t xml:space="preserve">After an appeal by the State, the decision was overturned by the </w:t>
      </w:r>
      <w:r w:rsidRPr="00113C7D">
        <w:rPr>
          <w:bCs/>
          <w:color w:val="000000" w:themeColor="text1"/>
          <w:sz w:val="20"/>
          <w:szCs w:val="20"/>
        </w:rPr>
        <w:t xml:space="preserve">TJMG </w:t>
      </w:r>
      <w:r>
        <w:rPr>
          <w:bCs/>
          <w:color w:val="000000" w:themeColor="text1"/>
          <w:sz w:val="20"/>
          <w:szCs w:val="20"/>
        </w:rPr>
        <w:t xml:space="preserve">on July </w:t>
      </w:r>
      <w:r w:rsidRPr="00113C7D">
        <w:rPr>
          <w:bCs/>
          <w:color w:val="000000" w:themeColor="text1"/>
          <w:sz w:val="20"/>
          <w:szCs w:val="20"/>
        </w:rPr>
        <w:t>8</w:t>
      </w:r>
      <w:r>
        <w:rPr>
          <w:bCs/>
          <w:color w:val="000000" w:themeColor="text1"/>
          <w:sz w:val="20"/>
          <w:szCs w:val="20"/>
        </w:rPr>
        <w:t>,</w:t>
      </w:r>
      <w:r w:rsidRPr="00113C7D">
        <w:rPr>
          <w:bCs/>
          <w:color w:val="000000" w:themeColor="text1"/>
          <w:sz w:val="20"/>
          <w:szCs w:val="20"/>
        </w:rPr>
        <w:t xml:space="preserve"> 2016. </w:t>
      </w:r>
      <w:r>
        <w:rPr>
          <w:bCs/>
          <w:color w:val="000000" w:themeColor="text1"/>
          <w:sz w:val="20"/>
          <w:szCs w:val="20"/>
        </w:rPr>
        <w:t>The following table pulls together the information referring to each of the units</w:t>
      </w:r>
      <w:r w:rsidRPr="00113C7D">
        <w:rPr>
          <w:bCs/>
          <w:color w:val="000000" w:themeColor="text1"/>
          <w:sz w:val="20"/>
          <w:szCs w:val="20"/>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94"/>
        <w:gridCol w:w="7636"/>
      </w:tblGrid>
      <w:tr w:rsidR="00055C99" w:rsidRPr="00113C7D" w14:paraId="5E501D76" w14:textId="77777777" w:rsidTr="009B35B0">
        <w:tc>
          <w:tcPr>
            <w:tcW w:w="1696" w:type="dxa"/>
            <w:shd w:val="clear" w:color="auto" w:fill="000000" w:themeFill="text1"/>
          </w:tcPr>
          <w:p w14:paraId="74518401"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center"/>
              <w:rPr>
                <w:rFonts w:asciiTheme="majorHAnsi" w:hAnsiTheme="majorHAnsi"/>
                <w:b/>
                <w:color w:val="FFFFFF" w:themeColor="background1"/>
                <w:sz w:val="18"/>
                <w:szCs w:val="18"/>
              </w:rPr>
            </w:pPr>
            <w:r w:rsidRPr="00113C7D">
              <w:rPr>
                <w:rFonts w:asciiTheme="majorHAnsi" w:hAnsiTheme="majorHAnsi"/>
                <w:b/>
                <w:color w:val="FFFFFF" w:themeColor="background1"/>
                <w:sz w:val="18"/>
                <w:szCs w:val="18"/>
              </w:rPr>
              <w:t>Uni</w:t>
            </w:r>
            <w:r>
              <w:rPr>
                <w:rFonts w:asciiTheme="majorHAnsi" w:hAnsiTheme="majorHAnsi"/>
                <w:b/>
                <w:color w:val="FFFFFF" w:themeColor="background1"/>
                <w:sz w:val="18"/>
                <w:szCs w:val="18"/>
              </w:rPr>
              <w:t>t</w:t>
            </w:r>
          </w:p>
        </w:tc>
        <w:tc>
          <w:tcPr>
            <w:tcW w:w="7654" w:type="dxa"/>
            <w:shd w:val="clear" w:color="auto" w:fill="000000" w:themeFill="text1"/>
          </w:tcPr>
          <w:p w14:paraId="76420894"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 xml:space="preserve">Domestic Remedies </w:t>
            </w:r>
          </w:p>
        </w:tc>
      </w:tr>
      <w:tr w:rsidR="00055C99" w:rsidRPr="00113C7D" w14:paraId="59D7FFE4" w14:textId="77777777" w:rsidTr="009B35B0">
        <w:tc>
          <w:tcPr>
            <w:tcW w:w="1696" w:type="dxa"/>
          </w:tcPr>
          <w:p w14:paraId="42870FE8"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p>
          <w:p w14:paraId="527A2187"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p>
          <w:p w14:paraId="3265279D"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p>
          <w:p w14:paraId="6DAD7744"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r w:rsidRPr="00113C7D">
              <w:rPr>
                <w:rFonts w:asciiTheme="majorHAnsi" w:hAnsiTheme="majorHAnsi"/>
                <w:b/>
                <w:color w:val="000000" w:themeColor="text1"/>
                <w:sz w:val="18"/>
                <w:szCs w:val="18"/>
              </w:rPr>
              <w:t>CRSSJ</w:t>
            </w:r>
          </w:p>
        </w:tc>
        <w:tc>
          <w:tcPr>
            <w:tcW w:w="7654" w:type="dxa"/>
          </w:tcPr>
          <w:p w14:paraId="32C5659D" w14:textId="502E69CA"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rPr>
            </w:pPr>
            <w:r>
              <w:rPr>
                <w:rFonts w:asciiTheme="majorHAnsi" w:hAnsiTheme="majorHAnsi"/>
                <w:bCs/>
                <w:i/>
                <w:iCs/>
                <w:color w:val="000000" w:themeColor="text1"/>
                <w:sz w:val="18"/>
                <w:szCs w:val="18"/>
              </w:rPr>
              <w:t xml:space="preserve">On December </w:t>
            </w:r>
            <w:r w:rsidRPr="00113C7D">
              <w:rPr>
                <w:rFonts w:asciiTheme="majorHAnsi" w:hAnsiTheme="majorHAnsi"/>
                <w:bCs/>
                <w:i/>
                <w:iCs/>
                <w:color w:val="000000" w:themeColor="text1"/>
                <w:sz w:val="18"/>
                <w:szCs w:val="18"/>
              </w:rPr>
              <w:t>14</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2015, </w:t>
            </w:r>
            <w:r>
              <w:rPr>
                <w:rFonts w:asciiTheme="majorHAnsi" w:hAnsiTheme="majorHAnsi"/>
                <w:bCs/>
                <w:i/>
                <w:iCs/>
                <w:color w:val="000000" w:themeColor="text1"/>
                <w:sz w:val="18"/>
                <w:szCs w:val="18"/>
              </w:rPr>
              <w:t xml:space="preserve">the judge of the </w:t>
            </w:r>
            <w:r w:rsidR="00860B16" w:rsidRPr="00860B16">
              <w:rPr>
                <w:rFonts w:asciiTheme="majorHAnsi" w:hAnsiTheme="majorHAnsi"/>
                <w:bCs/>
                <w:i/>
                <w:iCs/>
                <w:color w:val="000000" w:themeColor="text1"/>
                <w:sz w:val="18"/>
                <w:szCs w:val="18"/>
              </w:rPr>
              <w:t xml:space="preserve">Court of Infractions for Children and Youth </w:t>
            </w:r>
            <w:r>
              <w:rPr>
                <w:rFonts w:asciiTheme="majorHAnsi" w:hAnsiTheme="majorHAnsi"/>
                <w:bCs/>
                <w:i/>
                <w:iCs/>
                <w:color w:val="000000" w:themeColor="text1"/>
                <w:sz w:val="18"/>
                <w:szCs w:val="18"/>
              </w:rPr>
              <w:t xml:space="preserve">of the district of </w:t>
            </w:r>
            <w:r w:rsidRPr="00113C7D">
              <w:rPr>
                <w:rFonts w:asciiTheme="majorHAnsi" w:hAnsiTheme="majorHAnsi"/>
                <w:bCs/>
                <w:i/>
                <w:iCs/>
                <w:color w:val="000000" w:themeColor="text1"/>
                <w:sz w:val="18"/>
                <w:szCs w:val="18"/>
              </w:rPr>
              <w:t>Belo Horizonte decid</w:t>
            </w:r>
            <w:r>
              <w:rPr>
                <w:rFonts w:asciiTheme="majorHAnsi" w:hAnsiTheme="majorHAnsi"/>
                <w:bCs/>
                <w:i/>
                <w:iCs/>
                <w:color w:val="000000" w:themeColor="text1"/>
                <w:sz w:val="18"/>
                <w:szCs w:val="18"/>
              </w:rPr>
              <w:t xml:space="preserve">ed to establish a procedure to investigate irregularities at the unit. The State appealed that decision. On June </w:t>
            </w:r>
            <w:r w:rsidRPr="00113C7D">
              <w:rPr>
                <w:rFonts w:asciiTheme="majorHAnsi" w:hAnsiTheme="majorHAnsi"/>
                <w:bCs/>
                <w:i/>
                <w:iCs/>
                <w:color w:val="000000" w:themeColor="text1"/>
                <w:sz w:val="18"/>
                <w:szCs w:val="18"/>
              </w:rPr>
              <w:t>12</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2015, </w:t>
            </w:r>
            <w:r>
              <w:rPr>
                <w:rFonts w:asciiTheme="majorHAnsi" w:hAnsiTheme="majorHAnsi"/>
                <w:bCs/>
                <w:i/>
                <w:iCs/>
                <w:color w:val="000000" w:themeColor="text1"/>
                <w:sz w:val="18"/>
                <w:szCs w:val="18"/>
              </w:rPr>
              <w:t xml:space="preserve">the </w:t>
            </w:r>
            <w:r w:rsidRPr="00113C7D">
              <w:rPr>
                <w:rFonts w:asciiTheme="majorHAnsi" w:hAnsiTheme="majorHAnsi"/>
                <w:bCs/>
                <w:i/>
                <w:iCs/>
                <w:color w:val="000000" w:themeColor="text1"/>
                <w:sz w:val="18"/>
                <w:szCs w:val="18"/>
              </w:rPr>
              <w:t xml:space="preserve">TJMG </w:t>
            </w:r>
            <w:r>
              <w:rPr>
                <w:rFonts w:asciiTheme="majorHAnsi" w:hAnsiTheme="majorHAnsi"/>
                <w:bCs/>
                <w:i/>
                <w:iCs/>
                <w:color w:val="000000" w:themeColor="text1"/>
                <w:sz w:val="18"/>
                <w:szCs w:val="18"/>
              </w:rPr>
              <w:t xml:space="preserve">ruled favorably on the appeal and overturned the decision of the judge of first instance. In addition, the </w:t>
            </w:r>
            <w:r w:rsidR="0092585F">
              <w:rPr>
                <w:rFonts w:asciiTheme="majorHAnsi" w:hAnsiTheme="majorHAnsi"/>
                <w:bCs/>
                <w:i/>
                <w:iCs/>
                <w:color w:val="000000" w:themeColor="text1"/>
                <w:sz w:val="18"/>
                <w:szCs w:val="18"/>
              </w:rPr>
              <w:t xml:space="preserve">Attorney General’s Office </w:t>
            </w:r>
            <w:r>
              <w:rPr>
                <w:rFonts w:asciiTheme="majorHAnsi" w:hAnsiTheme="majorHAnsi"/>
                <w:bCs/>
                <w:i/>
                <w:iCs/>
                <w:color w:val="000000" w:themeColor="text1"/>
                <w:sz w:val="18"/>
                <w:szCs w:val="18"/>
              </w:rPr>
              <w:t xml:space="preserve">filed a public civil action aimed at compelling the State to build and maintain a nursery to allow for breastfeeding adolescents to live with their children. The action was ruled on favorably by the </w:t>
            </w:r>
            <w:r w:rsidR="00C829BF">
              <w:rPr>
                <w:rFonts w:asciiTheme="majorHAnsi" w:hAnsiTheme="majorHAnsi"/>
                <w:bCs/>
                <w:i/>
                <w:iCs/>
                <w:color w:val="000000" w:themeColor="text1"/>
                <w:sz w:val="18"/>
                <w:szCs w:val="18"/>
              </w:rPr>
              <w:t xml:space="preserve">judge of the </w:t>
            </w:r>
            <w:r w:rsidR="008370BF" w:rsidRPr="008370BF">
              <w:rPr>
                <w:rFonts w:asciiTheme="majorHAnsi" w:hAnsiTheme="majorHAnsi"/>
                <w:bCs/>
                <w:i/>
                <w:iCs/>
                <w:color w:val="000000" w:themeColor="text1"/>
                <w:sz w:val="18"/>
                <w:szCs w:val="18"/>
              </w:rPr>
              <w:t xml:space="preserve">Court of Infractions for Children and Youth </w:t>
            </w:r>
            <w:r>
              <w:rPr>
                <w:rFonts w:asciiTheme="majorHAnsi" w:hAnsiTheme="majorHAnsi"/>
                <w:bCs/>
                <w:i/>
                <w:iCs/>
                <w:color w:val="000000" w:themeColor="text1"/>
                <w:sz w:val="18"/>
                <w:szCs w:val="18"/>
              </w:rPr>
              <w:t xml:space="preserve">of the district of </w:t>
            </w:r>
            <w:r w:rsidRPr="00113C7D">
              <w:rPr>
                <w:rFonts w:asciiTheme="majorHAnsi" w:hAnsiTheme="majorHAnsi"/>
                <w:bCs/>
                <w:i/>
                <w:iCs/>
                <w:color w:val="000000" w:themeColor="text1"/>
                <w:sz w:val="18"/>
                <w:szCs w:val="18"/>
              </w:rPr>
              <w:t xml:space="preserve">Belo Horizonte </w:t>
            </w:r>
            <w:r>
              <w:rPr>
                <w:rFonts w:asciiTheme="majorHAnsi" w:hAnsiTheme="majorHAnsi"/>
                <w:bCs/>
                <w:i/>
                <w:iCs/>
                <w:color w:val="000000" w:themeColor="text1"/>
                <w:sz w:val="18"/>
                <w:szCs w:val="18"/>
              </w:rPr>
              <w:t xml:space="preserve">on December </w:t>
            </w:r>
            <w:r w:rsidRPr="00113C7D">
              <w:rPr>
                <w:rFonts w:asciiTheme="majorHAnsi" w:hAnsiTheme="majorHAnsi"/>
                <w:bCs/>
                <w:i/>
                <w:iCs/>
                <w:color w:val="000000" w:themeColor="text1"/>
                <w:sz w:val="18"/>
                <w:szCs w:val="18"/>
              </w:rPr>
              <w:t>9</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2014. A</w:t>
            </w:r>
            <w:r>
              <w:rPr>
                <w:rFonts w:asciiTheme="majorHAnsi" w:hAnsiTheme="majorHAnsi"/>
                <w:bCs/>
                <w:i/>
                <w:iCs/>
                <w:color w:val="000000" w:themeColor="text1"/>
                <w:sz w:val="18"/>
                <w:szCs w:val="18"/>
              </w:rPr>
              <w:t xml:space="preserve">fter an appeal by the State the decision was overturned by the </w:t>
            </w:r>
            <w:r w:rsidRPr="00113C7D">
              <w:rPr>
                <w:rFonts w:asciiTheme="majorHAnsi" w:hAnsiTheme="majorHAnsi"/>
                <w:bCs/>
                <w:i/>
                <w:iCs/>
                <w:color w:val="000000" w:themeColor="text1"/>
                <w:sz w:val="18"/>
                <w:szCs w:val="18"/>
              </w:rPr>
              <w:t xml:space="preserve">TJMG </w:t>
            </w:r>
            <w:r>
              <w:rPr>
                <w:rFonts w:asciiTheme="majorHAnsi" w:hAnsiTheme="majorHAnsi"/>
                <w:bCs/>
                <w:i/>
                <w:iCs/>
                <w:color w:val="000000" w:themeColor="text1"/>
                <w:sz w:val="18"/>
                <w:szCs w:val="18"/>
              </w:rPr>
              <w:t xml:space="preserve">on July </w:t>
            </w:r>
            <w:r w:rsidRPr="00113C7D">
              <w:rPr>
                <w:rFonts w:asciiTheme="majorHAnsi" w:hAnsiTheme="majorHAnsi"/>
                <w:bCs/>
                <w:i/>
                <w:iCs/>
                <w:color w:val="000000" w:themeColor="text1"/>
                <w:sz w:val="18"/>
                <w:szCs w:val="18"/>
              </w:rPr>
              <w:t>8</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2016. </w:t>
            </w:r>
          </w:p>
        </w:tc>
      </w:tr>
      <w:tr w:rsidR="00055C99" w:rsidRPr="00113C7D" w14:paraId="5E221E03" w14:textId="77777777" w:rsidTr="009B35B0">
        <w:tc>
          <w:tcPr>
            <w:tcW w:w="1696" w:type="dxa"/>
            <w:shd w:val="clear" w:color="auto" w:fill="BFBFBF" w:themeFill="background1" w:themeFillShade="BF"/>
          </w:tcPr>
          <w:p w14:paraId="4E80AF16"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p>
          <w:p w14:paraId="39C9AFFE"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r w:rsidRPr="00113C7D">
              <w:rPr>
                <w:rFonts w:asciiTheme="majorHAnsi" w:hAnsiTheme="majorHAnsi"/>
                <w:b/>
                <w:color w:val="000000" w:themeColor="text1"/>
                <w:sz w:val="18"/>
                <w:szCs w:val="18"/>
              </w:rPr>
              <w:t>CEAD Lindeia</w:t>
            </w:r>
          </w:p>
        </w:tc>
        <w:tc>
          <w:tcPr>
            <w:tcW w:w="7654" w:type="dxa"/>
            <w:shd w:val="clear" w:color="auto" w:fill="BFBFBF" w:themeFill="background1" w:themeFillShade="BF"/>
          </w:tcPr>
          <w:p w14:paraId="09716451" w14:textId="0A373994"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rPr>
            </w:pPr>
            <w:r>
              <w:rPr>
                <w:rFonts w:asciiTheme="majorHAnsi" w:hAnsiTheme="majorHAnsi"/>
                <w:bCs/>
                <w:i/>
                <w:iCs/>
                <w:color w:val="000000" w:themeColor="text1"/>
                <w:sz w:val="18"/>
                <w:szCs w:val="18"/>
              </w:rPr>
              <w:t xml:space="preserve">On December </w:t>
            </w:r>
            <w:r w:rsidRPr="00113C7D">
              <w:rPr>
                <w:rFonts w:asciiTheme="majorHAnsi" w:hAnsiTheme="majorHAnsi"/>
                <w:bCs/>
                <w:i/>
                <w:iCs/>
                <w:color w:val="000000" w:themeColor="text1"/>
                <w:sz w:val="18"/>
                <w:szCs w:val="18"/>
              </w:rPr>
              <w:t>14</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2015, </w:t>
            </w:r>
            <w:r>
              <w:rPr>
                <w:rFonts w:asciiTheme="majorHAnsi" w:hAnsiTheme="majorHAnsi"/>
                <w:bCs/>
                <w:i/>
                <w:iCs/>
                <w:color w:val="000000" w:themeColor="text1"/>
                <w:sz w:val="18"/>
                <w:szCs w:val="18"/>
              </w:rPr>
              <w:t xml:space="preserve">the judge of the </w:t>
            </w:r>
            <w:r w:rsidR="008370BF" w:rsidRPr="008370BF">
              <w:rPr>
                <w:rFonts w:asciiTheme="majorHAnsi" w:hAnsiTheme="majorHAnsi"/>
                <w:bCs/>
                <w:i/>
                <w:iCs/>
                <w:color w:val="000000" w:themeColor="text1"/>
                <w:sz w:val="18"/>
                <w:szCs w:val="18"/>
              </w:rPr>
              <w:t xml:space="preserve">Court of Infractions for Children and Youth </w:t>
            </w:r>
            <w:r>
              <w:rPr>
                <w:rFonts w:asciiTheme="majorHAnsi" w:hAnsiTheme="majorHAnsi"/>
                <w:bCs/>
                <w:i/>
                <w:iCs/>
                <w:color w:val="000000" w:themeColor="text1"/>
                <w:sz w:val="18"/>
                <w:szCs w:val="18"/>
              </w:rPr>
              <w:t xml:space="preserve">of the district of </w:t>
            </w:r>
            <w:r w:rsidRPr="00113C7D">
              <w:rPr>
                <w:rFonts w:asciiTheme="majorHAnsi" w:hAnsiTheme="majorHAnsi"/>
                <w:bCs/>
                <w:i/>
                <w:iCs/>
                <w:color w:val="000000" w:themeColor="text1"/>
                <w:sz w:val="18"/>
                <w:szCs w:val="18"/>
              </w:rPr>
              <w:t>Belo Horizonte decid</w:t>
            </w:r>
            <w:r>
              <w:rPr>
                <w:rFonts w:asciiTheme="majorHAnsi" w:hAnsiTheme="majorHAnsi"/>
                <w:bCs/>
                <w:i/>
                <w:iCs/>
                <w:color w:val="000000" w:themeColor="text1"/>
                <w:sz w:val="18"/>
                <w:szCs w:val="18"/>
              </w:rPr>
              <w:t xml:space="preserve">ed to establish a procedure to investigate irregularities at the unit. On February </w:t>
            </w:r>
            <w:r w:rsidRPr="00113C7D">
              <w:rPr>
                <w:rFonts w:asciiTheme="majorHAnsi" w:hAnsiTheme="majorHAnsi"/>
                <w:bCs/>
                <w:i/>
                <w:iCs/>
                <w:color w:val="000000" w:themeColor="text1"/>
                <w:sz w:val="18"/>
                <w:szCs w:val="18"/>
              </w:rPr>
              <w:t>22</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2016, </w:t>
            </w:r>
            <w:r>
              <w:rPr>
                <w:rFonts w:asciiTheme="majorHAnsi" w:hAnsiTheme="majorHAnsi"/>
                <w:bCs/>
                <w:i/>
                <w:iCs/>
                <w:color w:val="000000" w:themeColor="text1"/>
                <w:sz w:val="18"/>
                <w:szCs w:val="18"/>
              </w:rPr>
              <w:t xml:space="preserve">the </w:t>
            </w:r>
            <w:r w:rsidRPr="00113C7D">
              <w:rPr>
                <w:rFonts w:asciiTheme="majorHAnsi" w:hAnsiTheme="majorHAnsi"/>
                <w:bCs/>
                <w:i/>
                <w:iCs/>
                <w:color w:val="000000" w:themeColor="text1"/>
                <w:sz w:val="18"/>
                <w:szCs w:val="18"/>
              </w:rPr>
              <w:t xml:space="preserve">TJMG </w:t>
            </w:r>
            <w:r>
              <w:rPr>
                <w:rFonts w:asciiTheme="majorHAnsi" w:hAnsiTheme="majorHAnsi"/>
                <w:bCs/>
                <w:i/>
                <w:iCs/>
                <w:color w:val="000000" w:themeColor="text1"/>
                <w:sz w:val="18"/>
                <w:szCs w:val="18"/>
              </w:rPr>
              <w:t xml:space="preserve">ruled favorably on the appeal and overturned the decision of the judge of first instance. </w:t>
            </w:r>
          </w:p>
        </w:tc>
      </w:tr>
      <w:tr w:rsidR="00055C99" w:rsidRPr="00113C7D" w14:paraId="3DCB92D2" w14:textId="77777777" w:rsidTr="009B35B0">
        <w:tc>
          <w:tcPr>
            <w:tcW w:w="1696" w:type="dxa"/>
          </w:tcPr>
          <w:p w14:paraId="5DE647D5"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p>
          <w:p w14:paraId="665EA20D"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r w:rsidRPr="00113C7D">
              <w:rPr>
                <w:rFonts w:asciiTheme="majorHAnsi" w:hAnsiTheme="majorHAnsi"/>
                <w:b/>
                <w:color w:val="000000" w:themeColor="text1"/>
                <w:sz w:val="18"/>
                <w:szCs w:val="18"/>
              </w:rPr>
              <w:t>CSEST</w:t>
            </w:r>
          </w:p>
        </w:tc>
        <w:tc>
          <w:tcPr>
            <w:tcW w:w="7654" w:type="dxa"/>
          </w:tcPr>
          <w:p w14:paraId="577BA73C" w14:textId="25A3CE36"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rPr>
            </w:pPr>
            <w:r>
              <w:rPr>
                <w:rFonts w:asciiTheme="majorHAnsi" w:hAnsiTheme="majorHAnsi"/>
                <w:bCs/>
                <w:i/>
                <w:iCs/>
                <w:color w:val="000000" w:themeColor="text1"/>
                <w:sz w:val="18"/>
                <w:szCs w:val="18"/>
              </w:rPr>
              <w:t xml:space="preserve">On December </w:t>
            </w:r>
            <w:r w:rsidRPr="00113C7D">
              <w:rPr>
                <w:rFonts w:asciiTheme="majorHAnsi" w:hAnsiTheme="majorHAnsi"/>
                <w:bCs/>
                <w:i/>
                <w:iCs/>
                <w:color w:val="000000" w:themeColor="text1"/>
                <w:sz w:val="18"/>
                <w:szCs w:val="18"/>
              </w:rPr>
              <w:t>14</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2015, </w:t>
            </w:r>
            <w:r>
              <w:rPr>
                <w:rFonts w:asciiTheme="majorHAnsi" w:hAnsiTheme="majorHAnsi"/>
                <w:bCs/>
                <w:i/>
                <w:iCs/>
                <w:color w:val="000000" w:themeColor="text1"/>
                <w:sz w:val="18"/>
                <w:szCs w:val="18"/>
              </w:rPr>
              <w:t xml:space="preserve">the judge of the </w:t>
            </w:r>
            <w:r w:rsidR="008370BF" w:rsidRPr="008370BF">
              <w:rPr>
                <w:rFonts w:asciiTheme="majorHAnsi" w:hAnsiTheme="majorHAnsi"/>
                <w:bCs/>
                <w:i/>
                <w:iCs/>
                <w:color w:val="000000" w:themeColor="text1"/>
                <w:sz w:val="18"/>
                <w:szCs w:val="18"/>
              </w:rPr>
              <w:t xml:space="preserve">Court of Infractions for Children and Youth </w:t>
            </w:r>
            <w:r>
              <w:rPr>
                <w:rFonts w:asciiTheme="majorHAnsi" w:hAnsiTheme="majorHAnsi"/>
                <w:bCs/>
                <w:i/>
                <w:iCs/>
                <w:color w:val="000000" w:themeColor="text1"/>
                <w:sz w:val="18"/>
                <w:szCs w:val="18"/>
              </w:rPr>
              <w:t xml:space="preserve">of the </w:t>
            </w:r>
            <w:r w:rsidR="00C829BF">
              <w:rPr>
                <w:rFonts w:asciiTheme="majorHAnsi" w:hAnsiTheme="majorHAnsi"/>
                <w:bCs/>
                <w:i/>
                <w:iCs/>
                <w:color w:val="000000" w:themeColor="text1"/>
                <w:sz w:val="18"/>
                <w:szCs w:val="18"/>
              </w:rPr>
              <w:t>d</w:t>
            </w:r>
            <w:r>
              <w:rPr>
                <w:rFonts w:asciiTheme="majorHAnsi" w:hAnsiTheme="majorHAnsi"/>
                <w:bCs/>
                <w:i/>
                <w:iCs/>
                <w:color w:val="000000" w:themeColor="text1"/>
                <w:sz w:val="18"/>
                <w:szCs w:val="18"/>
              </w:rPr>
              <w:t xml:space="preserve">istrict of </w:t>
            </w:r>
            <w:r w:rsidRPr="00113C7D">
              <w:rPr>
                <w:rFonts w:asciiTheme="majorHAnsi" w:hAnsiTheme="majorHAnsi"/>
                <w:bCs/>
                <w:i/>
                <w:iCs/>
                <w:color w:val="000000" w:themeColor="text1"/>
                <w:sz w:val="18"/>
                <w:szCs w:val="18"/>
              </w:rPr>
              <w:t>Belo Horizonte decid</w:t>
            </w:r>
            <w:r>
              <w:rPr>
                <w:rFonts w:asciiTheme="majorHAnsi" w:hAnsiTheme="majorHAnsi"/>
                <w:bCs/>
                <w:i/>
                <w:iCs/>
                <w:color w:val="000000" w:themeColor="text1"/>
                <w:sz w:val="18"/>
                <w:szCs w:val="18"/>
              </w:rPr>
              <w:t xml:space="preserve">ed to establish a procedure to investigate the irregularities at the unit. On March </w:t>
            </w:r>
            <w:r w:rsidRPr="00113C7D">
              <w:rPr>
                <w:rFonts w:asciiTheme="majorHAnsi" w:hAnsiTheme="majorHAnsi"/>
                <w:bCs/>
                <w:i/>
                <w:iCs/>
                <w:color w:val="000000" w:themeColor="text1"/>
                <w:sz w:val="18"/>
                <w:szCs w:val="18"/>
              </w:rPr>
              <w:t>11</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2016, </w:t>
            </w:r>
            <w:r>
              <w:rPr>
                <w:rFonts w:asciiTheme="majorHAnsi" w:hAnsiTheme="majorHAnsi"/>
                <w:bCs/>
                <w:i/>
                <w:iCs/>
                <w:color w:val="000000" w:themeColor="text1"/>
                <w:sz w:val="18"/>
                <w:szCs w:val="18"/>
              </w:rPr>
              <w:t xml:space="preserve">the </w:t>
            </w:r>
            <w:r w:rsidRPr="00113C7D">
              <w:rPr>
                <w:rFonts w:asciiTheme="majorHAnsi" w:hAnsiTheme="majorHAnsi"/>
                <w:bCs/>
                <w:i/>
                <w:iCs/>
                <w:color w:val="000000" w:themeColor="text1"/>
                <w:sz w:val="18"/>
                <w:szCs w:val="18"/>
              </w:rPr>
              <w:t xml:space="preserve">TJMG </w:t>
            </w:r>
            <w:r>
              <w:rPr>
                <w:rFonts w:asciiTheme="majorHAnsi" w:hAnsiTheme="majorHAnsi"/>
                <w:bCs/>
                <w:i/>
                <w:iCs/>
                <w:color w:val="000000" w:themeColor="text1"/>
                <w:sz w:val="18"/>
                <w:szCs w:val="18"/>
              </w:rPr>
              <w:t xml:space="preserve">ruled favorably on the appeal and overturned the decision of the judge of first instance. </w:t>
            </w:r>
          </w:p>
        </w:tc>
      </w:tr>
      <w:tr w:rsidR="00055C99" w:rsidRPr="00113C7D" w14:paraId="7A9F4279" w14:textId="77777777" w:rsidTr="009B35B0">
        <w:tc>
          <w:tcPr>
            <w:tcW w:w="1696" w:type="dxa"/>
            <w:shd w:val="clear" w:color="auto" w:fill="BFBFBF" w:themeFill="background1" w:themeFillShade="BF"/>
          </w:tcPr>
          <w:p w14:paraId="45CC5CF4"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p>
          <w:p w14:paraId="4C16CE3D" w14:textId="77777777"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rPr>
            </w:pPr>
            <w:r w:rsidRPr="00113C7D">
              <w:rPr>
                <w:rFonts w:asciiTheme="majorHAnsi" w:hAnsiTheme="majorHAnsi"/>
                <w:b/>
                <w:color w:val="000000" w:themeColor="text1"/>
                <w:sz w:val="18"/>
                <w:szCs w:val="18"/>
              </w:rPr>
              <w:t>CSE Santa Clara</w:t>
            </w:r>
          </w:p>
        </w:tc>
        <w:tc>
          <w:tcPr>
            <w:tcW w:w="7654" w:type="dxa"/>
            <w:shd w:val="clear" w:color="auto" w:fill="BFBFBF" w:themeFill="background1" w:themeFillShade="BF"/>
          </w:tcPr>
          <w:p w14:paraId="21F2CC95" w14:textId="671C077F" w:rsidR="00055C99" w:rsidRPr="00113C7D" w:rsidRDefault="00055C99" w:rsidP="009B35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rPr>
            </w:pPr>
            <w:r>
              <w:rPr>
                <w:rFonts w:asciiTheme="majorHAnsi" w:hAnsiTheme="majorHAnsi"/>
                <w:bCs/>
                <w:i/>
                <w:iCs/>
                <w:color w:val="000000" w:themeColor="text1"/>
                <w:sz w:val="18"/>
                <w:szCs w:val="18"/>
              </w:rPr>
              <w:t xml:space="preserve">On December </w:t>
            </w:r>
            <w:r w:rsidRPr="00113C7D">
              <w:rPr>
                <w:rFonts w:asciiTheme="majorHAnsi" w:hAnsiTheme="majorHAnsi"/>
                <w:bCs/>
                <w:i/>
                <w:iCs/>
                <w:color w:val="000000" w:themeColor="text1"/>
                <w:sz w:val="18"/>
                <w:szCs w:val="18"/>
              </w:rPr>
              <w:t>14</w:t>
            </w:r>
            <w:r>
              <w:rPr>
                <w:rFonts w:asciiTheme="majorHAnsi" w:hAnsiTheme="majorHAnsi"/>
                <w:bCs/>
                <w:i/>
                <w:iCs/>
                <w:color w:val="000000" w:themeColor="text1"/>
                <w:sz w:val="18"/>
                <w:szCs w:val="18"/>
              </w:rPr>
              <w:t>,</w:t>
            </w:r>
            <w:r w:rsidRPr="00113C7D">
              <w:rPr>
                <w:rFonts w:asciiTheme="majorHAnsi" w:hAnsiTheme="majorHAnsi"/>
                <w:bCs/>
                <w:i/>
                <w:iCs/>
                <w:color w:val="000000" w:themeColor="text1"/>
                <w:sz w:val="18"/>
                <w:szCs w:val="18"/>
              </w:rPr>
              <w:t xml:space="preserve"> 2015, </w:t>
            </w:r>
            <w:r>
              <w:rPr>
                <w:rFonts w:asciiTheme="majorHAnsi" w:hAnsiTheme="majorHAnsi"/>
                <w:bCs/>
                <w:i/>
                <w:iCs/>
                <w:color w:val="000000" w:themeColor="text1"/>
                <w:sz w:val="18"/>
                <w:szCs w:val="18"/>
              </w:rPr>
              <w:t xml:space="preserve">the judge of the </w:t>
            </w:r>
            <w:r w:rsidR="00961566" w:rsidRPr="00961566">
              <w:rPr>
                <w:rFonts w:asciiTheme="majorHAnsi" w:hAnsiTheme="majorHAnsi"/>
                <w:bCs/>
                <w:i/>
                <w:iCs/>
                <w:color w:val="000000" w:themeColor="text1"/>
                <w:sz w:val="18"/>
                <w:szCs w:val="18"/>
              </w:rPr>
              <w:t xml:space="preserve">Court of Infractions for Children and Youth </w:t>
            </w:r>
            <w:r>
              <w:rPr>
                <w:rFonts w:asciiTheme="majorHAnsi" w:hAnsiTheme="majorHAnsi"/>
                <w:bCs/>
                <w:i/>
                <w:iCs/>
                <w:color w:val="000000" w:themeColor="text1"/>
                <w:sz w:val="18"/>
                <w:szCs w:val="18"/>
              </w:rPr>
              <w:t xml:space="preserve">of the </w:t>
            </w:r>
            <w:r w:rsidR="00C57E87">
              <w:rPr>
                <w:rFonts w:asciiTheme="majorHAnsi" w:hAnsiTheme="majorHAnsi"/>
                <w:bCs/>
                <w:i/>
                <w:iCs/>
                <w:color w:val="000000" w:themeColor="text1"/>
                <w:sz w:val="18"/>
                <w:szCs w:val="18"/>
              </w:rPr>
              <w:t>d</w:t>
            </w:r>
            <w:r>
              <w:rPr>
                <w:rFonts w:asciiTheme="majorHAnsi" w:hAnsiTheme="majorHAnsi"/>
                <w:bCs/>
                <w:i/>
                <w:iCs/>
                <w:color w:val="000000" w:themeColor="text1"/>
                <w:sz w:val="18"/>
                <w:szCs w:val="18"/>
              </w:rPr>
              <w:t xml:space="preserve">istrict of </w:t>
            </w:r>
            <w:r w:rsidRPr="00113C7D">
              <w:rPr>
                <w:rFonts w:asciiTheme="majorHAnsi" w:hAnsiTheme="majorHAnsi"/>
                <w:bCs/>
                <w:i/>
                <w:iCs/>
                <w:color w:val="000000" w:themeColor="text1"/>
                <w:sz w:val="18"/>
                <w:szCs w:val="18"/>
              </w:rPr>
              <w:t>Belo Horizonte decid</w:t>
            </w:r>
            <w:r>
              <w:rPr>
                <w:rFonts w:asciiTheme="majorHAnsi" w:hAnsiTheme="majorHAnsi"/>
                <w:bCs/>
                <w:i/>
                <w:iCs/>
                <w:color w:val="000000" w:themeColor="text1"/>
                <w:sz w:val="18"/>
                <w:szCs w:val="18"/>
              </w:rPr>
              <w:t xml:space="preserve">ed to establish a procedure to investigate irregularities at the unit. There is no information about </w:t>
            </w:r>
            <w:r w:rsidR="00C57E87">
              <w:rPr>
                <w:rFonts w:asciiTheme="majorHAnsi" w:hAnsiTheme="majorHAnsi"/>
                <w:bCs/>
                <w:i/>
                <w:iCs/>
                <w:color w:val="000000" w:themeColor="text1"/>
                <w:sz w:val="18"/>
                <w:szCs w:val="18"/>
              </w:rPr>
              <w:t xml:space="preserve">further </w:t>
            </w:r>
            <w:r>
              <w:rPr>
                <w:rFonts w:asciiTheme="majorHAnsi" w:hAnsiTheme="majorHAnsi"/>
                <w:bCs/>
                <w:i/>
                <w:iCs/>
                <w:color w:val="000000" w:themeColor="text1"/>
                <w:sz w:val="18"/>
                <w:szCs w:val="18"/>
              </w:rPr>
              <w:t xml:space="preserve">progress in the process. </w:t>
            </w:r>
          </w:p>
        </w:tc>
      </w:tr>
    </w:tbl>
    <w:p w14:paraId="4AC60DB3" w14:textId="77777777" w:rsidR="00055C99" w:rsidRPr="00113C7D" w:rsidRDefault="00055C99" w:rsidP="00055C9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color w:val="000000" w:themeColor="text1"/>
          <w:sz w:val="20"/>
          <w:szCs w:val="20"/>
        </w:rPr>
      </w:pPr>
    </w:p>
    <w:p w14:paraId="2B085BAD" w14:textId="5D7DE920"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sidRPr="00113C7D">
        <w:rPr>
          <w:bCs/>
          <w:color w:val="000000" w:themeColor="text1"/>
          <w:sz w:val="20"/>
          <w:szCs w:val="20"/>
        </w:rPr>
        <w:t>Consider</w:t>
      </w:r>
      <w:r>
        <w:rPr>
          <w:bCs/>
          <w:color w:val="000000" w:themeColor="text1"/>
          <w:sz w:val="20"/>
          <w:szCs w:val="20"/>
        </w:rPr>
        <w:t xml:space="preserve">ing the domestic legal framework mentioned, and the procedural information put forward by the parties, the Inter-American Commission concludes that as regards the allegations on the </w:t>
      </w:r>
      <w:r w:rsidRPr="00113C7D">
        <w:rPr>
          <w:bCs/>
          <w:color w:val="000000" w:themeColor="text1"/>
          <w:sz w:val="20"/>
          <w:szCs w:val="20"/>
        </w:rPr>
        <w:t xml:space="preserve">CEAD Lindeia, </w:t>
      </w:r>
      <w:r>
        <w:rPr>
          <w:bCs/>
          <w:color w:val="000000" w:themeColor="text1"/>
          <w:sz w:val="20"/>
          <w:szCs w:val="20"/>
        </w:rPr>
        <w:t xml:space="preserve">the </w:t>
      </w:r>
      <w:r w:rsidRPr="00113C7D">
        <w:rPr>
          <w:bCs/>
          <w:color w:val="000000" w:themeColor="text1"/>
          <w:sz w:val="20"/>
          <w:szCs w:val="20"/>
        </w:rPr>
        <w:t>CSEST</w:t>
      </w:r>
      <w:r>
        <w:rPr>
          <w:bCs/>
          <w:color w:val="000000" w:themeColor="text1"/>
          <w:sz w:val="20"/>
          <w:szCs w:val="20"/>
        </w:rPr>
        <w:t>, and the</w:t>
      </w:r>
      <w:r w:rsidRPr="00113C7D">
        <w:rPr>
          <w:bCs/>
          <w:color w:val="000000" w:themeColor="text1"/>
          <w:sz w:val="20"/>
          <w:szCs w:val="20"/>
        </w:rPr>
        <w:t xml:space="preserve"> CRSSJ, </w:t>
      </w:r>
      <w:r>
        <w:rPr>
          <w:bCs/>
          <w:color w:val="000000" w:themeColor="text1"/>
          <w:sz w:val="20"/>
          <w:szCs w:val="20"/>
        </w:rPr>
        <w:t xml:space="preserve">domestic remedies were duly exhausted with the decisions of the </w:t>
      </w:r>
      <w:r w:rsidRPr="00113C7D">
        <w:rPr>
          <w:bCs/>
          <w:color w:val="000000" w:themeColor="text1"/>
          <w:sz w:val="20"/>
          <w:szCs w:val="20"/>
        </w:rPr>
        <w:t xml:space="preserve">TJMG, </w:t>
      </w:r>
      <w:r>
        <w:rPr>
          <w:bCs/>
          <w:color w:val="000000" w:themeColor="text1"/>
          <w:sz w:val="20"/>
          <w:szCs w:val="20"/>
        </w:rPr>
        <w:t xml:space="preserve">the appellate court. On this same issue, the Commission </w:t>
      </w:r>
      <w:r w:rsidR="00340AE4">
        <w:rPr>
          <w:bCs/>
          <w:color w:val="000000" w:themeColor="text1"/>
          <w:sz w:val="20"/>
          <w:szCs w:val="20"/>
        </w:rPr>
        <w:t xml:space="preserve">also </w:t>
      </w:r>
      <w:r>
        <w:rPr>
          <w:bCs/>
          <w:color w:val="000000" w:themeColor="text1"/>
          <w:sz w:val="20"/>
          <w:szCs w:val="20"/>
        </w:rPr>
        <w:t>notes that the State did not specifically contradict the possibility of exhaustion based on those appellate decisions</w:t>
      </w:r>
      <w:r w:rsidRPr="00113C7D">
        <w:rPr>
          <w:bCs/>
          <w:color w:val="000000" w:themeColor="text1"/>
          <w:sz w:val="20"/>
          <w:szCs w:val="20"/>
        </w:rPr>
        <w:t xml:space="preserve">; </w:t>
      </w:r>
      <w:r>
        <w:rPr>
          <w:bCs/>
          <w:color w:val="000000" w:themeColor="text1"/>
          <w:sz w:val="20"/>
          <w:szCs w:val="20"/>
        </w:rPr>
        <w:t>moreover, the consistent case-law of the Inter-American Commissi</w:t>
      </w:r>
      <w:r w:rsidR="00D638A2">
        <w:rPr>
          <w:bCs/>
          <w:color w:val="000000" w:themeColor="text1"/>
          <w:sz w:val="20"/>
          <w:szCs w:val="20"/>
        </w:rPr>
        <w:t>o</w:t>
      </w:r>
      <w:r>
        <w:rPr>
          <w:bCs/>
          <w:color w:val="000000" w:themeColor="text1"/>
          <w:sz w:val="20"/>
          <w:szCs w:val="20"/>
        </w:rPr>
        <w:t>n considers that in general</w:t>
      </w:r>
      <w:r w:rsidR="00BD6912">
        <w:rPr>
          <w:bCs/>
          <w:color w:val="000000" w:themeColor="text1"/>
          <w:sz w:val="20"/>
          <w:szCs w:val="20"/>
        </w:rPr>
        <w:t xml:space="preserve"> </w:t>
      </w:r>
      <w:r>
        <w:rPr>
          <w:bCs/>
          <w:color w:val="000000" w:themeColor="text1"/>
          <w:sz w:val="20"/>
          <w:szCs w:val="20"/>
        </w:rPr>
        <w:t>it is not necessary to exhaust extraordinary remedies</w:t>
      </w:r>
      <w:r w:rsidRPr="00113C7D">
        <w:rPr>
          <w:bCs/>
          <w:color w:val="000000" w:themeColor="text1"/>
          <w:sz w:val="20"/>
          <w:szCs w:val="20"/>
        </w:rPr>
        <w:t>.</w:t>
      </w:r>
      <w:r w:rsidRPr="00113C7D">
        <w:rPr>
          <w:bCs/>
          <w:color w:val="000000" w:themeColor="text1"/>
          <w:sz w:val="20"/>
          <w:szCs w:val="20"/>
          <w:vertAlign w:val="superscript"/>
        </w:rPr>
        <w:footnoteReference w:id="7"/>
      </w:r>
      <w:r w:rsidRPr="00113C7D">
        <w:rPr>
          <w:bCs/>
          <w:color w:val="000000" w:themeColor="text1"/>
          <w:sz w:val="20"/>
          <w:szCs w:val="20"/>
        </w:rPr>
        <w:t xml:space="preserve"> </w:t>
      </w:r>
      <w:r>
        <w:rPr>
          <w:bCs/>
          <w:color w:val="000000" w:themeColor="text1"/>
          <w:sz w:val="20"/>
          <w:szCs w:val="20"/>
        </w:rPr>
        <w:t xml:space="preserve">Based on the foregoing, as regards the units </w:t>
      </w:r>
      <w:r w:rsidRPr="00113C7D">
        <w:rPr>
          <w:bCs/>
          <w:color w:val="000000" w:themeColor="text1"/>
          <w:sz w:val="20"/>
          <w:szCs w:val="20"/>
        </w:rPr>
        <w:t>CEAD Lindeia, CSEST</w:t>
      </w:r>
      <w:r>
        <w:rPr>
          <w:bCs/>
          <w:color w:val="000000" w:themeColor="text1"/>
          <w:sz w:val="20"/>
          <w:szCs w:val="20"/>
        </w:rPr>
        <w:t>,</w:t>
      </w:r>
      <w:r w:rsidRPr="00113C7D">
        <w:rPr>
          <w:bCs/>
          <w:color w:val="000000" w:themeColor="text1"/>
          <w:sz w:val="20"/>
          <w:szCs w:val="20"/>
        </w:rPr>
        <w:t xml:space="preserve"> </w:t>
      </w:r>
      <w:r>
        <w:rPr>
          <w:bCs/>
          <w:color w:val="000000" w:themeColor="text1"/>
          <w:sz w:val="20"/>
          <w:szCs w:val="20"/>
        </w:rPr>
        <w:t xml:space="preserve">and </w:t>
      </w:r>
      <w:r w:rsidRPr="00113C7D">
        <w:rPr>
          <w:bCs/>
          <w:color w:val="000000" w:themeColor="text1"/>
          <w:sz w:val="20"/>
          <w:szCs w:val="20"/>
        </w:rPr>
        <w:t xml:space="preserve">CRSSJ </w:t>
      </w:r>
      <w:r>
        <w:rPr>
          <w:bCs/>
          <w:color w:val="000000" w:themeColor="text1"/>
          <w:sz w:val="20"/>
          <w:szCs w:val="20"/>
        </w:rPr>
        <w:t xml:space="preserve">the petition </w:t>
      </w:r>
      <w:r w:rsidR="002B113D">
        <w:rPr>
          <w:bCs/>
          <w:color w:val="000000" w:themeColor="text1"/>
          <w:sz w:val="20"/>
          <w:szCs w:val="20"/>
        </w:rPr>
        <w:t>complies with</w:t>
      </w:r>
      <w:r w:rsidR="001B6124">
        <w:rPr>
          <w:bCs/>
          <w:color w:val="000000" w:themeColor="text1"/>
          <w:sz w:val="20"/>
          <w:szCs w:val="20"/>
        </w:rPr>
        <w:t xml:space="preserve"> </w:t>
      </w:r>
      <w:r>
        <w:rPr>
          <w:bCs/>
          <w:color w:val="000000" w:themeColor="text1"/>
          <w:sz w:val="20"/>
          <w:szCs w:val="20"/>
        </w:rPr>
        <w:t xml:space="preserve">the requirement at Article </w:t>
      </w:r>
      <w:r w:rsidRPr="00113C7D">
        <w:rPr>
          <w:bCs/>
          <w:color w:val="000000" w:themeColor="text1"/>
          <w:sz w:val="20"/>
          <w:szCs w:val="20"/>
        </w:rPr>
        <w:t>46</w:t>
      </w:r>
      <w:r>
        <w:rPr>
          <w:bCs/>
          <w:color w:val="000000" w:themeColor="text1"/>
          <w:sz w:val="20"/>
          <w:szCs w:val="20"/>
        </w:rPr>
        <w:t>(</w:t>
      </w:r>
      <w:r w:rsidRPr="00113C7D">
        <w:rPr>
          <w:bCs/>
          <w:color w:val="000000" w:themeColor="text1"/>
          <w:sz w:val="20"/>
          <w:szCs w:val="20"/>
        </w:rPr>
        <w:t>1</w:t>
      </w:r>
      <w:r>
        <w:rPr>
          <w:bCs/>
          <w:color w:val="000000" w:themeColor="text1"/>
          <w:sz w:val="20"/>
          <w:szCs w:val="20"/>
        </w:rPr>
        <w:t>)(</w:t>
      </w:r>
      <w:r w:rsidRPr="00113C7D">
        <w:rPr>
          <w:bCs/>
          <w:color w:val="000000" w:themeColor="text1"/>
          <w:sz w:val="20"/>
          <w:szCs w:val="20"/>
        </w:rPr>
        <w:t xml:space="preserve">a) </w:t>
      </w:r>
      <w:r>
        <w:rPr>
          <w:bCs/>
          <w:color w:val="000000" w:themeColor="text1"/>
          <w:sz w:val="20"/>
          <w:szCs w:val="20"/>
        </w:rPr>
        <w:t xml:space="preserve">of the Convention due to the natural exhaustion of domestic remedies. Regarding the time for filing, the latest domestic law decisions were adopted on February 22, 2016, and March </w:t>
      </w:r>
      <w:r w:rsidRPr="00113C7D">
        <w:rPr>
          <w:bCs/>
          <w:color w:val="000000" w:themeColor="text1"/>
          <w:sz w:val="20"/>
          <w:szCs w:val="20"/>
        </w:rPr>
        <w:t>11</w:t>
      </w:r>
      <w:r>
        <w:rPr>
          <w:bCs/>
          <w:color w:val="000000" w:themeColor="text1"/>
          <w:sz w:val="20"/>
          <w:szCs w:val="20"/>
        </w:rPr>
        <w:t>,</w:t>
      </w:r>
      <w:r w:rsidRPr="00113C7D">
        <w:rPr>
          <w:bCs/>
          <w:color w:val="000000" w:themeColor="text1"/>
          <w:sz w:val="20"/>
          <w:szCs w:val="20"/>
        </w:rPr>
        <w:t xml:space="preserve"> 2016</w:t>
      </w:r>
      <w:r>
        <w:rPr>
          <w:bCs/>
          <w:color w:val="000000" w:themeColor="text1"/>
          <w:sz w:val="20"/>
          <w:szCs w:val="20"/>
        </w:rPr>
        <w:t xml:space="preserve">, in relation to the units </w:t>
      </w:r>
      <w:r w:rsidRPr="00113C7D">
        <w:rPr>
          <w:bCs/>
          <w:color w:val="000000" w:themeColor="text1"/>
          <w:sz w:val="20"/>
          <w:szCs w:val="20"/>
        </w:rPr>
        <w:t xml:space="preserve">CEAD Lindeia </w:t>
      </w:r>
      <w:r>
        <w:rPr>
          <w:bCs/>
          <w:color w:val="000000" w:themeColor="text1"/>
          <w:sz w:val="20"/>
          <w:szCs w:val="20"/>
        </w:rPr>
        <w:t xml:space="preserve">and </w:t>
      </w:r>
      <w:r w:rsidRPr="00113C7D">
        <w:rPr>
          <w:bCs/>
          <w:color w:val="000000" w:themeColor="text1"/>
          <w:sz w:val="20"/>
          <w:szCs w:val="20"/>
        </w:rPr>
        <w:t xml:space="preserve">CSEST. </w:t>
      </w:r>
      <w:r>
        <w:rPr>
          <w:bCs/>
          <w:color w:val="000000" w:themeColor="text1"/>
          <w:sz w:val="20"/>
          <w:szCs w:val="20"/>
        </w:rPr>
        <w:t xml:space="preserve">In the specific case of the </w:t>
      </w:r>
      <w:r w:rsidRPr="00113C7D">
        <w:rPr>
          <w:bCs/>
          <w:color w:val="000000" w:themeColor="text1"/>
          <w:sz w:val="20"/>
          <w:szCs w:val="20"/>
        </w:rPr>
        <w:t xml:space="preserve">CRSSJ, </w:t>
      </w:r>
      <w:r>
        <w:rPr>
          <w:bCs/>
          <w:color w:val="000000" w:themeColor="text1"/>
          <w:sz w:val="20"/>
          <w:szCs w:val="20"/>
        </w:rPr>
        <w:t xml:space="preserve">the decision of the </w:t>
      </w:r>
      <w:r w:rsidRPr="00113C7D">
        <w:rPr>
          <w:bCs/>
          <w:color w:val="000000" w:themeColor="text1"/>
          <w:sz w:val="20"/>
          <w:szCs w:val="20"/>
        </w:rPr>
        <w:t xml:space="preserve">TJMG </w:t>
      </w:r>
      <w:r>
        <w:rPr>
          <w:bCs/>
          <w:color w:val="000000" w:themeColor="text1"/>
          <w:sz w:val="20"/>
          <w:szCs w:val="20"/>
        </w:rPr>
        <w:t xml:space="preserve">dated June </w:t>
      </w:r>
      <w:r w:rsidRPr="00113C7D">
        <w:rPr>
          <w:bCs/>
          <w:color w:val="000000" w:themeColor="text1"/>
          <w:sz w:val="20"/>
          <w:szCs w:val="20"/>
        </w:rPr>
        <w:t>12</w:t>
      </w:r>
      <w:r>
        <w:rPr>
          <w:bCs/>
          <w:color w:val="000000" w:themeColor="text1"/>
          <w:sz w:val="20"/>
          <w:szCs w:val="20"/>
        </w:rPr>
        <w:t>,</w:t>
      </w:r>
      <w:r w:rsidRPr="00113C7D">
        <w:rPr>
          <w:bCs/>
          <w:color w:val="000000" w:themeColor="text1"/>
          <w:sz w:val="20"/>
          <w:szCs w:val="20"/>
        </w:rPr>
        <w:t xml:space="preserve"> 2015</w:t>
      </w:r>
      <w:r>
        <w:rPr>
          <w:bCs/>
          <w:color w:val="000000" w:themeColor="text1"/>
          <w:sz w:val="20"/>
          <w:szCs w:val="20"/>
        </w:rPr>
        <w:t xml:space="preserve">, regarding the procedure for investigating the </w:t>
      </w:r>
      <w:r w:rsidRPr="00113C7D">
        <w:rPr>
          <w:bCs/>
          <w:color w:val="000000" w:themeColor="text1"/>
          <w:sz w:val="20"/>
          <w:szCs w:val="20"/>
        </w:rPr>
        <w:t>irregulari</w:t>
      </w:r>
      <w:r>
        <w:rPr>
          <w:bCs/>
          <w:color w:val="000000" w:themeColor="text1"/>
          <w:sz w:val="20"/>
          <w:szCs w:val="20"/>
        </w:rPr>
        <w:t>ties</w:t>
      </w:r>
      <w:r w:rsidRPr="00113C7D">
        <w:rPr>
          <w:bCs/>
          <w:color w:val="000000" w:themeColor="text1"/>
          <w:sz w:val="20"/>
          <w:szCs w:val="20"/>
        </w:rPr>
        <w:t xml:space="preserve"> </w:t>
      </w:r>
      <w:r>
        <w:rPr>
          <w:bCs/>
          <w:color w:val="000000" w:themeColor="text1"/>
          <w:sz w:val="20"/>
          <w:szCs w:val="20"/>
        </w:rPr>
        <w:t>at the unit</w:t>
      </w:r>
      <w:r w:rsidR="00DD625D">
        <w:rPr>
          <w:bCs/>
          <w:color w:val="000000" w:themeColor="text1"/>
          <w:sz w:val="20"/>
          <w:szCs w:val="20"/>
        </w:rPr>
        <w:t>,</w:t>
      </w:r>
      <w:r>
        <w:rPr>
          <w:bCs/>
          <w:color w:val="000000" w:themeColor="text1"/>
          <w:sz w:val="20"/>
          <w:szCs w:val="20"/>
        </w:rPr>
        <w:t xml:space="preserve"> was</w:t>
      </w:r>
      <w:r w:rsidR="001063BB">
        <w:rPr>
          <w:bCs/>
          <w:color w:val="000000" w:themeColor="text1"/>
          <w:sz w:val="20"/>
          <w:szCs w:val="20"/>
        </w:rPr>
        <w:t xml:space="preserve"> not</w:t>
      </w:r>
      <w:r>
        <w:rPr>
          <w:bCs/>
          <w:color w:val="000000" w:themeColor="text1"/>
          <w:sz w:val="20"/>
          <w:szCs w:val="20"/>
        </w:rPr>
        <w:t xml:space="preserve"> the latest domestic decision, as one of the irregularities noted was still being discussed in the court in another proceeding, the public civil action decided by the </w:t>
      </w:r>
      <w:r w:rsidRPr="00113C7D">
        <w:rPr>
          <w:bCs/>
          <w:color w:val="000000" w:themeColor="text1"/>
          <w:sz w:val="20"/>
          <w:szCs w:val="20"/>
        </w:rPr>
        <w:t xml:space="preserve">TJMG </w:t>
      </w:r>
      <w:r>
        <w:rPr>
          <w:bCs/>
          <w:color w:val="000000" w:themeColor="text1"/>
          <w:sz w:val="20"/>
          <w:szCs w:val="20"/>
        </w:rPr>
        <w:t xml:space="preserve">on July </w:t>
      </w:r>
      <w:r w:rsidRPr="00113C7D">
        <w:rPr>
          <w:bCs/>
          <w:color w:val="000000" w:themeColor="text1"/>
          <w:sz w:val="20"/>
          <w:szCs w:val="20"/>
        </w:rPr>
        <w:t>8</w:t>
      </w:r>
      <w:r>
        <w:rPr>
          <w:bCs/>
          <w:color w:val="000000" w:themeColor="text1"/>
          <w:sz w:val="20"/>
          <w:szCs w:val="20"/>
        </w:rPr>
        <w:t>,</w:t>
      </w:r>
      <w:r w:rsidRPr="00113C7D">
        <w:rPr>
          <w:bCs/>
          <w:color w:val="000000" w:themeColor="text1"/>
          <w:sz w:val="20"/>
          <w:szCs w:val="20"/>
        </w:rPr>
        <w:t xml:space="preserve"> 2016. </w:t>
      </w:r>
      <w:r>
        <w:rPr>
          <w:bCs/>
          <w:color w:val="000000" w:themeColor="text1"/>
          <w:sz w:val="20"/>
          <w:szCs w:val="20"/>
        </w:rPr>
        <w:t xml:space="preserve">This last decision, therefore, establishes the time frame for the time period as understood by the inter-American system. </w:t>
      </w:r>
      <w:r w:rsidRPr="00113C7D">
        <w:rPr>
          <w:bCs/>
          <w:color w:val="000000" w:themeColor="text1"/>
          <w:sz w:val="20"/>
          <w:szCs w:val="20"/>
        </w:rPr>
        <w:t>Conside</w:t>
      </w:r>
      <w:r>
        <w:rPr>
          <w:bCs/>
          <w:color w:val="000000" w:themeColor="text1"/>
          <w:sz w:val="20"/>
          <w:szCs w:val="20"/>
        </w:rPr>
        <w:t xml:space="preserve">ring all the foregoing, </w:t>
      </w:r>
      <w:r>
        <w:rPr>
          <w:bCs/>
          <w:color w:val="000000" w:themeColor="text1"/>
          <w:sz w:val="20"/>
          <w:szCs w:val="20"/>
        </w:rPr>
        <w:lastRenderedPageBreak/>
        <w:t xml:space="preserve">as the petition was submitted to the IACHR on December 29, 2015, the requirement at Article </w:t>
      </w:r>
      <w:r w:rsidRPr="00113C7D">
        <w:rPr>
          <w:bCs/>
          <w:color w:val="000000" w:themeColor="text1"/>
          <w:sz w:val="20"/>
          <w:szCs w:val="20"/>
        </w:rPr>
        <w:t>46</w:t>
      </w:r>
      <w:r>
        <w:rPr>
          <w:bCs/>
          <w:color w:val="000000" w:themeColor="text1"/>
          <w:sz w:val="20"/>
          <w:szCs w:val="20"/>
        </w:rPr>
        <w:t>(</w:t>
      </w:r>
      <w:r w:rsidRPr="00113C7D">
        <w:rPr>
          <w:bCs/>
          <w:color w:val="000000" w:themeColor="text1"/>
          <w:sz w:val="20"/>
          <w:szCs w:val="20"/>
        </w:rPr>
        <w:t>1</w:t>
      </w:r>
      <w:r>
        <w:rPr>
          <w:bCs/>
          <w:color w:val="000000" w:themeColor="text1"/>
          <w:sz w:val="20"/>
          <w:szCs w:val="20"/>
        </w:rPr>
        <w:t>)(</w:t>
      </w:r>
      <w:r w:rsidRPr="00113C7D">
        <w:rPr>
          <w:bCs/>
          <w:color w:val="000000" w:themeColor="text1"/>
          <w:sz w:val="20"/>
          <w:szCs w:val="20"/>
        </w:rPr>
        <w:t xml:space="preserve">b) </w:t>
      </w:r>
      <w:r>
        <w:rPr>
          <w:bCs/>
          <w:color w:val="000000" w:themeColor="text1"/>
          <w:sz w:val="20"/>
          <w:szCs w:val="20"/>
        </w:rPr>
        <w:t xml:space="preserve">of the Convention is also satisfied in relation to the three units mentioned. </w:t>
      </w:r>
    </w:p>
    <w:p w14:paraId="7AB1D8E8" w14:textId="5EA5AA25"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bookmarkStart w:id="2" w:name="_Hlk117845212"/>
      <w:r>
        <w:rPr>
          <w:bCs/>
          <w:color w:val="000000" w:themeColor="text1"/>
          <w:sz w:val="20"/>
          <w:szCs w:val="20"/>
        </w:rPr>
        <w:t xml:space="preserve">As regards the </w:t>
      </w:r>
      <w:r w:rsidRPr="00113C7D">
        <w:rPr>
          <w:bCs/>
          <w:color w:val="000000" w:themeColor="text1"/>
          <w:sz w:val="20"/>
          <w:szCs w:val="20"/>
        </w:rPr>
        <w:t xml:space="preserve">CSE Santa Clara, </w:t>
      </w:r>
      <w:r>
        <w:rPr>
          <w:bCs/>
          <w:color w:val="000000" w:themeColor="text1"/>
          <w:sz w:val="20"/>
          <w:szCs w:val="20"/>
        </w:rPr>
        <w:t xml:space="preserve">according to the petitioner, on December </w:t>
      </w:r>
      <w:r w:rsidRPr="00113C7D">
        <w:rPr>
          <w:color w:val="auto"/>
          <w:sz w:val="20"/>
          <w:szCs w:val="20"/>
        </w:rPr>
        <w:t>14</w:t>
      </w:r>
      <w:r>
        <w:rPr>
          <w:color w:val="auto"/>
          <w:sz w:val="20"/>
          <w:szCs w:val="20"/>
        </w:rPr>
        <w:t>,</w:t>
      </w:r>
      <w:r w:rsidRPr="00113C7D">
        <w:rPr>
          <w:color w:val="auto"/>
          <w:sz w:val="20"/>
          <w:szCs w:val="20"/>
        </w:rPr>
        <w:t xml:space="preserve"> 2015</w:t>
      </w:r>
      <w:r>
        <w:rPr>
          <w:color w:val="auto"/>
          <w:sz w:val="20"/>
          <w:szCs w:val="20"/>
        </w:rPr>
        <w:t xml:space="preserve">, the judge of the </w:t>
      </w:r>
      <w:r w:rsidR="00F70606">
        <w:rPr>
          <w:color w:val="auto"/>
          <w:sz w:val="20"/>
          <w:szCs w:val="20"/>
        </w:rPr>
        <w:t xml:space="preserve">Court of Infractions for Children and Youth </w:t>
      </w:r>
      <w:r>
        <w:rPr>
          <w:color w:val="auto"/>
          <w:sz w:val="20"/>
          <w:szCs w:val="20"/>
        </w:rPr>
        <w:t xml:space="preserve">of the district of </w:t>
      </w:r>
      <w:r w:rsidRPr="00113C7D">
        <w:rPr>
          <w:color w:val="auto"/>
          <w:sz w:val="20"/>
          <w:szCs w:val="20"/>
        </w:rPr>
        <w:t xml:space="preserve">Belo Horizonte </w:t>
      </w:r>
      <w:r>
        <w:rPr>
          <w:color w:val="auto"/>
          <w:sz w:val="20"/>
          <w:szCs w:val="20"/>
        </w:rPr>
        <w:t xml:space="preserve">issued a judicial order establishing a procedure to investigate irregularities. The Commission did not receive enough information on the conclusion of the procedure, nor on whether all the irregularities indicated had been corrected. For purposes of the analysis of exhaustion of domestic remedies, therefore, the information </w:t>
      </w:r>
      <w:r w:rsidR="003B688A">
        <w:rPr>
          <w:color w:val="auto"/>
          <w:sz w:val="20"/>
          <w:szCs w:val="20"/>
        </w:rPr>
        <w:t xml:space="preserve">presented </w:t>
      </w:r>
      <w:r>
        <w:rPr>
          <w:color w:val="auto"/>
          <w:sz w:val="20"/>
          <w:szCs w:val="20"/>
        </w:rPr>
        <w:t xml:space="preserve">by the parties indicates that the procedure initiated December </w:t>
      </w:r>
      <w:r w:rsidRPr="00113C7D">
        <w:rPr>
          <w:color w:val="auto"/>
          <w:sz w:val="20"/>
          <w:szCs w:val="20"/>
        </w:rPr>
        <w:t>14</w:t>
      </w:r>
      <w:r>
        <w:rPr>
          <w:color w:val="auto"/>
          <w:sz w:val="20"/>
          <w:szCs w:val="20"/>
        </w:rPr>
        <w:t>,</w:t>
      </w:r>
      <w:r w:rsidRPr="00113C7D">
        <w:rPr>
          <w:color w:val="auto"/>
          <w:sz w:val="20"/>
          <w:szCs w:val="20"/>
        </w:rPr>
        <w:t xml:space="preserve"> 2015 </w:t>
      </w:r>
      <w:r>
        <w:rPr>
          <w:color w:val="auto"/>
          <w:sz w:val="20"/>
          <w:szCs w:val="20"/>
        </w:rPr>
        <w:t xml:space="preserve">remains open to the present day. Therefore, more than eight years have elapsed without any indicia of procedural progress, which is why the Commission concludes that, as regards this aspect of the petition, the exception to the prior exhaustion rule provided for at Article </w:t>
      </w:r>
      <w:r w:rsidRPr="00113C7D">
        <w:rPr>
          <w:color w:val="auto"/>
          <w:sz w:val="20"/>
          <w:szCs w:val="20"/>
        </w:rPr>
        <w:t>46</w:t>
      </w:r>
      <w:r>
        <w:rPr>
          <w:color w:val="auto"/>
          <w:sz w:val="20"/>
          <w:szCs w:val="20"/>
        </w:rPr>
        <w:t>(</w:t>
      </w:r>
      <w:r w:rsidRPr="00113C7D">
        <w:rPr>
          <w:color w:val="auto"/>
          <w:sz w:val="20"/>
          <w:szCs w:val="20"/>
        </w:rPr>
        <w:t>2</w:t>
      </w:r>
      <w:r>
        <w:rPr>
          <w:color w:val="auto"/>
          <w:sz w:val="20"/>
          <w:szCs w:val="20"/>
        </w:rPr>
        <w:t>)(</w:t>
      </w:r>
      <w:r w:rsidRPr="00113C7D">
        <w:rPr>
          <w:color w:val="auto"/>
          <w:sz w:val="20"/>
          <w:szCs w:val="20"/>
        </w:rPr>
        <w:t xml:space="preserve">c) </w:t>
      </w:r>
      <w:r>
        <w:rPr>
          <w:color w:val="auto"/>
          <w:sz w:val="20"/>
          <w:szCs w:val="20"/>
        </w:rPr>
        <w:t xml:space="preserve">of the </w:t>
      </w:r>
      <w:r w:rsidRPr="00113C7D">
        <w:rPr>
          <w:color w:val="auto"/>
          <w:sz w:val="20"/>
          <w:szCs w:val="20"/>
        </w:rPr>
        <w:t>American</w:t>
      </w:r>
      <w:r>
        <w:rPr>
          <w:color w:val="auto"/>
          <w:sz w:val="20"/>
          <w:szCs w:val="20"/>
        </w:rPr>
        <w:t xml:space="preserve"> Convention applies</w:t>
      </w:r>
      <w:r w:rsidRPr="00113C7D">
        <w:rPr>
          <w:color w:val="auto"/>
          <w:sz w:val="20"/>
          <w:szCs w:val="20"/>
        </w:rPr>
        <w:t>.</w:t>
      </w:r>
    </w:p>
    <w:p w14:paraId="13DB2D0D" w14:textId="182AAF68" w:rsidR="00055C99" w:rsidRPr="00113C7D" w:rsidRDefault="00055C99" w:rsidP="00055C99">
      <w:pPr>
        <w:pStyle w:val="ListParagraph"/>
        <w:numPr>
          <w:ilvl w:val="0"/>
          <w:numId w:val="55"/>
        </w:numPr>
        <w:suppressAutoHyphens/>
        <w:spacing w:before="240" w:after="240"/>
        <w:jc w:val="both"/>
        <w:rPr>
          <w:sz w:val="20"/>
          <w:szCs w:val="20"/>
        </w:rPr>
      </w:pPr>
      <w:r>
        <w:rPr>
          <w:sz w:val="20"/>
          <w:szCs w:val="20"/>
        </w:rPr>
        <w:t xml:space="preserve">In this respect, the Commission reiterates first, as it has done consistently, that Article </w:t>
      </w:r>
      <w:r w:rsidRPr="00113C7D">
        <w:rPr>
          <w:sz w:val="20"/>
          <w:szCs w:val="20"/>
        </w:rPr>
        <w:t>46</w:t>
      </w:r>
      <w:r>
        <w:rPr>
          <w:sz w:val="20"/>
          <w:szCs w:val="20"/>
        </w:rPr>
        <w:t>(</w:t>
      </w:r>
      <w:r w:rsidRPr="00113C7D">
        <w:rPr>
          <w:sz w:val="20"/>
          <w:szCs w:val="20"/>
        </w:rPr>
        <w:t>2</w:t>
      </w:r>
      <w:r>
        <w:rPr>
          <w:sz w:val="20"/>
          <w:szCs w:val="20"/>
        </w:rPr>
        <w:t xml:space="preserve">) of the Convention, in light of its nature and object, is a provision with content that is autonomous </w:t>
      </w:r>
      <w:r w:rsidR="00D250B6">
        <w:rPr>
          <w:sz w:val="20"/>
          <w:szCs w:val="20"/>
        </w:rPr>
        <w:t xml:space="preserve">in relation to </w:t>
      </w:r>
      <w:r>
        <w:rPr>
          <w:sz w:val="20"/>
          <w:szCs w:val="20"/>
        </w:rPr>
        <w:t xml:space="preserve">the substantive provisions of the American Convention. Accordingly, the determination as to whether the exceptions to the prior exhaustion rule are applicable to the case should be made prior to and separate from the analysis of the merits, as it depends on a different standard of appreciation than that used to determine the possible violation of Articles </w:t>
      </w:r>
      <w:r w:rsidRPr="00113C7D">
        <w:rPr>
          <w:sz w:val="20"/>
          <w:szCs w:val="20"/>
        </w:rPr>
        <w:t xml:space="preserve">8 </w:t>
      </w:r>
      <w:r>
        <w:rPr>
          <w:sz w:val="20"/>
          <w:szCs w:val="20"/>
        </w:rPr>
        <w:t xml:space="preserve">and </w:t>
      </w:r>
      <w:r w:rsidRPr="00113C7D">
        <w:rPr>
          <w:sz w:val="20"/>
          <w:szCs w:val="20"/>
        </w:rPr>
        <w:t xml:space="preserve">25 </w:t>
      </w:r>
      <w:r>
        <w:rPr>
          <w:sz w:val="20"/>
          <w:szCs w:val="20"/>
        </w:rPr>
        <w:t xml:space="preserve">of the </w:t>
      </w:r>
      <w:r w:rsidRPr="00113C7D">
        <w:rPr>
          <w:sz w:val="20"/>
          <w:szCs w:val="20"/>
        </w:rPr>
        <w:t>Conven</w:t>
      </w:r>
      <w:r>
        <w:rPr>
          <w:sz w:val="20"/>
          <w:szCs w:val="20"/>
        </w:rPr>
        <w:t>tion</w:t>
      </w:r>
      <w:r w:rsidRPr="00113C7D">
        <w:rPr>
          <w:sz w:val="20"/>
          <w:szCs w:val="20"/>
        </w:rPr>
        <w:t xml:space="preserve">. </w:t>
      </w:r>
      <w:r>
        <w:rPr>
          <w:sz w:val="20"/>
          <w:szCs w:val="20"/>
        </w:rPr>
        <w:t>The IACHR has also noted already that there are no provisions in the Convention or the Rules of Procedure that specifically regulate the length of time that constitutes an unwarranted delay, which is why the Commission</w:t>
      </w:r>
      <w:r w:rsidR="00E54A1D">
        <w:rPr>
          <w:sz w:val="20"/>
          <w:szCs w:val="20"/>
        </w:rPr>
        <w:t xml:space="preserve"> </w:t>
      </w:r>
      <w:r>
        <w:rPr>
          <w:sz w:val="20"/>
          <w:szCs w:val="20"/>
        </w:rPr>
        <w:t>makes a case-by-case evaluation to determine whether such a delay has occurred</w:t>
      </w:r>
      <w:r w:rsidRPr="00113C7D">
        <w:rPr>
          <w:sz w:val="20"/>
          <w:szCs w:val="20"/>
        </w:rPr>
        <w:t>.</w:t>
      </w:r>
      <w:r w:rsidRPr="00113C7D">
        <w:rPr>
          <w:rStyle w:val="FootnoteReference"/>
          <w:sz w:val="20"/>
          <w:szCs w:val="20"/>
        </w:rPr>
        <w:footnoteReference w:id="8"/>
      </w:r>
      <w:r w:rsidRPr="00113C7D">
        <w:rPr>
          <w:sz w:val="20"/>
          <w:szCs w:val="20"/>
        </w:rPr>
        <w:t xml:space="preserve"> </w:t>
      </w:r>
      <w:r>
        <w:rPr>
          <w:sz w:val="20"/>
          <w:szCs w:val="20"/>
        </w:rPr>
        <w:t>Along those lines, the Inter-American Court established, as a guiding principle in analyzing a possible unwarranted delay as an exception to the prior exhaustion rule</w:t>
      </w:r>
      <w:r w:rsidRPr="00113C7D">
        <w:rPr>
          <w:sz w:val="20"/>
          <w:szCs w:val="20"/>
        </w:rPr>
        <w:t>,</w:t>
      </w:r>
      <w:r>
        <w:rPr>
          <w:sz w:val="20"/>
          <w:szCs w:val="20"/>
        </w:rPr>
        <w:t xml:space="preserve"> that </w:t>
      </w:r>
      <w:r w:rsidRPr="00113C7D">
        <w:rPr>
          <w:sz w:val="20"/>
          <w:szCs w:val="20"/>
        </w:rPr>
        <w:t>“</w:t>
      </w:r>
      <w:r w:rsidR="006136C9">
        <w:rPr>
          <w:i/>
          <w:iCs/>
          <w:sz w:val="20"/>
          <w:szCs w:val="20"/>
        </w:rPr>
        <w:t>[t]</w:t>
      </w:r>
      <w:r w:rsidR="00005E01" w:rsidRPr="00005E01">
        <w:rPr>
          <w:i/>
          <w:iCs/>
          <w:sz w:val="20"/>
          <w:szCs w:val="20"/>
        </w:rPr>
        <w:t>he rule of prior exhaustion must never lead to a halt or delay that would render international action in support of the defenseless victim ineffective</w:t>
      </w:r>
      <w:r>
        <w:rPr>
          <w:i/>
          <w:iCs/>
          <w:sz w:val="20"/>
          <w:szCs w:val="20"/>
        </w:rPr>
        <w:t>.</w:t>
      </w:r>
      <w:r w:rsidRPr="00113C7D">
        <w:rPr>
          <w:sz w:val="20"/>
          <w:szCs w:val="20"/>
        </w:rPr>
        <w:t>”</w:t>
      </w:r>
      <w:r w:rsidRPr="00113C7D">
        <w:rPr>
          <w:rStyle w:val="FootnoteReference"/>
          <w:sz w:val="20"/>
          <w:szCs w:val="20"/>
        </w:rPr>
        <w:footnoteReference w:id="9"/>
      </w:r>
      <w:r>
        <w:rPr>
          <w:sz w:val="20"/>
          <w:szCs w:val="20"/>
        </w:rPr>
        <w:t xml:space="preserve"> Therefore, the complementarity of the international protection provided for in the American Convention also implies </w:t>
      </w:r>
      <w:r w:rsidR="00C63C40">
        <w:rPr>
          <w:sz w:val="20"/>
          <w:szCs w:val="20"/>
        </w:rPr>
        <w:t xml:space="preserve">that </w:t>
      </w:r>
      <w:r>
        <w:rPr>
          <w:sz w:val="20"/>
          <w:szCs w:val="20"/>
        </w:rPr>
        <w:t xml:space="preserve">the involvement of the organs of the inter-American system must be timely </w:t>
      </w:r>
      <w:r w:rsidR="000136A7">
        <w:rPr>
          <w:sz w:val="20"/>
          <w:szCs w:val="20"/>
        </w:rPr>
        <w:t xml:space="preserve">if </w:t>
      </w:r>
      <w:r>
        <w:rPr>
          <w:sz w:val="20"/>
          <w:szCs w:val="20"/>
        </w:rPr>
        <w:t xml:space="preserve">it </w:t>
      </w:r>
      <w:r w:rsidR="000136A7">
        <w:rPr>
          <w:sz w:val="20"/>
          <w:szCs w:val="20"/>
        </w:rPr>
        <w:t xml:space="preserve">is </w:t>
      </w:r>
      <w:r>
        <w:rPr>
          <w:sz w:val="20"/>
          <w:szCs w:val="20"/>
        </w:rPr>
        <w:t xml:space="preserve">to have </w:t>
      </w:r>
      <w:r w:rsidR="00EF2EE3">
        <w:rPr>
          <w:sz w:val="20"/>
          <w:szCs w:val="20"/>
        </w:rPr>
        <w:t xml:space="preserve">a </w:t>
      </w:r>
      <w:r>
        <w:rPr>
          <w:sz w:val="20"/>
          <w:szCs w:val="20"/>
        </w:rPr>
        <w:t>useful effect protecti</w:t>
      </w:r>
      <w:r w:rsidR="00D53286">
        <w:rPr>
          <w:sz w:val="20"/>
          <w:szCs w:val="20"/>
        </w:rPr>
        <w:t>ng</w:t>
      </w:r>
      <w:r>
        <w:rPr>
          <w:sz w:val="20"/>
          <w:szCs w:val="20"/>
        </w:rPr>
        <w:t xml:space="preserve"> the alleged victims’ rights.</w:t>
      </w:r>
    </w:p>
    <w:p w14:paraId="5A5C0D6F" w14:textId="77777777" w:rsidR="00055C99" w:rsidRPr="00113C7D" w:rsidRDefault="00055C99" w:rsidP="00055C99">
      <w:pPr>
        <w:pStyle w:val="ListParagraph"/>
        <w:numPr>
          <w:ilvl w:val="0"/>
          <w:numId w:val="55"/>
        </w:numPr>
        <w:suppressAutoHyphens/>
        <w:spacing w:before="240" w:after="240"/>
        <w:jc w:val="both"/>
        <w:rPr>
          <w:sz w:val="20"/>
          <w:szCs w:val="20"/>
        </w:rPr>
      </w:pPr>
      <w:r>
        <w:rPr>
          <w:sz w:val="20"/>
          <w:szCs w:val="20"/>
        </w:rPr>
        <w:t xml:space="preserve">As regards the time of the filing, the Commission observes that the facts are alleged to have occurred as of 2015; that the domestic judicial remedies were pursued in the same year; and that the consequences of those facts continue to this day, more than eight years later. Accordingly, considering that the instant petition was lodged on December 29, </w:t>
      </w:r>
      <w:r w:rsidRPr="00113C7D">
        <w:rPr>
          <w:sz w:val="20"/>
          <w:szCs w:val="20"/>
        </w:rPr>
        <w:t xml:space="preserve">2015, </w:t>
      </w:r>
      <w:r>
        <w:rPr>
          <w:sz w:val="20"/>
          <w:szCs w:val="20"/>
        </w:rPr>
        <w:t xml:space="preserve">the Inter-American Commission finds that the petition was filed within a reasonable time in the terms of Article </w:t>
      </w:r>
      <w:r w:rsidRPr="00113C7D">
        <w:rPr>
          <w:sz w:val="20"/>
          <w:szCs w:val="20"/>
        </w:rPr>
        <w:t>32</w:t>
      </w:r>
      <w:r>
        <w:rPr>
          <w:sz w:val="20"/>
          <w:szCs w:val="20"/>
        </w:rPr>
        <w:t>(</w:t>
      </w:r>
      <w:r w:rsidRPr="00113C7D">
        <w:rPr>
          <w:sz w:val="20"/>
          <w:szCs w:val="20"/>
        </w:rPr>
        <w:t>2</w:t>
      </w:r>
      <w:r>
        <w:rPr>
          <w:sz w:val="20"/>
          <w:szCs w:val="20"/>
        </w:rPr>
        <w:t>)</w:t>
      </w:r>
      <w:r w:rsidRPr="00113C7D">
        <w:rPr>
          <w:sz w:val="20"/>
          <w:szCs w:val="20"/>
        </w:rPr>
        <w:t xml:space="preserve"> </w:t>
      </w:r>
      <w:r>
        <w:rPr>
          <w:sz w:val="20"/>
          <w:szCs w:val="20"/>
        </w:rPr>
        <w:t xml:space="preserve">of the Rules of Procedure of the IACHR, in keeping with Article </w:t>
      </w:r>
      <w:r w:rsidRPr="00113C7D">
        <w:rPr>
          <w:sz w:val="20"/>
          <w:szCs w:val="20"/>
        </w:rPr>
        <w:t>46</w:t>
      </w:r>
      <w:r>
        <w:rPr>
          <w:sz w:val="20"/>
          <w:szCs w:val="20"/>
        </w:rPr>
        <w:t>(</w:t>
      </w:r>
      <w:r w:rsidRPr="00113C7D">
        <w:rPr>
          <w:sz w:val="20"/>
          <w:szCs w:val="20"/>
        </w:rPr>
        <w:t>2</w:t>
      </w:r>
      <w:r>
        <w:rPr>
          <w:sz w:val="20"/>
          <w:szCs w:val="20"/>
        </w:rPr>
        <w:t xml:space="preserve">) of the </w:t>
      </w:r>
      <w:r w:rsidRPr="00113C7D">
        <w:rPr>
          <w:sz w:val="20"/>
          <w:szCs w:val="20"/>
        </w:rPr>
        <w:t>American</w:t>
      </w:r>
      <w:r>
        <w:rPr>
          <w:sz w:val="20"/>
          <w:szCs w:val="20"/>
        </w:rPr>
        <w:t xml:space="preserve"> Convention</w:t>
      </w:r>
      <w:r w:rsidRPr="00113C7D">
        <w:rPr>
          <w:sz w:val="20"/>
          <w:szCs w:val="20"/>
        </w:rPr>
        <w:t>.</w:t>
      </w:r>
    </w:p>
    <w:bookmarkEnd w:id="2"/>
    <w:p w14:paraId="187C40A1" w14:textId="6F8343CE" w:rsidR="00055C99" w:rsidRPr="00113C7D" w:rsidRDefault="00055C99" w:rsidP="00055C99">
      <w:pPr>
        <w:pStyle w:val="ListParagraph"/>
        <w:ind w:left="0" w:firstLine="720"/>
        <w:jc w:val="both"/>
        <w:rPr>
          <w:rFonts w:asciiTheme="majorHAnsi" w:hAnsiTheme="majorHAnsi"/>
          <w:b/>
          <w:bCs/>
          <w:color w:val="000000" w:themeColor="text1"/>
          <w:sz w:val="20"/>
          <w:szCs w:val="20"/>
        </w:rPr>
      </w:pPr>
      <w:r w:rsidRPr="00113C7D">
        <w:rPr>
          <w:rFonts w:asciiTheme="majorHAnsi" w:hAnsiTheme="majorHAnsi"/>
          <w:b/>
          <w:bCs/>
          <w:color w:val="000000" w:themeColor="text1"/>
          <w:sz w:val="20"/>
          <w:szCs w:val="20"/>
        </w:rPr>
        <w:t>VIII.</w:t>
      </w:r>
      <w:r w:rsidRPr="00113C7D">
        <w:rPr>
          <w:rFonts w:asciiTheme="majorHAnsi" w:hAnsiTheme="majorHAnsi"/>
          <w:b/>
          <w:bCs/>
          <w:color w:val="000000" w:themeColor="text1"/>
          <w:sz w:val="20"/>
          <w:szCs w:val="20"/>
        </w:rPr>
        <w:tab/>
        <w:t>AN</w:t>
      </w:r>
      <w:r>
        <w:rPr>
          <w:rFonts w:asciiTheme="majorHAnsi" w:hAnsiTheme="majorHAnsi"/>
          <w:b/>
          <w:bCs/>
          <w:color w:val="000000" w:themeColor="text1"/>
          <w:sz w:val="20"/>
          <w:szCs w:val="20"/>
        </w:rPr>
        <w:t xml:space="preserve">ALYSIS OF COLORABLE CLAIM </w:t>
      </w:r>
    </w:p>
    <w:p w14:paraId="71C82A24" w14:textId="77777777" w:rsidR="00055C99" w:rsidRPr="00113C7D" w:rsidRDefault="00055C99" w:rsidP="00055C99">
      <w:pPr>
        <w:pStyle w:val="ListParagraph"/>
        <w:ind w:left="0" w:firstLine="720"/>
        <w:jc w:val="both"/>
        <w:rPr>
          <w:rFonts w:asciiTheme="majorHAnsi" w:hAnsiTheme="majorHAnsi"/>
          <w:b/>
          <w:color w:val="000000" w:themeColor="text1"/>
          <w:sz w:val="20"/>
          <w:szCs w:val="20"/>
        </w:rPr>
      </w:pPr>
    </w:p>
    <w:p w14:paraId="27059620" w14:textId="47F54B0B" w:rsidR="00055C99"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bCs/>
          <w:color w:val="000000" w:themeColor="text1"/>
          <w:sz w:val="20"/>
          <w:szCs w:val="20"/>
        </w:rPr>
        <w:t>The facts narrated refer to poor conditions at socio-educational units where there are adolescents deprived of liberty. Those poor conditions include issues such as: overcrowding; precarious facilities</w:t>
      </w:r>
      <w:r w:rsidRPr="00113C7D">
        <w:rPr>
          <w:bCs/>
          <w:color w:val="000000" w:themeColor="text1"/>
          <w:sz w:val="20"/>
          <w:szCs w:val="20"/>
        </w:rPr>
        <w:t xml:space="preserve">, </w:t>
      </w:r>
      <w:r>
        <w:rPr>
          <w:bCs/>
          <w:color w:val="000000" w:themeColor="text1"/>
          <w:sz w:val="20"/>
          <w:szCs w:val="20"/>
        </w:rPr>
        <w:t>defects in the sanitary facilities; lack of ventilation; lack of water; accumulation of trash around the unit and infestation of rats and cockroaches; insufficient number of technical staff, socio-educational agents, and health professionals; lack of adequate care for persons with mental suffering; lack of adequate infrastructure for adolescent mothers and their babies; failure to separate the adolescents by age, physique,</w:t>
      </w:r>
      <w:r w:rsidR="00C37EE2">
        <w:rPr>
          <w:bCs/>
          <w:color w:val="000000" w:themeColor="text1"/>
          <w:sz w:val="20"/>
          <w:szCs w:val="20"/>
        </w:rPr>
        <w:t xml:space="preserve"> </w:t>
      </w:r>
      <w:r>
        <w:rPr>
          <w:bCs/>
          <w:color w:val="000000" w:themeColor="text1"/>
          <w:sz w:val="20"/>
          <w:szCs w:val="20"/>
        </w:rPr>
        <w:t>and infraction committed; irregular coexistence of adolescents facing different legal regimes (</w:t>
      </w:r>
      <w:r w:rsidR="004D40BB">
        <w:rPr>
          <w:bCs/>
          <w:color w:val="000000" w:themeColor="text1"/>
          <w:sz w:val="20"/>
          <w:szCs w:val="20"/>
        </w:rPr>
        <w:t xml:space="preserve">provisional precautionary </w:t>
      </w:r>
      <w:r w:rsidR="00EA7A84">
        <w:rPr>
          <w:bCs/>
          <w:color w:val="000000" w:themeColor="text1"/>
          <w:sz w:val="20"/>
          <w:szCs w:val="20"/>
        </w:rPr>
        <w:t xml:space="preserve">hold, </w:t>
      </w:r>
      <w:r w:rsidR="00C37EE2">
        <w:rPr>
          <w:rFonts w:asciiTheme="majorHAnsi" w:hAnsiTheme="majorHAnsi"/>
          <w:sz w:val="20"/>
          <w:szCs w:val="20"/>
        </w:rPr>
        <w:t xml:space="preserve">detention-sanction, </w:t>
      </w:r>
      <w:r w:rsidR="008C3A2C">
        <w:rPr>
          <w:rFonts w:asciiTheme="majorHAnsi" w:hAnsiTheme="majorHAnsi"/>
          <w:sz w:val="20"/>
          <w:szCs w:val="20"/>
        </w:rPr>
        <w:t>definitive detention</w:t>
      </w:r>
      <w:r w:rsidRPr="00113C7D">
        <w:rPr>
          <w:rFonts w:asciiTheme="majorHAnsi" w:hAnsiTheme="majorHAnsi"/>
          <w:sz w:val="20"/>
          <w:szCs w:val="20"/>
        </w:rPr>
        <w:t xml:space="preserve">); </w:t>
      </w:r>
      <w:r>
        <w:rPr>
          <w:rFonts w:asciiTheme="majorHAnsi" w:hAnsiTheme="majorHAnsi"/>
          <w:sz w:val="20"/>
          <w:szCs w:val="20"/>
        </w:rPr>
        <w:t xml:space="preserve">failure to carry out the socio-educational activities; failure to promote the adolescents living with their families; and confinement of persons from other regions. </w:t>
      </w:r>
    </w:p>
    <w:p w14:paraId="452D677E" w14:textId="77777777" w:rsidR="00582430" w:rsidRPr="00582430" w:rsidRDefault="00582430" w:rsidP="005824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1C5D0499" w14:textId="7CD0608C" w:rsidR="00055C99" w:rsidRPr="00B10F40" w:rsidRDefault="00055C99" w:rsidP="00665EE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10F40">
        <w:rPr>
          <w:rFonts w:asciiTheme="majorHAnsi" w:hAnsiTheme="majorHAnsi"/>
          <w:sz w:val="20"/>
          <w:szCs w:val="20"/>
        </w:rPr>
        <w:lastRenderedPageBreak/>
        <w:t xml:space="preserve">In its monitoring activities, the Inter-American Commission already </w:t>
      </w:r>
      <w:r w:rsidR="001063BB" w:rsidRPr="00B10F40">
        <w:rPr>
          <w:rFonts w:asciiTheme="majorHAnsi" w:hAnsiTheme="majorHAnsi"/>
          <w:sz w:val="20"/>
          <w:szCs w:val="20"/>
        </w:rPr>
        <w:t>addressed</w:t>
      </w:r>
      <w:r w:rsidRPr="00B10F40">
        <w:rPr>
          <w:rFonts w:asciiTheme="majorHAnsi" w:hAnsiTheme="majorHAnsi"/>
          <w:sz w:val="20"/>
          <w:szCs w:val="20"/>
        </w:rPr>
        <w:t xml:space="preserve"> the units of the socio-educational system in Brazil suffering similar problems as those observed in the prison system</w:t>
      </w:r>
      <w:r w:rsidR="00B10F40" w:rsidRPr="00B10F40">
        <w:rPr>
          <w:rFonts w:asciiTheme="majorHAnsi" w:hAnsiTheme="majorHAnsi"/>
          <w:sz w:val="20"/>
          <w:szCs w:val="20"/>
        </w:rPr>
        <w:t>, “such as overcrowding, poor health and food conditions, ill-treatment and torture. Although the socio-educational system aims to provide an educational process that transforms the reality of adolescents in conflict with the law, in practice the Commission observed a context of deprivation of liberty which, as in the prison system, reflects patterns of institutional racism, criminalization of poverty and human rights violations.”</w:t>
      </w:r>
      <w:r w:rsidR="00B10F40" w:rsidRPr="00113C7D">
        <w:rPr>
          <w:bCs/>
          <w:color w:val="000000" w:themeColor="text1"/>
          <w:sz w:val="20"/>
          <w:szCs w:val="20"/>
          <w:vertAlign w:val="superscript"/>
        </w:rPr>
        <w:footnoteReference w:id="10"/>
      </w:r>
      <w:r w:rsidR="00B10F40" w:rsidRPr="00B10F40">
        <w:rPr>
          <w:rFonts w:asciiTheme="majorHAnsi" w:hAnsiTheme="majorHAnsi"/>
          <w:sz w:val="20"/>
          <w:szCs w:val="20"/>
        </w:rPr>
        <w:t xml:space="preserve"> </w:t>
      </w:r>
      <w:r w:rsidR="00B10F40">
        <w:rPr>
          <w:rFonts w:asciiTheme="majorHAnsi" w:hAnsiTheme="majorHAnsi"/>
          <w:sz w:val="20"/>
          <w:szCs w:val="20"/>
        </w:rPr>
        <w:t>Moreover</w:t>
      </w:r>
      <w:r w:rsidR="00B10F40" w:rsidRPr="00B10F40">
        <w:rPr>
          <w:rFonts w:asciiTheme="majorHAnsi" w:hAnsiTheme="majorHAnsi"/>
          <w:sz w:val="20"/>
          <w:szCs w:val="20"/>
        </w:rPr>
        <w:t xml:space="preserve">, </w:t>
      </w:r>
      <w:r w:rsidRPr="00B10F40">
        <w:rPr>
          <w:rFonts w:asciiTheme="majorHAnsi" w:hAnsiTheme="majorHAnsi"/>
          <w:sz w:val="20"/>
          <w:szCs w:val="20"/>
        </w:rPr>
        <w:t xml:space="preserve">in the context of its system </w:t>
      </w:r>
      <w:r w:rsidR="00A56C4F" w:rsidRPr="00B10F40">
        <w:rPr>
          <w:rFonts w:asciiTheme="majorHAnsi" w:hAnsiTheme="majorHAnsi"/>
          <w:sz w:val="20"/>
          <w:szCs w:val="20"/>
        </w:rPr>
        <w:t xml:space="preserve">of </w:t>
      </w:r>
      <w:r w:rsidRPr="00B10F40">
        <w:rPr>
          <w:rFonts w:asciiTheme="majorHAnsi" w:hAnsiTheme="majorHAnsi"/>
          <w:sz w:val="20"/>
          <w:szCs w:val="20"/>
        </w:rPr>
        <w:t xml:space="preserve">petitions and cases, the Inter-American </w:t>
      </w:r>
      <w:r w:rsidR="00A56C4F" w:rsidRPr="00B10F40">
        <w:rPr>
          <w:rFonts w:asciiTheme="majorHAnsi" w:hAnsiTheme="majorHAnsi"/>
          <w:sz w:val="20"/>
          <w:szCs w:val="20"/>
        </w:rPr>
        <w:t xml:space="preserve">Commission </w:t>
      </w:r>
      <w:r w:rsidRPr="00B10F40">
        <w:rPr>
          <w:rFonts w:asciiTheme="majorHAnsi" w:hAnsiTheme="majorHAnsi"/>
          <w:sz w:val="20"/>
          <w:szCs w:val="20"/>
        </w:rPr>
        <w:t xml:space="preserve">has already ruled on the admissibility and </w:t>
      </w:r>
      <w:r w:rsidRPr="00B10F40">
        <w:rPr>
          <w:rFonts w:asciiTheme="majorHAnsi" w:hAnsiTheme="majorHAnsi"/>
          <w:i/>
          <w:iCs/>
          <w:sz w:val="20"/>
          <w:szCs w:val="20"/>
        </w:rPr>
        <w:t>prima facie</w:t>
      </w:r>
      <w:r w:rsidRPr="00B10F40">
        <w:rPr>
          <w:rFonts w:asciiTheme="majorHAnsi" w:hAnsiTheme="majorHAnsi"/>
          <w:sz w:val="20"/>
          <w:szCs w:val="20"/>
        </w:rPr>
        <w:t xml:space="preserve"> characterization of similar facts both to the detriment of adults in the prison system and in relation to adolescents </w:t>
      </w:r>
      <w:r w:rsidR="00A56C4F" w:rsidRPr="00B10F40">
        <w:rPr>
          <w:rFonts w:asciiTheme="majorHAnsi" w:hAnsiTheme="majorHAnsi"/>
          <w:sz w:val="20"/>
          <w:szCs w:val="20"/>
        </w:rPr>
        <w:t xml:space="preserve">detained at </w:t>
      </w:r>
      <w:r w:rsidRPr="00B10F40">
        <w:rPr>
          <w:rFonts w:asciiTheme="majorHAnsi" w:hAnsiTheme="majorHAnsi"/>
          <w:sz w:val="20"/>
          <w:szCs w:val="20"/>
        </w:rPr>
        <w:t>socio-educational units.</w:t>
      </w:r>
      <w:r w:rsidRPr="00113C7D">
        <w:rPr>
          <w:bCs/>
          <w:color w:val="000000" w:themeColor="text1"/>
          <w:sz w:val="20"/>
          <w:szCs w:val="20"/>
          <w:vertAlign w:val="superscript"/>
        </w:rPr>
        <w:footnoteReference w:id="11"/>
      </w:r>
      <w:r w:rsidRPr="00B10F40">
        <w:rPr>
          <w:rFonts w:asciiTheme="majorHAnsi" w:hAnsiTheme="majorHAnsi"/>
          <w:sz w:val="20"/>
          <w:szCs w:val="20"/>
        </w:rPr>
        <w:t xml:space="preserve"> </w:t>
      </w:r>
    </w:p>
    <w:p w14:paraId="3786132F" w14:textId="2FE82A6A" w:rsidR="00055C99" w:rsidRPr="00113C7D" w:rsidRDefault="00055C99" w:rsidP="00055C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Bearing in mind the </w:t>
      </w:r>
      <w:r w:rsidR="004E1350">
        <w:rPr>
          <w:rFonts w:asciiTheme="majorHAnsi" w:hAnsiTheme="majorHAnsi"/>
          <w:sz w:val="20"/>
          <w:szCs w:val="20"/>
        </w:rPr>
        <w:t xml:space="preserve">subject matter </w:t>
      </w:r>
      <w:r>
        <w:rPr>
          <w:rFonts w:asciiTheme="majorHAnsi" w:hAnsiTheme="majorHAnsi"/>
          <w:sz w:val="20"/>
          <w:szCs w:val="20"/>
        </w:rPr>
        <w:t xml:space="preserve">of the petition and the earlier pronouncements of the Inter-American Commission on the same issue, the IACHR considers that if proven, the facts narrated tend to establish </w:t>
      </w:r>
      <w:r>
        <w:rPr>
          <w:bCs/>
          <w:color w:val="000000" w:themeColor="text1"/>
          <w:sz w:val="20"/>
          <w:szCs w:val="20"/>
        </w:rPr>
        <w:t xml:space="preserve">violations of Articles </w:t>
      </w:r>
      <w:r w:rsidRPr="00113C7D">
        <w:rPr>
          <w:bCs/>
          <w:color w:val="000000" w:themeColor="text1"/>
          <w:sz w:val="20"/>
          <w:szCs w:val="20"/>
        </w:rPr>
        <w:t>5 (</w:t>
      </w:r>
      <w:r>
        <w:rPr>
          <w:bCs/>
          <w:color w:val="000000" w:themeColor="text1"/>
          <w:sz w:val="20"/>
          <w:szCs w:val="20"/>
        </w:rPr>
        <w:t>humane treatment</w:t>
      </w:r>
      <w:r w:rsidRPr="00113C7D">
        <w:rPr>
          <w:bCs/>
          <w:color w:val="000000" w:themeColor="text1"/>
          <w:sz w:val="20"/>
          <w:szCs w:val="20"/>
        </w:rPr>
        <w:t>), 8 (</w:t>
      </w:r>
      <w:r>
        <w:rPr>
          <w:bCs/>
          <w:color w:val="000000" w:themeColor="text1"/>
          <w:sz w:val="20"/>
          <w:szCs w:val="20"/>
        </w:rPr>
        <w:t>judicial guarantees</w:t>
      </w:r>
      <w:r w:rsidRPr="00113C7D">
        <w:rPr>
          <w:bCs/>
          <w:color w:val="000000" w:themeColor="text1"/>
          <w:sz w:val="20"/>
          <w:szCs w:val="20"/>
        </w:rPr>
        <w:t>), 17 (prot</w:t>
      </w:r>
      <w:r>
        <w:rPr>
          <w:bCs/>
          <w:color w:val="000000" w:themeColor="text1"/>
          <w:sz w:val="20"/>
          <w:szCs w:val="20"/>
        </w:rPr>
        <w:t>ection of the family</w:t>
      </w:r>
      <w:r w:rsidRPr="00113C7D">
        <w:rPr>
          <w:bCs/>
          <w:color w:val="000000" w:themeColor="text1"/>
          <w:sz w:val="20"/>
          <w:szCs w:val="20"/>
        </w:rPr>
        <w:t>), 19 (</w:t>
      </w:r>
      <w:r>
        <w:rPr>
          <w:bCs/>
          <w:color w:val="000000" w:themeColor="text1"/>
          <w:sz w:val="20"/>
          <w:szCs w:val="20"/>
        </w:rPr>
        <w:t>rights of the child</w:t>
      </w:r>
      <w:r w:rsidRPr="00113C7D">
        <w:rPr>
          <w:bCs/>
          <w:color w:val="000000" w:themeColor="text1"/>
          <w:sz w:val="20"/>
          <w:szCs w:val="20"/>
        </w:rPr>
        <w:t>), 25 (judicial</w:t>
      </w:r>
      <w:r>
        <w:rPr>
          <w:bCs/>
          <w:color w:val="000000" w:themeColor="text1"/>
          <w:sz w:val="20"/>
          <w:szCs w:val="20"/>
        </w:rPr>
        <w:t xml:space="preserve"> protection</w:t>
      </w:r>
      <w:r w:rsidRPr="00113C7D">
        <w:rPr>
          <w:bCs/>
          <w:color w:val="000000" w:themeColor="text1"/>
          <w:sz w:val="20"/>
          <w:szCs w:val="20"/>
        </w:rPr>
        <w:t>)</w:t>
      </w:r>
      <w:r>
        <w:rPr>
          <w:bCs/>
          <w:color w:val="000000" w:themeColor="text1"/>
          <w:sz w:val="20"/>
          <w:szCs w:val="20"/>
        </w:rPr>
        <w:t>, and</w:t>
      </w:r>
      <w:r w:rsidRPr="00113C7D">
        <w:rPr>
          <w:bCs/>
          <w:color w:val="000000" w:themeColor="text1"/>
          <w:sz w:val="20"/>
          <w:szCs w:val="20"/>
        </w:rPr>
        <w:t xml:space="preserve"> 26 (</w:t>
      </w:r>
      <w:r>
        <w:rPr>
          <w:bCs/>
          <w:color w:val="000000" w:themeColor="text1"/>
          <w:sz w:val="20"/>
          <w:szCs w:val="20"/>
        </w:rPr>
        <w:t>economic, social, cultural, and environmental rights) of the American Convention, all in conjunction with its Article</w:t>
      </w:r>
      <w:r w:rsidR="00B10F40">
        <w:rPr>
          <w:bCs/>
          <w:color w:val="000000" w:themeColor="text1"/>
          <w:sz w:val="20"/>
          <w:szCs w:val="20"/>
        </w:rPr>
        <w:t>s</w:t>
      </w:r>
      <w:r>
        <w:rPr>
          <w:bCs/>
          <w:color w:val="000000" w:themeColor="text1"/>
          <w:sz w:val="20"/>
          <w:szCs w:val="20"/>
        </w:rPr>
        <w:t xml:space="preserve"> </w:t>
      </w:r>
      <w:r w:rsidRPr="00113C7D">
        <w:rPr>
          <w:bCs/>
          <w:color w:val="000000" w:themeColor="text1"/>
          <w:sz w:val="20"/>
          <w:szCs w:val="20"/>
        </w:rPr>
        <w:t>1</w:t>
      </w:r>
      <w:r>
        <w:rPr>
          <w:bCs/>
          <w:color w:val="000000" w:themeColor="text1"/>
          <w:sz w:val="20"/>
          <w:szCs w:val="20"/>
        </w:rPr>
        <w:t>(</w:t>
      </w:r>
      <w:r w:rsidRPr="00113C7D">
        <w:rPr>
          <w:rFonts w:asciiTheme="majorHAnsi" w:hAnsiTheme="majorHAnsi"/>
          <w:sz w:val="20"/>
          <w:szCs w:val="20"/>
        </w:rPr>
        <w:t>1</w:t>
      </w:r>
      <w:r>
        <w:rPr>
          <w:rFonts w:asciiTheme="majorHAnsi" w:hAnsiTheme="majorHAnsi"/>
          <w:sz w:val="20"/>
          <w:szCs w:val="20"/>
        </w:rPr>
        <w:t>)</w:t>
      </w:r>
      <w:r w:rsidRPr="00113C7D">
        <w:rPr>
          <w:rFonts w:asciiTheme="majorHAnsi" w:hAnsiTheme="majorHAnsi"/>
          <w:sz w:val="20"/>
          <w:szCs w:val="20"/>
        </w:rPr>
        <w:t xml:space="preserve"> (ob</w:t>
      </w:r>
      <w:r>
        <w:rPr>
          <w:rFonts w:asciiTheme="majorHAnsi" w:hAnsiTheme="majorHAnsi"/>
          <w:sz w:val="20"/>
          <w:szCs w:val="20"/>
        </w:rPr>
        <w:t>ligation to respect the rights</w:t>
      </w:r>
      <w:r w:rsidRPr="00113C7D">
        <w:rPr>
          <w:rFonts w:asciiTheme="majorHAnsi" w:hAnsiTheme="majorHAnsi"/>
          <w:sz w:val="20"/>
          <w:szCs w:val="20"/>
        </w:rPr>
        <w:t>)</w:t>
      </w:r>
      <w:r w:rsidR="00B10F40">
        <w:rPr>
          <w:rFonts w:asciiTheme="majorHAnsi" w:hAnsiTheme="majorHAnsi"/>
          <w:sz w:val="20"/>
          <w:szCs w:val="20"/>
        </w:rPr>
        <w:t xml:space="preserve"> and 2 (domestic legal effects)</w:t>
      </w:r>
      <w:r w:rsidRPr="00113C7D">
        <w:rPr>
          <w:rFonts w:asciiTheme="majorHAnsi" w:hAnsiTheme="majorHAnsi"/>
          <w:sz w:val="20"/>
          <w:szCs w:val="20"/>
        </w:rPr>
        <w:t xml:space="preserve">, </w:t>
      </w:r>
      <w:r>
        <w:rPr>
          <w:rFonts w:asciiTheme="majorHAnsi" w:hAnsiTheme="majorHAnsi"/>
          <w:sz w:val="20"/>
          <w:szCs w:val="20"/>
        </w:rPr>
        <w:t xml:space="preserve">as well as Article </w:t>
      </w:r>
      <w:r w:rsidRPr="00113C7D">
        <w:rPr>
          <w:rFonts w:asciiTheme="majorHAnsi" w:hAnsiTheme="majorHAnsi"/>
          <w:sz w:val="20"/>
          <w:szCs w:val="20"/>
        </w:rPr>
        <w:t>13 (educa</w:t>
      </w:r>
      <w:r>
        <w:rPr>
          <w:rFonts w:asciiTheme="majorHAnsi" w:hAnsiTheme="majorHAnsi"/>
          <w:sz w:val="20"/>
          <w:szCs w:val="20"/>
        </w:rPr>
        <w:t>tion</w:t>
      </w:r>
      <w:r w:rsidRPr="00113C7D">
        <w:rPr>
          <w:rFonts w:asciiTheme="majorHAnsi" w:hAnsiTheme="majorHAnsi"/>
          <w:sz w:val="20"/>
          <w:szCs w:val="20"/>
        </w:rPr>
        <w:t xml:space="preserve">) </w:t>
      </w:r>
      <w:r>
        <w:rPr>
          <w:rFonts w:asciiTheme="majorHAnsi" w:hAnsiTheme="majorHAnsi"/>
          <w:sz w:val="20"/>
          <w:szCs w:val="20"/>
        </w:rPr>
        <w:t xml:space="preserve">of the </w:t>
      </w:r>
      <w:r w:rsidRPr="00113C7D">
        <w:rPr>
          <w:rFonts w:asciiTheme="majorHAnsi" w:hAnsiTheme="majorHAnsi"/>
          <w:sz w:val="20"/>
          <w:szCs w:val="20"/>
        </w:rPr>
        <w:t>Protocol</w:t>
      </w:r>
      <w:r>
        <w:rPr>
          <w:rFonts w:asciiTheme="majorHAnsi" w:hAnsiTheme="majorHAnsi"/>
          <w:sz w:val="20"/>
          <w:szCs w:val="20"/>
        </w:rPr>
        <w:t xml:space="preserve"> of</w:t>
      </w:r>
      <w:r w:rsidRPr="00113C7D">
        <w:rPr>
          <w:rFonts w:asciiTheme="majorHAnsi" w:hAnsiTheme="majorHAnsi"/>
          <w:sz w:val="20"/>
          <w:szCs w:val="20"/>
        </w:rPr>
        <w:t xml:space="preserve"> San Salvador, </w:t>
      </w:r>
      <w:r>
        <w:rPr>
          <w:rFonts w:asciiTheme="majorHAnsi" w:hAnsiTheme="majorHAnsi"/>
          <w:sz w:val="20"/>
          <w:szCs w:val="20"/>
        </w:rPr>
        <w:t xml:space="preserve">to the detriment of the adolescents detained at </w:t>
      </w:r>
      <w:r w:rsidR="003E136D">
        <w:rPr>
          <w:rFonts w:asciiTheme="majorHAnsi" w:hAnsiTheme="majorHAnsi"/>
          <w:sz w:val="20"/>
          <w:szCs w:val="20"/>
        </w:rPr>
        <w:t xml:space="preserve">the </w:t>
      </w:r>
      <w:r w:rsidRPr="00113C7D">
        <w:rPr>
          <w:rFonts w:asciiTheme="majorHAnsi" w:hAnsiTheme="majorHAnsi"/>
          <w:sz w:val="20"/>
          <w:szCs w:val="20"/>
        </w:rPr>
        <w:t>CRSSJ, CEAD Lindeia, CSEST</w:t>
      </w:r>
      <w:r>
        <w:rPr>
          <w:rFonts w:asciiTheme="majorHAnsi" w:hAnsiTheme="majorHAnsi"/>
          <w:sz w:val="20"/>
          <w:szCs w:val="20"/>
        </w:rPr>
        <w:t>,</w:t>
      </w:r>
      <w:r w:rsidRPr="00113C7D">
        <w:rPr>
          <w:rFonts w:asciiTheme="majorHAnsi" w:hAnsiTheme="majorHAnsi"/>
          <w:sz w:val="20"/>
          <w:szCs w:val="20"/>
        </w:rPr>
        <w:t xml:space="preserve"> </w:t>
      </w:r>
      <w:r>
        <w:rPr>
          <w:rFonts w:asciiTheme="majorHAnsi" w:hAnsiTheme="majorHAnsi"/>
          <w:sz w:val="20"/>
          <w:szCs w:val="20"/>
        </w:rPr>
        <w:t xml:space="preserve">and </w:t>
      </w:r>
      <w:r w:rsidRPr="00113C7D">
        <w:rPr>
          <w:rFonts w:asciiTheme="majorHAnsi" w:hAnsiTheme="majorHAnsi"/>
          <w:sz w:val="20"/>
          <w:szCs w:val="20"/>
        </w:rPr>
        <w:t xml:space="preserve">CSE Santa Clara, </w:t>
      </w:r>
      <w:r>
        <w:rPr>
          <w:rFonts w:asciiTheme="majorHAnsi" w:hAnsiTheme="majorHAnsi"/>
          <w:sz w:val="20"/>
          <w:szCs w:val="20"/>
        </w:rPr>
        <w:t xml:space="preserve">in the terms of this report. </w:t>
      </w:r>
    </w:p>
    <w:bookmarkEnd w:id="1"/>
    <w:p w14:paraId="2D9AD55B" w14:textId="77777777" w:rsidR="00055C99" w:rsidRPr="00113C7D" w:rsidRDefault="00055C99" w:rsidP="00055C99">
      <w:pPr>
        <w:pStyle w:val="ListParagraph"/>
        <w:ind w:left="0" w:firstLine="720"/>
        <w:jc w:val="both"/>
        <w:rPr>
          <w:rFonts w:asciiTheme="majorHAnsi" w:hAnsiTheme="majorHAnsi"/>
          <w:b/>
          <w:bCs/>
          <w:color w:val="000000" w:themeColor="text1"/>
          <w:sz w:val="20"/>
          <w:szCs w:val="20"/>
        </w:rPr>
      </w:pPr>
      <w:r w:rsidRPr="00113C7D">
        <w:rPr>
          <w:rFonts w:asciiTheme="majorHAnsi" w:hAnsiTheme="majorHAnsi"/>
          <w:b/>
          <w:bCs/>
          <w:color w:val="000000" w:themeColor="text1"/>
          <w:sz w:val="20"/>
          <w:szCs w:val="20"/>
        </w:rPr>
        <w:t xml:space="preserve">IX. </w:t>
      </w:r>
      <w:r w:rsidRPr="00113C7D">
        <w:rPr>
          <w:rFonts w:asciiTheme="majorHAnsi" w:hAnsiTheme="majorHAnsi"/>
          <w:b/>
          <w:bCs/>
          <w:color w:val="000000" w:themeColor="text1"/>
          <w:sz w:val="20"/>
          <w:szCs w:val="20"/>
        </w:rPr>
        <w:tab/>
        <w:t>DECIS</w:t>
      </w:r>
      <w:r>
        <w:rPr>
          <w:rFonts w:asciiTheme="majorHAnsi" w:hAnsiTheme="majorHAnsi"/>
          <w:b/>
          <w:bCs/>
          <w:color w:val="000000" w:themeColor="text1"/>
          <w:sz w:val="20"/>
          <w:szCs w:val="20"/>
        </w:rPr>
        <w:t>ION</w:t>
      </w:r>
    </w:p>
    <w:p w14:paraId="27F7D163" w14:textId="77777777" w:rsidR="00055C99" w:rsidRPr="00113C7D" w:rsidRDefault="00055C99" w:rsidP="00055C9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rPr>
      </w:pPr>
    </w:p>
    <w:p w14:paraId="692887D2" w14:textId="410FC679" w:rsidR="00055C99" w:rsidRPr="00113C7D" w:rsidRDefault="00055C99" w:rsidP="00055C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To declare the instant petition admitted in relation to Articles </w:t>
      </w:r>
      <w:r w:rsidRPr="00113C7D">
        <w:rPr>
          <w:rFonts w:asciiTheme="majorHAnsi" w:hAnsiTheme="majorHAnsi"/>
          <w:sz w:val="20"/>
          <w:szCs w:val="20"/>
        </w:rPr>
        <w:t>5, 8, 17, 19, 25</w:t>
      </w:r>
      <w:r>
        <w:rPr>
          <w:rFonts w:asciiTheme="majorHAnsi" w:hAnsiTheme="majorHAnsi"/>
          <w:sz w:val="20"/>
          <w:szCs w:val="20"/>
        </w:rPr>
        <w:t>, and</w:t>
      </w:r>
      <w:r w:rsidRPr="00113C7D">
        <w:rPr>
          <w:rFonts w:asciiTheme="majorHAnsi" w:hAnsiTheme="majorHAnsi"/>
          <w:sz w:val="20"/>
          <w:szCs w:val="20"/>
        </w:rPr>
        <w:t xml:space="preserve"> 26 </w:t>
      </w:r>
      <w:r>
        <w:rPr>
          <w:rFonts w:asciiTheme="majorHAnsi" w:hAnsiTheme="majorHAnsi"/>
          <w:sz w:val="20"/>
          <w:szCs w:val="20"/>
        </w:rPr>
        <w:t xml:space="preserve">of the American Convention, related to Articles </w:t>
      </w:r>
      <w:r w:rsidRPr="00113C7D">
        <w:rPr>
          <w:rFonts w:asciiTheme="majorHAnsi" w:hAnsiTheme="majorHAnsi"/>
          <w:sz w:val="20"/>
          <w:szCs w:val="20"/>
        </w:rPr>
        <w:t>1</w:t>
      </w:r>
      <w:r>
        <w:rPr>
          <w:rFonts w:asciiTheme="majorHAnsi" w:hAnsiTheme="majorHAnsi"/>
          <w:sz w:val="20"/>
          <w:szCs w:val="20"/>
        </w:rPr>
        <w:t>(</w:t>
      </w:r>
      <w:r w:rsidRPr="00113C7D">
        <w:rPr>
          <w:rFonts w:asciiTheme="majorHAnsi" w:hAnsiTheme="majorHAnsi"/>
          <w:sz w:val="20"/>
          <w:szCs w:val="20"/>
        </w:rPr>
        <w:t>1</w:t>
      </w:r>
      <w:r>
        <w:rPr>
          <w:rFonts w:asciiTheme="majorHAnsi" w:hAnsiTheme="majorHAnsi"/>
          <w:sz w:val="20"/>
          <w:szCs w:val="20"/>
        </w:rPr>
        <w:t>) and</w:t>
      </w:r>
      <w:r w:rsidRPr="00113C7D">
        <w:rPr>
          <w:rFonts w:asciiTheme="majorHAnsi" w:hAnsiTheme="majorHAnsi"/>
          <w:sz w:val="20"/>
          <w:szCs w:val="20"/>
        </w:rPr>
        <w:t xml:space="preserve"> 2; </w:t>
      </w:r>
      <w:r>
        <w:rPr>
          <w:rFonts w:asciiTheme="majorHAnsi" w:hAnsiTheme="majorHAnsi"/>
          <w:sz w:val="20"/>
          <w:szCs w:val="20"/>
        </w:rPr>
        <w:t xml:space="preserve">and Article </w:t>
      </w:r>
      <w:r w:rsidRPr="00113C7D">
        <w:rPr>
          <w:rFonts w:asciiTheme="majorHAnsi" w:hAnsiTheme="majorHAnsi"/>
          <w:sz w:val="20"/>
          <w:szCs w:val="20"/>
        </w:rPr>
        <w:t xml:space="preserve">13 </w:t>
      </w:r>
      <w:r>
        <w:rPr>
          <w:rFonts w:asciiTheme="majorHAnsi" w:hAnsiTheme="majorHAnsi"/>
          <w:sz w:val="20"/>
          <w:szCs w:val="20"/>
        </w:rPr>
        <w:t xml:space="preserve">of the Protocol of </w:t>
      </w:r>
      <w:r w:rsidRPr="00113C7D">
        <w:rPr>
          <w:rFonts w:asciiTheme="majorHAnsi" w:hAnsiTheme="majorHAnsi"/>
          <w:sz w:val="20"/>
          <w:szCs w:val="20"/>
        </w:rPr>
        <w:t>San Salvador</w:t>
      </w:r>
      <w:r w:rsidR="00A05D65">
        <w:rPr>
          <w:rFonts w:asciiTheme="majorHAnsi" w:hAnsiTheme="majorHAnsi"/>
          <w:sz w:val="20"/>
          <w:szCs w:val="20"/>
        </w:rPr>
        <w:t>.</w:t>
      </w:r>
    </w:p>
    <w:p w14:paraId="52EF80B8" w14:textId="77777777" w:rsidR="00055C99" w:rsidRPr="00113C7D" w:rsidRDefault="00055C99" w:rsidP="00055C9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rPr>
      </w:pPr>
    </w:p>
    <w:p w14:paraId="5B107D70" w14:textId="77777777" w:rsidR="000F3758" w:rsidRDefault="00055C99" w:rsidP="00055C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rPr>
        <w:t>To notify the parties of this decision, continue with the analysis on the merits, publish the decision, and includ</w:t>
      </w:r>
      <w:r w:rsidR="0004774D">
        <w:rPr>
          <w:rFonts w:asciiTheme="majorHAnsi" w:hAnsiTheme="majorHAnsi"/>
          <w:color w:val="000000" w:themeColor="text1"/>
          <w:sz w:val="20"/>
          <w:szCs w:val="20"/>
        </w:rPr>
        <w:t>e</w:t>
      </w:r>
      <w:r>
        <w:rPr>
          <w:rFonts w:asciiTheme="majorHAnsi" w:hAnsiTheme="majorHAnsi"/>
          <w:color w:val="000000" w:themeColor="text1"/>
          <w:sz w:val="20"/>
          <w:szCs w:val="20"/>
        </w:rPr>
        <w:t xml:space="preserve"> it in its Annual Report to the General Assembly of the Organization of American States</w:t>
      </w:r>
      <w:r w:rsidRPr="00113C7D">
        <w:rPr>
          <w:rFonts w:asciiTheme="majorHAnsi" w:hAnsiTheme="majorHAnsi"/>
          <w:color w:val="000000" w:themeColor="text1"/>
          <w:sz w:val="20"/>
          <w:szCs w:val="20"/>
        </w:rPr>
        <w:t>.</w:t>
      </w:r>
    </w:p>
    <w:p w14:paraId="22A9229B" w14:textId="77777777" w:rsidR="000F3758" w:rsidRDefault="000F3758" w:rsidP="000F3758">
      <w:pPr>
        <w:pStyle w:val="ListParagraph"/>
        <w:rPr>
          <w:rFonts w:asciiTheme="majorHAnsi" w:hAnsiTheme="majorHAnsi"/>
          <w:color w:val="000000" w:themeColor="text1"/>
          <w:sz w:val="20"/>
          <w:szCs w:val="20"/>
        </w:rPr>
      </w:pPr>
    </w:p>
    <w:p w14:paraId="4DA163E2" w14:textId="61B71FD7" w:rsidR="000F3758" w:rsidRDefault="000F3758" w:rsidP="000F375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4574B9">
        <w:rPr>
          <w:rFonts w:ascii="Cambria" w:hAnsi="Cambria"/>
          <w:spacing w:val="-2"/>
          <w:sz w:val="20"/>
        </w:rPr>
        <w:t>12</w:t>
      </w:r>
      <w:r w:rsidR="00295717" w:rsidRPr="00295717">
        <w:rPr>
          <w:rFonts w:ascii="Cambria" w:hAnsi="Cambria"/>
          <w:spacing w:val="-2"/>
          <w:sz w:val="20"/>
          <w:vertAlign w:val="superscript"/>
        </w:rPr>
        <w:t>th</w:t>
      </w:r>
      <w:r w:rsidR="00295717">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295717">
        <w:rPr>
          <w:rFonts w:ascii="Cambria" w:hAnsi="Cambria"/>
          <w:spacing w:val="-2"/>
          <w:sz w:val="20"/>
        </w:rPr>
        <w:t>July</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381AB32" w14:textId="77777777" w:rsidR="000F3758" w:rsidRPr="00CA3324" w:rsidRDefault="000F3758" w:rsidP="000F3758">
      <w:pPr>
        <w:suppressAutoHyphens/>
        <w:ind w:firstLine="720"/>
        <w:jc w:val="both"/>
        <w:rPr>
          <w:rFonts w:ascii="Cambria" w:hAnsi="Cambria"/>
          <w:spacing w:val="-2"/>
          <w:sz w:val="20"/>
        </w:rPr>
      </w:pPr>
    </w:p>
    <w:p w14:paraId="12E22C17" w14:textId="77777777" w:rsidR="00C64C85" w:rsidRPr="00900079" w:rsidRDefault="00C64C85" w:rsidP="001D20AE">
      <w:pPr>
        <w:tabs>
          <w:tab w:val="center" w:pos="5400"/>
        </w:tabs>
        <w:suppressAutoHyphens/>
        <w:spacing w:line="276" w:lineRule="auto"/>
        <w:jc w:val="center"/>
        <w:rPr>
          <w:rFonts w:asciiTheme="majorHAnsi" w:hAnsiTheme="majorHAnsi"/>
          <w:sz w:val="20"/>
          <w:szCs w:val="20"/>
        </w:rPr>
      </w:pPr>
    </w:p>
    <w:sectPr w:rsidR="00C64C85" w:rsidRPr="00900079"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C1C2" w14:textId="77777777" w:rsidR="00955FBD" w:rsidRDefault="00955FBD" w:rsidP="00036A8A">
      <w:r>
        <w:separator/>
      </w:r>
    </w:p>
  </w:endnote>
  <w:endnote w:type="continuationSeparator" w:id="0">
    <w:p w14:paraId="129B15D5" w14:textId="77777777" w:rsidR="00955FBD" w:rsidRDefault="00955FB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3A21" w14:textId="77777777" w:rsidR="00955FBD" w:rsidRPr="00036A8A" w:rsidRDefault="00955FB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230080A" w14:textId="77777777" w:rsidR="00955FBD" w:rsidRPr="00036A8A" w:rsidRDefault="00955FBD" w:rsidP="00036A8A">
      <w:pPr>
        <w:rPr>
          <w:rFonts w:asciiTheme="majorHAnsi" w:hAnsiTheme="majorHAnsi"/>
          <w:sz w:val="16"/>
          <w:szCs w:val="16"/>
        </w:rPr>
      </w:pPr>
      <w:r w:rsidRPr="00036A8A">
        <w:rPr>
          <w:rFonts w:asciiTheme="majorHAnsi" w:hAnsiTheme="majorHAnsi"/>
          <w:sz w:val="16"/>
          <w:szCs w:val="16"/>
        </w:rPr>
        <w:separator/>
      </w:r>
    </w:p>
    <w:p w14:paraId="57B12E70" w14:textId="77777777" w:rsidR="00955FBD" w:rsidRPr="00036A8A" w:rsidRDefault="00955FB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9C139A6" w14:textId="77777777" w:rsidR="00955FBD" w:rsidRPr="0093441A" w:rsidRDefault="00955FB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204A69A" w14:textId="77777777" w:rsidR="003A0AEA" w:rsidRPr="00AE2CDF" w:rsidRDefault="003A0AEA" w:rsidP="004174B2">
      <w:pPr>
        <w:pStyle w:val="FootnoteText"/>
        <w:ind w:firstLine="720"/>
        <w:jc w:val="both"/>
        <w:rPr>
          <w:rFonts w:asciiTheme="majorHAnsi" w:hAnsiTheme="majorHAnsi"/>
          <w:sz w:val="16"/>
          <w:szCs w:val="16"/>
        </w:rPr>
      </w:pPr>
      <w:r w:rsidRPr="00AE2CDF">
        <w:rPr>
          <w:rStyle w:val="FootnoteReference"/>
          <w:rFonts w:asciiTheme="majorHAnsi" w:hAnsiTheme="majorHAnsi"/>
          <w:sz w:val="16"/>
          <w:szCs w:val="16"/>
        </w:rPr>
        <w:footnoteRef/>
      </w:r>
      <w:r w:rsidRPr="00AE2CDF">
        <w:rPr>
          <w:rFonts w:asciiTheme="majorHAnsi" w:hAnsiTheme="majorHAnsi"/>
          <w:sz w:val="16"/>
          <w:szCs w:val="16"/>
        </w:rPr>
        <w:t xml:space="preserve"> </w:t>
      </w:r>
      <w:r>
        <w:rPr>
          <w:rFonts w:asciiTheme="majorHAnsi" w:hAnsiTheme="majorHAnsi"/>
          <w:sz w:val="16"/>
          <w:szCs w:val="16"/>
        </w:rPr>
        <w:t xml:space="preserve">Hereinafter the </w:t>
      </w:r>
      <w:r w:rsidRPr="00AE2CDF">
        <w:rPr>
          <w:rFonts w:asciiTheme="majorHAnsi" w:hAnsiTheme="majorHAnsi"/>
          <w:sz w:val="16"/>
          <w:szCs w:val="16"/>
        </w:rPr>
        <w:t>“</w:t>
      </w:r>
      <w:r>
        <w:rPr>
          <w:rFonts w:asciiTheme="majorHAnsi" w:hAnsiTheme="majorHAnsi"/>
          <w:sz w:val="16"/>
          <w:szCs w:val="16"/>
        </w:rPr>
        <w:t>American Convention</w:t>
      </w:r>
      <w:r w:rsidRPr="00AE2CDF">
        <w:rPr>
          <w:rFonts w:asciiTheme="majorHAnsi" w:hAnsiTheme="majorHAnsi"/>
          <w:sz w:val="16"/>
          <w:szCs w:val="16"/>
        </w:rPr>
        <w:t>” o</w:t>
      </w:r>
      <w:r>
        <w:rPr>
          <w:rFonts w:asciiTheme="majorHAnsi" w:hAnsiTheme="majorHAnsi"/>
          <w:sz w:val="16"/>
          <w:szCs w:val="16"/>
        </w:rPr>
        <w:t>r</w:t>
      </w:r>
      <w:r w:rsidRPr="00AE2CDF">
        <w:rPr>
          <w:rFonts w:asciiTheme="majorHAnsi" w:hAnsiTheme="majorHAnsi"/>
          <w:sz w:val="16"/>
          <w:szCs w:val="16"/>
        </w:rPr>
        <w:t xml:space="preserve"> “</w:t>
      </w:r>
      <w:r>
        <w:rPr>
          <w:rFonts w:asciiTheme="majorHAnsi" w:hAnsiTheme="majorHAnsi"/>
          <w:sz w:val="16"/>
          <w:szCs w:val="16"/>
        </w:rPr>
        <w:t>the Convention.</w:t>
      </w:r>
      <w:r w:rsidRPr="00AE2CDF">
        <w:rPr>
          <w:rFonts w:asciiTheme="majorHAnsi" w:hAnsiTheme="majorHAnsi"/>
          <w:sz w:val="16"/>
          <w:szCs w:val="16"/>
        </w:rPr>
        <w:t>”</w:t>
      </w:r>
    </w:p>
  </w:footnote>
  <w:footnote w:id="3">
    <w:p w14:paraId="28B2875F" w14:textId="1364DBAD" w:rsidR="004174B2" w:rsidRPr="000B6B7A" w:rsidRDefault="004174B2" w:rsidP="004174B2">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796307">
        <w:rPr>
          <w:rFonts w:ascii="Cambria" w:hAnsi="Cambria"/>
          <w:sz w:val="16"/>
          <w:szCs w:val="16"/>
        </w:rPr>
        <w:t xml:space="preserve">Each party’s </w:t>
      </w:r>
      <w:r>
        <w:rPr>
          <w:rFonts w:ascii="Cambria" w:hAnsi="Cambria"/>
          <w:sz w:val="16"/>
          <w:szCs w:val="16"/>
        </w:rPr>
        <w:t xml:space="preserve">observations were duly </w:t>
      </w:r>
      <w:r w:rsidR="00796307">
        <w:rPr>
          <w:rFonts w:ascii="Cambria" w:hAnsi="Cambria"/>
          <w:sz w:val="16"/>
          <w:szCs w:val="16"/>
        </w:rPr>
        <w:t xml:space="preserve">forwarded </w:t>
      </w:r>
      <w:r>
        <w:rPr>
          <w:rFonts w:ascii="Cambria" w:hAnsi="Cambria"/>
          <w:sz w:val="16"/>
          <w:szCs w:val="16"/>
        </w:rPr>
        <w:t xml:space="preserve">to the </w:t>
      </w:r>
      <w:r w:rsidR="00796307">
        <w:rPr>
          <w:rFonts w:ascii="Cambria" w:hAnsi="Cambria"/>
          <w:sz w:val="16"/>
          <w:szCs w:val="16"/>
        </w:rPr>
        <w:t xml:space="preserve">other </w:t>
      </w:r>
      <w:r>
        <w:rPr>
          <w:rFonts w:ascii="Cambria" w:hAnsi="Cambria"/>
          <w:sz w:val="16"/>
          <w:szCs w:val="16"/>
        </w:rPr>
        <w:t>party.</w:t>
      </w:r>
    </w:p>
  </w:footnote>
  <w:footnote w:id="4">
    <w:p w14:paraId="68CB82D9" w14:textId="07DB97D0" w:rsidR="00055C99" w:rsidRPr="003A474A" w:rsidRDefault="00055C99" w:rsidP="00055C99">
      <w:pPr>
        <w:tabs>
          <w:tab w:val="left" w:pos="0"/>
        </w:tabs>
        <w:ind w:firstLine="709"/>
        <w:jc w:val="both"/>
        <w:rPr>
          <w:rFonts w:asciiTheme="majorHAnsi" w:hAnsiTheme="majorHAnsi"/>
          <w:sz w:val="16"/>
          <w:szCs w:val="16"/>
        </w:rPr>
      </w:pPr>
      <w:r w:rsidRPr="003A474A">
        <w:rPr>
          <w:rStyle w:val="FootnoteReference"/>
          <w:rFonts w:asciiTheme="majorHAnsi" w:hAnsiTheme="majorHAnsi"/>
          <w:sz w:val="16"/>
          <w:szCs w:val="16"/>
        </w:rPr>
        <w:footnoteRef/>
      </w:r>
      <w:r w:rsidRPr="003A474A">
        <w:rPr>
          <w:rFonts w:asciiTheme="majorHAnsi" w:hAnsiTheme="majorHAnsi"/>
          <w:sz w:val="16"/>
          <w:szCs w:val="16"/>
        </w:rPr>
        <w:t xml:space="preserve"> </w:t>
      </w:r>
      <w:r>
        <w:rPr>
          <w:rFonts w:asciiTheme="majorHAnsi" w:hAnsiTheme="majorHAnsi"/>
          <w:sz w:val="16"/>
          <w:szCs w:val="16"/>
        </w:rPr>
        <w:t xml:space="preserve">In this regard, see, for example, IACHR, Report </w:t>
      </w:r>
      <w:r w:rsidRPr="003A474A">
        <w:rPr>
          <w:rFonts w:asciiTheme="majorHAnsi" w:hAnsiTheme="majorHAnsi"/>
          <w:sz w:val="16"/>
          <w:szCs w:val="16"/>
        </w:rPr>
        <w:t>No. 341/21. Peti</w:t>
      </w:r>
      <w:r>
        <w:rPr>
          <w:rFonts w:asciiTheme="majorHAnsi" w:hAnsiTheme="majorHAnsi"/>
          <w:sz w:val="16"/>
          <w:szCs w:val="16"/>
        </w:rPr>
        <w:t>tion</w:t>
      </w:r>
      <w:r w:rsidRPr="003A474A">
        <w:rPr>
          <w:rFonts w:asciiTheme="majorHAnsi" w:hAnsiTheme="majorHAnsi"/>
          <w:sz w:val="16"/>
          <w:szCs w:val="16"/>
        </w:rPr>
        <w:t xml:space="preserve"> 441-10. Admis</w:t>
      </w:r>
      <w:r>
        <w:rPr>
          <w:rFonts w:asciiTheme="majorHAnsi" w:hAnsiTheme="majorHAnsi"/>
          <w:sz w:val="16"/>
          <w:szCs w:val="16"/>
        </w:rPr>
        <w:t>s</w:t>
      </w:r>
      <w:r w:rsidRPr="003A474A">
        <w:rPr>
          <w:rFonts w:asciiTheme="majorHAnsi" w:hAnsiTheme="majorHAnsi"/>
          <w:sz w:val="16"/>
          <w:szCs w:val="16"/>
        </w:rPr>
        <w:t>ibili</w:t>
      </w:r>
      <w:r>
        <w:rPr>
          <w:rFonts w:asciiTheme="majorHAnsi" w:hAnsiTheme="majorHAnsi"/>
          <w:sz w:val="16"/>
          <w:szCs w:val="16"/>
        </w:rPr>
        <w:t>ty</w:t>
      </w:r>
      <w:r w:rsidRPr="003A474A">
        <w:rPr>
          <w:rFonts w:asciiTheme="majorHAnsi" w:hAnsiTheme="majorHAnsi"/>
          <w:sz w:val="16"/>
          <w:szCs w:val="16"/>
        </w:rPr>
        <w:t xml:space="preserve">. </w:t>
      </w:r>
      <w:r>
        <w:rPr>
          <w:rFonts w:asciiTheme="majorHAnsi" w:hAnsiTheme="majorHAnsi"/>
          <w:sz w:val="16"/>
          <w:szCs w:val="16"/>
        </w:rPr>
        <w:t xml:space="preserve">Persons deprived of </w:t>
      </w:r>
      <w:r w:rsidR="00E64ECF">
        <w:rPr>
          <w:rFonts w:asciiTheme="majorHAnsi" w:hAnsiTheme="majorHAnsi"/>
          <w:sz w:val="16"/>
          <w:szCs w:val="16"/>
        </w:rPr>
        <w:t xml:space="preserve">their </w:t>
      </w:r>
      <w:r>
        <w:rPr>
          <w:rFonts w:asciiTheme="majorHAnsi" w:hAnsiTheme="majorHAnsi"/>
          <w:sz w:val="16"/>
          <w:szCs w:val="16"/>
        </w:rPr>
        <w:t xml:space="preserve">liberty in public </w:t>
      </w:r>
      <w:r w:rsidR="00E64ECF">
        <w:rPr>
          <w:rFonts w:asciiTheme="majorHAnsi" w:hAnsiTheme="majorHAnsi"/>
          <w:sz w:val="16"/>
          <w:szCs w:val="16"/>
        </w:rPr>
        <w:t xml:space="preserve">prisons </w:t>
      </w:r>
      <w:r>
        <w:rPr>
          <w:rFonts w:asciiTheme="majorHAnsi" w:hAnsiTheme="majorHAnsi"/>
          <w:sz w:val="16"/>
          <w:szCs w:val="16"/>
        </w:rPr>
        <w:t xml:space="preserve">in Minas Gerais. </w:t>
      </w:r>
      <w:r w:rsidRPr="003A474A">
        <w:rPr>
          <w:rFonts w:asciiTheme="majorHAnsi" w:hAnsiTheme="majorHAnsi"/>
          <w:sz w:val="16"/>
          <w:szCs w:val="16"/>
        </w:rPr>
        <w:t>Bra</w:t>
      </w:r>
      <w:r>
        <w:rPr>
          <w:rFonts w:asciiTheme="majorHAnsi" w:hAnsiTheme="majorHAnsi"/>
          <w:sz w:val="16"/>
          <w:szCs w:val="16"/>
        </w:rPr>
        <w:t>z</w:t>
      </w:r>
      <w:r w:rsidRPr="003A474A">
        <w:rPr>
          <w:rFonts w:asciiTheme="majorHAnsi" w:hAnsiTheme="majorHAnsi"/>
          <w:sz w:val="16"/>
          <w:szCs w:val="16"/>
        </w:rPr>
        <w:t xml:space="preserve">il. </w:t>
      </w:r>
      <w:r>
        <w:rPr>
          <w:rFonts w:asciiTheme="majorHAnsi" w:hAnsiTheme="majorHAnsi"/>
          <w:sz w:val="16"/>
          <w:szCs w:val="16"/>
        </w:rPr>
        <w:t xml:space="preserve">November </w:t>
      </w:r>
      <w:r w:rsidRPr="003A474A">
        <w:rPr>
          <w:rFonts w:asciiTheme="majorHAnsi" w:hAnsiTheme="majorHAnsi"/>
          <w:sz w:val="16"/>
          <w:szCs w:val="16"/>
        </w:rPr>
        <w:t>22</w:t>
      </w:r>
      <w:r>
        <w:rPr>
          <w:rFonts w:asciiTheme="majorHAnsi" w:hAnsiTheme="majorHAnsi"/>
          <w:sz w:val="16"/>
          <w:szCs w:val="16"/>
        </w:rPr>
        <w:t>,</w:t>
      </w:r>
      <w:r w:rsidRPr="003A474A">
        <w:rPr>
          <w:rFonts w:asciiTheme="majorHAnsi" w:hAnsiTheme="majorHAnsi"/>
          <w:sz w:val="16"/>
          <w:szCs w:val="16"/>
        </w:rPr>
        <w:t xml:space="preserve"> 2021; </w:t>
      </w:r>
      <w:r>
        <w:rPr>
          <w:rFonts w:asciiTheme="majorHAnsi" w:hAnsiTheme="majorHAnsi"/>
          <w:sz w:val="16"/>
          <w:szCs w:val="16"/>
        </w:rPr>
        <w:t>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358/21. </w:t>
      </w:r>
      <w:r>
        <w:rPr>
          <w:rFonts w:asciiTheme="majorHAnsi" w:hAnsiTheme="majorHAnsi"/>
          <w:sz w:val="16"/>
          <w:szCs w:val="16"/>
        </w:rPr>
        <w:t>Petition</w:t>
      </w:r>
      <w:r w:rsidRPr="003A474A">
        <w:rPr>
          <w:rFonts w:asciiTheme="majorHAnsi" w:hAnsiTheme="majorHAnsi"/>
          <w:sz w:val="16"/>
          <w:szCs w:val="16"/>
        </w:rPr>
        <w:t xml:space="preserve"> 724-13. </w:t>
      </w:r>
      <w:r>
        <w:rPr>
          <w:rFonts w:asciiTheme="majorHAnsi" w:hAnsiTheme="majorHAnsi"/>
          <w:sz w:val="16"/>
          <w:szCs w:val="16"/>
        </w:rPr>
        <w:t>Admissibility</w:t>
      </w:r>
      <w:r w:rsidRPr="003A474A">
        <w:rPr>
          <w:rFonts w:asciiTheme="majorHAnsi" w:hAnsiTheme="majorHAnsi"/>
          <w:sz w:val="16"/>
          <w:szCs w:val="16"/>
        </w:rPr>
        <w:t xml:space="preserve">. Daniel Nitzsche Starling. </w:t>
      </w:r>
      <w:r>
        <w:rPr>
          <w:rFonts w:asciiTheme="majorHAnsi" w:hAnsiTheme="majorHAnsi"/>
          <w:sz w:val="16"/>
          <w:szCs w:val="16"/>
        </w:rPr>
        <w:t>Brazil</w:t>
      </w:r>
      <w:r w:rsidRPr="003A474A">
        <w:rPr>
          <w:rFonts w:asciiTheme="majorHAnsi" w:hAnsiTheme="majorHAnsi"/>
          <w:sz w:val="16"/>
          <w:szCs w:val="16"/>
        </w:rPr>
        <w:t xml:space="preserve">. </w:t>
      </w:r>
      <w:r>
        <w:rPr>
          <w:rFonts w:asciiTheme="majorHAnsi" w:hAnsiTheme="majorHAnsi"/>
          <w:sz w:val="16"/>
          <w:szCs w:val="16"/>
        </w:rPr>
        <w:t xml:space="preserve">December </w:t>
      </w:r>
      <w:r w:rsidRPr="003A474A">
        <w:rPr>
          <w:rFonts w:asciiTheme="majorHAnsi" w:hAnsiTheme="majorHAnsi"/>
          <w:sz w:val="16"/>
          <w:szCs w:val="16"/>
        </w:rPr>
        <w:t>1</w:t>
      </w:r>
      <w:r>
        <w:rPr>
          <w:rFonts w:asciiTheme="majorHAnsi" w:hAnsiTheme="majorHAnsi"/>
          <w:sz w:val="16"/>
          <w:szCs w:val="16"/>
        </w:rPr>
        <w:t xml:space="preserve">m </w:t>
      </w:r>
      <w:r w:rsidRPr="003A474A">
        <w:rPr>
          <w:rFonts w:asciiTheme="majorHAnsi" w:hAnsiTheme="majorHAnsi"/>
          <w:sz w:val="16"/>
          <w:szCs w:val="16"/>
        </w:rPr>
        <w:t xml:space="preserve">2021; </w:t>
      </w:r>
      <w:r>
        <w:rPr>
          <w:rFonts w:asciiTheme="majorHAnsi" w:hAnsiTheme="majorHAnsi"/>
          <w:sz w:val="16"/>
          <w:szCs w:val="16"/>
        </w:rPr>
        <w:t>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w:t>
      </w:r>
      <w:r>
        <w:rPr>
          <w:rFonts w:asciiTheme="majorHAnsi" w:hAnsiTheme="majorHAnsi"/>
          <w:sz w:val="16"/>
          <w:szCs w:val="16"/>
        </w:rPr>
        <w:t xml:space="preserve">No. </w:t>
      </w:r>
      <w:r w:rsidRPr="003A474A">
        <w:rPr>
          <w:rFonts w:asciiTheme="majorHAnsi" w:hAnsiTheme="majorHAnsi"/>
          <w:sz w:val="16"/>
          <w:szCs w:val="16"/>
        </w:rPr>
        <w:t xml:space="preserve">70/20. </w:t>
      </w:r>
      <w:r>
        <w:rPr>
          <w:rFonts w:asciiTheme="majorHAnsi" w:hAnsiTheme="majorHAnsi"/>
          <w:sz w:val="16"/>
          <w:szCs w:val="16"/>
        </w:rPr>
        <w:t>Petition</w:t>
      </w:r>
      <w:r w:rsidRPr="003A474A">
        <w:rPr>
          <w:rFonts w:asciiTheme="majorHAnsi" w:hAnsiTheme="majorHAnsi"/>
          <w:sz w:val="16"/>
          <w:szCs w:val="16"/>
        </w:rPr>
        <w:t xml:space="preserve"> 2326-12. </w:t>
      </w:r>
      <w:r>
        <w:rPr>
          <w:rFonts w:asciiTheme="majorHAnsi" w:hAnsiTheme="majorHAnsi"/>
          <w:sz w:val="16"/>
          <w:szCs w:val="16"/>
        </w:rPr>
        <w:t>Admissibility</w:t>
      </w:r>
      <w:r w:rsidRPr="003A474A">
        <w:rPr>
          <w:rFonts w:asciiTheme="majorHAnsi" w:hAnsiTheme="majorHAnsi"/>
          <w:sz w:val="16"/>
          <w:szCs w:val="16"/>
        </w:rPr>
        <w:t xml:space="preserve">. Jonatan Souza Azevedo. </w:t>
      </w:r>
      <w:r>
        <w:rPr>
          <w:rFonts w:asciiTheme="majorHAnsi" w:hAnsiTheme="majorHAnsi"/>
          <w:sz w:val="16"/>
          <w:szCs w:val="16"/>
        </w:rPr>
        <w:t>Brazil</w:t>
      </w:r>
      <w:r w:rsidRPr="003A474A">
        <w:rPr>
          <w:rFonts w:asciiTheme="majorHAnsi" w:hAnsiTheme="majorHAnsi"/>
          <w:sz w:val="16"/>
          <w:szCs w:val="16"/>
        </w:rPr>
        <w:t xml:space="preserve">. </w:t>
      </w:r>
      <w:r>
        <w:rPr>
          <w:rFonts w:asciiTheme="majorHAnsi" w:hAnsiTheme="majorHAnsi"/>
          <w:sz w:val="16"/>
          <w:szCs w:val="16"/>
        </w:rPr>
        <w:t xml:space="preserve">March </w:t>
      </w:r>
      <w:r w:rsidRPr="003A474A">
        <w:rPr>
          <w:rFonts w:asciiTheme="majorHAnsi" w:hAnsiTheme="majorHAnsi"/>
          <w:sz w:val="16"/>
          <w:szCs w:val="16"/>
        </w:rPr>
        <w:t>12</w:t>
      </w:r>
      <w:r>
        <w:rPr>
          <w:rFonts w:asciiTheme="majorHAnsi" w:hAnsiTheme="majorHAnsi"/>
          <w:sz w:val="16"/>
          <w:szCs w:val="16"/>
        </w:rPr>
        <w:t>,</w:t>
      </w:r>
      <w:r w:rsidRPr="003A474A">
        <w:rPr>
          <w:rFonts w:asciiTheme="majorHAnsi" w:hAnsiTheme="majorHAnsi"/>
          <w:sz w:val="16"/>
          <w:szCs w:val="16"/>
        </w:rPr>
        <w:t xml:space="preserve"> 2020; </w:t>
      </w:r>
      <w:r>
        <w:rPr>
          <w:rFonts w:asciiTheme="majorHAnsi" w:hAnsiTheme="majorHAnsi"/>
          <w:sz w:val="16"/>
          <w:szCs w:val="16"/>
        </w:rPr>
        <w:t>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26/08. </w:t>
      </w:r>
      <w:r>
        <w:rPr>
          <w:rFonts w:asciiTheme="majorHAnsi" w:hAnsiTheme="majorHAnsi"/>
          <w:sz w:val="16"/>
          <w:szCs w:val="16"/>
        </w:rPr>
        <w:t>Petition</w:t>
      </w:r>
      <w:r w:rsidRPr="003A474A">
        <w:rPr>
          <w:rFonts w:asciiTheme="majorHAnsi" w:hAnsiTheme="majorHAnsi"/>
          <w:sz w:val="16"/>
          <w:szCs w:val="16"/>
        </w:rPr>
        <w:t xml:space="preserve"> 270-02. </w:t>
      </w:r>
      <w:r>
        <w:rPr>
          <w:rFonts w:asciiTheme="majorHAnsi" w:hAnsiTheme="majorHAnsi"/>
          <w:sz w:val="16"/>
          <w:szCs w:val="16"/>
        </w:rPr>
        <w:t>Admissibility</w:t>
      </w:r>
      <w:r w:rsidRPr="003A474A">
        <w:rPr>
          <w:rFonts w:asciiTheme="majorHAnsi" w:hAnsiTheme="majorHAnsi"/>
          <w:sz w:val="16"/>
          <w:szCs w:val="16"/>
        </w:rPr>
        <w:t xml:space="preserve">. César Alberto Mendoza </w:t>
      </w:r>
      <w:r>
        <w:rPr>
          <w:rFonts w:asciiTheme="majorHAnsi" w:hAnsiTheme="majorHAnsi"/>
          <w:sz w:val="16"/>
          <w:szCs w:val="16"/>
        </w:rPr>
        <w:t xml:space="preserve">et al. </w:t>
      </w:r>
      <w:r w:rsidRPr="003A474A">
        <w:rPr>
          <w:rFonts w:asciiTheme="majorHAnsi" w:hAnsiTheme="majorHAnsi"/>
          <w:sz w:val="16"/>
          <w:szCs w:val="16"/>
        </w:rPr>
        <w:t xml:space="preserve">Argentina. </w:t>
      </w:r>
      <w:r>
        <w:rPr>
          <w:rFonts w:asciiTheme="majorHAnsi" w:hAnsiTheme="majorHAnsi"/>
          <w:sz w:val="16"/>
          <w:szCs w:val="16"/>
        </w:rPr>
        <w:t xml:space="preserve">March </w:t>
      </w:r>
      <w:r w:rsidRPr="003A474A">
        <w:rPr>
          <w:rFonts w:asciiTheme="majorHAnsi" w:hAnsiTheme="majorHAnsi"/>
          <w:sz w:val="16"/>
          <w:szCs w:val="16"/>
        </w:rPr>
        <w:t>14</w:t>
      </w:r>
      <w:r>
        <w:rPr>
          <w:rFonts w:asciiTheme="majorHAnsi" w:hAnsiTheme="majorHAnsi"/>
          <w:sz w:val="16"/>
          <w:szCs w:val="16"/>
        </w:rPr>
        <w:t>,</w:t>
      </w:r>
      <w:r w:rsidRPr="003A474A">
        <w:rPr>
          <w:rFonts w:asciiTheme="majorHAnsi" w:hAnsiTheme="majorHAnsi"/>
          <w:sz w:val="16"/>
          <w:szCs w:val="16"/>
        </w:rPr>
        <w:t xml:space="preserve"> 2008.</w:t>
      </w:r>
    </w:p>
  </w:footnote>
  <w:footnote w:id="5">
    <w:p w14:paraId="6267A58F" w14:textId="6629505E" w:rsidR="00055C99" w:rsidRPr="003A474A" w:rsidRDefault="00055C99" w:rsidP="00055C99">
      <w:pPr>
        <w:tabs>
          <w:tab w:val="left" w:pos="0"/>
        </w:tabs>
        <w:ind w:firstLine="709"/>
        <w:jc w:val="both"/>
        <w:rPr>
          <w:rFonts w:asciiTheme="majorHAnsi" w:hAnsiTheme="majorHAnsi"/>
          <w:sz w:val="16"/>
          <w:szCs w:val="16"/>
        </w:rPr>
      </w:pPr>
      <w:r w:rsidRPr="003A474A">
        <w:rPr>
          <w:rStyle w:val="FootnoteReference"/>
          <w:rFonts w:asciiTheme="majorHAnsi" w:hAnsiTheme="majorHAnsi"/>
          <w:sz w:val="16"/>
          <w:szCs w:val="16"/>
        </w:rPr>
        <w:footnoteRef/>
      </w:r>
      <w:r w:rsidRPr="003A474A">
        <w:rPr>
          <w:rFonts w:asciiTheme="majorHAnsi" w:hAnsiTheme="majorHAnsi"/>
          <w:sz w:val="16"/>
          <w:szCs w:val="16"/>
        </w:rPr>
        <w:t xml:space="preserve"> Similar</w:t>
      </w:r>
      <w:r>
        <w:rPr>
          <w:rFonts w:asciiTheme="majorHAnsi" w:hAnsiTheme="majorHAnsi"/>
          <w:sz w:val="16"/>
          <w:szCs w:val="16"/>
        </w:rPr>
        <w:t>ly</w:t>
      </w:r>
      <w:r w:rsidRPr="003A474A">
        <w:rPr>
          <w:rFonts w:asciiTheme="majorHAnsi" w:hAnsiTheme="majorHAnsi"/>
          <w:sz w:val="16"/>
          <w:szCs w:val="16"/>
        </w:rPr>
        <w:t xml:space="preserve">, </w:t>
      </w:r>
      <w:r>
        <w:rPr>
          <w:rFonts w:asciiTheme="majorHAnsi" w:hAnsiTheme="majorHAnsi"/>
          <w:sz w:val="16"/>
          <w:szCs w:val="16"/>
        </w:rPr>
        <w:t>see, for example, 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12/18, </w:t>
      </w:r>
      <w:r>
        <w:rPr>
          <w:rFonts w:asciiTheme="majorHAnsi" w:hAnsiTheme="majorHAnsi"/>
          <w:sz w:val="16"/>
          <w:szCs w:val="16"/>
        </w:rPr>
        <w:t>Petition</w:t>
      </w:r>
      <w:r w:rsidRPr="003A474A">
        <w:rPr>
          <w:rFonts w:asciiTheme="majorHAnsi" w:hAnsiTheme="majorHAnsi"/>
          <w:sz w:val="16"/>
          <w:szCs w:val="16"/>
        </w:rPr>
        <w:t xml:space="preserve"> 178-10. </w:t>
      </w:r>
      <w:r>
        <w:rPr>
          <w:rFonts w:asciiTheme="majorHAnsi" w:hAnsiTheme="majorHAnsi"/>
          <w:sz w:val="16"/>
          <w:szCs w:val="16"/>
        </w:rPr>
        <w:t>Admissibility</w:t>
      </w:r>
      <w:r w:rsidRPr="003A474A">
        <w:rPr>
          <w:rFonts w:asciiTheme="majorHAnsi" w:hAnsiTheme="majorHAnsi"/>
          <w:sz w:val="16"/>
          <w:szCs w:val="16"/>
        </w:rPr>
        <w:t xml:space="preserve">. 48 </w:t>
      </w:r>
      <w:r>
        <w:rPr>
          <w:rFonts w:asciiTheme="majorHAnsi" w:hAnsiTheme="majorHAnsi"/>
          <w:sz w:val="16"/>
          <w:szCs w:val="16"/>
        </w:rPr>
        <w:t>workers killed in the explosion a</w:t>
      </w:r>
      <w:r w:rsidR="0027046E">
        <w:rPr>
          <w:rFonts w:asciiTheme="majorHAnsi" w:hAnsiTheme="majorHAnsi"/>
          <w:sz w:val="16"/>
          <w:szCs w:val="16"/>
        </w:rPr>
        <w:t>t</w:t>
      </w:r>
      <w:r>
        <w:rPr>
          <w:rFonts w:asciiTheme="majorHAnsi" w:hAnsiTheme="majorHAnsi"/>
          <w:sz w:val="16"/>
          <w:szCs w:val="16"/>
        </w:rPr>
        <w:t xml:space="preserve"> the </w:t>
      </w:r>
      <w:r w:rsidRPr="003A474A">
        <w:rPr>
          <w:rFonts w:asciiTheme="majorHAnsi" w:hAnsiTheme="majorHAnsi"/>
          <w:sz w:val="16"/>
          <w:szCs w:val="16"/>
        </w:rPr>
        <w:t>Pasta de Conchos</w:t>
      </w:r>
      <w:r>
        <w:rPr>
          <w:rFonts w:asciiTheme="majorHAnsi" w:hAnsiTheme="majorHAnsi"/>
          <w:sz w:val="16"/>
          <w:szCs w:val="16"/>
        </w:rPr>
        <w:t xml:space="preserve"> </w:t>
      </w:r>
      <w:r w:rsidR="0027046E">
        <w:rPr>
          <w:rFonts w:asciiTheme="majorHAnsi" w:hAnsiTheme="majorHAnsi"/>
          <w:sz w:val="16"/>
          <w:szCs w:val="16"/>
        </w:rPr>
        <w:t>M</w:t>
      </w:r>
      <w:r>
        <w:rPr>
          <w:rFonts w:asciiTheme="majorHAnsi" w:hAnsiTheme="majorHAnsi"/>
          <w:sz w:val="16"/>
          <w:szCs w:val="16"/>
        </w:rPr>
        <w:t>ine</w:t>
      </w:r>
      <w:r w:rsidRPr="003A474A">
        <w:rPr>
          <w:rFonts w:asciiTheme="majorHAnsi" w:hAnsiTheme="majorHAnsi"/>
          <w:sz w:val="16"/>
          <w:szCs w:val="16"/>
        </w:rPr>
        <w:t>.</w:t>
      </w:r>
      <w:r>
        <w:rPr>
          <w:rFonts w:asciiTheme="majorHAnsi" w:hAnsiTheme="majorHAnsi"/>
          <w:sz w:val="16"/>
          <w:szCs w:val="16"/>
        </w:rPr>
        <w:t xml:space="preserve"> </w:t>
      </w:r>
      <w:r w:rsidRPr="003A474A">
        <w:rPr>
          <w:rFonts w:asciiTheme="majorHAnsi" w:hAnsiTheme="majorHAnsi"/>
          <w:sz w:val="16"/>
          <w:szCs w:val="16"/>
        </w:rPr>
        <w:t>M</w:t>
      </w:r>
      <w:r>
        <w:rPr>
          <w:rFonts w:asciiTheme="majorHAnsi" w:hAnsiTheme="majorHAnsi"/>
          <w:sz w:val="16"/>
          <w:szCs w:val="16"/>
        </w:rPr>
        <w:t>e</w:t>
      </w:r>
      <w:r w:rsidRPr="003A474A">
        <w:rPr>
          <w:rFonts w:asciiTheme="majorHAnsi" w:hAnsiTheme="majorHAnsi"/>
          <w:sz w:val="16"/>
          <w:szCs w:val="16"/>
        </w:rPr>
        <w:t xml:space="preserve">xico. </w:t>
      </w:r>
      <w:r>
        <w:rPr>
          <w:rFonts w:asciiTheme="majorHAnsi" w:hAnsiTheme="majorHAnsi"/>
          <w:sz w:val="16"/>
          <w:szCs w:val="16"/>
        </w:rPr>
        <w:t xml:space="preserve">February </w:t>
      </w:r>
      <w:r w:rsidRPr="003A474A">
        <w:rPr>
          <w:rFonts w:asciiTheme="majorHAnsi" w:hAnsiTheme="majorHAnsi"/>
          <w:sz w:val="16"/>
          <w:szCs w:val="16"/>
        </w:rPr>
        <w:t>24</w:t>
      </w:r>
      <w:r>
        <w:rPr>
          <w:rFonts w:asciiTheme="majorHAnsi" w:hAnsiTheme="majorHAnsi"/>
          <w:sz w:val="16"/>
          <w:szCs w:val="16"/>
        </w:rPr>
        <w:t>,</w:t>
      </w:r>
      <w:r w:rsidRPr="003A474A">
        <w:rPr>
          <w:rFonts w:asciiTheme="majorHAnsi" w:hAnsiTheme="majorHAnsi"/>
          <w:sz w:val="16"/>
          <w:szCs w:val="16"/>
        </w:rPr>
        <w:t xml:space="preserve"> 2018, </w:t>
      </w:r>
      <w:r>
        <w:rPr>
          <w:rFonts w:asciiTheme="majorHAnsi" w:hAnsiTheme="majorHAnsi"/>
          <w:sz w:val="16"/>
          <w:szCs w:val="16"/>
        </w:rPr>
        <w:t xml:space="preserve">para. </w:t>
      </w:r>
      <w:r w:rsidRPr="003A474A">
        <w:rPr>
          <w:rFonts w:asciiTheme="majorHAnsi" w:hAnsiTheme="majorHAnsi"/>
          <w:sz w:val="16"/>
          <w:szCs w:val="16"/>
        </w:rPr>
        <w:t xml:space="preserve">28; </w:t>
      </w:r>
      <w:r>
        <w:rPr>
          <w:rFonts w:asciiTheme="majorHAnsi" w:hAnsiTheme="majorHAnsi"/>
          <w:sz w:val="16"/>
          <w:szCs w:val="16"/>
        </w:rPr>
        <w:t>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61/16, </w:t>
      </w:r>
      <w:r>
        <w:rPr>
          <w:rFonts w:asciiTheme="majorHAnsi" w:hAnsiTheme="majorHAnsi"/>
          <w:sz w:val="16"/>
          <w:szCs w:val="16"/>
        </w:rPr>
        <w:t>Petition</w:t>
      </w:r>
      <w:r w:rsidRPr="003A474A">
        <w:rPr>
          <w:rFonts w:asciiTheme="majorHAnsi" w:hAnsiTheme="majorHAnsi"/>
          <w:sz w:val="16"/>
          <w:szCs w:val="16"/>
        </w:rPr>
        <w:t xml:space="preserve"> 12.325. </w:t>
      </w:r>
      <w:r>
        <w:rPr>
          <w:rFonts w:asciiTheme="majorHAnsi" w:hAnsiTheme="majorHAnsi"/>
          <w:sz w:val="16"/>
          <w:szCs w:val="16"/>
        </w:rPr>
        <w:t>Admissibility</w:t>
      </w:r>
      <w:r w:rsidRPr="003A474A">
        <w:rPr>
          <w:rFonts w:asciiTheme="majorHAnsi" w:hAnsiTheme="majorHAnsi"/>
          <w:sz w:val="16"/>
          <w:szCs w:val="16"/>
        </w:rPr>
        <w:t xml:space="preserve">. </w:t>
      </w:r>
      <w:r>
        <w:rPr>
          <w:rFonts w:asciiTheme="majorHAnsi" w:hAnsiTheme="majorHAnsi"/>
          <w:sz w:val="16"/>
          <w:szCs w:val="16"/>
        </w:rPr>
        <w:t xml:space="preserve">Peace Community of </w:t>
      </w:r>
      <w:r w:rsidRPr="003A474A">
        <w:rPr>
          <w:rFonts w:asciiTheme="majorHAnsi" w:hAnsiTheme="majorHAnsi"/>
          <w:sz w:val="16"/>
          <w:szCs w:val="16"/>
        </w:rPr>
        <w:t>San José de Apartadó. Col</w:t>
      </w:r>
      <w:r>
        <w:rPr>
          <w:rFonts w:asciiTheme="majorHAnsi" w:hAnsiTheme="majorHAnsi"/>
          <w:sz w:val="16"/>
          <w:szCs w:val="16"/>
        </w:rPr>
        <w:t>o</w:t>
      </w:r>
      <w:r w:rsidRPr="003A474A">
        <w:rPr>
          <w:rFonts w:asciiTheme="majorHAnsi" w:hAnsiTheme="majorHAnsi"/>
          <w:sz w:val="16"/>
          <w:szCs w:val="16"/>
        </w:rPr>
        <w:t xml:space="preserve">mbia. </w:t>
      </w:r>
      <w:r>
        <w:rPr>
          <w:rFonts w:asciiTheme="majorHAnsi" w:hAnsiTheme="majorHAnsi"/>
          <w:sz w:val="16"/>
          <w:szCs w:val="16"/>
        </w:rPr>
        <w:t xml:space="preserve">December </w:t>
      </w:r>
      <w:r w:rsidRPr="003A474A">
        <w:rPr>
          <w:rFonts w:asciiTheme="majorHAnsi" w:hAnsiTheme="majorHAnsi"/>
          <w:sz w:val="16"/>
          <w:szCs w:val="16"/>
        </w:rPr>
        <w:t>6</w:t>
      </w:r>
      <w:r>
        <w:rPr>
          <w:rFonts w:asciiTheme="majorHAnsi" w:hAnsiTheme="majorHAnsi"/>
          <w:sz w:val="16"/>
          <w:szCs w:val="16"/>
        </w:rPr>
        <w:t>,</w:t>
      </w:r>
      <w:r w:rsidRPr="003A474A">
        <w:rPr>
          <w:rFonts w:asciiTheme="majorHAnsi" w:hAnsiTheme="majorHAnsi"/>
          <w:sz w:val="16"/>
          <w:szCs w:val="16"/>
        </w:rPr>
        <w:t xml:space="preserve"> 2016, </w:t>
      </w:r>
      <w:r>
        <w:rPr>
          <w:rFonts w:asciiTheme="majorHAnsi" w:hAnsiTheme="majorHAnsi"/>
          <w:sz w:val="16"/>
          <w:szCs w:val="16"/>
        </w:rPr>
        <w:t xml:space="preserve">para. </w:t>
      </w:r>
      <w:r w:rsidRPr="003A474A">
        <w:rPr>
          <w:rFonts w:asciiTheme="majorHAnsi" w:hAnsiTheme="majorHAnsi"/>
          <w:sz w:val="16"/>
          <w:szCs w:val="16"/>
        </w:rPr>
        <w:t>62.</w:t>
      </w:r>
    </w:p>
  </w:footnote>
  <w:footnote w:id="6">
    <w:p w14:paraId="3D4739EA" w14:textId="77777777" w:rsidR="00055C99" w:rsidRPr="003A474A" w:rsidRDefault="00055C99" w:rsidP="00055C99">
      <w:pPr>
        <w:tabs>
          <w:tab w:val="left" w:pos="0"/>
        </w:tabs>
        <w:ind w:firstLine="709"/>
        <w:jc w:val="both"/>
        <w:rPr>
          <w:rFonts w:asciiTheme="majorHAnsi" w:hAnsiTheme="majorHAnsi"/>
          <w:sz w:val="16"/>
          <w:szCs w:val="16"/>
        </w:rPr>
      </w:pPr>
      <w:r w:rsidRPr="003A474A">
        <w:rPr>
          <w:rStyle w:val="FootnoteReference"/>
          <w:rFonts w:asciiTheme="majorHAnsi" w:hAnsiTheme="majorHAnsi"/>
          <w:sz w:val="16"/>
          <w:szCs w:val="16"/>
        </w:rPr>
        <w:footnoteRef/>
      </w:r>
      <w:r w:rsidRPr="003A474A">
        <w:rPr>
          <w:rFonts w:asciiTheme="majorHAnsi" w:hAnsiTheme="majorHAnsi"/>
          <w:sz w:val="16"/>
          <w:szCs w:val="16"/>
        </w:rPr>
        <w:t xml:space="preserve"> </w:t>
      </w:r>
      <w:r>
        <w:rPr>
          <w:rFonts w:asciiTheme="majorHAnsi" w:hAnsiTheme="majorHAnsi"/>
          <w:sz w:val="16"/>
          <w:szCs w:val="16"/>
        </w:rPr>
        <w:t>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21/12. </w:t>
      </w:r>
      <w:r>
        <w:rPr>
          <w:rFonts w:asciiTheme="majorHAnsi" w:hAnsiTheme="majorHAnsi"/>
          <w:sz w:val="16"/>
          <w:szCs w:val="16"/>
        </w:rPr>
        <w:t>Petition</w:t>
      </w:r>
      <w:r w:rsidRPr="003A474A">
        <w:rPr>
          <w:rFonts w:asciiTheme="majorHAnsi" w:hAnsiTheme="majorHAnsi"/>
          <w:sz w:val="16"/>
          <w:szCs w:val="16"/>
        </w:rPr>
        <w:t xml:space="preserve"> 885-03. In</w:t>
      </w:r>
      <w:r>
        <w:rPr>
          <w:rFonts w:asciiTheme="majorHAnsi" w:hAnsiTheme="majorHAnsi"/>
          <w:sz w:val="16"/>
          <w:szCs w:val="16"/>
        </w:rPr>
        <w:t>admissibility</w:t>
      </w:r>
      <w:r w:rsidRPr="003A474A">
        <w:rPr>
          <w:rFonts w:asciiTheme="majorHAnsi" w:hAnsiTheme="majorHAnsi"/>
          <w:sz w:val="16"/>
          <w:szCs w:val="16"/>
        </w:rPr>
        <w:t xml:space="preserve">. Valentina de Andrade. </w:t>
      </w:r>
      <w:r>
        <w:rPr>
          <w:rFonts w:asciiTheme="majorHAnsi" w:hAnsiTheme="majorHAnsi"/>
          <w:sz w:val="16"/>
          <w:szCs w:val="16"/>
        </w:rPr>
        <w:t>Brazil</w:t>
      </w:r>
      <w:r w:rsidRPr="003A474A">
        <w:rPr>
          <w:rFonts w:asciiTheme="majorHAnsi" w:hAnsiTheme="majorHAnsi"/>
          <w:sz w:val="16"/>
          <w:szCs w:val="16"/>
        </w:rPr>
        <w:t xml:space="preserve">. </w:t>
      </w:r>
      <w:r>
        <w:rPr>
          <w:rFonts w:asciiTheme="majorHAnsi" w:hAnsiTheme="majorHAnsi"/>
          <w:sz w:val="16"/>
          <w:szCs w:val="16"/>
        </w:rPr>
        <w:t xml:space="preserve">March </w:t>
      </w:r>
      <w:r w:rsidRPr="003A474A">
        <w:rPr>
          <w:rFonts w:asciiTheme="majorHAnsi" w:hAnsiTheme="majorHAnsi"/>
          <w:sz w:val="16"/>
          <w:szCs w:val="16"/>
        </w:rPr>
        <w:t>20</w:t>
      </w:r>
      <w:r>
        <w:rPr>
          <w:rFonts w:asciiTheme="majorHAnsi" w:hAnsiTheme="majorHAnsi"/>
          <w:sz w:val="16"/>
          <w:szCs w:val="16"/>
        </w:rPr>
        <w:t>,</w:t>
      </w:r>
      <w:r w:rsidRPr="003A474A">
        <w:rPr>
          <w:rFonts w:asciiTheme="majorHAnsi" w:hAnsiTheme="majorHAnsi"/>
          <w:sz w:val="16"/>
          <w:szCs w:val="16"/>
        </w:rPr>
        <w:t xml:space="preserve"> 2012, </w:t>
      </w:r>
      <w:r>
        <w:rPr>
          <w:rFonts w:asciiTheme="majorHAnsi" w:hAnsiTheme="majorHAnsi"/>
          <w:sz w:val="16"/>
          <w:szCs w:val="16"/>
        </w:rPr>
        <w:t xml:space="preserve">para. </w:t>
      </w:r>
      <w:r w:rsidRPr="003A474A">
        <w:rPr>
          <w:rFonts w:asciiTheme="majorHAnsi" w:hAnsiTheme="majorHAnsi"/>
          <w:sz w:val="16"/>
          <w:szCs w:val="16"/>
        </w:rPr>
        <w:t>29.</w:t>
      </w:r>
    </w:p>
  </w:footnote>
  <w:footnote w:id="7">
    <w:p w14:paraId="70858D1D" w14:textId="77777777" w:rsidR="00055C99" w:rsidRPr="003A474A" w:rsidRDefault="00055C99" w:rsidP="00055C99">
      <w:pPr>
        <w:tabs>
          <w:tab w:val="left" w:pos="0"/>
        </w:tabs>
        <w:ind w:firstLine="709"/>
        <w:jc w:val="both"/>
        <w:rPr>
          <w:rFonts w:asciiTheme="majorHAnsi" w:hAnsiTheme="majorHAnsi"/>
          <w:sz w:val="16"/>
          <w:szCs w:val="16"/>
        </w:rPr>
      </w:pPr>
      <w:r w:rsidRPr="003A474A">
        <w:rPr>
          <w:rStyle w:val="FootnoteReference"/>
          <w:rFonts w:asciiTheme="majorHAnsi" w:hAnsiTheme="majorHAnsi"/>
          <w:sz w:val="16"/>
          <w:szCs w:val="16"/>
        </w:rPr>
        <w:footnoteRef/>
      </w:r>
      <w:r w:rsidRPr="003A474A">
        <w:rPr>
          <w:rFonts w:asciiTheme="majorHAnsi" w:hAnsiTheme="majorHAnsi"/>
          <w:sz w:val="16"/>
          <w:szCs w:val="16"/>
        </w:rPr>
        <w:t xml:space="preserve"> </w:t>
      </w:r>
      <w:r>
        <w:rPr>
          <w:rFonts w:asciiTheme="majorHAnsi" w:hAnsiTheme="majorHAnsi"/>
          <w:sz w:val="16"/>
          <w:szCs w:val="16"/>
        </w:rPr>
        <w:t>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161/17, </w:t>
      </w:r>
      <w:r>
        <w:rPr>
          <w:rFonts w:asciiTheme="majorHAnsi" w:hAnsiTheme="majorHAnsi"/>
          <w:sz w:val="16"/>
          <w:szCs w:val="16"/>
        </w:rPr>
        <w:t>Petition</w:t>
      </w:r>
      <w:r w:rsidRPr="003A474A">
        <w:rPr>
          <w:rFonts w:asciiTheme="majorHAnsi" w:hAnsiTheme="majorHAnsi"/>
          <w:sz w:val="16"/>
          <w:szCs w:val="16"/>
        </w:rPr>
        <w:t xml:space="preserve"> 29-07. </w:t>
      </w:r>
      <w:r>
        <w:rPr>
          <w:rFonts w:asciiTheme="majorHAnsi" w:hAnsiTheme="majorHAnsi"/>
          <w:sz w:val="16"/>
          <w:szCs w:val="16"/>
        </w:rPr>
        <w:t>Admissibility</w:t>
      </w:r>
      <w:r w:rsidRPr="003A474A">
        <w:rPr>
          <w:rFonts w:asciiTheme="majorHAnsi" w:hAnsiTheme="majorHAnsi"/>
          <w:sz w:val="16"/>
          <w:szCs w:val="16"/>
        </w:rPr>
        <w:t xml:space="preserve">. Andy Williams Garcés Suárez </w:t>
      </w:r>
      <w:r>
        <w:rPr>
          <w:rFonts w:asciiTheme="majorHAnsi" w:hAnsiTheme="majorHAnsi"/>
          <w:sz w:val="16"/>
          <w:szCs w:val="16"/>
        </w:rPr>
        <w:t>and family</w:t>
      </w:r>
      <w:r w:rsidRPr="003A474A">
        <w:rPr>
          <w:rFonts w:asciiTheme="majorHAnsi" w:hAnsiTheme="majorHAnsi"/>
          <w:sz w:val="16"/>
          <w:szCs w:val="16"/>
        </w:rPr>
        <w:t xml:space="preserve">. Peru. </w:t>
      </w:r>
      <w:r>
        <w:rPr>
          <w:rFonts w:asciiTheme="majorHAnsi" w:hAnsiTheme="majorHAnsi"/>
          <w:sz w:val="16"/>
          <w:szCs w:val="16"/>
        </w:rPr>
        <w:t xml:space="preserve">November </w:t>
      </w:r>
      <w:r w:rsidRPr="003A474A">
        <w:rPr>
          <w:rFonts w:asciiTheme="majorHAnsi" w:hAnsiTheme="majorHAnsi"/>
          <w:sz w:val="16"/>
          <w:szCs w:val="16"/>
        </w:rPr>
        <w:t>30</w:t>
      </w:r>
      <w:r>
        <w:rPr>
          <w:rFonts w:asciiTheme="majorHAnsi" w:hAnsiTheme="majorHAnsi"/>
          <w:sz w:val="16"/>
          <w:szCs w:val="16"/>
        </w:rPr>
        <w:t>,</w:t>
      </w:r>
      <w:r w:rsidRPr="003A474A">
        <w:rPr>
          <w:rFonts w:asciiTheme="majorHAnsi" w:hAnsiTheme="majorHAnsi"/>
          <w:sz w:val="16"/>
          <w:szCs w:val="16"/>
        </w:rPr>
        <w:t xml:space="preserve"> 2017, </w:t>
      </w:r>
      <w:r>
        <w:rPr>
          <w:rFonts w:asciiTheme="majorHAnsi" w:hAnsiTheme="majorHAnsi"/>
          <w:sz w:val="16"/>
          <w:szCs w:val="16"/>
        </w:rPr>
        <w:t xml:space="preserve">para. </w:t>
      </w:r>
      <w:r w:rsidRPr="003A474A">
        <w:rPr>
          <w:rFonts w:asciiTheme="majorHAnsi" w:hAnsiTheme="majorHAnsi"/>
          <w:sz w:val="16"/>
          <w:szCs w:val="16"/>
        </w:rPr>
        <w:t>12.</w:t>
      </w:r>
    </w:p>
  </w:footnote>
  <w:footnote w:id="8">
    <w:p w14:paraId="4E8379D6" w14:textId="77777777" w:rsidR="00055C99" w:rsidRPr="003A474A" w:rsidRDefault="00055C99" w:rsidP="00055C99">
      <w:pPr>
        <w:pStyle w:val="FootnoteText"/>
        <w:ind w:firstLine="720"/>
        <w:jc w:val="both"/>
        <w:rPr>
          <w:rFonts w:ascii="Cambria" w:hAnsi="Cambria"/>
          <w:sz w:val="16"/>
          <w:szCs w:val="16"/>
        </w:rPr>
      </w:pPr>
      <w:r w:rsidRPr="003A474A">
        <w:rPr>
          <w:rStyle w:val="FootnoteReference"/>
          <w:rFonts w:ascii="Cambria" w:hAnsi="Cambria"/>
          <w:sz w:val="16"/>
          <w:szCs w:val="16"/>
        </w:rPr>
        <w:footnoteRef/>
      </w:r>
      <w:r w:rsidRPr="003A474A">
        <w:rPr>
          <w:rFonts w:ascii="Cambria" w:hAnsi="Cambria"/>
          <w:sz w:val="16"/>
          <w:szCs w:val="16"/>
        </w:rPr>
        <w:t xml:space="preserve"> </w:t>
      </w:r>
      <w:r>
        <w:rPr>
          <w:rFonts w:ascii="Cambria" w:hAnsi="Cambria"/>
          <w:sz w:val="16"/>
          <w:szCs w:val="16"/>
        </w:rPr>
        <w:t>IACHR</w:t>
      </w:r>
      <w:r w:rsidRPr="003A474A">
        <w:rPr>
          <w:rFonts w:ascii="Cambria" w:hAnsi="Cambria"/>
          <w:sz w:val="16"/>
          <w:szCs w:val="16"/>
        </w:rPr>
        <w:t xml:space="preserve">, </w:t>
      </w:r>
      <w:r>
        <w:rPr>
          <w:rFonts w:ascii="Cambria" w:hAnsi="Cambria"/>
          <w:sz w:val="16"/>
          <w:szCs w:val="16"/>
        </w:rPr>
        <w:t>Report</w:t>
      </w:r>
      <w:r w:rsidRPr="003A474A">
        <w:rPr>
          <w:rFonts w:ascii="Cambria" w:hAnsi="Cambria"/>
          <w:sz w:val="16"/>
          <w:szCs w:val="16"/>
        </w:rPr>
        <w:t xml:space="preserve"> </w:t>
      </w:r>
      <w:r>
        <w:rPr>
          <w:rFonts w:ascii="Cambria" w:hAnsi="Cambria"/>
          <w:sz w:val="16"/>
          <w:szCs w:val="16"/>
        </w:rPr>
        <w:t xml:space="preserve">No. </w:t>
      </w:r>
      <w:r w:rsidRPr="003A474A">
        <w:rPr>
          <w:rFonts w:ascii="Cambria" w:hAnsi="Cambria"/>
          <w:sz w:val="16"/>
          <w:szCs w:val="16"/>
        </w:rPr>
        <w:t xml:space="preserve">14/08, </w:t>
      </w:r>
      <w:r>
        <w:rPr>
          <w:rFonts w:ascii="Cambria" w:hAnsi="Cambria"/>
          <w:sz w:val="16"/>
          <w:szCs w:val="16"/>
        </w:rPr>
        <w:t>Petition</w:t>
      </w:r>
      <w:r w:rsidRPr="003A474A">
        <w:rPr>
          <w:rFonts w:ascii="Cambria" w:hAnsi="Cambria"/>
          <w:sz w:val="16"/>
          <w:szCs w:val="16"/>
        </w:rPr>
        <w:t xml:space="preserve"> 652-04. </w:t>
      </w:r>
      <w:r>
        <w:rPr>
          <w:rFonts w:ascii="Cambria" w:hAnsi="Cambria"/>
          <w:sz w:val="16"/>
          <w:szCs w:val="16"/>
        </w:rPr>
        <w:t>Admissibility</w:t>
      </w:r>
      <w:r w:rsidRPr="003A474A">
        <w:rPr>
          <w:rFonts w:ascii="Cambria" w:hAnsi="Cambria"/>
          <w:sz w:val="16"/>
          <w:szCs w:val="16"/>
        </w:rPr>
        <w:t xml:space="preserve">. Hugo Humberto Ruíz Fuentes. Guatemala. </w:t>
      </w:r>
      <w:r>
        <w:rPr>
          <w:rFonts w:ascii="Cambria" w:hAnsi="Cambria"/>
          <w:sz w:val="16"/>
          <w:szCs w:val="16"/>
        </w:rPr>
        <w:t xml:space="preserve">March </w:t>
      </w:r>
      <w:r w:rsidRPr="003A474A">
        <w:rPr>
          <w:rFonts w:ascii="Cambria" w:hAnsi="Cambria"/>
          <w:sz w:val="16"/>
          <w:szCs w:val="16"/>
        </w:rPr>
        <w:t>5</w:t>
      </w:r>
      <w:r>
        <w:rPr>
          <w:rFonts w:ascii="Cambria" w:hAnsi="Cambria"/>
          <w:sz w:val="16"/>
          <w:szCs w:val="16"/>
        </w:rPr>
        <w:t>,</w:t>
      </w:r>
      <w:r w:rsidRPr="003A474A">
        <w:rPr>
          <w:rFonts w:ascii="Cambria" w:hAnsi="Cambria"/>
          <w:sz w:val="16"/>
          <w:szCs w:val="16"/>
        </w:rPr>
        <w:t xml:space="preserve"> 2008, par</w:t>
      </w:r>
      <w:r>
        <w:rPr>
          <w:rFonts w:ascii="Cambria" w:hAnsi="Cambria"/>
          <w:sz w:val="16"/>
          <w:szCs w:val="16"/>
        </w:rPr>
        <w:t>a</w:t>
      </w:r>
      <w:r w:rsidRPr="003A474A">
        <w:rPr>
          <w:rFonts w:ascii="Cambria" w:hAnsi="Cambria"/>
          <w:sz w:val="16"/>
          <w:szCs w:val="16"/>
        </w:rPr>
        <w:t>. 68.</w:t>
      </w:r>
    </w:p>
  </w:footnote>
  <w:footnote w:id="9">
    <w:p w14:paraId="24E5DA97" w14:textId="77777777" w:rsidR="00055C99" w:rsidRPr="003A474A" w:rsidRDefault="00055C99" w:rsidP="00055C99">
      <w:pPr>
        <w:pStyle w:val="FootnoteText"/>
        <w:ind w:firstLine="720"/>
        <w:jc w:val="both"/>
        <w:rPr>
          <w:rFonts w:ascii="Cambria" w:hAnsi="Cambria"/>
          <w:sz w:val="16"/>
          <w:szCs w:val="16"/>
        </w:rPr>
      </w:pPr>
      <w:r w:rsidRPr="003A474A">
        <w:rPr>
          <w:rStyle w:val="FootnoteReference"/>
          <w:rFonts w:ascii="Cambria" w:hAnsi="Cambria"/>
          <w:sz w:val="16"/>
          <w:szCs w:val="16"/>
        </w:rPr>
        <w:footnoteRef/>
      </w:r>
      <w:r w:rsidRPr="003A474A">
        <w:rPr>
          <w:rFonts w:ascii="Cambria" w:hAnsi="Cambria"/>
          <w:sz w:val="16"/>
          <w:szCs w:val="16"/>
        </w:rPr>
        <w:t xml:space="preserve"> Inter</w:t>
      </w:r>
      <w:r>
        <w:rPr>
          <w:rFonts w:ascii="Cambria" w:hAnsi="Cambria"/>
          <w:sz w:val="16"/>
          <w:szCs w:val="16"/>
        </w:rPr>
        <w:t>-A</w:t>
      </w:r>
      <w:r w:rsidRPr="003A474A">
        <w:rPr>
          <w:rFonts w:ascii="Cambria" w:hAnsi="Cambria"/>
          <w:sz w:val="16"/>
          <w:szCs w:val="16"/>
        </w:rPr>
        <w:t xml:space="preserve">merican </w:t>
      </w:r>
      <w:r>
        <w:rPr>
          <w:rFonts w:ascii="Cambria" w:hAnsi="Cambria"/>
          <w:sz w:val="16"/>
          <w:szCs w:val="16"/>
        </w:rPr>
        <w:t xml:space="preserve">Court of Human Rights, </w:t>
      </w:r>
      <w:r w:rsidRPr="003A474A">
        <w:rPr>
          <w:rFonts w:ascii="Cambria" w:hAnsi="Cambria"/>
          <w:sz w:val="16"/>
          <w:szCs w:val="16"/>
        </w:rPr>
        <w:t xml:space="preserve">Velásquez Rodríguez v. Honduras, </w:t>
      </w:r>
      <w:r>
        <w:rPr>
          <w:rFonts w:ascii="Cambria" w:hAnsi="Cambria"/>
          <w:sz w:val="16"/>
          <w:szCs w:val="16"/>
        </w:rPr>
        <w:t xml:space="preserve">Preliminary objections, judgment of June </w:t>
      </w:r>
      <w:r w:rsidRPr="003A474A">
        <w:rPr>
          <w:rFonts w:ascii="Cambria" w:hAnsi="Cambria"/>
          <w:sz w:val="16"/>
          <w:szCs w:val="16"/>
        </w:rPr>
        <w:t>26</w:t>
      </w:r>
      <w:r>
        <w:rPr>
          <w:rFonts w:ascii="Cambria" w:hAnsi="Cambria"/>
          <w:sz w:val="16"/>
          <w:szCs w:val="16"/>
        </w:rPr>
        <w:t>,</w:t>
      </w:r>
      <w:r w:rsidRPr="003A474A">
        <w:rPr>
          <w:rFonts w:ascii="Cambria" w:hAnsi="Cambria"/>
          <w:sz w:val="16"/>
          <w:szCs w:val="16"/>
        </w:rPr>
        <w:t xml:space="preserve"> 1987, par</w:t>
      </w:r>
      <w:r>
        <w:rPr>
          <w:rFonts w:ascii="Cambria" w:hAnsi="Cambria"/>
          <w:sz w:val="16"/>
          <w:szCs w:val="16"/>
        </w:rPr>
        <w:t>a</w:t>
      </w:r>
      <w:r w:rsidRPr="003A474A">
        <w:rPr>
          <w:rFonts w:ascii="Cambria" w:hAnsi="Cambria"/>
          <w:sz w:val="16"/>
          <w:szCs w:val="16"/>
        </w:rPr>
        <w:t>. 93.</w:t>
      </w:r>
    </w:p>
  </w:footnote>
  <w:footnote w:id="10">
    <w:p w14:paraId="398CCBE7" w14:textId="77777777" w:rsidR="00B10F40" w:rsidRPr="003A474A" w:rsidRDefault="00B10F40" w:rsidP="00B10F40">
      <w:pPr>
        <w:tabs>
          <w:tab w:val="left" w:pos="0"/>
        </w:tabs>
        <w:ind w:firstLine="709"/>
        <w:jc w:val="both"/>
        <w:rPr>
          <w:rFonts w:asciiTheme="majorHAnsi" w:hAnsiTheme="majorHAnsi"/>
          <w:sz w:val="16"/>
          <w:szCs w:val="16"/>
        </w:rPr>
      </w:pPr>
      <w:r w:rsidRPr="003A474A">
        <w:rPr>
          <w:rStyle w:val="FootnoteReference"/>
          <w:rFonts w:asciiTheme="majorHAnsi" w:hAnsiTheme="majorHAnsi"/>
          <w:sz w:val="16"/>
          <w:szCs w:val="16"/>
        </w:rPr>
        <w:footnoteRef/>
      </w:r>
      <w:r w:rsidRPr="003A474A">
        <w:rPr>
          <w:rFonts w:asciiTheme="majorHAnsi" w:hAnsiTheme="majorHAnsi"/>
          <w:sz w:val="16"/>
          <w:szCs w:val="16"/>
        </w:rPr>
        <w:t xml:space="preserve"> </w:t>
      </w:r>
      <w:r>
        <w:rPr>
          <w:rFonts w:asciiTheme="majorHAnsi" w:hAnsiTheme="majorHAnsi"/>
          <w:sz w:val="16"/>
          <w:szCs w:val="16"/>
        </w:rPr>
        <w:t>IACHR</w:t>
      </w:r>
      <w:r w:rsidRPr="003A474A">
        <w:rPr>
          <w:rFonts w:asciiTheme="majorHAnsi" w:hAnsiTheme="majorHAnsi"/>
          <w:sz w:val="16"/>
          <w:szCs w:val="16"/>
        </w:rPr>
        <w:t xml:space="preserve">. </w:t>
      </w:r>
      <w:hyperlink r:id="rId1" w:history="1">
        <w:r w:rsidRPr="003A474A">
          <w:rPr>
            <w:rStyle w:val="Hyperlink"/>
            <w:rFonts w:asciiTheme="majorHAnsi" w:hAnsiTheme="majorHAnsi"/>
            <w:sz w:val="16"/>
            <w:szCs w:val="16"/>
          </w:rPr>
          <w:t>Situ</w:t>
        </w:r>
        <w:r>
          <w:rPr>
            <w:rStyle w:val="Hyperlink"/>
            <w:rFonts w:asciiTheme="majorHAnsi" w:hAnsiTheme="majorHAnsi"/>
            <w:sz w:val="16"/>
            <w:szCs w:val="16"/>
          </w:rPr>
          <w:t>ation of human rights in Brazil</w:t>
        </w:r>
      </w:hyperlink>
      <w:r w:rsidRPr="003A474A">
        <w:rPr>
          <w:rFonts w:asciiTheme="majorHAnsi" w:hAnsiTheme="majorHAnsi"/>
          <w:sz w:val="16"/>
          <w:szCs w:val="16"/>
        </w:rPr>
        <w:t xml:space="preserve">. OEA/Ser.L/V/II. Doc. 9. </w:t>
      </w:r>
      <w:r>
        <w:rPr>
          <w:rFonts w:asciiTheme="majorHAnsi" w:hAnsiTheme="majorHAnsi"/>
          <w:sz w:val="16"/>
          <w:szCs w:val="16"/>
        </w:rPr>
        <w:t xml:space="preserve">February </w:t>
      </w:r>
      <w:r w:rsidRPr="003A474A">
        <w:rPr>
          <w:rFonts w:asciiTheme="majorHAnsi" w:hAnsiTheme="majorHAnsi"/>
          <w:sz w:val="16"/>
          <w:szCs w:val="16"/>
        </w:rPr>
        <w:t>12</w:t>
      </w:r>
      <w:r>
        <w:rPr>
          <w:rFonts w:asciiTheme="majorHAnsi" w:hAnsiTheme="majorHAnsi"/>
          <w:sz w:val="16"/>
          <w:szCs w:val="16"/>
        </w:rPr>
        <w:t>,</w:t>
      </w:r>
      <w:r w:rsidRPr="003A474A">
        <w:rPr>
          <w:rFonts w:asciiTheme="majorHAnsi" w:hAnsiTheme="majorHAnsi"/>
          <w:sz w:val="16"/>
          <w:szCs w:val="16"/>
        </w:rPr>
        <w:t xml:space="preserve"> </w:t>
      </w:r>
      <w:r>
        <w:rPr>
          <w:rFonts w:asciiTheme="majorHAnsi" w:hAnsiTheme="majorHAnsi"/>
          <w:sz w:val="16"/>
          <w:szCs w:val="16"/>
        </w:rPr>
        <w:t>2</w:t>
      </w:r>
      <w:r w:rsidRPr="003A474A">
        <w:rPr>
          <w:rFonts w:asciiTheme="majorHAnsi" w:hAnsiTheme="majorHAnsi"/>
          <w:sz w:val="16"/>
          <w:szCs w:val="16"/>
        </w:rPr>
        <w:t>021, par</w:t>
      </w:r>
      <w:r>
        <w:rPr>
          <w:rFonts w:asciiTheme="majorHAnsi" w:hAnsiTheme="majorHAnsi"/>
          <w:sz w:val="16"/>
          <w:szCs w:val="16"/>
        </w:rPr>
        <w:t xml:space="preserve">a. </w:t>
      </w:r>
      <w:r w:rsidRPr="003A474A">
        <w:rPr>
          <w:rFonts w:asciiTheme="majorHAnsi" w:hAnsiTheme="majorHAnsi"/>
          <w:sz w:val="16"/>
          <w:szCs w:val="16"/>
        </w:rPr>
        <w:t>204.</w:t>
      </w:r>
    </w:p>
  </w:footnote>
  <w:footnote w:id="11">
    <w:p w14:paraId="0749CB9D" w14:textId="30CEBFB9" w:rsidR="00055C99" w:rsidRPr="003A474A" w:rsidRDefault="00055C99" w:rsidP="00055C99">
      <w:pPr>
        <w:tabs>
          <w:tab w:val="left" w:pos="0"/>
        </w:tabs>
        <w:ind w:firstLine="709"/>
        <w:jc w:val="both"/>
        <w:rPr>
          <w:rFonts w:asciiTheme="majorHAnsi" w:hAnsiTheme="majorHAnsi"/>
          <w:sz w:val="16"/>
          <w:szCs w:val="16"/>
        </w:rPr>
      </w:pPr>
      <w:r w:rsidRPr="003A474A">
        <w:rPr>
          <w:rStyle w:val="FootnoteReference"/>
          <w:rFonts w:asciiTheme="majorHAnsi" w:hAnsiTheme="majorHAnsi"/>
          <w:sz w:val="16"/>
          <w:szCs w:val="16"/>
        </w:rPr>
        <w:footnoteRef/>
      </w:r>
      <w:r w:rsidRPr="003A474A">
        <w:rPr>
          <w:rFonts w:asciiTheme="majorHAnsi" w:hAnsiTheme="majorHAnsi"/>
          <w:sz w:val="16"/>
          <w:szCs w:val="16"/>
        </w:rPr>
        <w:t xml:space="preserve"> </w:t>
      </w:r>
      <w:r>
        <w:rPr>
          <w:rFonts w:asciiTheme="majorHAnsi" w:hAnsiTheme="majorHAnsi"/>
          <w:sz w:val="16"/>
          <w:szCs w:val="16"/>
        </w:rPr>
        <w:t>See, in this regard: 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148/20. </w:t>
      </w:r>
      <w:r>
        <w:rPr>
          <w:rFonts w:asciiTheme="majorHAnsi" w:hAnsiTheme="majorHAnsi"/>
          <w:sz w:val="16"/>
          <w:szCs w:val="16"/>
        </w:rPr>
        <w:t>Petition</w:t>
      </w:r>
      <w:r w:rsidRPr="003A474A">
        <w:rPr>
          <w:rFonts w:asciiTheme="majorHAnsi" w:hAnsiTheme="majorHAnsi"/>
          <w:sz w:val="16"/>
          <w:szCs w:val="16"/>
        </w:rPr>
        <w:t xml:space="preserve"> 1017-08. </w:t>
      </w:r>
      <w:r>
        <w:rPr>
          <w:rFonts w:asciiTheme="majorHAnsi" w:hAnsiTheme="majorHAnsi"/>
          <w:sz w:val="16"/>
          <w:szCs w:val="16"/>
        </w:rPr>
        <w:t>Admissibility</w:t>
      </w:r>
      <w:r w:rsidRPr="003A474A">
        <w:rPr>
          <w:rFonts w:asciiTheme="majorHAnsi" w:hAnsiTheme="majorHAnsi"/>
          <w:sz w:val="16"/>
          <w:szCs w:val="16"/>
        </w:rPr>
        <w:t xml:space="preserve">. </w:t>
      </w:r>
      <w:r w:rsidR="00EB0EFC" w:rsidRPr="00EB0EFC">
        <w:rPr>
          <w:rFonts w:asciiTheme="majorHAnsi" w:hAnsiTheme="majorHAnsi"/>
          <w:sz w:val="16"/>
          <w:szCs w:val="16"/>
        </w:rPr>
        <w:t xml:space="preserve">Persons Deprived </w:t>
      </w:r>
      <w:r w:rsidR="001B0A57">
        <w:rPr>
          <w:rFonts w:asciiTheme="majorHAnsi" w:hAnsiTheme="majorHAnsi"/>
          <w:sz w:val="16"/>
          <w:szCs w:val="16"/>
        </w:rPr>
        <w:t>of</w:t>
      </w:r>
      <w:r w:rsidR="00EB0EFC" w:rsidRPr="00EB0EFC">
        <w:rPr>
          <w:rFonts w:asciiTheme="majorHAnsi" w:hAnsiTheme="majorHAnsi"/>
          <w:sz w:val="16"/>
          <w:szCs w:val="16"/>
        </w:rPr>
        <w:t xml:space="preserve"> Liberty </w:t>
      </w:r>
      <w:r w:rsidR="001B0A57">
        <w:rPr>
          <w:rFonts w:asciiTheme="majorHAnsi" w:hAnsiTheme="majorHAnsi"/>
          <w:sz w:val="16"/>
          <w:szCs w:val="16"/>
        </w:rPr>
        <w:t>a</w:t>
      </w:r>
      <w:r w:rsidR="00EB0EFC" w:rsidRPr="00EB0EFC">
        <w:rPr>
          <w:rFonts w:asciiTheme="majorHAnsi" w:hAnsiTheme="majorHAnsi"/>
          <w:sz w:val="16"/>
          <w:szCs w:val="16"/>
        </w:rPr>
        <w:t xml:space="preserve">t </w:t>
      </w:r>
      <w:r w:rsidR="001B0A57">
        <w:rPr>
          <w:rFonts w:asciiTheme="majorHAnsi" w:hAnsiTheme="majorHAnsi"/>
          <w:sz w:val="16"/>
          <w:szCs w:val="16"/>
        </w:rPr>
        <w:t>t</w:t>
      </w:r>
      <w:r w:rsidR="00EB0EFC" w:rsidRPr="00EB0EFC">
        <w:rPr>
          <w:rFonts w:asciiTheme="majorHAnsi" w:hAnsiTheme="majorHAnsi"/>
          <w:sz w:val="16"/>
          <w:szCs w:val="16"/>
        </w:rPr>
        <w:t>he Polinter-Neves Incarceration Facility</w:t>
      </w:r>
      <w:r w:rsidRPr="003A474A">
        <w:rPr>
          <w:rFonts w:asciiTheme="majorHAnsi" w:hAnsiTheme="majorHAnsi"/>
          <w:sz w:val="16"/>
          <w:szCs w:val="16"/>
        </w:rPr>
        <w:t xml:space="preserve">. </w:t>
      </w:r>
      <w:r>
        <w:rPr>
          <w:rFonts w:asciiTheme="majorHAnsi" w:hAnsiTheme="majorHAnsi"/>
          <w:sz w:val="16"/>
          <w:szCs w:val="16"/>
        </w:rPr>
        <w:t>Brazil</w:t>
      </w:r>
      <w:r w:rsidRPr="003A474A">
        <w:rPr>
          <w:rFonts w:asciiTheme="majorHAnsi" w:hAnsiTheme="majorHAnsi"/>
          <w:sz w:val="16"/>
          <w:szCs w:val="16"/>
        </w:rPr>
        <w:t xml:space="preserve">. </w:t>
      </w:r>
      <w:r>
        <w:rPr>
          <w:rFonts w:asciiTheme="majorHAnsi" w:hAnsiTheme="majorHAnsi"/>
          <w:sz w:val="16"/>
          <w:szCs w:val="16"/>
        </w:rPr>
        <w:t xml:space="preserve">June </w:t>
      </w:r>
      <w:r w:rsidRPr="003A474A">
        <w:rPr>
          <w:rFonts w:asciiTheme="majorHAnsi" w:hAnsiTheme="majorHAnsi"/>
          <w:sz w:val="16"/>
          <w:szCs w:val="16"/>
        </w:rPr>
        <w:t>9</w:t>
      </w:r>
      <w:r>
        <w:rPr>
          <w:rFonts w:asciiTheme="majorHAnsi" w:hAnsiTheme="majorHAnsi"/>
          <w:sz w:val="16"/>
          <w:szCs w:val="16"/>
        </w:rPr>
        <w:t>,</w:t>
      </w:r>
      <w:r w:rsidRPr="003A474A">
        <w:rPr>
          <w:rFonts w:asciiTheme="majorHAnsi" w:hAnsiTheme="majorHAnsi"/>
          <w:sz w:val="16"/>
          <w:szCs w:val="16"/>
        </w:rPr>
        <w:t xml:space="preserve"> 2020, par</w:t>
      </w:r>
      <w:r>
        <w:rPr>
          <w:rFonts w:asciiTheme="majorHAnsi" w:hAnsiTheme="majorHAnsi"/>
          <w:sz w:val="16"/>
          <w:szCs w:val="16"/>
        </w:rPr>
        <w:t xml:space="preserve">a. </w:t>
      </w:r>
      <w:r w:rsidRPr="003A474A">
        <w:rPr>
          <w:rFonts w:asciiTheme="majorHAnsi" w:hAnsiTheme="majorHAnsi"/>
          <w:sz w:val="16"/>
          <w:szCs w:val="16"/>
        </w:rPr>
        <w:t xml:space="preserve">16; </w:t>
      </w:r>
      <w:r>
        <w:rPr>
          <w:rFonts w:asciiTheme="majorHAnsi" w:hAnsiTheme="majorHAnsi"/>
          <w:sz w:val="16"/>
          <w:szCs w:val="16"/>
        </w:rPr>
        <w:t>IACHR</w:t>
      </w:r>
      <w:r w:rsidRPr="003A474A">
        <w:rPr>
          <w:rFonts w:asciiTheme="majorHAnsi" w:hAnsiTheme="majorHAnsi"/>
          <w:sz w:val="16"/>
          <w:szCs w:val="16"/>
        </w:rPr>
        <w:t xml:space="preserve">, </w:t>
      </w:r>
      <w:r>
        <w:rPr>
          <w:rFonts w:asciiTheme="majorHAnsi" w:hAnsiTheme="majorHAnsi"/>
          <w:sz w:val="16"/>
          <w:szCs w:val="16"/>
        </w:rPr>
        <w:t>Report</w:t>
      </w:r>
      <w:r w:rsidRPr="003A474A">
        <w:rPr>
          <w:rFonts w:asciiTheme="majorHAnsi" w:hAnsiTheme="majorHAnsi"/>
          <w:sz w:val="16"/>
          <w:szCs w:val="16"/>
        </w:rPr>
        <w:t xml:space="preserve"> No. 39/02. </w:t>
      </w:r>
      <w:r>
        <w:rPr>
          <w:rFonts w:asciiTheme="majorHAnsi" w:hAnsiTheme="majorHAnsi"/>
          <w:sz w:val="16"/>
          <w:szCs w:val="16"/>
        </w:rPr>
        <w:t>Petition</w:t>
      </w:r>
      <w:r w:rsidRPr="003A474A">
        <w:rPr>
          <w:rFonts w:asciiTheme="majorHAnsi" w:hAnsiTheme="majorHAnsi"/>
          <w:sz w:val="16"/>
          <w:szCs w:val="16"/>
        </w:rPr>
        <w:t xml:space="preserve"> 12</w:t>
      </w:r>
      <w:r>
        <w:rPr>
          <w:rFonts w:asciiTheme="majorHAnsi" w:hAnsiTheme="majorHAnsi"/>
          <w:sz w:val="16"/>
          <w:szCs w:val="16"/>
        </w:rPr>
        <w:t>,</w:t>
      </w:r>
      <w:r w:rsidRPr="003A474A">
        <w:rPr>
          <w:rFonts w:asciiTheme="majorHAnsi" w:hAnsiTheme="majorHAnsi"/>
          <w:sz w:val="16"/>
          <w:szCs w:val="16"/>
        </w:rPr>
        <w:t xml:space="preserve">328. </w:t>
      </w:r>
      <w:r>
        <w:rPr>
          <w:rFonts w:asciiTheme="majorHAnsi" w:hAnsiTheme="majorHAnsi"/>
          <w:sz w:val="16"/>
          <w:szCs w:val="16"/>
        </w:rPr>
        <w:t>Admissibility</w:t>
      </w:r>
      <w:r w:rsidRPr="003A474A">
        <w:rPr>
          <w:rFonts w:asciiTheme="majorHAnsi" w:hAnsiTheme="majorHAnsi"/>
          <w:sz w:val="16"/>
          <w:szCs w:val="16"/>
        </w:rPr>
        <w:t xml:space="preserve">. Adolescents </w:t>
      </w:r>
      <w:r w:rsidR="00AC680E">
        <w:rPr>
          <w:rFonts w:asciiTheme="majorHAnsi" w:hAnsiTheme="majorHAnsi"/>
          <w:sz w:val="16"/>
          <w:szCs w:val="16"/>
        </w:rPr>
        <w:t xml:space="preserve">in the </w:t>
      </w:r>
      <w:r w:rsidRPr="003A474A">
        <w:rPr>
          <w:rFonts w:asciiTheme="majorHAnsi" w:hAnsiTheme="majorHAnsi"/>
          <w:sz w:val="16"/>
          <w:szCs w:val="16"/>
        </w:rPr>
        <w:t>custod</w:t>
      </w:r>
      <w:r w:rsidR="00AC680E">
        <w:rPr>
          <w:rFonts w:asciiTheme="majorHAnsi" w:hAnsiTheme="majorHAnsi"/>
          <w:sz w:val="16"/>
          <w:szCs w:val="16"/>
        </w:rPr>
        <w:t xml:space="preserve">y of the </w:t>
      </w:r>
      <w:r w:rsidRPr="003A474A">
        <w:rPr>
          <w:rFonts w:asciiTheme="majorHAnsi" w:hAnsiTheme="majorHAnsi"/>
          <w:sz w:val="16"/>
          <w:szCs w:val="16"/>
        </w:rPr>
        <w:t xml:space="preserve">Febem. </w:t>
      </w:r>
      <w:r>
        <w:rPr>
          <w:rFonts w:asciiTheme="majorHAnsi" w:hAnsiTheme="majorHAnsi"/>
          <w:sz w:val="16"/>
          <w:szCs w:val="16"/>
        </w:rPr>
        <w:t>Brazil</w:t>
      </w:r>
      <w:r w:rsidRPr="003A474A">
        <w:rPr>
          <w:rFonts w:asciiTheme="majorHAnsi" w:hAnsiTheme="majorHAnsi"/>
          <w:sz w:val="16"/>
          <w:szCs w:val="16"/>
        </w:rPr>
        <w:t xml:space="preserve">. </w:t>
      </w:r>
      <w:r>
        <w:rPr>
          <w:rFonts w:asciiTheme="majorHAnsi" w:hAnsiTheme="majorHAnsi"/>
          <w:sz w:val="16"/>
          <w:szCs w:val="16"/>
        </w:rPr>
        <w:t xml:space="preserve">October </w:t>
      </w:r>
      <w:r w:rsidRPr="003A474A">
        <w:rPr>
          <w:rFonts w:asciiTheme="majorHAnsi" w:hAnsiTheme="majorHAnsi"/>
          <w:sz w:val="16"/>
          <w:szCs w:val="16"/>
        </w:rPr>
        <w:t>9</w:t>
      </w:r>
      <w:r>
        <w:rPr>
          <w:rFonts w:asciiTheme="majorHAnsi" w:hAnsiTheme="majorHAnsi"/>
          <w:sz w:val="16"/>
          <w:szCs w:val="16"/>
        </w:rPr>
        <w:t>,</w:t>
      </w:r>
      <w:r w:rsidRPr="003A474A">
        <w:rPr>
          <w:rFonts w:asciiTheme="majorHAnsi" w:hAnsiTheme="majorHAnsi"/>
          <w:sz w:val="16"/>
          <w:szCs w:val="16"/>
        </w:rPr>
        <w:t xml:space="preserve"> 2002, </w:t>
      </w:r>
      <w:r>
        <w:rPr>
          <w:rFonts w:asciiTheme="majorHAnsi" w:hAnsiTheme="majorHAnsi"/>
          <w:sz w:val="16"/>
          <w:szCs w:val="16"/>
        </w:rPr>
        <w:t xml:space="preserve">para. </w:t>
      </w:r>
      <w:r w:rsidRPr="003A474A">
        <w:rPr>
          <w:rFonts w:asciiTheme="majorHAnsi" w:hAnsiTheme="majorHAnsi"/>
          <w:sz w:val="16"/>
          <w:szCs w:val="16"/>
        </w:rPr>
        <w:t>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3A5975"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E3E430A"/>
    <w:lvl w:ilvl="0" w:tplc="94FE59A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5"/>
  </w:num>
  <w:num w:numId="3" w16cid:durableId="644090258">
    <w:abstractNumId w:val="50"/>
  </w:num>
  <w:num w:numId="4" w16cid:durableId="979070274">
    <w:abstractNumId w:val="20"/>
  </w:num>
  <w:num w:numId="5" w16cid:durableId="744229055">
    <w:abstractNumId w:val="44"/>
  </w:num>
  <w:num w:numId="6" w16cid:durableId="656034568">
    <w:abstractNumId w:val="25"/>
  </w:num>
  <w:num w:numId="7" w16cid:durableId="727655662">
    <w:abstractNumId w:val="6"/>
  </w:num>
  <w:num w:numId="8" w16cid:durableId="1350257806">
    <w:abstractNumId w:val="16"/>
  </w:num>
  <w:num w:numId="9" w16cid:durableId="130488493">
    <w:abstractNumId w:val="35"/>
  </w:num>
  <w:num w:numId="10" w16cid:durableId="1791899799">
    <w:abstractNumId w:val="39"/>
  </w:num>
  <w:num w:numId="11" w16cid:durableId="1674256508">
    <w:abstractNumId w:val="0"/>
  </w:num>
  <w:num w:numId="12" w16cid:durableId="328289490">
    <w:abstractNumId w:val="34"/>
  </w:num>
  <w:num w:numId="13" w16cid:durableId="2031712440">
    <w:abstractNumId w:val="41"/>
  </w:num>
  <w:num w:numId="14" w16cid:durableId="988286315">
    <w:abstractNumId w:val="1"/>
  </w:num>
  <w:num w:numId="15" w16cid:durableId="660932786">
    <w:abstractNumId w:val="2"/>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7"/>
  </w:num>
  <w:num w:numId="26" w16cid:durableId="1624967865">
    <w:abstractNumId w:val="18"/>
  </w:num>
  <w:num w:numId="27" w16cid:durableId="2043244992">
    <w:abstractNumId w:val="21"/>
  </w:num>
  <w:num w:numId="28" w16cid:durableId="2132673565">
    <w:abstractNumId w:val="22"/>
  </w:num>
  <w:num w:numId="29" w16cid:durableId="441926786">
    <w:abstractNumId w:val="23"/>
  </w:num>
  <w:num w:numId="30" w16cid:durableId="843399322">
    <w:abstractNumId w:val="24"/>
  </w:num>
  <w:num w:numId="31" w16cid:durableId="336033175">
    <w:abstractNumId w:val="26"/>
  </w:num>
  <w:num w:numId="32" w16cid:durableId="1564364854">
    <w:abstractNumId w:val="27"/>
  </w:num>
  <w:num w:numId="33" w16cid:durableId="1366178073">
    <w:abstractNumId w:val="28"/>
  </w:num>
  <w:num w:numId="34" w16cid:durableId="720907309">
    <w:abstractNumId w:val="29"/>
  </w:num>
  <w:num w:numId="35" w16cid:durableId="1926572843">
    <w:abstractNumId w:val="30"/>
  </w:num>
  <w:num w:numId="36" w16cid:durableId="1538931130">
    <w:abstractNumId w:val="31"/>
  </w:num>
  <w:num w:numId="37" w16cid:durableId="1879511819">
    <w:abstractNumId w:val="32"/>
  </w:num>
  <w:num w:numId="38" w16cid:durableId="1428386966">
    <w:abstractNumId w:val="33"/>
  </w:num>
  <w:num w:numId="39" w16cid:durableId="142551894">
    <w:abstractNumId w:val="36"/>
  </w:num>
  <w:num w:numId="40" w16cid:durableId="824711039">
    <w:abstractNumId w:val="37"/>
  </w:num>
  <w:num w:numId="41" w16cid:durableId="1108282090">
    <w:abstractNumId w:val="43"/>
  </w:num>
  <w:num w:numId="42" w16cid:durableId="1611428575">
    <w:abstractNumId w:val="45"/>
  </w:num>
  <w:num w:numId="43" w16cid:durableId="1270040612">
    <w:abstractNumId w:val="46"/>
  </w:num>
  <w:num w:numId="44" w16cid:durableId="1808666855">
    <w:abstractNumId w:val="48"/>
  </w:num>
  <w:num w:numId="45" w16cid:durableId="751901012">
    <w:abstractNumId w:val="49"/>
  </w:num>
  <w:num w:numId="46" w16cid:durableId="64649807">
    <w:abstractNumId w:val="51"/>
  </w:num>
  <w:num w:numId="47" w16cid:durableId="119230681">
    <w:abstractNumId w:val="52"/>
  </w:num>
  <w:num w:numId="48" w16cid:durableId="803155736">
    <w:abstractNumId w:val="53"/>
  </w:num>
  <w:num w:numId="49" w16cid:durableId="1357391496">
    <w:abstractNumId w:val="54"/>
  </w:num>
  <w:num w:numId="50" w16cid:durableId="343672891">
    <w:abstractNumId w:val="55"/>
  </w:num>
  <w:num w:numId="51" w16cid:durableId="592787785">
    <w:abstractNumId w:val="19"/>
  </w:num>
  <w:num w:numId="52" w16cid:durableId="1631744929">
    <w:abstractNumId w:val="38"/>
  </w:num>
  <w:num w:numId="53" w16cid:durableId="1848640289">
    <w:abstractNumId w:val="47"/>
  </w:num>
  <w:num w:numId="54" w16cid:durableId="1577782847">
    <w:abstractNumId w:val="42"/>
  </w:num>
  <w:num w:numId="55" w16cid:durableId="1023745379">
    <w:abstractNumId w:val="4"/>
  </w:num>
  <w:num w:numId="56" w16cid:durableId="921334544">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5F4"/>
    <w:rsid w:val="00005E01"/>
    <w:rsid w:val="000070D7"/>
    <w:rsid w:val="000111A8"/>
    <w:rsid w:val="000136A7"/>
    <w:rsid w:val="0001788C"/>
    <w:rsid w:val="00026027"/>
    <w:rsid w:val="00036A8A"/>
    <w:rsid w:val="00040C3A"/>
    <w:rsid w:val="0004774D"/>
    <w:rsid w:val="00052DA1"/>
    <w:rsid w:val="00055C99"/>
    <w:rsid w:val="000602BB"/>
    <w:rsid w:val="000639C0"/>
    <w:rsid w:val="00067503"/>
    <w:rsid w:val="00070F3A"/>
    <w:rsid w:val="000716C5"/>
    <w:rsid w:val="00075E23"/>
    <w:rsid w:val="0008108B"/>
    <w:rsid w:val="00092E8D"/>
    <w:rsid w:val="00092F32"/>
    <w:rsid w:val="0009344A"/>
    <w:rsid w:val="000A575F"/>
    <w:rsid w:val="000B6424"/>
    <w:rsid w:val="000D10DB"/>
    <w:rsid w:val="000D2307"/>
    <w:rsid w:val="000F32A7"/>
    <w:rsid w:val="000F3758"/>
    <w:rsid w:val="001063BB"/>
    <w:rsid w:val="0013104F"/>
    <w:rsid w:val="00131B0A"/>
    <w:rsid w:val="00137EBA"/>
    <w:rsid w:val="0014182E"/>
    <w:rsid w:val="0014555D"/>
    <w:rsid w:val="00145EDC"/>
    <w:rsid w:val="00160750"/>
    <w:rsid w:val="00167A34"/>
    <w:rsid w:val="00171448"/>
    <w:rsid w:val="0018037F"/>
    <w:rsid w:val="001821F0"/>
    <w:rsid w:val="001933AB"/>
    <w:rsid w:val="001A5F27"/>
    <w:rsid w:val="001A7870"/>
    <w:rsid w:val="001B0A57"/>
    <w:rsid w:val="001B45A4"/>
    <w:rsid w:val="001B4751"/>
    <w:rsid w:val="001B6124"/>
    <w:rsid w:val="001C1B41"/>
    <w:rsid w:val="001C1E24"/>
    <w:rsid w:val="001D20AE"/>
    <w:rsid w:val="00200890"/>
    <w:rsid w:val="0020722E"/>
    <w:rsid w:val="00210E0E"/>
    <w:rsid w:val="002133F3"/>
    <w:rsid w:val="002240C0"/>
    <w:rsid w:val="00225747"/>
    <w:rsid w:val="00232D30"/>
    <w:rsid w:val="00242819"/>
    <w:rsid w:val="00245B95"/>
    <w:rsid w:val="00247403"/>
    <w:rsid w:val="00247542"/>
    <w:rsid w:val="00247E9E"/>
    <w:rsid w:val="002501BE"/>
    <w:rsid w:val="00257893"/>
    <w:rsid w:val="00265A70"/>
    <w:rsid w:val="00266092"/>
    <w:rsid w:val="00266B61"/>
    <w:rsid w:val="0026712A"/>
    <w:rsid w:val="0027046E"/>
    <w:rsid w:val="002704DB"/>
    <w:rsid w:val="0029495D"/>
    <w:rsid w:val="00295717"/>
    <w:rsid w:val="002A65AC"/>
    <w:rsid w:val="002B113D"/>
    <w:rsid w:val="002B1861"/>
    <w:rsid w:val="002C1641"/>
    <w:rsid w:val="002C3214"/>
    <w:rsid w:val="002D7EA2"/>
    <w:rsid w:val="002E15DF"/>
    <w:rsid w:val="002E187C"/>
    <w:rsid w:val="002E6E57"/>
    <w:rsid w:val="002F0F1C"/>
    <w:rsid w:val="00301075"/>
    <w:rsid w:val="00301234"/>
    <w:rsid w:val="00302733"/>
    <w:rsid w:val="00311A4F"/>
    <w:rsid w:val="00311E5F"/>
    <w:rsid w:val="00314078"/>
    <w:rsid w:val="00322450"/>
    <w:rsid w:val="003246B5"/>
    <w:rsid w:val="0033169F"/>
    <w:rsid w:val="00340AE4"/>
    <w:rsid w:val="003414AC"/>
    <w:rsid w:val="00346B57"/>
    <w:rsid w:val="00356185"/>
    <w:rsid w:val="00360380"/>
    <w:rsid w:val="00371BB6"/>
    <w:rsid w:val="0037296E"/>
    <w:rsid w:val="00373CDC"/>
    <w:rsid w:val="00374ECD"/>
    <w:rsid w:val="003803BB"/>
    <w:rsid w:val="003815A8"/>
    <w:rsid w:val="00384CC8"/>
    <w:rsid w:val="00386CF0"/>
    <w:rsid w:val="00391785"/>
    <w:rsid w:val="003A0AEA"/>
    <w:rsid w:val="003A5975"/>
    <w:rsid w:val="003B688A"/>
    <w:rsid w:val="003C32BC"/>
    <w:rsid w:val="003C6376"/>
    <w:rsid w:val="003E136D"/>
    <w:rsid w:val="003F1BBF"/>
    <w:rsid w:val="003F1BFA"/>
    <w:rsid w:val="003F7C5B"/>
    <w:rsid w:val="004165C2"/>
    <w:rsid w:val="0041686E"/>
    <w:rsid w:val="004174B2"/>
    <w:rsid w:val="00422101"/>
    <w:rsid w:val="00423C4E"/>
    <w:rsid w:val="004335CC"/>
    <w:rsid w:val="00440483"/>
    <w:rsid w:val="00442449"/>
    <w:rsid w:val="00442A7B"/>
    <w:rsid w:val="00444D0F"/>
    <w:rsid w:val="00445BB0"/>
    <w:rsid w:val="00450A4A"/>
    <w:rsid w:val="004555C2"/>
    <w:rsid w:val="004574B9"/>
    <w:rsid w:val="00460324"/>
    <w:rsid w:val="004666FB"/>
    <w:rsid w:val="00467B7E"/>
    <w:rsid w:val="00471C5E"/>
    <w:rsid w:val="00486B3C"/>
    <w:rsid w:val="0049165C"/>
    <w:rsid w:val="0049419D"/>
    <w:rsid w:val="00496E95"/>
    <w:rsid w:val="004B2762"/>
    <w:rsid w:val="004B7EB6"/>
    <w:rsid w:val="004C4B62"/>
    <w:rsid w:val="004D27B9"/>
    <w:rsid w:val="004D40BB"/>
    <w:rsid w:val="004D6025"/>
    <w:rsid w:val="004D72BC"/>
    <w:rsid w:val="004E1350"/>
    <w:rsid w:val="004E2CF3"/>
    <w:rsid w:val="004E3910"/>
    <w:rsid w:val="00501399"/>
    <w:rsid w:val="00502087"/>
    <w:rsid w:val="00507BC4"/>
    <w:rsid w:val="005128E4"/>
    <w:rsid w:val="005149E1"/>
    <w:rsid w:val="00520537"/>
    <w:rsid w:val="00522178"/>
    <w:rsid w:val="00525560"/>
    <w:rsid w:val="005357A6"/>
    <w:rsid w:val="00544C49"/>
    <w:rsid w:val="00544D63"/>
    <w:rsid w:val="0054678A"/>
    <w:rsid w:val="0057402A"/>
    <w:rsid w:val="005771D0"/>
    <w:rsid w:val="00582430"/>
    <w:rsid w:val="00587B2D"/>
    <w:rsid w:val="0059191A"/>
    <w:rsid w:val="005921FF"/>
    <w:rsid w:val="005938E2"/>
    <w:rsid w:val="005950A3"/>
    <w:rsid w:val="005A1C83"/>
    <w:rsid w:val="005A6D0E"/>
    <w:rsid w:val="005B222D"/>
    <w:rsid w:val="005B52B0"/>
    <w:rsid w:val="005B6806"/>
    <w:rsid w:val="005C00F9"/>
    <w:rsid w:val="005C4225"/>
    <w:rsid w:val="005C5F30"/>
    <w:rsid w:val="005D74C1"/>
    <w:rsid w:val="005F0F33"/>
    <w:rsid w:val="005F12FC"/>
    <w:rsid w:val="00600DEB"/>
    <w:rsid w:val="00605AD5"/>
    <w:rsid w:val="00607F4A"/>
    <w:rsid w:val="00613027"/>
    <w:rsid w:val="006136C9"/>
    <w:rsid w:val="00626755"/>
    <w:rsid w:val="00627C9F"/>
    <w:rsid w:val="006311DA"/>
    <w:rsid w:val="006311E9"/>
    <w:rsid w:val="00632354"/>
    <w:rsid w:val="00642810"/>
    <w:rsid w:val="00644407"/>
    <w:rsid w:val="006478A2"/>
    <w:rsid w:val="00647F72"/>
    <w:rsid w:val="00652333"/>
    <w:rsid w:val="0068009E"/>
    <w:rsid w:val="00691645"/>
    <w:rsid w:val="006A17D2"/>
    <w:rsid w:val="006A3850"/>
    <w:rsid w:val="006A73E6"/>
    <w:rsid w:val="006B2D5C"/>
    <w:rsid w:val="006B76BF"/>
    <w:rsid w:val="006C1D97"/>
    <w:rsid w:val="006C4EB1"/>
    <w:rsid w:val="006E0166"/>
    <w:rsid w:val="006E2257"/>
    <w:rsid w:val="006E4C75"/>
    <w:rsid w:val="006E7B34"/>
    <w:rsid w:val="006F0EB1"/>
    <w:rsid w:val="006F2D77"/>
    <w:rsid w:val="006F43C3"/>
    <w:rsid w:val="00701B24"/>
    <w:rsid w:val="0070466D"/>
    <w:rsid w:val="0071097A"/>
    <w:rsid w:val="00721810"/>
    <w:rsid w:val="007271D5"/>
    <w:rsid w:val="00744868"/>
    <w:rsid w:val="00745899"/>
    <w:rsid w:val="00753882"/>
    <w:rsid w:val="007607C4"/>
    <w:rsid w:val="00763430"/>
    <w:rsid w:val="00764973"/>
    <w:rsid w:val="0076643F"/>
    <w:rsid w:val="00780057"/>
    <w:rsid w:val="00782AB7"/>
    <w:rsid w:val="007908B4"/>
    <w:rsid w:val="00796307"/>
    <w:rsid w:val="007A20E9"/>
    <w:rsid w:val="007A2F70"/>
    <w:rsid w:val="007B764D"/>
    <w:rsid w:val="007C3334"/>
    <w:rsid w:val="007C52BB"/>
    <w:rsid w:val="007D2583"/>
    <w:rsid w:val="007D2B98"/>
    <w:rsid w:val="007F3C05"/>
    <w:rsid w:val="00803F1C"/>
    <w:rsid w:val="008040C3"/>
    <w:rsid w:val="00805112"/>
    <w:rsid w:val="0080600E"/>
    <w:rsid w:val="00814485"/>
    <w:rsid w:val="00817612"/>
    <w:rsid w:val="008245C3"/>
    <w:rsid w:val="00827669"/>
    <w:rsid w:val="0083072C"/>
    <w:rsid w:val="008370BF"/>
    <w:rsid w:val="00837C45"/>
    <w:rsid w:val="0084744C"/>
    <w:rsid w:val="00853419"/>
    <w:rsid w:val="00860B16"/>
    <w:rsid w:val="008632ED"/>
    <w:rsid w:val="008915FB"/>
    <w:rsid w:val="00897E12"/>
    <w:rsid w:val="008A6296"/>
    <w:rsid w:val="008B6383"/>
    <w:rsid w:val="008C3881"/>
    <w:rsid w:val="008C3A2C"/>
    <w:rsid w:val="008C525F"/>
    <w:rsid w:val="008D023E"/>
    <w:rsid w:val="008D43BA"/>
    <w:rsid w:val="008E2087"/>
    <w:rsid w:val="008E3759"/>
    <w:rsid w:val="008E4400"/>
    <w:rsid w:val="008F1F10"/>
    <w:rsid w:val="00900079"/>
    <w:rsid w:val="009041DC"/>
    <w:rsid w:val="009104B4"/>
    <w:rsid w:val="009109BD"/>
    <w:rsid w:val="00914F2A"/>
    <w:rsid w:val="00915DE7"/>
    <w:rsid w:val="00920DE0"/>
    <w:rsid w:val="0092130A"/>
    <w:rsid w:val="0092585F"/>
    <w:rsid w:val="00925FCD"/>
    <w:rsid w:val="0093441A"/>
    <w:rsid w:val="00935BD0"/>
    <w:rsid w:val="00944732"/>
    <w:rsid w:val="00954BF7"/>
    <w:rsid w:val="00955FBD"/>
    <w:rsid w:val="00961566"/>
    <w:rsid w:val="00966C05"/>
    <w:rsid w:val="0096706E"/>
    <w:rsid w:val="00971257"/>
    <w:rsid w:val="00975D0A"/>
    <w:rsid w:val="00981FBA"/>
    <w:rsid w:val="009971FD"/>
    <w:rsid w:val="009A5C95"/>
    <w:rsid w:val="009B0EE2"/>
    <w:rsid w:val="009B2F71"/>
    <w:rsid w:val="009B381B"/>
    <w:rsid w:val="009B605D"/>
    <w:rsid w:val="009C65A6"/>
    <w:rsid w:val="009D56ED"/>
    <w:rsid w:val="009D6580"/>
    <w:rsid w:val="009D7611"/>
    <w:rsid w:val="009D770B"/>
    <w:rsid w:val="009E53DE"/>
    <w:rsid w:val="009F28D1"/>
    <w:rsid w:val="00A05D65"/>
    <w:rsid w:val="00A16CFB"/>
    <w:rsid w:val="00A20B3D"/>
    <w:rsid w:val="00A33213"/>
    <w:rsid w:val="00A33E67"/>
    <w:rsid w:val="00A349A2"/>
    <w:rsid w:val="00A43458"/>
    <w:rsid w:val="00A46513"/>
    <w:rsid w:val="00A528D1"/>
    <w:rsid w:val="00A56C4F"/>
    <w:rsid w:val="00A6499F"/>
    <w:rsid w:val="00A66BE5"/>
    <w:rsid w:val="00A8484F"/>
    <w:rsid w:val="00A94C3B"/>
    <w:rsid w:val="00AA3734"/>
    <w:rsid w:val="00AC25E8"/>
    <w:rsid w:val="00AC680E"/>
    <w:rsid w:val="00AD37C1"/>
    <w:rsid w:val="00AE66EC"/>
    <w:rsid w:val="00AE6F91"/>
    <w:rsid w:val="00AF5571"/>
    <w:rsid w:val="00B05767"/>
    <w:rsid w:val="00B10F40"/>
    <w:rsid w:val="00B13051"/>
    <w:rsid w:val="00B167E9"/>
    <w:rsid w:val="00B21FCC"/>
    <w:rsid w:val="00B3034C"/>
    <w:rsid w:val="00B314DB"/>
    <w:rsid w:val="00B31EBE"/>
    <w:rsid w:val="00B32E8F"/>
    <w:rsid w:val="00B3718B"/>
    <w:rsid w:val="00B37D89"/>
    <w:rsid w:val="00B4320C"/>
    <w:rsid w:val="00B4632A"/>
    <w:rsid w:val="00B608B2"/>
    <w:rsid w:val="00B65753"/>
    <w:rsid w:val="00B70C3E"/>
    <w:rsid w:val="00B93DAF"/>
    <w:rsid w:val="00B93EAD"/>
    <w:rsid w:val="00B9458D"/>
    <w:rsid w:val="00BA276C"/>
    <w:rsid w:val="00BA4D23"/>
    <w:rsid w:val="00BB2A9A"/>
    <w:rsid w:val="00BB306F"/>
    <w:rsid w:val="00BD1F8B"/>
    <w:rsid w:val="00BD232B"/>
    <w:rsid w:val="00BD4B89"/>
    <w:rsid w:val="00BD6237"/>
    <w:rsid w:val="00BD6912"/>
    <w:rsid w:val="00BF21A7"/>
    <w:rsid w:val="00BF4AC0"/>
    <w:rsid w:val="00C015AF"/>
    <w:rsid w:val="00C03A86"/>
    <w:rsid w:val="00C0513A"/>
    <w:rsid w:val="00C05FBB"/>
    <w:rsid w:val="00C165C0"/>
    <w:rsid w:val="00C21762"/>
    <w:rsid w:val="00C24543"/>
    <w:rsid w:val="00C256A2"/>
    <w:rsid w:val="00C27132"/>
    <w:rsid w:val="00C3274E"/>
    <w:rsid w:val="00C3492D"/>
    <w:rsid w:val="00C37EE2"/>
    <w:rsid w:val="00C45989"/>
    <w:rsid w:val="00C5024C"/>
    <w:rsid w:val="00C55560"/>
    <w:rsid w:val="00C57E87"/>
    <w:rsid w:val="00C63C40"/>
    <w:rsid w:val="00C64C85"/>
    <w:rsid w:val="00C66B72"/>
    <w:rsid w:val="00C829BF"/>
    <w:rsid w:val="00C85023"/>
    <w:rsid w:val="00C86A93"/>
    <w:rsid w:val="00C9567A"/>
    <w:rsid w:val="00CA67E6"/>
    <w:rsid w:val="00CB2660"/>
    <w:rsid w:val="00CC2C3C"/>
    <w:rsid w:val="00CC5E90"/>
    <w:rsid w:val="00CD046C"/>
    <w:rsid w:val="00CE4046"/>
    <w:rsid w:val="00CE5199"/>
    <w:rsid w:val="00CE66D5"/>
    <w:rsid w:val="00CF64FD"/>
    <w:rsid w:val="00CF6C25"/>
    <w:rsid w:val="00D01FBA"/>
    <w:rsid w:val="00D1096F"/>
    <w:rsid w:val="00D1465C"/>
    <w:rsid w:val="00D250B6"/>
    <w:rsid w:val="00D26B7C"/>
    <w:rsid w:val="00D34786"/>
    <w:rsid w:val="00D40A1E"/>
    <w:rsid w:val="00D46FCA"/>
    <w:rsid w:val="00D4719D"/>
    <w:rsid w:val="00D53286"/>
    <w:rsid w:val="00D638A2"/>
    <w:rsid w:val="00D7022E"/>
    <w:rsid w:val="00D712D3"/>
    <w:rsid w:val="00D71422"/>
    <w:rsid w:val="00D7145E"/>
    <w:rsid w:val="00D7558D"/>
    <w:rsid w:val="00D81AB1"/>
    <w:rsid w:val="00D81D92"/>
    <w:rsid w:val="00D92130"/>
    <w:rsid w:val="00D93446"/>
    <w:rsid w:val="00D945C7"/>
    <w:rsid w:val="00D94679"/>
    <w:rsid w:val="00DA37B6"/>
    <w:rsid w:val="00DA7B5F"/>
    <w:rsid w:val="00DB4B10"/>
    <w:rsid w:val="00DC0258"/>
    <w:rsid w:val="00DC3CEA"/>
    <w:rsid w:val="00DD625D"/>
    <w:rsid w:val="00DE0469"/>
    <w:rsid w:val="00DE2EA5"/>
    <w:rsid w:val="00E03145"/>
    <w:rsid w:val="00E03441"/>
    <w:rsid w:val="00E12744"/>
    <w:rsid w:val="00E1420E"/>
    <w:rsid w:val="00E21D50"/>
    <w:rsid w:val="00E43157"/>
    <w:rsid w:val="00E533FF"/>
    <w:rsid w:val="00E54A1D"/>
    <w:rsid w:val="00E54EF7"/>
    <w:rsid w:val="00E64ECF"/>
    <w:rsid w:val="00E67E6A"/>
    <w:rsid w:val="00E709B3"/>
    <w:rsid w:val="00E73ED6"/>
    <w:rsid w:val="00E801F6"/>
    <w:rsid w:val="00E80233"/>
    <w:rsid w:val="00E8789F"/>
    <w:rsid w:val="00E97B71"/>
    <w:rsid w:val="00EA7A84"/>
    <w:rsid w:val="00EB0EFC"/>
    <w:rsid w:val="00EB454D"/>
    <w:rsid w:val="00EE15EB"/>
    <w:rsid w:val="00EE3522"/>
    <w:rsid w:val="00EF2EE3"/>
    <w:rsid w:val="00EF33D3"/>
    <w:rsid w:val="00EF4BB8"/>
    <w:rsid w:val="00EF619B"/>
    <w:rsid w:val="00EF645F"/>
    <w:rsid w:val="00F00B55"/>
    <w:rsid w:val="00F01E3A"/>
    <w:rsid w:val="00F02B5F"/>
    <w:rsid w:val="00F1380F"/>
    <w:rsid w:val="00F141E7"/>
    <w:rsid w:val="00F14F0E"/>
    <w:rsid w:val="00F24C29"/>
    <w:rsid w:val="00F253CC"/>
    <w:rsid w:val="00F465BF"/>
    <w:rsid w:val="00F56BA5"/>
    <w:rsid w:val="00F644E6"/>
    <w:rsid w:val="00F669E9"/>
    <w:rsid w:val="00F70606"/>
    <w:rsid w:val="00F82872"/>
    <w:rsid w:val="00F86DCA"/>
    <w:rsid w:val="00F9653B"/>
    <w:rsid w:val="00F977A5"/>
    <w:rsid w:val="00FA675D"/>
    <w:rsid w:val="00FB62CF"/>
    <w:rsid w:val="00FC14EE"/>
    <w:rsid w:val="00FC2ED5"/>
    <w:rsid w:val="00FC3EB4"/>
    <w:rsid w:val="00FC6C58"/>
    <w:rsid w:val="00FE0533"/>
    <w:rsid w:val="00FE64F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168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55C9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rsid w:val="0041686E"/>
    <w:rPr>
      <w:rFonts w:asciiTheme="majorHAnsi" w:eastAsiaTheme="majorEastAsia" w:hAnsiTheme="majorHAnsi" w:cstheme="majorBidi"/>
      <w:color w:val="365F91" w:themeColor="accent1" w:themeShade="BF"/>
      <w:sz w:val="26"/>
      <w:szCs w:val="26"/>
      <w:lang w:val="en-US" w:eastAsia="en-US"/>
    </w:rPr>
  </w:style>
  <w:style w:type="character" w:customStyle="1" w:styleId="normaltextrun">
    <w:name w:val="normaltextrun"/>
    <w:basedOn w:val="DefaultParagraphFont"/>
    <w:rsid w:val="0041686E"/>
  </w:style>
  <w:style w:type="character" w:customStyle="1" w:styleId="ui-provider">
    <w:name w:val="ui-provider"/>
    <w:basedOn w:val="DefaultParagraphFont"/>
    <w:rsid w:val="0041686E"/>
  </w:style>
  <w:style w:type="paragraph" w:customStyle="1" w:styleId="paragraph">
    <w:name w:val="paragraph"/>
    <w:basedOn w:val="Normal"/>
    <w:rsid w:val="004168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eop">
    <w:name w:val="eop"/>
    <w:basedOn w:val="DefaultParagraphFont"/>
    <w:rsid w:val="0041686E"/>
  </w:style>
  <w:style w:type="table" w:styleId="TableGrid">
    <w:name w:val="Table Grid"/>
    <w:basedOn w:val="TableNormal"/>
    <w:uiPriority w:val="39"/>
    <w:rsid w:val="0041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174B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3Char">
    <w:name w:val="Heading 3 Char"/>
    <w:basedOn w:val="DefaultParagraphFont"/>
    <w:link w:val="Heading3"/>
    <w:rsid w:val="00055C99"/>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055C99"/>
    <w:pPr>
      <w:spacing w:after="120" w:line="480" w:lineRule="auto"/>
      <w:ind w:left="360"/>
    </w:pPr>
  </w:style>
  <w:style w:type="character" w:customStyle="1" w:styleId="BodyTextIndent2Char">
    <w:name w:val="Body Text Indent 2 Char"/>
    <w:basedOn w:val="DefaultParagraphFont"/>
    <w:link w:val="BodyTextIndent2"/>
    <w:uiPriority w:val="99"/>
    <w:semiHidden/>
    <w:rsid w:val="00055C99"/>
    <w:rPr>
      <w:sz w:val="24"/>
      <w:szCs w:val="24"/>
      <w:lang w:val="en-US" w:eastAsia="en-US"/>
    </w:rPr>
  </w:style>
  <w:style w:type="paragraph" w:customStyle="1" w:styleId="Default">
    <w:name w:val="Default"/>
    <w:link w:val="DefaultChar"/>
    <w:rsid w:val="00055C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055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055C99"/>
    <w:rPr>
      <w:rFonts w:eastAsia="Times New Roman"/>
      <w:sz w:val="24"/>
      <w:szCs w:val="24"/>
      <w:bdr w:val="none" w:sz="0" w:space="0" w:color="auto"/>
      <w:lang w:val="en-US" w:eastAsia="en-US"/>
    </w:rPr>
  </w:style>
  <w:style w:type="character" w:customStyle="1" w:styleId="DefaultChar">
    <w:name w:val="Default Char"/>
    <w:link w:val="Default"/>
    <w:rsid w:val="00055C99"/>
    <w:rPr>
      <w:rFonts w:eastAsia="Times New Roman"/>
      <w:color w:val="000000"/>
      <w:sz w:val="24"/>
      <w:szCs w:val="24"/>
      <w:bdr w:val="none" w:sz="0" w:space="0" w:color="auto"/>
      <w:lang w:val="en-US" w:eastAsia="en-US"/>
    </w:rPr>
  </w:style>
  <w:style w:type="paragraph" w:styleId="NoSpacing">
    <w:name w:val="No Spacing"/>
    <w:uiPriority w:val="1"/>
    <w:qFormat/>
    <w:rsid w:val="00055C9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055C99"/>
    <w:rPr>
      <w:i/>
      <w:iCs/>
    </w:rPr>
  </w:style>
  <w:style w:type="character" w:styleId="CommentReference">
    <w:name w:val="annotation reference"/>
    <w:basedOn w:val="DefaultParagraphFont"/>
    <w:uiPriority w:val="99"/>
    <w:semiHidden/>
    <w:unhideWhenUsed/>
    <w:rsid w:val="00055C99"/>
    <w:rPr>
      <w:sz w:val="16"/>
      <w:szCs w:val="16"/>
    </w:rPr>
  </w:style>
  <w:style w:type="paragraph" w:styleId="CommentText">
    <w:name w:val="annotation text"/>
    <w:basedOn w:val="Normal"/>
    <w:link w:val="CommentTextChar"/>
    <w:uiPriority w:val="99"/>
    <w:unhideWhenUsed/>
    <w:rsid w:val="00055C99"/>
    <w:rPr>
      <w:sz w:val="20"/>
      <w:szCs w:val="20"/>
    </w:rPr>
  </w:style>
  <w:style w:type="character" w:customStyle="1" w:styleId="CommentTextChar">
    <w:name w:val="Comment Text Char"/>
    <w:basedOn w:val="DefaultParagraphFont"/>
    <w:link w:val="CommentText"/>
    <w:uiPriority w:val="99"/>
    <w:rsid w:val="00055C99"/>
    <w:rPr>
      <w:lang w:val="en-US" w:eastAsia="en-US"/>
    </w:rPr>
  </w:style>
  <w:style w:type="paragraph" w:styleId="CommentSubject">
    <w:name w:val="annotation subject"/>
    <w:basedOn w:val="CommentText"/>
    <w:next w:val="CommentText"/>
    <w:link w:val="CommentSubjectChar"/>
    <w:uiPriority w:val="99"/>
    <w:semiHidden/>
    <w:unhideWhenUsed/>
    <w:rsid w:val="00055C99"/>
    <w:rPr>
      <w:b/>
      <w:bCs/>
    </w:rPr>
  </w:style>
  <w:style w:type="character" w:customStyle="1" w:styleId="CommentSubjectChar">
    <w:name w:val="Comment Subject Char"/>
    <w:basedOn w:val="CommentTextChar"/>
    <w:link w:val="CommentSubject"/>
    <w:uiPriority w:val="99"/>
    <w:semiHidden/>
    <w:rsid w:val="00055C99"/>
    <w:rPr>
      <w:b/>
      <w:bCs/>
      <w:lang w:val="en-US" w:eastAsia="en-US"/>
    </w:rPr>
  </w:style>
  <w:style w:type="character" w:customStyle="1" w:styleId="apple-converted-space">
    <w:name w:val="apple-converted-space"/>
    <w:basedOn w:val="DefaultParagraphFont"/>
    <w:rsid w:val="00055C99"/>
  </w:style>
  <w:style w:type="character" w:customStyle="1" w:styleId="rwrro">
    <w:name w:val="rwrro"/>
    <w:basedOn w:val="DefaultParagraphFont"/>
    <w:rsid w:val="00055C99"/>
  </w:style>
  <w:style w:type="character" w:customStyle="1" w:styleId="spncelf">
    <w:name w:val="spncelf"/>
    <w:basedOn w:val="DefaultParagraphFont"/>
    <w:rsid w:val="00055C99"/>
  </w:style>
  <w:style w:type="paragraph" w:styleId="NormalWeb">
    <w:name w:val="Normal (Web)"/>
    <w:basedOn w:val="Normal"/>
    <w:uiPriority w:val="99"/>
    <w:unhideWhenUsed/>
    <w:rsid w:val="00055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rsid w:val="00055C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055C99"/>
    <w:rPr>
      <w:color w:val="605E5C"/>
      <w:shd w:val="clear" w:color="auto" w:fill="E1DFDD"/>
    </w:rPr>
  </w:style>
  <w:style w:type="paragraph" w:styleId="Revision">
    <w:name w:val="Revision"/>
    <w:hidden/>
    <w:uiPriority w:val="99"/>
    <w:semiHidden/>
    <w:rsid w:val="00055C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pt/cidh/relatorios/pdfs/brasil2021-p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DD2F32EEDA476CAE67C0F0A63B2971"/>
        <w:category>
          <w:name w:val="General"/>
          <w:gallery w:val="placeholder"/>
        </w:category>
        <w:types>
          <w:type w:val="bbPlcHdr"/>
        </w:types>
        <w:behaviors>
          <w:behavior w:val="content"/>
        </w:behaviors>
        <w:guid w:val="{F4808BC8-2138-4BDD-87C6-0C3387B5E580}"/>
      </w:docPartPr>
      <w:docPartBody>
        <w:p w:rsidR="00B95070" w:rsidRDefault="0006347A" w:rsidP="0006347A">
          <w:pPr>
            <w:pStyle w:val="75DD2F32EEDA476CAE67C0F0A63B297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7A"/>
    <w:rsid w:val="0006347A"/>
    <w:rsid w:val="001B2A26"/>
    <w:rsid w:val="0023234D"/>
    <w:rsid w:val="00330A88"/>
    <w:rsid w:val="00496E95"/>
    <w:rsid w:val="005D0987"/>
    <w:rsid w:val="00690F62"/>
    <w:rsid w:val="006A6A29"/>
    <w:rsid w:val="0083072C"/>
    <w:rsid w:val="008A6296"/>
    <w:rsid w:val="00B95070"/>
    <w:rsid w:val="00C05FB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47A"/>
    <w:rPr>
      <w:color w:val="808080"/>
    </w:rPr>
  </w:style>
  <w:style w:type="paragraph" w:customStyle="1" w:styleId="75DD2F32EEDA476CAE67C0F0A63B2971">
    <w:name w:val="75DD2F32EEDA476CAE67C0F0A63B2971"/>
    <w:rsid w:val="00063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4514</Words>
  <Characters>25734</Characters>
  <Application>Microsoft Office Word</Application>
  <DocSecurity>0</DocSecurity>
  <Lines>214</Lines>
  <Paragraphs>60</Paragraphs>
  <ScaleCrop>false</ScaleCrop>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2024-10-30T13:43:00Z</dcterms:created>
  <dcterms:modified xsi:type="dcterms:W3CDTF">2024-10-30T13:43:00Z</dcterms:modified>
</cp:coreProperties>
</file>