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D7F1" w14:textId="6A31C2CC" w:rsidR="000961D2" w:rsidRDefault="0007229D" w:rsidP="000961D2">
      <w:pPr>
        <w:jc w:val="both"/>
        <w:rPr>
          <w:rFonts w:asciiTheme="majorHAnsi" w:hAnsiTheme="majorHAnsi" w:cs="Univers"/>
          <w:b/>
          <w:bCs/>
          <w:sz w:val="22"/>
          <w:szCs w:val="22"/>
          <w:lang w:val="pt-BR"/>
        </w:rPr>
      </w:pPr>
      <w:r>
        <w:rPr>
          <w:noProof/>
        </w:rPr>
        <mc:AlternateContent>
          <mc:Choice Requires="wps">
            <w:drawing>
              <wp:anchor distT="0" distB="0" distL="114300" distR="114300" simplePos="0" relativeHeight="251654656" behindDoc="0" locked="0" layoutInCell="1" allowOverlap="1" wp14:anchorId="78990947" wp14:editId="20E3F03D">
                <wp:simplePos x="0" y="0"/>
                <wp:positionH relativeFrom="column">
                  <wp:posOffset>1371128</wp:posOffset>
                </wp:positionH>
                <wp:positionV relativeFrom="paragraph">
                  <wp:posOffset>-451485</wp:posOffset>
                </wp:positionV>
                <wp:extent cx="5248275" cy="902335"/>
                <wp:effectExtent l="0" t="0" r="0" b="0"/>
                <wp:wrapNone/>
                <wp:docPr id="11" name="Text Box 9"/>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095E4" w14:textId="73DE2431" w:rsidR="000961D2" w:rsidRDefault="00C32E35" w:rsidP="000961D2">
                            <w:r>
                              <w:rPr>
                                <w:noProof/>
                              </w:rPr>
                              <w:drawing>
                                <wp:inline distT="0" distB="0" distL="0" distR="0" wp14:anchorId="7CD30AE6" wp14:editId="4756221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0961D2">
                              <w:tab/>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0947" id="_x0000_t202" coordsize="21600,21600" o:spt="202" path="m,l,21600r21600,l21600,xe">
                <v:stroke joinstyle="miter"/>
                <v:path gradientshapeok="t" o:connecttype="rect"/>
              </v:shapetype>
              <v:shape id="Text Box 9" o:spid="_x0000_s1026" type="#_x0000_t202" style="position:absolute;left:0;text-align:left;margin-left:107.95pt;margin-top:-35.55pt;width:413.25pt;height:7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U6aQIAADUFAAAOAAAAZHJzL2Uyb0RvYy54bWysVEtvGyEQvlfqf0Dcm7UdOw8r68hNlKpS&#10;lERNqpwxCzEqy1AYe9f99RnY9UPuKVUvMDDfDPP4hqvrtrZsrUI04Eo+PBlwppyEyri3kv98ufty&#10;wVlE4SphwamSb1Tk17PPn64aP1UjWIKtVGDkxMVp40u+RPTToohyqWoRT8ArR0oNoRZIx/BWVEE0&#10;5L22xWgwOCsaCJUPIFWMdHvbKfks+9daSXzUOipktuQUG+Y15HWR1mJ2JaZvQfilkX0Y4h+iqIVx&#10;9OjO1a1AwVbB/OWqNjJABI0nEuoCtDZS5Rwom+HgKJvnpfAq50LFiX5Xpvj/3MqH9bN/Cgzbr9BS&#10;A1NBGh+nkS5TPq0OddopUkZ6KuFmVzbVIpN0ORmNL0bnE84k6S4Ho9PTSXJT7K19iPhNQc2SUPJA&#10;bcnVEuv7iB10C0mPObgz1ubWWMeakp+dTgbZYKch59YlrMpN7t3sI88SbqxKGOt+KM1MlRNIF5le&#10;6sYGthZEDCGlcphzz34JnVCagviIYY/fR/UR4y6P7cvgcGdcGwchZ38UdvVrG7Lu8FTzg7yTiO2i&#10;7Tu6gGpDjQ7QzUD08s5QN+5FxCcRiPTUWxpkfKRFW6CqS2s8Z0sIf47vEo44SBrOGhqeksffKxEU&#10;Z/a7I3ZeDsfjNG35MJ6cj+gQDjWLQ41b1TdAbRjSV+FlFhMe7VbUAepXmvN5epVUwkl6u+S4FW+w&#10;G2n6J6SazzOI5ssLvHfPXibXqSuJYy/tqwi+JyIShR9gO2ZiesTHDpssHcxXCNpksqbCdtXsC06z&#10;mene/yNp+A/PGbX/7WbvAAAA//8DAFBLAwQUAAYACAAAACEAYXiVteMAAAALAQAADwAAAGRycy9k&#10;b3ducmV2LnhtbEyPTU/CQBRF9yb+h8kzcQcz04BA6SshTYiJ0QXIxt1rO7SN81E7A1R/vcNKly/3&#10;5N7zss1oNLuowXfOIsipAKZs5erONgjH991kCcwHsjVpZxXCt/Kwye/vMkprd7V7dTmEhsUS61NC&#10;aEPoU8591SpDfup6ZWN2coOhEM+h4fVA11huNE+EeOKGOhsXWupV0arq83A2CC/F7o32ZWKWP7p4&#10;fj1t+6/jxxzx8WHcroEFNYY/GG76UR3y6FS6s6090wiJnK8iijBZSAnsRohZMgNWIiykAJ5n/P8P&#10;+S8AAAD//wMAUEsBAi0AFAAGAAgAAAAhALaDOJL+AAAA4QEAABMAAAAAAAAAAAAAAAAAAAAAAFtD&#10;b250ZW50X1R5cGVzXS54bWxQSwECLQAUAAYACAAAACEAOP0h/9YAAACUAQAACwAAAAAAAAAAAAAA&#10;AAAvAQAAX3JlbHMvLnJlbHNQSwECLQAUAAYACAAAACEA+/S1OmkCAAA1BQAADgAAAAAAAAAAAAAA&#10;AAAuAgAAZHJzL2Uyb0RvYy54bWxQSwECLQAUAAYACAAAACEAYXiVteMAAAALAQAADwAAAAAAAAAA&#10;AAAAAADDBAAAZHJzL2Rvd25yZXYueG1sUEsFBgAAAAAEAAQA8wAAANMFAAAAAA==&#10;" filled="f" stroked="f" strokeweight=".5pt">
                <v:textbox>
                  <w:txbxContent>
                    <w:p w14:paraId="571095E4" w14:textId="73DE2431" w:rsidR="000961D2" w:rsidRDefault="00C32E35" w:rsidP="000961D2">
                      <w:r>
                        <w:rPr>
                          <w:noProof/>
                        </w:rPr>
                        <w:drawing>
                          <wp:inline distT="0" distB="0" distL="0" distR="0" wp14:anchorId="7CD30AE6" wp14:editId="4756221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0961D2">
                        <w:tab/>
                        <w:t xml:space="preserve">                              </w:t>
                      </w:r>
                    </w:p>
                  </w:txbxContent>
                </v:textbox>
              </v:shape>
            </w:pict>
          </mc:Fallback>
        </mc:AlternateContent>
      </w:r>
      <w:r w:rsidR="00E27781" w:rsidRPr="003C32BC">
        <w:rPr>
          <w:rFonts w:asciiTheme="majorHAnsi" w:hAnsiTheme="majorHAnsi"/>
          <w:noProof/>
          <w:sz w:val="22"/>
          <w:szCs w:val="22"/>
        </w:rPr>
        <mc:AlternateContent>
          <mc:Choice Requires="wps">
            <w:drawing>
              <wp:anchor distT="0" distB="0" distL="114300" distR="114300" simplePos="0" relativeHeight="251652607" behindDoc="0" locked="0" layoutInCell="1" allowOverlap="1" wp14:anchorId="664E3A55" wp14:editId="120B0CD7">
                <wp:simplePos x="0" y="0"/>
                <wp:positionH relativeFrom="column">
                  <wp:posOffset>-311150</wp:posOffset>
                </wp:positionH>
                <wp:positionV relativeFrom="paragraph">
                  <wp:posOffset>-288290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9CF7CA1" id="Rectangle 1" o:spid="_x0000_s1026" style="position:absolute;margin-left:-24.5pt;margin-top:-22.7pt;width:111pt;height:706.9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UQYvh+QAAAAMAQAADwAAAGRycy9kb3ducmV2LnhtbEyPS0/DMBCE70j8B2uRuKDWgYYS&#10;QpyKR5EAqYeWHsrNTZYkIl5HsfPov2dzgtvs7mj2m2Q1mlr02LrKkoLreQACKbN5RYWC/efrLALh&#10;vKZc15ZQwQkdrNLzs0THuR1oi/3OF4JDyMVaQel9E0vpshKNdnPbIPHt27ZGex7bQuatHjjc1PIm&#10;CJbS6Ir4Q6kbfC4x+9l1RkE0fDy996dN5N/WV/uX9Xj46g5WqcuL8fEBhMfR/5lhwmd0SJnpaDvK&#10;nagVzMJ77uIncRuCmBx3C94cWSyWUQgyTeT/EukvAAAA//8DAFBLAQItABQABgAIAAAAIQC2gziS&#10;/gAAAOEBAAATAAAAAAAAAAAAAAAAAAAAAABbQ29udGVudF9UeXBlc10ueG1sUEsBAi0AFAAGAAgA&#10;AAAhADj9If/WAAAAlAEAAAsAAAAAAAAAAAAAAAAALwEAAF9yZWxzLy5yZWxzUEsBAi0AFAAGAAgA&#10;AAAhABWyKLaEAgAAYAUAAA4AAAAAAAAAAAAAAAAALgIAAGRycy9lMm9Eb2MueG1sUEsBAi0AFAAG&#10;AAgAAAAhAFEGL4fkAAAADAEAAA8AAAAAAAAAAAAAAAAA3gQAAGRycy9kb3ducmV2LnhtbFBLBQYA&#10;AAAABAAEAPMAAADvBQAAAAA=&#10;" fillcolor="#67ae3c" stroked="f" strokeweight="2pt"/>
            </w:pict>
          </mc:Fallback>
        </mc:AlternateContent>
      </w:r>
      <w:r w:rsidR="000961D2">
        <w:rPr>
          <w:rFonts w:asciiTheme="majorHAnsi" w:hAnsiTheme="majorHAnsi" w:cs="Univers"/>
          <w:b/>
          <w:bCs/>
          <w:sz w:val="22"/>
          <w:szCs w:val="22"/>
          <w:lang w:val="pt-BR"/>
        </w:rPr>
        <w:t xml:space="preserve"> </w:t>
      </w:r>
    </w:p>
    <w:p w14:paraId="5AE1E788" w14:textId="77777777" w:rsidR="000961D2" w:rsidRDefault="000961D2" w:rsidP="000961D2">
      <w:pPr>
        <w:tabs>
          <w:tab w:val="center" w:pos="5400"/>
        </w:tabs>
        <w:suppressAutoHyphens/>
        <w:jc w:val="both"/>
        <w:rPr>
          <w:rFonts w:asciiTheme="majorHAnsi" w:hAnsiTheme="majorHAnsi"/>
          <w:sz w:val="22"/>
          <w:szCs w:val="22"/>
          <w:lang w:val="pt-BR"/>
        </w:rPr>
      </w:pPr>
    </w:p>
    <w:p w14:paraId="277C21FA" w14:textId="77777777" w:rsidR="000961D2" w:rsidRDefault="000961D2" w:rsidP="000961D2">
      <w:pPr>
        <w:tabs>
          <w:tab w:val="center" w:pos="5400"/>
        </w:tabs>
        <w:suppressAutoHyphens/>
        <w:jc w:val="both"/>
        <w:rPr>
          <w:rFonts w:asciiTheme="majorHAnsi" w:hAnsiTheme="majorHAnsi"/>
          <w:sz w:val="22"/>
          <w:szCs w:val="22"/>
          <w:lang w:val="pt-BR"/>
        </w:rPr>
      </w:pPr>
    </w:p>
    <w:p w14:paraId="603037EE" w14:textId="77777777" w:rsidR="000961D2" w:rsidRPr="001F7871" w:rsidRDefault="000961D2" w:rsidP="000961D2">
      <w:pPr>
        <w:tabs>
          <w:tab w:val="center" w:pos="5400"/>
        </w:tabs>
        <w:suppressAutoHyphens/>
        <w:rPr>
          <w:rFonts w:asciiTheme="majorHAnsi" w:hAnsiTheme="majorHAnsi"/>
          <w:sz w:val="22"/>
          <w:szCs w:val="22"/>
        </w:rPr>
      </w:pPr>
    </w:p>
    <w:p w14:paraId="34DE8392" w14:textId="77777777" w:rsidR="000961D2" w:rsidRPr="001F7871" w:rsidRDefault="000961D2" w:rsidP="000961D2">
      <w:pPr>
        <w:tabs>
          <w:tab w:val="center" w:pos="5400"/>
        </w:tabs>
        <w:suppressAutoHyphens/>
        <w:rPr>
          <w:rFonts w:asciiTheme="majorHAnsi" w:hAnsiTheme="majorHAnsi"/>
          <w:sz w:val="22"/>
          <w:szCs w:val="22"/>
        </w:rPr>
      </w:pPr>
    </w:p>
    <w:p w14:paraId="576A5746" w14:textId="77777777" w:rsidR="000961D2" w:rsidRPr="001F7871" w:rsidRDefault="000961D2" w:rsidP="000961D2">
      <w:pPr>
        <w:tabs>
          <w:tab w:val="center" w:pos="5400"/>
        </w:tabs>
        <w:suppressAutoHyphens/>
        <w:rPr>
          <w:rFonts w:asciiTheme="majorHAnsi" w:hAnsiTheme="majorHAnsi"/>
          <w:sz w:val="22"/>
          <w:szCs w:val="22"/>
        </w:rPr>
      </w:pPr>
    </w:p>
    <w:p w14:paraId="25A2ED1A" w14:textId="77777777" w:rsidR="000961D2" w:rsidRPr="001F7871" w:rsidRDefault="000961D2" w:rsidP="000961D2">
      <w:pPr>
        <w:tabs>
          <w:tab w:val="center" w:pos="5400"/>
        </w:tabs>
        <w:suppressAutoHyphens/>
        <w:jc w:val="center"/>
        <w:rPr>
          <w:rFonts w:asciiTheme="majorHAnsi" w:hAnsiTheme="majorHAnsi"/>
          <w:sz w:val="22"/>
          <w:szCs w:val="22"/>
        </w:rPr>
      </w:pPr>
    </w:p>
    <w:p w14:paraId="766EBBA9" w14:textId="77777777" w:rsidR="000961D2" w:rsidRPr="001F7871" w:rsidRDefault="000961D2" w:rsidP="000961D2">
      <w:pPr>
        <w:tabs>
          <w:tab w:val="center" w:pos="5400"/>
        </w:tabs>
        <w:suppressAutoHyphens/>
        <w:jc w:val="center"/>
        <w:rPr>
          <w:rFonts w:asciiTheme="majorHAnsi" w:hAnsiTheme="majorHAnsi"/>
          <w:sz w:val="22"/>
          <w:szCs w:val="22"/>
        </w:rPr>
      </w:pPr>
    </w:p>
    <w:p w14:paraId="11222B99" w14:textId="77777777" w:rsidR="000961D2" w:rsidRPr="001F7871" w:rsidRDefault="000961D2" w:rsidP="000961D2">
      <w:pPr>
        <w:tabs>
          <w:tab w:val="center" w:pos="5400"/>
        </w:tabs>
        <w:suppressAutoHyphens/>
        <w:jc w:val="center"/>
        <w:rPr>
          <w:rFonts w:asciiTheme="majorHAnsi" w:hAnsiTheme="majorHAnsi"/>
          <w:sz w:val="22"/>
          <w:szCs w:val="22"/>
        </w:rPr>
      </w:pPr>
    </w:p>
    <w:p w14:paraId="66EF40F4" w14:textId="77777777" w:rsidR="000961D2" w:rsidRPr="001F7871" w:rsidRDefault="000961D2" w:rsidP="000961D2">
      <w:pPr>
        <w:tabs>
          <w:tab w:val="center" w:pos="5400"/>
        </w:tabs>
        <w:suppressAutoHyphens/>
        <w:jc w:val="center"/>
        <w:rPr>
          <w:rFonts w:asciiTheme="majorHAnsi" w:hAnsiTheme="majorHAnsi"/>
          <w:sz w:val="22"/>
          <w:szCs w:val="22"/>
        </w:rPr>
      </w:pPr>
    </w:p>
    <w:p w14:paraId="039BCF93" w14:textId="77777777" w:rsidR="000961D2" w:rsidRPr="001F7871" w:rsidRDefault="000961D2" w:rsidP="000961D2">
      <w:pPr>
        <w:tabs>
          <w:tab w:val="center" w:pos="5400"/>
        </w:tabs>
        <w:suppressAutoHyphens/>
        <w:jc w:val="center"/>
        <w:rPr>
          <w:rFonts w:asciiTheme="majorHAnsi" w:hAnsiTheme="majorHAnsi"/>
          <w:sz w:val="22"/>
          <w:szCs w:val="22"/>
        </w:rPr>
      </w:pPr>
    </w:p>
    <w:p w14:paraId="0B76E258" w14:textId="77777777" w:rsidR="000961D2" w:rsidRPr="001F7871" w:rsidRDefault="000961D2" w:rsidP="000961D2">
      <w:pPr>
        <w:tabs>
          <w:tab w:val="center" w:pos="5400"/>
        </w:tabs>
        <w:suppressAutoHyphens/>
        <w:jc w:val="center"/>
        <w:rPr>
          <w:rFonts w:asciiTheme="majorHAnsi" w:hAnsiTheme="majorHAnsi"/>
          <w:sz w:val="22"/>
          <w:szCs w:val="22"/>
        </w:rPr>
      </w:pPr>
    </w:p>
    <w:p w14:paraId="6AD5F653" w14:textId="77777777" w:rsidR="000961D2" w:rsidRPr="001F7871" w:rsidRDefault="000961D2" w:rsidP="000961D2">
      <w:pPr>
        <w:tabs>
          <w:tab w:val="center" w:pos="5400"/>
        </w:tabs>
        <w:suppressAutoHyphens/>
        <w:jc w:val="center"/>
        <w:rPr>
          <w:rFonts w:asciiTheme="majorHAnsi" w:hAnsiTheme="majorHAnsi"/>
          <w:sz w:val="22"/>
          <w:szCs w:val="22"/>
        </w:rPr>
      </w:pPr>
    </w:p>
    <w:p w14:paraId="2D57BC60" w14:textId="0475B45B" w:rsidR="000961D2" w:rsidRPr="001F7871" w:rsidRDefault="000961D2" w:rsidP="000961D2">
      <w:pPr>
        <w:tabs>
          <w:tab w:val="center" w:pos="5400"/>
        </w:tabs>
        <w:suppressAutoHyphens/>
        <w:jc w:val="center"/>
        <w:rPr>
          <w:rFonts w:asciiTheme="majorHAnsi" w:hAnsiTheme="majorHAnsi"/>
          <w:sz w:val="22"/>
          <w:szCs w:val="22"/>
        </w:rPr>
      </w:pPr>
      <w:r w:rsidRPr="001F7871">
        <w:rPr>
          <w:noProof/>
        </w:rPr>
        <mc:AlternateContent>
          <mc:Choice Requires="wps">
            <w:drawing>
              <wp:anchor distT="0" distB="0" distL="114300" distR="114300" simplePos="0" relativeHeight="251655680" behindDoc="0" locked="0" layoutInCell="1" allowOverlap="1" wp14:anchorId="2205CFE5" wp14:editId="1CC8BF7F">
                <wp:simplePos x="0" y="0"/>
                <wp:positionH relativeFrom="column">
                  <wp:posOffset>1432723</wp:posOffset>
                </wp:positionH>
                <wp:positionV relativeFrom="paragraph">
                  <wp:posOffset>107315</wp:posOffset>
                </wp:positionV>
                <wp:extent cx="4441190" cy="2181225"/>
                <wp:effectExtent l="0" t="0" r="0" b="0"/>
                <wp:wrapNone/>
                <wp:docPr id="5" name="Text Box 7"/>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52F86" w14:textId="68A223C6" w:rsidR="000961D2" w:rsidRPr="00095932" w:rsidRDefault="00C32E35" w:rsidP="000961D2">
                            <w:pPr>
                              <w:spacing w:line="276" w:lineRule="auto"/>
                              <w:rPr>
                                <w:rFonts w:asciiTheme="majorHAnsi" w:hAnsiTheme="majorHAnsi" w:cs="Arial"/>
                                <w:b/>
                                <w:bCs/>
                                <w:color w:val="0D0D0D" w:themeColor="text1" w:themeTint="F2"/>
                                <w:sz w:val="36"/>
                                <w:szCs w:val="22"/>
                              </w:rPr>
                            </w:pPr>
                            <w:r w:rsidRPr="00095932">
                              <w:rPr>
                                <w:rFonts w:asciiTheme="majorHAnsi" w:hAnsiTheme="majorHAnsi" w:cs="Arial"/>
                                <w:b/>
                                <w:bCs/>
                                <w:color w:val="0D0D0D" w:themeColor="text1" w:themeTint="F2"/>
                                <w:sz w:val="36"/>
                                <w:szCs w:val="22"/>
                              </w:rPr>
                              <w:t>REPORT No.</w:t>
                            </w:r>
                            <w:r w:rsidR="000961D2" w:rsidRPr="00095932">
                              <w:rPr>
                                <w:rFonts w:asciiTheme="majorHAnsi" w:hAnsiTheme="majorHAnsi" w:cs="Arial"/>
                                <w:b/>
                                <w:bCs/>
                                <w:color w:val="0D0D0D" w:themeColor="text1" w:themeTint="F2"/>
                                <w:sz w:val="36"/>
                                <w:szCs w:val="22"/>
                              </w:rPr>
                              <w:t xml:space="preserve"> </w:t>
                            </w:r>
                            <w:r w:rsidR="00866442">
                              <w:rPr>
                                <w:rFonts w:asciiTheme="majorHAnsi" w:hAnsiTheme="majorHAnsi" w:cs="Arial"/>
                                <w:b/>
                                <w:bCs/>
                                <w:color w:val="0D0D0D" w:themeColor="text1" w:themeTint="F2"/>
                                <w:sz w:val="36"/>
                                <w:szCs w:val="22"/>
                              </w:rPr>
                              <w:t>174</w:t>
                            </w:r>
                            <w:r w:rsidR="000961D2" w:rsidRPr="00095932">
                              <w:rPr>
                                <w:rFonts w:asciiTheme="majorHAnsi" w:hAnsiTheme="majorHAnsi" w:cs="Arial"/>
                                <w:b/>
                                <w:bCs/>
                                <w:color w:val="0D0D0D" w:themeColor="text1" w:themeTint="F2"/>
                                <w:sz w:val="36"/>
                                <w:szCs w:val="22"/>
                              </w:rPr>
                              <w:t>/24</w:t>
                            </w:r>
                          </w:p>
                          <w:p w14:paraId="5C7D00D8" w14:textId="5A77921E" w:rsidR="000961D2" w:rsidRPr="00095932" w:rsidRDefault="000961D2" w:rsidP="000961D2">
                            <w:pPr>
                              <w:spacing w:line="276" w:lineRule="auto"/>
                              <w:rPr>
                                <w:rFonts w:asciiTheme="majorHAnsi" w:hAnsiTheme="majorHAnsi" w:cs="Arial"/>
                                <w:b/>
                                <w:color w:val="0D0D0D" w:themeColor="text1" w:themeTint="F2"/>
                                <w:sz w:val="36"/>
                                <w:szCs w:val="22"/>
                              </w:rPr>
                            </w:pPr>
                            <w:r w:rsidRPr="00095932">
                              <w:rPr>
                                <w:rFonts w:asciiTheme="majorHAnsi" w:hAnsiTheme="majorHAnsi" w:cs="Arial"/>
                                <w:b/>
                                <w:color w:val="0D0D0D" w:themeColor="text1" w:themeTint="F2"/>
                                <w:sz w:val="36"/>
                                <w:szCs w:val="22"/>
                              </w:rPr>
                              <w:t>PETI</w:t>
                            </w:r>
                            <w:r w:rsidR="00C32E35" w:rsidRPr="00095932">
                              <w:rPr>
                                <w:rFonts w:asciiTheme="majorHAnsi" w:hAnsiTheme="majorHAnsi" w:cs="Arial"/>
                                <w:b/>
                                <w:color w:val="0D0D0D" w:themeColor="text1" w:themeTint="F2"/>
                                <w:sz w:val="36"/>
                                <w:szCs w:val="22"/>
                              </w:rPr>
                              <w:t>TION</w:t>
                            </w:r>
                            <w:r w:rsidRPr="00095932">
                              <w:rPr>
                                <w:rFonts w:asciiTheme="majorHAnsi" w:hAnsiTheme="majorHAnsi" w:cs="Arial"/>
                                <w:b/>
                                <w:color w:val="0D0D0D" w:themeColor="text1" w:themeTint="F2"/>
                                <w:sz w:val="36"/>
                                <w:szCs w:val="22"/>
                              </w:rPr>
                              <w:t xml:space="preserve"> 731-13</w:t>
                            </w:r>
                          </w:p>
                          <w:p w14:paraId="42963E27" w14:textId="4E23BEAF" w:rsidR="000961D2" w:rsidRPr="00095932" w:rsidRDefault="00070F70"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 xml:space="preserve">REPORT ON </w:t>
                            </w:r>
                            <w:r w:rsidR="00C32E35" w:rsidRPr="00095932">
                              <w:rPr>
                                <w:rFonts w:asciiTheme="majorHAnsi" w:hAnsiTheme="majorHAnsi" w:cs="Arial"/>
                                <w:color w:val="0D0D0D" w:themeColor="text1" w:themeTint="F2"/>
                                <w:szCs w:val="22"/>
                              </w:rPr>
                              <w:t>ADMISSIBILITY</w:t>
                            </w:r>
                            <w:r w:rsidR="000961D2" w:rsidRPr="00095932">
                              <w:rPr>
                                <w:rFonts w:asciiTheme="majorHAnsi" w:hAnsiTheme="majorHAnsi" w:cs="Arial"/>
                                <w:color w:val="0D0D0D" w:themeColor="text1" w:themeTint="F2"/>
                                <w:szCs w:val="22"/>
                              </w:rPr>
                              <w:t xml:space="preserve"> </w:t>
                            </w:r>
                          </w:p>
                          <w:p w14:paraId="18DB3649" w14:textId="77777777" w:rsidR="000961D2" w:rsidRPr="00095932" w:rsidRDefault="000961D2" w:rsidP="000961D2">
                            <w:pPr>
                              <w:spacing w:line="276" w:lineRule="auto"/>
                              <w:rPr>
                                <w:rFonts w:asciiTheme="majorHAnsi" w:hAnsiTheme="majorHAnsi" w:cs="Arial"/>
                                <w:color w:val="0D0D0D" w:themeColor="text1" w:themeTint="F2"/>
                                <w:szCs w:val="22"/>
                              </w:rPr>
                            </w:pPr>
                            <w:bookmarkStart w:id="0" w:name="_ftnref1"/>
                          </w:p>
                          <w:bookmarkEnd w:id="0"/>
                          <w:p w14:paraId="2CBE5960" w14:textId="531AD8C6" w:rsidR="000961D2" w:rsidRPr="00095932" w:rsidRDefault="000961D2"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ME</w:t>
                            </w:r>
                            <w:r w:rsidR="000B5B0F" w:rsidRPr="00095932">
                              <w:rPr>
                                <w:rFonts w:asciiTheme="majorHAnsi" w:hAnsiTheme="majorHAnsi" w:cs="Arial"/>
                                <w:color w:val="0D0D0D" w:themeColor="text1" w:themeTint="F2"/>
                                <w:szCs w:val="22"/>
                              </w:rPr>
                              <w:t xml:space="preserve">MBERS OF THE </w:t>
                            </w:r>
                            <w:r w:rsidRPr="00095932">
                              <w:rPr>
                                <w:rFonts w:asciiTheme="majorHAnsi" w:hAnsiTheme="majorHAnsi" w:cs="Arial"/>
                                <w:color w:val="0D0D0D" w:themeColor="text1" w:themeTint="F2"/>
                                <w:szCs w:val="22"/>
                              </w:rPr>
                              <w:t>AWA-GUAJÁ</w:t>
                            </w:r>
                            <w:r w:rsidR="000B5B0F" w:rsidRPr="00095932">
                              <w:rPr>
                                <w:rFonts w:asciiTheme="majorHAnsi" w:hAnsiTheme="majorHAnsi" w:cs="Arial"/>
                                <w:color w:val="0D0D0D" w:themeColor="text1" w:themeTint="F2"/>
                                <w:szCs w:val="22"/>
                              </w:rPr>
                              <w:t xml:space="preserve"> INDIGENOUS PEOPLE</w:t>
                            </w:r>
                          </w:p>
                          <w:p w14:paraId="1D777CF6" w14:textId="2D5450E1" w:rsidR="000961D2" w:rsidRDefault="000961D2" w:rsidP="000961D2">
                            <w:pPr>
                              <w:spacing w:line="276" w:lineRule="auto"/>
                              <w:rPr>
                                <w:color w:val="0D0D0D" w:themeColor="text1" w:themeTint="F2"/>
                                <w:lang w:val="es-MX"/>
                              </w:rPr>
                            </w:pPr>
                            <w:r>
                              <w:rPr>
                                <w:rFonts w:asciiTheme="majorHAnsi" w:hAnsiTheme="majorHAnsi" w:cs="Arial"/>
                                <w:color w:val="0D0D0D" w:themeColor="text1" w:themeTint="F2"/>
                                <w:szCs w:val="22"/>
                                <w:lang w:val="es-MX"/>
                              </w:rPr>
                              <w:t>BRA</w:t>
                            </w:r>
                            <w:r w:rsidR="00C32E35">
                              <w:rPr>
                                <w:rFonts w:asciiTheme="majorHAnsi" w:hAnsiTheme="majorHAnsi" w:cs="Arial"/>
                                <w:color w:val="0D0D0D" w:themeColor="text1" w:themeTint="F2"/>
                                <w:szCs w:val="22"/>
                                <w:lang w:val="es-MX"/>
                              </w:rPr>
                              <w:t>Z</w:t>
                            </w:r>
                            <w:r>
                              <w:rPr>
                                <w:rFonts w:asciiTheme="majorHAnsi" w:hAnsiTheme="majorHAnsi" w:cs="Arial"/>
                                <w:color w:val="0D0D0D" w:themeColor="text1" w:themeTint="F2"/>
                                <w:szCs w:val="22"/>
                                <w:lang w:val="es-MX"/>
                              </w:rPr>
                              <w:t>IL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CFE5" id="Text Box 7" o:spid="_x0000_s1027" type="#_x0000_t202" style="position:absolute;left:0;text-align:left;margin-left:112.8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1paQIAAD0FAAAOAAAAZHJzL2Uyb0RvYy54bWysVEtvGyEQvlfqf0Dcm/W6TppYWUeuo1SV&#10;oiRqUuWMWbBRWYbC2Lvur8/A+iX3lKoXGJhvPubJ9U3XWLZWIRpwFS/PBpwpJ6E2blHxny93ny45&#10;iyhcLSw4VfGNivxm8vHDdevHaghLsLUKjEhcHLe+4ktEPy6KKJeqEfEMvHKk1BAagXQMi6IOoiX2&#10;xhbDweCiaCHUPoBUMdLtba/kk8yvtZL4qHVUyGzFyTfMa8jrPK3F5FqMF0H4pZFbN8Q/eNEI4+jR&#10;PdWtQMFWwfxF1RgZIILGMwlNAVobqXIMFE05OInmeSm8yrFQcqLfpyn+P1r5sH72T4Fh9xU6KmBK&#10;SOvjONJliqfToUk7ecpITync7NOmOmSSLkejUVlekUqSblhelsPheeIpDuY+RPymoGFJqHiguuR0&#10;ifV9xB66g6TXHNwZa3NtrGNtxS8+nw+ywV5D5NYlrMpV3tIcXM8SbqxKGOt+KM1MnSNIF7m/1MwG&#10;thbUGUJK5TAHn3kJnVCanHiP4RZ/8Oo9xn0cu5fB4d64MQ5Cjv7E7frXzmXd4ynnR3EnEbt5R4Ef&#10;VXYO9YYKHqCfhejlnaGi3IuITyJQ81MhaaDxkRZtgZIvrfGcLSH8Ob1LOOpF0nDW0hBVPP5eiaA4&#10;s98ddelVORoRHebD6PzLkA7hWDM/1rhVMwOqRklfhpdZTHi0O1EHaF5p3qfpVVIJJ+ntiuNOnGE/&#10;2vRfSDWdZhDNmRd47569TNSpOKnVXrpXEfy2H5Fa+QF24ybGJ23ZY5Olg+kKQZvcsym/fTa3eacZ&#10;zV2//U/SJ3B8zqjDrzd5AwAA//8DAFBLAwQUAAYACAAAACEA/+3WmOEAAAAKAQAADwAAAGRycy9k&#10;b3ducmV2LnhtbEyPy07DMBBF90j8gzVI7KhTQ6I2xKmqSBUSgkVLN+yceJpE9SPEbhv4eoZVWY7u&#10;0Z1zi9VkDTvjGHrvJMxnCTB0jde9ayXsPzYPC2AhKqeV8Q4lfGOAVXl7U6hc+4vb4nkXW0YlLuRK&#10;QhfjkHMemg6tCjM/oKPs4EerIp1jy/WoLlRuDRdJknGrekcfOjVg1WFz3J2shNdq8662tbCLH1O9&#10;vB3Ww9f+M5Xy/m5aPwOLOMUrDH/6pA4lOdX+5HRgRoIQaUYoBdkSGAFLkdK4WsJjljwBLwv+f0L5&#10;CwAA//8DAFBLAQItABQABgAIAAAAIQC2gziS/gAAAOEBAAATAAAAAAAAAAAAAAAAAAAAAABbQ29u&#10;dGVudF9UeXBlc10ueG1sUEsBAi0AFAAGAAgAAAAhADj9If/WAAAAlAEAAAsAAAAAAAAAAAAAAAAA&#10;LwEAAF9yZWxzLy5yZWxzUEsBAi0AFAAGAAgAAAAhANa1HWlpAgAAPQUAAA4AAAAAAAAAAAAAAAAA&#10;LgIAAGRycy9lMm9Eb2MueG1sUEsBAi0AFAAGAAgAAAAhAP/t1pjhAAAACgEAAA8AAAAAAAAAAAAA&#10;AAAAwwQAAGRycy9kb3ducmV2LnhtbFBLBQYAAAAABAAEAPMAAADRBQAAAAA=&#10;" filled="f" stroked="f" strokeweight=".5pt">
                <v:textbox>
                  <w:txbxContent>
                    <w:p w14:paraId="3C852F86" w14:textId="68A223C6" w:rsidR="000961D2" w:rsidRPr="00095932" w:rsidRDefault="00C32E35" w:rsidP="000961D2">
                      <w:pPr>
                        <w:spacing w:line="276" w:lineRule="auto"/>
                        <w:rPr>
                          <w:rFonts w:asciiTheme="majorHAnsi" w:hAnsiTheme="majorHAnsi" w:cs="Arial"/>
                          <w:b/>
                          <w:bCs/>
                          <w:color w:val="0D0D0D" w:themeColor="text1" w:themeTint="F2"/>
                          <w:sz w:val="36"/>
                          <w:szCs w:val="22"/>
                        </w:rPr>
                      </w:pPr>
                      <w:r w:rsidRPr="00095932">
                        <w:rPr>
                          <w:rFonts w:asciiTheme="majorHAnsi" w:hAnsiTheme="majorHAnsi" w:cs="Arial"/>
                          <w:b/>
                          <w:bCs/>
                          <w:color w:val="0D0D0D" w:themeColor="text1" w:themeTint="F2"/>
                          <w:sz w:val="36"/>
                          <w:szCs w:val="22"/>
                        </w:rPr>
                        <w:t>REPORT No.</w:t>
                      </w:r>
                      <w:r w:rsidR="000961D2" w:rsidRPr="00095932">
                        <w:rPr>
                          <w:rFonts w:asciiTheme="majorHAnsi" w:hAnsiTheme="majorHAnsi" w:cs="Arial"/>
                          <w:b/>
                          <w:bCs/>
                          <w:color w:val="0D0D0D" w:themeColor="text1" w:themeTint="F2"/>
                          <w:sz w:val="36"/>
                          <w:szCs w:val="22"/>
                        </w:rPr>
                        <w:t xml:space="preserve"> </w:t>
                      </w:r>
                      <w:r w:rsidR="00866442">
                        <w:rPr>
                          <w:rFonts w:asciiTheme="majorHAnsi" w:hAnsiTheme="majorHAnsi" w:cs="Arial"/>
                          <w:b/>
                          <w:bCs/>
                          <w:color w:val="0D0D0D" w:themeColor="text1" w:themeTint="F2"/>
                          <w:sz w:val="36"/>
                          <w:szCs w:val="22"/>
                        </w:rPr>
                        <w:t>174</w:t>
                      </w:r>
                      <w:r w:rsidR="000961D2" w:rsidRPr="00095932">
                        <w:rPr>
                          <w:rFonts w:asciiTheme="majorHAnsi" w:hAnsiTheme="majorHAnsi" w:cs="Arial"/>
                          <w:b/>
                          <w:bCs/>
                          <w:color w:val="0D0D0D" w:themeColor="text1" w:themeTint="F2"/>
                          <w:sz w:val="36"/>
                          <w:szCs w:val="22"/>
                        </w:rPr>
                        <w:t>/24</w:t>
                      </w:r>
                    </w:p>
                    <w:p w14:paraId="5C7D00D8" w14:textId="5A77921E" w:rsidR="000961D2" w:rsidRPr="00095932" w:rsidRDefault="000961D2" w:rsidP="000961D2">
                      <w:pPr>
                        <w:spacing w:line="276" w:lineRule="auto"/>
                        <w:rPr>
                          <w:rFonts w:asciiTheme="majorHAnsi" w:hAnsiTheme="majorHAnsi" w:cs="Arial"/>
                          <w:b/>
                          <w:color w:val="0D0D0D" w:themeColor="text1" w:themeTint="F2"/>
                          <w:sz w:val="36"/>
                          <w:szCs w:val="22"/>
                        </w:rPr>
                      </w:pPr>
                      <w:r w:rsidRPr="00095932">
                        <w:rPr>
                          <w:rFonts w:asciiTheme="majorHAnsi" w:hAnsiTheme="majorHAnsi" w:cs="Arial"/>
                          <w:b/>
                          <w:color w:val="0D0D0D" w:themeColor="text1" w:themeTint="F2"/>
                          <w:sz w:val="36"/>
                          <w:szCs w:val="22"/>
                        </w:rPr>
                        <w:t>PETI</w:t>
                      </w:r>
                      <w:r w:rsidR="00C32E35" w:rsidRPr="00095932">
                        <w:rPr>
                          <w:rFonts w:asciiTheme="majorHAnsi" w:hAnsiTheme="majorHAnsi" w:cs="Arial"/>
                          <w:b/>
                          <w:color w:val="0D0D0D" w:themeColor="text1" w:themeTint="F2"/>
                          <w:sz w:val="36"/>
                          <w:szCs w:val="22"/>
                        </w:rPr>
                        <w:t>TION</w:t>
                      </w:r>
                      <w:r w:rsidRPr="00095932">
                        <w:rPr>
                          <w:rFonts w:asciiTheme="majorHAnsi" w:hAnsiTheme="majorHAnsi" w:cs="Arial"/>
                          <w:b/>
                          <w:color w:val="0D0D0D" w:themeColor="text1" w:themeTint="F2"/>
                          <w:sz w:val="36"/>
                          <w:szCs w:val="22"/>
                        </w:rPr>
                        <w:t xml:space="preserve"> 731-13</w:t>
                      </w:r>
                    </w:p>
                    <w:p w14:paraId="42963E27" w14:textId="4E23BEAF" w:rsidR="000961D2" w:rsidRPr="00095932" w:rsidRDefault="00070F70"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 xml:space="preserve">REPORT ON </w:t>
                      </w:r>
                      <w:r w:rsidR="00C32E35" w:rsidRPr="00095932">
                        <w:rPr>
                          <w:rFonts w:asciiTheme="majorHAnsi" w:hAnsiTheme="majorHAnsi" w:cs="Arial"/>
                          <w:color w:val="0D0D0D" w:themeColor="text1" w:themeTint="F2"/>
                          <w:szCs w:val="22"/>
                        </w:rPr>
                        <w:t>ADMISSIBILITY</w:t>
                      </w:r>
                      <w:r w:rsidR="000961D2" w:rsidRPr="00095932">
                        <w:rPr>
                          <w:rFonts w:asciiTheme="majorHAnsi" w:hAnsiTheme="majorHAnsi" w:cs="Arial"/>
                          <w:color w:val="0D0D0D" w:themeColor="text1" w:themeTint="F2"/>
                          <w:szCs w:val="22"/>
                        </w:rPr>
                        <w:t xml:space="preserve"> </w:t>
                      </w:r>
                    </w:p>
                    <w:p w14:paraId="18DB3649" w14:textId="77777777" w:rsidR="000961D2" w:rsidRPr="00095932" w:rsidRDefault="000961D2" w:rsidP="000961D2">
                      <w:pPr>
                        <w:spacing w:line="276" w:lineRule="auto"/>
                        <w:rPr>
                          <w:rFonts w:asciiTheme="majorHAnsi" w:hAnsiTheme="majorHAnsi" w:cs="Arial"/>
                          <w:color w:val="0D0D0D" w:themeColor="text1" w:themeTint="F2"/>
                          <w:szCs w:val="22"/>
                        </w:rPr>
                      </w:pPr>
                      <w:bookmarkStart w:id="1" w:name="_ftnref1"/>
                    </w:p>
                    <w:bookmarkEnd w:id="1"/>
                    <w:p w14:paraId="2CBE5960" w14:textId="531AD8C6" w:rsidR="000961D2" w:rsidRPr="00095932" w:rsidRDefault="000961D2"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ME</w:t>
                      </w:r>
                      <w:r w:rsidR="000B5B0F" w:rsidRPr="00095932">
                        <w:rPr>
                          <w:rFonts w:asciiTheme="majorHAnsi" w:hAnsiTheme="majorHAnsi" w:cs="Arial"/>
                          <w:color w:val="0D0D0D" w:themeColor="text1" w:themeTint="F2"/>
                          <w:szCs w:val="22"/>
                        </w:rPr>
                        <w:t xml:space="preserve">MBERS OF THE </w:t>
                      </w:r>
                      <w:r w:rsidRPr="00095932">
                        <w:rPr>
                          <w:rFonts w:asciiTheme="majorHAnsi" w:hAnsiTheme="majorHAnsi" w:cs="Arial"/>
                          <w:color w:val="0D0D0D" w:themeColor="text1" w:themeTint="F2"/>
                          <w:szCs w:val="22"/>
                        </w:rPr>
                        <w:t>AWA-GUAJÁ</w:t>
                      </w:r>
                      <w:r w:rsidR="000B5B0F" w:rsidRPr="00095932">
                        <w:rPr>
                          <w:rFonts w:asciiTheme="majorHAnsi" w:hAnsiTheme="majorHAnsi" w:cs="Arial"/>
                          <w:color w:val="0D0D0D" w:themeColor="text1" w:themeTint="F2"/>
                          <w:szCs w:val="22"/>
                        </w:rPr>
                        <w:t xml:space="preserve"> INDIGENOUS PEOPLE</w:t>
                      </w:r>
                    </w:p>
                    <w:p w14:paraId="1D777CF6" w14:textId="2D5450E1" w:rsidR="000961D2" w:rsidRDefault="000961D2" w:rsidP="000961D2">
                      <w:pPr>
                        <w:spacing w:line="276" w:lineRule="auto"/>
                        <w:rPr>
                          <w:color w:val="0D0D0D" w:themeColor="text1" w:themeTint="F2"/>
                          <w:lang w:val="es-MX"/>
                        </w:rPr>
                      </w:pPr>
                      <w:r>
                        <w:rPr>
                          <w:rFonts w:asciiTheme="majorHAnsi" w:hAnsiTheme="majorHAnsi" w:cs="Arial"/>
                          <w:color w:val="0D0D0D" w:themeColor="text1" w:themeTint="F2"/>
                          <w:szCs w:val="22"/>
                          <w:lang w:val="es-MX"/>
                        </w:rPr>
                        <w:t>BRA</w:t>
                      </w:r>
                      <w:r w:rsidR="00C32E35">
                        <w:rPr>
                          <w:rFonts w:asciiTheme="majorHAnsi" w:hAnsiTheme="majorHAnsi" w:cs="Arial"/>
                          <w:color w:val="0D0D0D" w:themeColor="text1" w:themeTint="F2"/>
                          <w:szCs w:val="22"/>
                          <w:lang w:val="es-MX"/>
                        </w:rPr>
                        <w:t>Z</w:t>
                      </w:r>
                      <w:r>
                        <w:rPr>
                          <w:rFonts w:asciiTheme="majorHAnsi" w:hAnsiTheme="majorHAnsi" w:cs="Arial"/>
                          <w:color w:val="0D0D0D" w:themeColor="text1" w:themeTint="F2"/>
                          <w:szCs w:val="22"/>
                          <w:lang w:val="es-MX"/>
                        </w:rPr>
                        <w:t>IL</w:t>
                      </w:r>
                    </w:p>
                  </w:txbxContent>
                </v:textbox>
              </v:shape>
            </w:pict>
          </mc:Fallback>
        </mc:AlternateContent>
      </w:r>
      <w:r w:rsidRPr="001F7871">
        <w:rPr>
          <w:noProof/>
        </w:rPr>
        <mc:AlternateContent>
          <mc:Choice Requires="wps">
            <w:drawing>
              <wp:anchor distT="0" distB="0" distL="114300" distR="114300" simplePos="0" relativeHeight="251656704" behindDoc="0" locked="0" layoutInCell="1" allowOverlap="1" wp14:anchorId="54055BA2" wp14:editId="0E9CA9AA">
                <wp:simplePos x="0" y="0"/>
                <wp:positionH relativeFrom="column">
                  <wp:posOffset>-342900</wp:posOffset>
                </wp:positionH>
                <wp:positionV relativeFrom="paragraph">
                  <wp:posOffset>164465</wp:posOffset>
                </wp:positionV>
                <wp:extent cx="1390650" cy="1377315"/>
                <wp:effectExtent l="0" t="0" r="0" b="0"/>
                <wp:wrapNone/>
                <wp:docPr id="8" name="Text Box 6"/>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27CD8" w14:textId="434F1176" w:rsidR="000961D2" w:rsidRPr="00F549D1" w:rsidRDefault="000961D2"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Pr="00F549D1">
                              <w:rPr>
                                <w:rFonts w:asciiTheme="minorHAnsi" w:hAnsiTheme="minorHAnsi"/>
                                <w:color w:val="FFFFFF" w:themeColor="background1"/>
                                <w:sz w:val="22"/>
                                <w:lang w:val="pt-BR"/>
                              </w:rPr>
                              <w:t>A</w:t>
                            </w:r>
                            <w:r w:rsidR="00C32E35" w:rsidRPr="00F549D1">
                              <w:rPr>
                                <w:rFonts w:asciiTheme="minorHAnsi" w:hAnsiTheme="minorHAnsi"/>
                                <w:color w:val="FFFFFF" w:themeColor="background1"/>
                                <w:sz w:val="22"/>
                                <w:lang w:val="pt-BR"/>
                              </w:rPr>
                              <w:t>S</w:t>
                            </w:r>
                            <w:r w:rsidRPr="00F549D1">
                              <w:rPr>
                                <w:rFonts w:asciiTheme="minorHAnsi" w:hAnsiTheme="minorHAnsi"/>
                                <w:color w:val="FFFFFF" w:themeColor="background1"/>
                                <w:sz w:val="22"/>
                                <w:lang w:val="pt-BR"/>
                              </w:rPr>
                              <w:t>/Ser.L/V/II</w:t>
                            </w:r>
                          </w:p>
                          <w:p w14:paraId="6F9C4401" w14:textId="73A58B68" w:rsidR="000961D2" w:rsidRPr="00F549D1" w:rsidRDefault="000961D2" w:rsidP="000961D2">
                            <w:pPr>
                              <w:spacing w:line="276" w:lineRule="auto"/>
                              <w:jc w:val="right"/>
                              <w:rPr>
                                <w:rFonts w:asciiTheme="minorHAnsi" w:hAnsiTheme="minorHAnsi"/>
                                <w:color w:val="FFFFFF" w:themeColor="background1"/>
                                <w:sz w:val="22"/>
                                <w:lang w:val="pt-BR"/>
                              </w:rPr>
                            </w:pPr>
                            <w:r w:rsidRPr="00F549D1">
                              <w:rPr>
                                <w:rFonts w:asciiTheme="minorHAnsi" w:hAnsiTheme="minorHAnsi"/>
                                <w:color w:val="FFFFFF" w:themeColor="background1"/>
                                <w:sz w:val="22"/>
                                <w:lang w:val="pt-BR"/>
                              </w:rPr>
                              <w:t xml:space="preserve">Doc. </w:t>
                            </w:r>
                            <w:r w:rsidR="0092161E">
                              <w:rPr>
                                <w:rFonts w:asciiTheme="minorHAnsi" w:hAnsiTheme="minorHAnsi"/>
                                <w:color w:val="FFFFFF" w:themeColor="background1"/>
                                <w:sz w:val="22"/>
                                <w:lang w:val="pt-BR"/>
                              </w:rPr>
                              <w:t>183</w:t>
                            </w:r>
                          </w:p>
                          <w:p w14:paraId="58E9DCE3" w14:textId="66C82C54" w:rsidR="000961D2" w:rsidRPr="00F549D1" w:rsidRDefault="0092161E"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18 October</w:t>
                            </w:r>
                            <w:r w:rsidR="000961D2" w:rsidRPr="00F549D1">
                              <w:rPr>
                                <w:rFonts w:asciiTheme="minorHAnsi" w:hAnsiTheme="minorHAnsi"/>
                                <w:color w:val="FFFFFF" w:themeColor="background1"/>
                                <w:sz w:val="22"/>
                                <w:lang w:val="pt-BR"/>
                              </w:rPr>
                              <w:t xml:space="preserve"> 2024</w:t>
                            </w:r>
                          </w:p>
                          <w:p w14:paraId="1ECBDA7E" w14:textId="785A5207" w:rsidR="000961D2" w:rsidRPr="00095932" w:rsidRDefault="000961D2" w:rsidP="000961D2">
                            <w:pPr>
                              <w:spacing w:line="276" w:lineRule="auto"/>
                              <w:jc w:val="right"/>
                              <w:rPr>
                                <w:rFonts w:asciiTheme="minorHAnsi" w:hAnsiTheme="minorHAnsi"/>
                                <w:color w:val="FFFFFF" w:themeColor="background1"/>
                                <w:sz w:val="22"/>
                                <w:lang w:val="pt-BR"/>
                              </w:rPr>
                            </w:pPr>
                            <w:r w:rsidRPr="00F549D1">
                              <w:rPr>
                                <w:rFonts w:asciiTheme="minorHAnsi" w:hAnsiTheme="minorHAnsi"/>
                                <w:color w:val="FFFFFF" w:themeColor="background1"/>
                                <w:sz w:val="22"/>
                                <w:lang w:val="pt-BR"/>
                              </w:rPr>
                              <w:t xml:space="preserve">Original: </w:t>
                            </w:r>
                            <w:r w:rsidR="00C32E35" w:rsidRPr="00F549D1">
                              <w:rPr>
                                <w:rFonts w:asciiTheme="minorHAnsi" w:hAnsiTheme="minorHAnsi"/>
                                <w:color w:val="FFFFFF" w:themeColor="background1"/>
                                <w:sz w:val="22"/>
                                <w:lang w:val="pt-BR"/>
                              </w:rPr>
                              <w:t>Portugu</w:t>
                            </w:r>
                            <w:r w:rsidR="00C32E35" w:rsidRPr="00095932">
                              <w:rPr>
                                <w:rFonts w:asciiTheme="minorHAnsi" w:hAnsiTheme="minorHAnsi"/>
                                <w:color w:val="FFFFFF" w:themeColor="background1"/>
                                <w:sz w:val="22"/>
                                <w:lang w:val="pt-BR"/>
                              </w:rPr>
                              <w:t>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55BA2" id="Text Box 6"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EagIAAD0FAAAOAAAAZHJzL2Uyb0RvYy54bWysVEtvGyEQvlfqf0Dcm/Ujj8bKOnITpaoU&#10;JVGdKmfMQozKMhTG3nV/fQbWa7vuKVUvMDDffMyTq+u2tmytQjTgSj48GXCmnITKuNeS/3i++/SZ&#10;s4jCVcKCUyXfqMivpx8/XDV+okawBFupwIjExUnjS75E9JOiiHKpahFPwCtHSg2hFkjH8FpUQTTE&#10;XttiNBicFw2EygeQKka6ve2UfJr5tVYSH7WOCpktOfmGeQ15XaS1mF6JyWsQfmnk1g3xD17Uwjh6&#10;dEd1K1CwVTB/UdVGBoig8URCXYDWRqocA0UzHBxFM18Kr3IslJzod2mK/49WPqzn/ikwbL9ASwVM&#10;CWl8nES6TPG0OtRpJ08Z6SmFm13aVItMJqPx5eD8jFSSdMPxxcV4eJZ4ir25DxG/KqhZEkoeqC45&#10;XWJ9H7GD9pD0moM7Y22ujXWsKfn5mPj/0BC5delG5SpvafauZwk3ViWMdd+VZqbKEaSL3F/qxga2&#10;FtQZQkrlMAefeQmdUJqceI/hFr/36j3GXRz9y+BwZ1wbByFHf+R29bN3WXd4yvlB3EnEdtFS4CUf&#10;9ZVdQLWhggfoZiF6eWeoKPci4pMI1PxUSBpofKRFW6DkS2s8Z0sIv4/vEo56kTScNTREJY+/ViIo&#10;zuw3R116OTw9JTrMh9OzixEdwqFmcahxq/oGqBpD+jK8zGLCo+1FHaB+oXmfpVdJJZykt0uOvXiD&#10;3WjTfyHVbJZBNGde4L2be5moU3FSqz23LyL4bT8itfID9OMmJkdt2WGTpYPZCkGb3LMpv102t3mn&#10;Gc1dv/1P0idweM6o/a83fQMAAP//AwBQSwMEFAAGAAgAAAAhAKlPpHfhAAAACgEAAA8AAABkcnMv&#10;ZG93bnJldi54bWxMj8FOwzAQRO9I/IO1SNxah6ipQhqnqiJVSAgOLb1wc+JtEjVeh9htA1/P9gTH&#10;nR3NvMnXk+3FBUffOVLwNI9AINXOdNQoOHxsZykIHzQZ3TtCBd/oYV3c3+U6M+5KO7zsQyM4hHym&#10;FbQhDJmUvm7Raj93AxL/jm60OvA5NtKM+srhtpdxFC2l1R1xQ6sHLFusT/uzVfBabt/1ropt+tOX&#10;L2/HzfB1+EyUenyYNisQAafwZ4YbPqNDwUyVO5PxolcwSxa8JSiIk2cQN8MyYaFiYRGnIItc/p9Q&#10;/AIAAP//AwBQSwECLQAUAAYACAAAACEAtoM4kv4AAADhAQAAEwAAAAAAAAAAAAAAAAAAAAAAW0Nv&#10;bnRlbnRfVHlwZXNdLnhtbFBLAQItABQABgAIAAAAIQA4/SH/1gAAAJQBAAALAAAAAAAAAAAAAAAA&#10;AC8BAABfcmVscy8ucmVsc1BLAQItABQABgAIAAAAIQAzIpeEagIAAD0FAAAOAAAAAAAAAAAAAAAA&#10;AC4CAABkcnMvZTJvRG9jLnhtbFBLAQItABQABgAIAAAAIQCpT6R34QAAAAoBAAAPAAAAAAAAAAAA&#10;AAAAAMQEAABkcnMvZG93bnJldi54bWxQSwUGAAAAAAQABADzAAAA0gUAAAAA&#10;" filled="f" stroked="f" strokeweight=".5pt">
                <v:textbox>
                  <w:txbxContent>
                    <w:p w14:paraId="37A27CD8" w14:textId="434F1176" w:rsidR="000961D2" w:rsidRPr="00F549D1" w:rsidRDefault="000961D2"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w:t>
                      </w:r>
                      <w:r w:rsidRPr="00F549D1">
                        <w:rPr>
                          <w:rFonts w:asciiTheme="minorHAnsi" w:hAnsiTheme="minorHAnsi"/>
                          <w:color w:val="FFFFFF" w:themeColor="background1"/>
                          <w:sz w:val="22"/>
                          <w:lang w:val="pt-BR"/>
                        </w:rPr>
                        <w:t>A</w:t>
                      </w:r>
                      <w:r w:rsidR="00C32E35" w:rsidRPr="00F549D1">
                        <w:rPr>
                          <w:rFonts w:asciiTheme="minorHAnsi" w:hAnsiTheme="minorHAnsi"/>
                          <w:color w:val="FFFFFF" w:themeColor="background1"/>
                          <w:sz w:val="22"/>
                          <w:lang w:val="pt-BR"/>
                        </w:rPr>
                        <w:t>S</w:t>
                      </w:r>
                      <w:r w:rsidRPr="00F549D1">
                        <w:rPr>
                          <w:rFonts w:asciiTheme="minorHAnsi" w:hAnsiTheme="minorHAnsi"/>
                          <w:color w:val="FFFFFF" w:themeColor="background1"/>
                          <w:sz w:val="22"/>
                          <w:lang w:val="pt-BR"/>
                        </w:rPr>
                        <w:t>/Ser.L/V/II</w:t>
                      </w:r>
                    </w:p>
                    <w:p w14:paraId="6F9C4401" w14:textId="73A58B68" w:rsidR="000961D2" w:rsidRPr="00F549D1" w:rsidRDefault="000961D2" w:rsidP="000961D2">
                      <w:pPr>
                        <w:spacing w:line="276" w:lineRule="auto"/>
                        <w:jc w:val="right"/>
                        <w:rPr>
                          <w:rFonts w:asciiTheme="minorHAnsi" w:hAnsiTheme="minorHAnsi"/>
                          <w:color w:val="FFFFFF" w:themeColor="background1"/>
                          <w:sz w:val="22"/>
                          <w:lang w:val="pt-BR"/>
                        </w:rPr>
                      </w:pPr>
                      <w:r w:rsidRPr="00F549D1">
                        <w:rPr>
                          <w:rFonts w:asciiTheme="minorHAnsi" w:hAnsiTheme="minorHAnsi"/>
                          <w:color w:val="FFFFFF" w:themeColor="background1"/>
                          <w:sz w:val="22"/>
                          <w:lang w:val="pt-BR"/>
                        </w:rPr>
                        <w:t xml:space="preserve">Doc. </w:t>
                      </w:r>
                      <w:r w:rsidR="0092161E">
                        <w:rPr>
                          <w:rFonts w:asciiTheme="minorHAnsi" w:hAnsiTheme="minorHAnsi"/>
                          <w:color w:val="FFFFFF" w:themeColor="background1"/>
                          <w:sz w:val="22"/>
                          <w:lang w:val="pt-BR"/>
                        </w:rPr>
                        <w:t>183</w:t>
                      </w:r>
                    </w:p>
                    <w:p w14:paraId="58E9DCE3" w14:textId="66C82C54" w:rsidR="000961D2" w:rsidRPr="00F549D1" w:rsidRDefault="0092161E"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18 October</w:t>
                      </w:r>
                      <w:r w:rsidR="000961D2" w:rsidRPr="00F549D1">
                        <w:rPr>
                          <w:rFonts w:asciiTheme="minorHAnsi" w:hAnsiTheme="minorHAnsi"/>
                          <w:color w:val="FFFFFF" w:themeColor="background1"/>
                          <w:sz w:val="22"/>
                          <w:lang w:val="pt-BR"/>
                        </w:rPr>
                        <w:t xml:space="preserve"> 2024</w:t>
                      </w:r>
                    </w:p>
                    <w:p w14:paraId="1ECBDA7E" w14:textId="785A5207" w:rsidR="000961D2" w:rsidRPr="00095932" w:rsidRDefault="000961D2" w:rsidP="000961D2">
                      <w:pPr>
                        <w:spacing w:line="276" w:lineRule="auto"/>
                        <w:jc w:val="right"/>
                        <w:rPr>
                          <w:rFonts w:asciiTheme="minorHAnsi" w:hAnsiTheme="minorHAnsi"/>
                          <w:color w:val="FFFFFF" w:themeColor="background1"/>
                          <w:sz w:val="22"/>
                          <w:lang w:val="pt-BR"/>
                        </w:rPr>
                      </w:pPr>
                      <w:r w:rsidRPr="00F549D1">
                        <w:rPr>
                          <w:rFonts w:asciiTheme="minorHAnsi" w:hAnsiTheme="minorHAnsi"/>
                          <w:color w:val="FFFFFF" w:themeColor="background1"/>
                          <w:sz w:val="22"/>
                          <w:lang w:val="pt-BR"/>
                        </w:rPr>
                        <w:t xml:space="preserve">Original: </w:t>
                      </w:r>
                      <w:r w:rsidR="00C32E35" w:rsidRPr="00F549D1">
                        <w:rPr>
                          <w:rFonts w:asciiTheme="minorHAnsi" w:hAnsiTheme="minorHAnsi"/>
                          <w:color w:val="FFFFFF" w:themeColor="background1"/>
                          <w:sz w:val="22"/>
                          <w:lang w:val="pt-BR"/>
                        </w:rPr>
                        <w:t>Portugu</w:t>
                      </w:r>
                      <w:r w:rsidR="00C32E35" w:rsidRPr="00095932">
                        <w:rPr>
                          <w:rFonts w:asciiTheme="minorHAnsi" w:hAnsiTheme="minorHAnsi"/>
                          <w:color w:val="FFFFFF" w:themeColor="background1"/>
                          <w:sz w:val="22"/>
                          <w:lang w:val="pt-BR"/>
                        </w:rPr>
                        <w:t>ese</w:t>
                      </w:r>
                    </w:p>
                  </w:txbxContent>
                </v:textbox>
              </v:shape>
            </w:pict>
          </mc:Fallback>
        </mc:AlternateContent>
      </w:r>
      <w:r w:rsidRPr="001F7871">
        <w:rPr>
          <w:noProof/>
        </w:rPr>
        <mc:AlternateContent>
          <mc:Choice Requires="wps">
            <w:drawing>
              <wp:anchor distT="0" distB="0" distL="114300" distR="114300" simplePos="0" relativeHeight="251658752" behindDoc="0" locked="0" layoutInCell="1" allowOverlap="1" wp14:anchorId="4BA20CA7" wp14:editId="2B259D1A">
                <wp:simplePos x="0" y="0"/>
                <wp:positionH relativeFrom="column">
                  <wp:posOffset>-272415</wp:posOffset>
                </wp:positionH>
                <wp:positionV relativeFrom="paragraph">
                  <wp:posOffset>6551930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3FB01" w14:textId="77777777" w:rsidR="000961D2" w:rsidRDefault="000961D2" w:rsidP="000961D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0CA7" id="Text Box 4" o:spid="_x0000_s1029" type="#_x0000_t202" style="position:absolute;left:0;text-align:left;margin-left:-21.45pt;margin-top:515.9pt;width:93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MawIAADwFAAAOAAAAZHJzL2Uyb0RvYy54bWysVEtv2zAMvg/YfxB0Xx2nzwV1iqxFhwFF&#10;WywdelZkqREmi5rExM5+/Sg5ToLs1GEXmxI/vj6Sur7pGsvWKkQDruLlyYgz5STUxr1V/MfL/acr&#10;ziIKVwsLTlV8oyK/mX78cN36iRrDEmytAiMnLk5aX/Elop8URZRL1Yh4Al45UmoIjUA6hreiDqIl&#10;740txqPRRdFCqH0AqWKk27teyafZv9ZK4pPWUSGzFafcMH9D/i7St5hei8lbEH5p5DYN8Q9ZNMI4&#10;CrpzdSdQsFUwf7lqjAwQQeOJhKYArY1UuQaqphwdVTNfCq9yLURO9Dua4v9zKx/Xc/8cGHZfoKMG&#10;JkJaHyeRLlM9nQ5N+lOmjPRE4WZHm+qQyWRUXpXliFSSdKen48uzzGuxt/Yh4lcFDUtCxQO1JbMl&#10;1g8RKSJBB0gK5uDeWJtbYx1rK35xej7KBjsNWViXsCo3eetmn3mWcGNVwlj3XWlm6lxAusjjpW5t&#10;YGtBgyGkVA5z7dkvoRNKUxLvMdzi91m9x7ivY4gMDnfGjXEQcvVHadc/h5R1jyciD+pOInaLjgqn&#10;tgyNXUC9oX4H6FchenlvqCkPIuKzCDT71EfaZ3yij7ZA5EtrPGdLCL+P7xKORpE0nLW0QxWPv1Yi&#10;KM7sN0dD+rk8o1FgmA9n55djOoRDzeJQ41bNLVA3SnoxvMxiwqMdRB2geaV1n6WopBJOUuyK4yDe&#10;Yr/Z9FxINZtlEK2ZF/jg5l4m16k5adReulcR/HYekSb5EYZtE5OjseyxydLBbIWgTZ7ZxG/P5pZ3&#10;WtE8ytvnJL0Bh+eM2j960z8AAAD//wMAUEsDBBQABgAIAAAAIQCKUhEd4gAAAA0BAAAPAAAAZHJz&#10;L2Rvd25yZXYueG1sTI9PT4NAEMXvJn6HzZh4axcoGkSWpiFpTIweWnvxNrBTIO4fZLct+uldTvU4&#10;7/3y5r1iPWnFzjS63hoB8TICRqaxsjetgMPHdpEBcx6NRGUNCfghB+vy9qbAXNqL2dF571sWQozL&#10;UUDn/ZBz7pqONLqlHcgE72hHjT6cY8vliJcQrhVPouiRa+xN+NDhQFVHzdf+pAW8Vtt33NWJzn5V&#10;9fJ23Azfh88HIe7vps0zME+Tv8Iw1w/VoQydansy0jElYJEmTwENRrSKw4gZSVcxsHqWsjQBXhb8&#10;/4ryDwAA//8DAFBLAQItABQABgAIAAAAIQC2gziS/gAAAOEBAAATAAAAAAAAAAAAAAAAAAAAAABb&#10;Q29udGVudF9UeXBlc10ueG1sUEsBAi0AFAAGAAgAAAAhADj9If/WAAAAlAEAAAsAAAAAAAAAAAAA&#10;AAAALwEAAF9yZWxzLy5yZWxzUEsBAi0AFAAGAAgAAAAhAF4NFkxrAgAAPAUAAA4AAAAAAAAAAAAA&#10;AAAALgIAAGRycy9lMm9Eb2MueG1sUEsBAi0AFAAGAAgAAAAhAIpSER3iAAAADQEAAA8AAAAAAAAA&#10;AAAAAAAAxQQAAGRycy9kb3ducmV2LnhtbFBLBQYAAAAABAAEAPMAAADUBQAAAAA=&#10;" filled="f" stroked="f" strokeweight=".5pt">
                <v:textbox>
                  <w:txbxContent>
                    <w:p w14:paraId="6DE3FB01" w14:textId="77777777" w:rsidR="000961D2" w:rsidRDefault="000961D2" w:rsidP="000961D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v:textbox>
              </v:shape>
            </w:pict>
          </mc:Fallback>
        </mc:AlternateContent>
      </w:r>
      <w:r w:rsidRPr="001F7871">
        <w:rPr>
          <w:noProof/>
        </w:rPr>
        <mc:AlternateContent>
          <mc:Choice Requires="wps">
            <w:drawing>
              <wp:anchor distT="0" distB="0" distL="114300" distR="114300" simplePos="0" relativeHeight="251659776" behindDoc="0" locked="0" layoutInCell="1" allowOverlap="1" wp14:anchorId="22CC4B58" wp14:editId="5D08A6B7">
                <wp:simplePos x="0" y="0"/>
                <wp:positionH relativeFrom="column">
                  <wp:posOffset>1333500</wp:posOffset>
                </wp:positionH>
                <wp:positionV relativeFrom="paragraph">
                  <wp:posOffset>5354320</wp:posOffset>
                </wp:positionV>
                <wp:extent cx="4943475" cy="657225"/>
                <wp:effectExtent l="0" t="0" r="0" b="0"/>
                <wp:wrapNone/>
                <wp:docPr id="10" name="Text Box 3"/>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FBF45" w14:textId="0EA342CD" w:rsidR="000961D2" w:rsidRDefault="009325E5" w:rsidP="000961D2">
                            <w:pPr>
                              <w:spacing w:line="276" w:lineRule="auto"/>
                              <w:rPr>
                                <w:rFonts w:asciiTheme="majorHAnsi" w:hAnsiTheme="majorHAnsi"/>
                                <w:color w:val="595959" w:themeColor="text1" w:themeTint="A6"/>
                                <w:sz w:val="18"/>
                                <w:szCs w:val="18"/>
                                <w:lang w:val="pt-BR"/>
                              </w:rPr>
                            </w:pPr>
                            <w:r w:rsidRPr="00095932">
                              <w:rPr>
                                <w:rFonts w:asciiTheme="majorHAnsi" w:hAnsiTheme="majorHAnsi"/>
                                <w:b/>
                                <w:color w:val="595959" w:themeColor="text1" w:themeTint="A6"/>
                                <w:sz w:val="18"/>
                                <w:szCs w:val="18"/>
                              </w:rPr>
                              <w:t>Cite as</w:t>
                            </w:r>
                            <w:r w:rsidR="000961D2" w:rsidRPr="00095932">
                              <w:rPr>
                                <w:rFonts w:asciiTheme="majorHAnsi" w:hAnsiTheme="majorHAnsi"/>
                                <w:b/>
                                <w:color w:val="595959" w:themeColor="text1" w:themeTint="A6"/>
                                <w:sz w:val="18"/>
                                <w:szCs w:val="18"/>
                              </w:rPr>
                              <w:t>:</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IACHR</w:t>
                            </w:r>
                            <w:r w:rsidR="000961D2" w:rsidRPr="00095932">
                              <w:rPr>
                                <w:rFonts w:asciiTheme="majorHAnsi" w:hAnsiTheme="majorHAnsi"/>
                                <w:color w:val="595959" w:themeColor="text1" w:themeTint="A6"/>
                                <w:sz w:val="18"/>
                                <w:szCs w:val="18"/>
                              </w:rPr>
                              <w:t>, Re</w:t>
                            </w:r>
                            <w:r w:rsidRPr="00095932">
                              <w:rPr>
                                <w:rFonts w:asciiTheme="majorHAnsi" w:hAnsiTheme="majorHAnsi"/>
                                <w:color w:val="595959" w:themeColor="text1" w:themeTint="A6"/>
                                <w:sz w:val="18"/>
                                <w:szCs w:val="18"/>
                              </w:rPr>
                              <w:t>port No.</w:t>
                            </w:r>
                            <w:r w:rsidR="000961D2" w:rsidRPr="00095932">
                              <w:rPr>
                                <w:rFonts w:asciiTheme="majorHAnsi" w:hAnsiTheme="majorHAnsi"/>
                                <w:color w:val="595959" w:themeColor="text1" w:themeTint="A6"/>
                                <w:sz w:val="18"/>
                                <w:szCs w:val="18"/>
                              </w:rPr>
                              <w:t xml:space="preserve"> </w:t>
                            </w:r>
                            <w:r w:rsidR="008D5437">
                              <w:rPr>
                                <w:rFonts w:asciiTheme="majorHAnsi" w:hAnsiTheme="majorHAnsi"/>
                                <w:color w:val="595959" w:themeColor="text1" w:themeTint="A6"/>
                                <w:sz w:val="18"/>
                                <w:szCs w:val="18"/>
                              </w:rPr>
                              <w:t>174</w:t>
                            </w:r>
                            <w:r w:rsidRPr="00095932">
                              <w:rPr>
                                <w:rFonts w:asciiTheme="majorHAnsi" w:hAnsiTheme="majorHAnsi"/>
                                <w:color w:val="595959" w:themeColor="text1" w:themeTint="A6"/>
                                <w:sz w:val="18"/>
                                <w:szCs w:val="18"/>
                              </w:rPr>
                              <w:t>/</w:t>
                            </w:r>
                            <w:r w:rsidR="008D5437">
                              <w:rPr>
                                <w:rFonts w:asciiTheme="majorHAnsi" w:hAnsiTheme="majorHAnsi"/>
                                <w:color w:val="595959" w:themeColor="text1" w:themeTint="A6"/>
                                <w:sz w:val="18"/>
                                <w:szCs w:val="18"/>
                              </w:rPr>
                              <w:t>24</w:t>
                            </w:r>
                            <w:r w:rsidR="000961D2" w:rsidRPr="00095932">
                              <w:rPr>
                                <w:rFonts w:asciiTheme="majorHAnsi" w:hAnsiTheme="majorHAnsi"/>
                                <w:color w:val="595959" w:themeColor="text1" w:themeTint="A6"/>
                                <w:sz w:val="18"/>
                                <w:szCs w:val="18"/>
                              </w:rPr>
                              <w:t>. Pet</w:t>
                            </w:r>
                            <w:r w:rsidRPr="00095932">
                              <w:rPr>
                                <w:rFonts w:asciiTheme="majorHAnsi" w:hAnsiTheme="majorHAnsi"/>
                                <w:color w:val="595959" w:themeColor="text1" w:themeTint="A6"/>
                                <w:sz w:val="18"/>
                                <w:szCs w:val="18"/>
                              </w:rPr>
                              <w:t>ition</w:t>
                            </w:r>
                            <w:r w:rsidR="000961D2" w:rsidRPr="00095932">
                              <w:rPr>
                                <w:rFonts w:asciiTheme="majorHAnsi" w:hAnsiTheme="majorHAnsi"/>
                                <w:color w:val="595959" w:themeColor="text1" w:themeTint="A6"/>
                                <w:sz w:val="18"/>
                                <w:szCs w:val="18"/>
                              </w:rPr>
                              <w:t xml:space="preserve"> 731-13. </w:t>
                            </w:r>
                            <w:r w:rsidRPr="00095932">
                              <w:rPr>
                                <w:rFonts w:asciiTheme="majorHAnsi" w:hAnsiTheme="majorHAnsi"/>
                                <w:color w:val="595959" w:themeColor="text1" w:themeTint="A6"/>
                                <w:sz w:val="18"/>
                                <w:szCs w:val="18"/>
                              </w:rPr>
                              <w:t>Admissibility</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 xml:space="preserve">Members of the </w:t>
                            </w:r>
                            <w:r w:rsidR="000961D2" w:rsidRPr="00095932">
                              <w:rPr>
                                <w:rFonts w:asciiTheme="majorHAnsi" w:hAnsiTheme="majorHAnsi"/>
                                <w:color w:val="595959" w:themeColor="text1" w:themeTint="A6"/>
                                <w:sz w:val="18"/>
                                <w:szCs w:val="18"/>
                              </w:rPr>
                              <w:t>Awa-Guajá</w:t>
                            </w:r>
                            <w:r w:rsidRPr="00095932">
                              <w:rPr>
                                <w:rFonts w:asciiTheme="majorHAnsi" w:hAnsiTheme="majorHAnsi"/>
                                <w:color w:val="595959" w:themeColor="text1" w:themeTint="A6"/>
                                <w:sz w:val="18"/>
                                <w:szCs w:val="18"/>
                              </w:rPr>
                              <w:t xml:space="preserve"> Indigenous People. </w:t>
                            </w:r>
                            <w:r>
                              <w:rPr>
                                <w:rFonts w:asciiTheme="majorHAnsi" w:hAnsiTheme="majorHAnsi"/>
                                <w:color w:val="595959" w:themeColor="text1" w:themeTint="A6"/>
                                <w:sz w:val="18"/>
                                <w:szCs w:val="18"/>
                                <w:lang w:val="pt-BR"/>
                              </w:rPr>
                              <w:t>Brazil</w:t>
                            </w:r>
                            <w:r w:rsidR="000961D2">
                              <w:rPr>
                                <w:rFonts w:asciiTheme="majorHAnsi" w:hAnsiTheme="majorHAnsi"/>
                                <w:color w:val="595959" w:themeColor="text1" w:themeTint="A6"/>
                                <w:sz w:val="18"/>
                                <w:szCs w:val="18"/>
                                <w:lang w:val="pt-BR"/>
                              </w:rPr>
                              <w:t xml:space="preserve"> </w:t>
                            </w:r>
                            <w:r w:rsidR="005E7CA0">
                              <w:rPr>
                                <w:rFonts w:asciiTheme="majorHAnsi" w:hAnsiTheme="majorHAnsi"/>
                                <w:color w:val="595959" w:themeColor="text1" w:themeTint="A6"/>
                                <w:sz w:val="18"/>
                                <w:szCs w:val="18"/>
                                <w:lang w:val="pt-BR"/>
                              </w:rPr>
                              <w:t>October 18, 2024</w:t>
                            </w:r>
                            <w:r w:rsidR="000961D2">
                              <w:rPr>
                                <w:rFonts w:asciiTheme="majorHAnsi" w:hAnsiTheme="majorHAnsi"/>
                                <w:color w:val="595959" w:themeColor="text1" w:themeTint="A6"/>
                                <w:sz w:val="18"/>
                                <w:szCs w:val="18"/>
                                <w:lang w:val="pt-BR"/>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4B58" id="Text Box 3" o:spid="_x0000_s1030" type="#_x0000_t202" style="position:absolute;left:0;text-align:left;margin-left:105pt;margin-top:421.6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o5bAIAADwFAAAOAAAAZHJzL2Uyb0RvYy54bWysVE1vGyEQvVfqf0Dcm7UdO2msrCM3UapK&#10;URLVqXLGLMSoLENh7F3313dgvbblnlL1sgvMm8d8vOH6pq0t26gQDbiSD88GnCknoTLureQ/Xu4/&#10;feYsonCVsOBUybcq8pvZxw/XjZ+qEazAViowInFx2viSrxD9tCiiXKlaxDPwypFRQ6gF0ja8FVUQ&#10;DbHXthgNBhdFA6HyAaSKkU7vOiOfZX6tlcQnraNCZktOsWH+hvxdpm8xuxbTtyD8yshdGOIfoqiF&#10;cXTpnupOoGDrYP6iqo0MEEHjmYS6AK2NVDkHymY4OMlmsRJe5VyoONHvyxT/H6183Cz8c2DYfoGW&#10;GpgK0vg4jXSY8ml1qNOfImVkpxJu92VTLTJJh+Or8fn4csKZJNvF5HI0miSa4uDtQ8SvCmqWFiUP&#10;1JZcLbF5iNhBe0i6zMG9sTa3xjrWEOn5ZJAd9hYity5hVW7yjuYQeV7h1qqEse670sxUOYF0kOWl&#10;bm1gG0HCEFIqhzn3zEvohNIUxHscd/hDVO9x7vLobwaHe+faOAg5+5Owq599yLrDU82P8k5LbJct&#10;JU496hu7hGpL/Q7QjUL08t5QUx5ExGcRSPvUYppnfKKPtkDFl9Z4zlYQfp+eJRxJkSycNTRDJY+/&#10;1iIozuw3RyK9Go7HaejyZkzCoE04tiyPLW5d3wJ1Y0gvhpd5mfBo+6UOUL/SuM/TrWQSTtLdJcd+&#10;eYvdZNNzIdV8nkE0Zl7gg1t4mahTc5LUXtpXEfxOj0hKfoR+2sT0RJYdNnk6mK8RtMmaTfXtqrmr&#10;O41oVv3uOUlvwPE+ow6P3uwPAAAA//8DAFBLAwQUAAYACAAAACEAb64ADeMAAAALAQAADwAAAGRy&#10;cy9kb3ducmV2LnhtbEyPwU7DMBBE70j8g7VI3KjT0BY3xKmqSBUSooeWXnpz4m0SYa9D7LaBr8ec&#10;4DarGc2+yVejNeyCg+8cSZhOEmBItdMdNRIO75sHAcwHRVoZRyjhCz2situbXGXaXWmHl31oWCwh&#10;nykJbQh9xrmvW7TKT1yPFL2TG6wK8Rwargd1jeXW8DRJFtyqjuKHVvVYtlh/7M9Wwmu52apdlVrx&#10;bcqXt9O6/zwc51Le343rZ2ABx/AXhl/8iA5FZKrcmbRnRkI6TeKWIEHMHlNgMbEUYg6simK2eAJe&#10;5Pz/huIHAAD//wMAUEsBAi0AFAAGAAgAAAAhALaDOJL+AAAA4QEAABMAAAAAAAAAAAAAAAAAAAAA&#10;AFtDb250ZW50X1R5cGVzXS54bWxQSwECLQAUAAYACAAAACEAOP0h/9YAAACUAQAACwAAAAAAAAAA&#10;AAAAAAAvAQAAX3JlbHMvLnJlbHNQSwECLQAUAAYACAAAACEAgnNqOWwCAAA8BQAADgAAAAAAAAAA&#10;AAAAAAAuAgAAZHJzL2Uyb0RvYy54bWxQSwECLQAUAAYACAAAACEAb64ADeMAAAALAQAADwAAAAAA&#10;AAAAAAAAAADGBAAAZHJzL2Rvd25yZXYueG1sUEsFBgAAAAAEAAQA8wAAANYFAAAAAA==&#10;" filled="f" stroked="f" strokeweight=".5pt">
                <v:textbox>
                  <w:txbxContent>
                    <w:p w14:paraId="3E4FBF45" w14:textId="0EA342CD" w:rsidR="000961D2" w:rsidRDefault="009325E5" w:rsidP="000961D2">
                      <w:pPr>
                        <w:spacing w:line="276" w:lineRule="auto"/>
                        <w:rPr>
                          <w:rFonts w:asciiTheme="majorHAnsi" w:hAnsiTheme="majorHAnsi"/>
                          <w:color w:val="595959" w:themeColor="text1" w:themeTint="A6"/>
                          <w:sz w:val="18"/>
                          <w:szCs w:val="18"/>
                          <w:lang w:val="pt-BR"/>
                        </w:rPr>
                      </w:pPr>
                      <w:r w:rsidRPr="00095932">
                        <w:rPr>
                          <w:rFonts w:asciiTheme="majorHAnsi" w:hAnsiTheme="majorHAnsi"/>
                          <w:b/>
                          <w:color w:val="595959" w:themeColor="text1" w:themeTint="A6"/>
                          <w:sz w:val="18"/>
                          <w:szCs w:val="18"/>
                        </w:rPr>
                        <w:t>Cite as</w:t>
                      </w:r>
                      <w:r w:rsidR="000961D2" w:rsidRPr="00095932">
                        <w:rPr>
                          <w:rFonts w:asciiTheme="majorHAnsi" w:hAnsiTheme="majorHAnsi"/>
                          <w:b/>
                          <w:color w:val="595959" w:themeColor="text1" w:themeTint="A6"/>
                          <w:sz w:val="18"/>
                          <w:szCs w:val="18"/>
                        </w:rPr>
                        <w:t>:</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IACHR</w:t>
                      </w:r>
                      <w:r w:rsidR="000961D2" w:rsidRPr="00095932">
                        <w:rPr>
                          <w:rFonts w:asciiTheme="majorHAnsi" w:hAnsiTheme="majorHAnsi"/>
                          <w:color w:val="595959" w:themeColor="text1" w:themeTint="A6"/>
                          <w:sz w:val="18"/>
                          <w:szCs w:val="18"/>
                        </w:rPr>
                        <w:t>, Re</w:t>
                      </w:r>
                      <w:r w:rsidRPr="00095932">
                        <w:rPr>
                          <w:rFonts w:asciiTheme="majorHAnsi" w:hAnsiTheme="majorHAnsi"/>
                          <w:color w:val="595959" w:themeColor="text1" w:themeTint="A6"/>
                          <w:sz w:val="18"/>
                          <w:szCs w:val="18"/>
                        </w:rPr>
                        <w:t>port No.</w:t>
                      </w:r>
                      <w:r w:rsidR="000961D2" w:rsidRPr="00095932">
                        <w:rPr>
                          <w:rFonts w:asciiTheme="majorHAnsi" w:hAnsiTheme="majorHAnsi"/>
                          <w:color w:val="595959" w:themeColor="text1" w:themeTint="A6"/>
                          <w:sz w:val="18"/>
                          <w:szCs w:val="18"/>
                        </w:rPr>
                        <w:t xml:space="preserve"> </w:t>
                      </w:r>
                      <w:r w:rsidR="008D5437">
                        <w:rPr>
                          <w:rFonts w:asciiTheme="majorHAnsi" w:hAnsiTheme="majorHAnsi"/>
                          <w:color w:val="595959" w:themeColor="text1" w:themeTint="A6"/>
                          <w:sz w:val="18"/>
                          <w:szCs w:val="18"/>
                        </w:rPr>
                        <w:t>174</w:t>
                      </w:r>
                      <w:r w:rsidRPr="00095932">
                        <w:rPr>
                          <w:rFonts w:asciiTheme="majorHAnsi" w:hAnsiTheme="majorHAnsi"/>
                          <w:color w:val="595959" w:themeColor="text1" w:themeTint="A6"/>
                          <w:sz w:val="18"/>
                          <w:szCs w:val="18"/>
                        </w:rPr>
                        <w:t>/</w:t>
                      </w:r>
                      <w:r w:rsidR="008D5437">
                        <w:rPr>
                          <w:rFonts w:asciiTheme="majorHAnsi" w:hAnsiTheme="majorHAnsi"/>
                          <w:color w:val="595959" w:themeColor="text1" w:themeTint="A6"/>
                          <w:sz w:val="18"/>
                          <w:szCs w:val="18"/>
                        </w:rPr>
                        <w:t>24</w:t>
                      </w:r>
                      <w:r w:rsidR="000961D2" w:rsidRPr="00095932">
                        <w:rPr>
                          <w:rFonts w:asciiTheme="majorHAnsi" w:hAnsiTheme="majorHAnsi"/>
                          <w:color w:val="595959" w:themeColor="text1" w:themeTint="A6"/>
                          <w:sz w:val="18"/>
                          <w:szCs w:val="18"/>
                        </w:rPr>
                        <w:t>. Pet</w:t>
                      </w:r>
                      <w:r w:rsidRPr="00095932">
                        <w:rPr>
                          <w:rFonts w:asciiTheme="majorHAnsi" w:hAnsiTheme="majorHAnsi"/>
                          <w:color w:val="595959" w:themeColor="text1" w:themeTint="A6"/>
                          <w:sz w:val="18"/>
                          <w:szCs w:val="18"/>
                        </w:rPr>
                        <w:t>ition</w:t>
                      </w:r>
                      <w:r w:rsidR="000961D2" w:rsidRPr="00095932">
                        <w:rPr>
                          <w:rFonts w:asciiTheme="majorHAnsi" w:hAnsiTheme="majorHAnsi"/>
                          <w:color w:val="595959" w:themeColor="text1" w:themeTint="A6"/>
                          <w:sz w:val="18"/>
                          <w:szCs w:val="18"/>
                        </w:rPr>
                        <w:t xml:space="preserve"> 731-13. </w:t>
                      </w:r>
                      <w:r w:rsidRPr="00095932">
                        <w:rPr>
                          <w:rFonts w:asciiTheme="majorHAnsi" w:hAnsiTheme="majorHAnsi"/>
                          <w:color w:val="595959" w:themeColor="text1" w:themeTint="A6"/>
                          <w:sz w:val="18"/>
                          <w:szCs w:val="18"/>
                        </w:rPr>
                        <w:t>Admissibility</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 xml:space="preserve">Members of the </w:t>
                      </w:r>
                      <w:r w:rsidR="000961D2" w:rsidRPr="00095932">
                        <w:rPr>
                          <w:rFonts w:asciiTheme="majorHAnsi" w:hAnsiTheme="majorHAnsi"/>
                          <w:color w:val="595959" w:themeColor="text1" w:themeTint="A6"/>
                          <w:sz w:val="18"/>
                          <w:szCs w:val="18"/>
                        </w:rPr>
                        <w:t>Awa-Guajá</w:t>
                      </w:r>
                      <w:r w:rsidRPr="00095932">
                        <w:rPr>
                          <w:rFonts w:asciiTheme="majorHAnsi" w:hAnsiTheme="majorHAnsi"/>
                          <w:color w:val="595959" w:themeColor="text1" w:themeTint="A6"/>
                          <w:sz w:val="18"/>
                          <w:szCs w:val="18"/>
                        </w:rPr>
                        <w:t xml:space="preserve"> Indigenous People. </w:t>
                      </w:r>
                      <w:r>
                        <w:rPr>
                          <w:rFonts w:asciiTheme="majorHAnsi" w:hAnsiTheme="majorHAnsi"/>
                          <w:color w:val="595959" w:themeColor="text1" w:themeTint="A6"/>
                          <w:sz w:val="18"/>
                          <w:szCs w:val="18"/>
                          <w:lang w:val="pt-BR"/>
                        </w:rPr>
                        <w:t>Brazil</w:t>
                      </w:r>
                      <w:r w:rsidR="000961D2">
                        <w:rPr>
                          <w:rFonts w:asciiTheme="majorHAnsi" w:hAnsiTheme="majorHAnsi"/>
                          <w:color w:val="595959" w:themeColor="text1" w:themeTint="A6"/>
                          <w:sz w:val="18"/>
                          <w:szCs w:val="18"/>
                          <w:lang w:val="pt-BR"/>
                        </w:rPr>
                        <w:t xml:space="preserve"> </w:t>
                      </w:r>
                      <w:r w:rsidR="005E7CA0">
                        <w:rPr>
                          <w:rFonts w:asciiTheme="majorHAnsi" w:hAnsiTheme="majorHAnsi"/>
                          <w:color w:val="595959" w:themeColor="text1" w:themeTint="A6"/>
                          <w:sz w:val="18"/>
                          <w:szCs w:val="18"/>
                          <w:lang w:val="pt-BR"/>
                        </w:rPr>
                        <w:t>October 18, 2024</w:t>
                      </w:r>
                      <w:r w:rsidR="000961D2">
                        <w:rPr>
                          <w:rFonts w:asciiTheme="majorHAnsi" w:hAnsiTheme="majorHAnsi"/>
                          <w:color w:val="595959" w:themeColor="text1" w:themeTint="A6"/>
                          <w:sz w:val="18"/>
                          <w:szCs w:val="18"/>
                          <w:lang w:val="pt-BR"/>
                        </w:rPr>
                        <w:t>.</w:t>
                      </w:r>
                    </w:p>
                  </w:txbxContent>
                </v:textbox>
              </v:shape>
            </w:pict>
          </mc:Fallback>
        </mc:AlternateContent>
      </w:r>
      <w:r w:rsidRPr="001F7871">
        <w:rPr>
          <w:noProof/>
        </w:rPr>
        <mc:AlternateContent>
          <mc:Choice Requires="wps">
            <w:drawing>
              <wp:anchor distT="0" distB="0" distL="114300" distR="114300" simplePos="0" relativeHeight="251660800" behindDoc="0" locked="0" layoutInCell="1" allowOverlap="1" wp14:anchorId="12733F4C" wp14:editId="2FF0A421">
                <wp:simplePos x="0" y="0"/>
                <wp:positionH relativeFrom="column">
                  <wp:posOffset>1341755</wp:posOffset>
                </wp:positionH>
                <wp:positionV relativeFrom="paragraph">
                  <wp:posOffset>4650740</wp:posOffset>
                </wp:positionV>
                <wp:extent cx="4933950" cy="664845"/>
                <wp:effectExtent l="0" t="0" r="0" b="1905"/>
                <wp:wrapNone/>
                <wp:docPr id="7" name="Text Box 2"/>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0B85B" w14:textId="47F4B15E" w:rsidR="000961D2" w:rsidRPr="00095932" w:rsidRDefault="000B5B0F" w:rsidP="000961D2">
                            <w:pPr>
                              <w:tabs>
                                <w:tab w:val="center" w:pos="5400"/>
                              </w:tabs>
                              <w:suppressAutoHyphens/>
                              <w:spacing w:before="60"/>
                              <w:rPr>
                                <w:rFonts w:asciiTheme="majorHAnsi" w:hAnsiTheme="majorHAnsi"/>
                                <w:color w:val="0D0D0D" w:themeColor="text1" w:themeTint="F2"/>
                                <w:sz w:val="18"/>
                                <w:szCs w:val="22"/>
                              </w:rPr>
                            </w:pPr>
                            <w:r w:rsidRPr="00095932">
                              <w:rPr>
                                <w:rFonts w:asciiTheme="majorHAnsi" w:hAnsiTheme="majorHAnsi"/>
                                <w:color w:val="0D0D0D" w:themeColor="text1" w:themeTint="F2"/>
                                <w:sz w:val="18"/>
                                <w:szCs w:val="22"/>
                              </w:rPr>
                              <w:t>Approved electronically by the C</w:t>
                            </w:r>
                            <w:r w:rsidR="001F7871" w:rsidRPr="00095932">
                              <w:rPr>
                                <w:rFonts w:asciiTheme="majorHAnsi" w:hAnsiTheme="majorHAnsi"/>
                                <w:color w:val="0D0D0D" w:themeColor="text1" w:themeTint="F2"/>
                                <w:sz w:val="18"/>
                                <w:szCs w:val="22"/>
                              </w:rPr>
                              <w:t>o</w:t>
                            </w:r>
                            <w:r w:rsidRPr="00095932">
                              <w:rPr>
                                <w:rFonts w:asciiTheme="majorHAnsi" w:hAnsiTheme="majorHAnsi"/>
                                <w:color w:val="0D0D0D" w:themeColor="text1" w:themeTint="F2"/>
                                <w:sz w:val="18"/>
                                <w:szCs w:val="22"/>
                              </w:rPr>
                              <w:t xml:space="preserve">mmission on </w:t>
                            </w:r>
                            <w:r w:rsidR="0092161E">
                              <w:rPr>
                                <w:rFonts w:asciiTheme="majorHAnsi" w:hAnsiTheme="majorHAnsi"/>
                                <w:color w:val="0D0D0D" w:themeColor="text1" w:themeTint="F2"/>
                                <w:sz w:val="18"/>
                                <w:szCs w:val="22"/>
                              </w:rPr>
                              <w:t>October 18</w:t>
                            </w:r>
                            <w:r w:rsidRPr="00095932">
                              <w:rPr>
                                <w:rFonts w:asciiTheme="majorHAnsi" w:hAnsiTheme="majorHAnsi"/>
                                <w:color w:val="0D0D0D" w:themeColor="text1" w:themeTint="F2"/>
                                <w:sz w:val="18"/>
                                <w:szCs w:val="22"/>
                              </w:rPr>
                              <w:t>,</w:t>
                            </w:r>
                            <w:r w:rsidR="000961D2" w:rsidRPr="00095932">
                              <w:rPr>
                                <w:rFonts w:asciiTheme="majorHAnsi" w:hAnsiTheme="majorHAnsi"/>
                                <w:color w:val="0D0D0D" w:themeColor="text1" w:themeTint="F2"/>
                                <w:sz w:val="18"/>
                                <w:szCs w:val="22"/>
                              </w:rPr>
                              <w:t xml:space="preserve"> 2024</w:t>
                            </w:r>
                            <w:r w:rsidR="0092161E">
                              <w:rPr>
                                <w:rFonts w:asciiTheme="majorHAnsi" w:hAnsiTheme="majorHAnsi"/>
                                <w:color w:val="0D0D0D" w:themeColor="text1" w:themeTint="F2"/>
                                <w:sz w:val="18"/>
                                <w:szCs w:val="22"/>
                              </w:rPr>
                              <w:t>.</w:t>
                            </w:r>
                          </w:p>
                          <w:p w14:paraId="761D6E85" w14:textId="77777777" w:rsidR="000961D2" w:rsidRPr="00095932" w:rsidRDefault="000961D2" w:rsidP="000961D2">
                            <w:pPr>
                              <w:tabs>
                                <w:tab w:val="center" w:pos="5400"/>
                              </w:tabs>
                              <w:suppressAutoHyphens/>
                              <w:spacing w:before="60"/>
                              <w:rPr>
                                <w:rFonts w:asciiTheme="minorHAnsi" w:hAnsiTheme="minorHAnsi" w:cs="Univers"/>
                                <w:color w:val="0D0D0D" w:themeColor="text1" w:themeTint="F2"/>
                                <w:sz w:val="20"/>
                                <w:szCs w:val="20"/>
                              </w:rPr>
                            </w:pPr>
                          </w:p>
                          <w:p w14:paraId="6225E0FF" w14:textId="77777777" w:rsidR="000961D2" w:rsidRPr="00095932" w:rsidRDefault="000961D2" w:rsidP="000961D2">
                            <w:pPr>
                              <w:tabs>
                                <w:tab w:val="center" w:pos="5400"/>
                              </w:tabs>
                              <w:suppressAutoHyphens/>
                              <w:spacing w:before="60"/>
                              <w:rPr>
                                <w:rFonts w:ascii="Calibri" w:hAnsi="Calibri"/>
                                <w:color w:val="FFFFFF" w:themeColor="background1"/>
                                <w:spacing w:val="-2"/>
                                <w:sz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3F4C" id="Text Box 2" o:spid="_x0000_s1031" type="#_x0000_t202" style="position:absolute;left:0;text-align:left;margin-left:105.65pt;margin-top:366.2pt;width:388.5pt;height:5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lvaAIAADwFAAAOAAAAZHJzL2Uyb0RvYy54bWysVEtvGyEQvlfqf0Dc67UTx02srCPXUapK&#10;VhI1qXLGLMSoLENh7F3312dg/ap7StULDDMfH/Pk+qatLVurEA24kg96fc6Uk1AZ91ryH893ny45&#10;iyhcJSw4VfKNivxm8vHDdePH6gyWYCsVGJG4OG58yZeIflwUUS5VLWIPvHJk1BBqgXQMr0UVREPs&#10;tS3O+v1R0UCofACpYiTtbWfkk8yvtZL4oHVUyGzJyTfMa8jrIq3F5FqMX4PwSyO3boh/8KIWxtGj&#10;e6pbgYKtgvmLqjYyQASNPQl1AVobqXIMFM2gfxLN01J4lWOh5ES/T1P8f7Tyfv3kHwPD9gu0VMCU&#10;kMbHcSRliqfVoU47ecrITinc7NOmWmSSlMOr8/OrCzJJso1Gw8vhRaIpDrd9iPhVQc2SUPJAZcnZ&#10;Eut5xA66g6THHNwZa3NprGMNkZ4T/R8WIrcuaVQu8pbm4HmWcGNVwlj3XWlmqhxAUuT2UjMb2FpQ&#10;YwgplcMce+YldEJpcuI9F7f4g1fvudzFsXsZHO4v18ZByNGfuF393LmsOzzl/CjuJGK7aCnwkueK&#10;JM0Cqg3VO0A3CtHLO0NFmYuIjyJQ71MdaZ7xgRZtgZIvrfGcLSH8PtUlHLUiWThraIZKHn+tRFCc&#10;2W+OmvRqMBwSHebD8OLzGR3CsWVxbHGregZUjQH9GF5mMeHR7kQdoH6hcZ+mV8kknKS3S447cYbd&#10;ZNN3IdV0mkE0Zl7g3D15mahTcVKrPbcvIvhtPyJ18j3spk2MT9qyw6abDqYrBG1yzx6yuc07jWju&#10;+u13kv6A43NGHT69yRsAAAD//wMAUEsDBBQABgAIAAAAIQCoECHs4gAAAAsBAAAPAAAAZHJzL2Rv&#10;d25yZXYueG1sTI/LTsMwEEX3SPyDNUjsqPMAakImVRWpQkKwaOmGnRO7SYQ9DrHbBr4es4LlzBzd&#10;Obdczdawk5784AghXSTANLVODdQh7N82NwKYD5KUNI40wpf2sKouL0pZKHemrT7tQsdiCPlCIvQh&#10;jAXnvu21lX7hRk3xdnCTlSGOU8fVJM8x3BqeJck9t3Kg+KGXo6573X7sjhbhud68ym2TWfFt6qeX&#10;w3r83L/fIV5fzetHYEHP4Q+GX/2oDlV0atyRlGcGIUvTPKIIyzy7BRaJByHipkEQ+TIFXpX8f4fq&#10;BwAA//8DAFBLAQItABQABgAIAAAAIQC2gziS/gAAAOEBAAATAAAAAAAAAAAAAAAAAAAAAABbQ29u&#10;dGVudF9UeXBlc10ueG1sUEsBAi0AFAAGAAgAAAAhADj9If/WAAAAlAEAAAsAAAAAAAAAAAAAAAAA&#10;LwEAAF9yZWxzLy5yZWxzUEsBAi0AFAAGAAgAAAAhAGDi+W9oAgAAPAUAAA4AAAAAAAAAAAAAAAAA&#10;LgIAAGRycy9lMm9Eb2MueG1sUEsBAi0AFAAGAAgAAAAhAKgQIeziAAAACwEAAA8AAAAAAAAAAAAA&#10;AAAAwgQAAGRycy9kb3ducmV2LnhtbFBLBQYAAAAABAAEAPMAAADRBQAAAAA=&#10;" filled="f" stroked="f" strokeweight=".5pt">
                <v:textbox>
                  <w:txbxContent>
                    <w:p w14:paraId="6630B85B" w14:textId="47F4B15E" w:rsidR="000961D2" w:rsidRPr="00095932" w:rsidRDefault="000B5B0F" w:rsidP="000961D2">
                      <w:pPr>
                        <w:tabs>
                          <w:tab w:val="center" w:pos="5400"/>
                        </w:tabs>
                        <w:suppressAutoHyphens/>
                        <w:spacing w:before="60"/>
                        <w:rPr>
                          <w:rFonts w:asciiTheme="majorHAnsi" w:hAnsiTheme="majorHAnsi"/>
                          <w:color w:val="0D0D0D" w:themeColor="text1" w:themeTint="F2"/>
                          <w:sz w:val="18"/>
                          <w:szCs w:val="22"/>
                        </w:rPr>
                      </w:pPr>
                      <w:r w:rsidRPr="00095932">
                        <w:rPr>
                          <w:rFonts w:asciiTheme="majorHAnsi" w:hAnsiTheme="majorHAnsi"/>
                          <w:color w:val="0D0D0D" w:themeColor="text1" w:themeTint="F2"/>
                          <w:sz w:val="18"/>
                          <w:szCs w:val="22"/>
                        </w:rPr>
                        <w:t>Approved electronically by the C</w:t>
                      </w:r>
                      <w:r w:rsidR="001F7871" w:rsidRPr="00095932">
                        <w:rPr>
                          <w:rFonts w:asciiTheme="majorHAnsi" w:hAnsiTheme="majorHAnsi"/>
                          <w:color w:val="0D0D0D" w:themeColor="text1" w:themeTint="F2"/>
                          <w:sz w:val="18"/>
                          <w:szCs w:val="22"/>
                        </w:rPr>
                        <w:t>o</w:t>
                      </w:r>
                      <w:r w:rsidRPr="00095932">
                        <w:rPr>
                          <w:rFonts w:asciiTheme="majorHAnsi" w:hAnsiTheme="majorHAnsi"/>
                          <w:color w:val="0D0D0D" w:themeColor="text1" w:themeTint="F2"/>
                          <w:sz w:val="18"/>
                          <w:szCs w:val="22"/>
                        </w:rPr>
                        <w:t xml:space="preserve">mmission on </w:t>
                      </w:r>
                      <w:r w:rsidR="0092161E">
                        <w:rPr>
                          <w:rFonts w:asciiTheme="majorHAnsi" w:hAnsiTheme="majorHAnsi"/>
                          <w:color w:val="0D0D0D" w:themeColor="text1" w:themeTint="F2"/>
                          <w:sz w:val="18"/>
                          <w:szCs w:val="22"/>
                        </w:rPr>
                        <w:t>October 18</w:t>
                      </w:r>
                      <w:r w:rsidRPr="00095932">
                        <w:rPr>
                          <w:rFonts w:asciiTheme="majorHAnsi" w:hAnsiTheme="majorHAnsi"/>
                          <w:color w:val="0D0D0D" w:themeColor="text1" w:themeTint="F2"/>
                          <w:sz w:val="18"/>
                          <w:szCs w:val="22"/>
                        </w:rPr>
                        <w:t>,</w:t>
                      </w:r>
                      <w:r w:rsidR="000961D2" w:rsidRPr="00095932">
                        <w:rPr>
                          <w:rFonts w:asciiTheme="majorHAnsi" w:hAnsiTheme="majorHAnsi"/>
                          <w:color w:val="0D0D0D" w:themeColor="text1" w:themeTint="F2"/>
                          <w:sz w:val="18"/>
                          <w:szCs w:val="22"/>
                        </w:rPr>
                        <w:t xml:space="preserve"> 2024</w:t>
                      </w:r>
                      <w:r w:rsidR="0092161E">
                        <w:rPr>
                          <w:rFonts w:asciiTheme="majorHAnsi" w:hAnsiTheme="majorHAnsi"/>
                          <w:color w:val="0D0D0D" w:themeColor="text1" w:themeTint="F2"/>
                          <w:sz w:val="18"/>
                          <w:szCs w:val="22"/>
                        </w:rPr>
                        <w:t>.</w:t>
                      </w:r>
                    </w:p>
                    <w:p w14:paraId="761D6E85" w14:textId="77777777" w:rsidR="000961D2" w:rsidRPr="00095932" w:rsidRDefault="000961D2" w:rsidP="000961D2">
                      <w:pPr>
                        <w:tabs>
                          <w:tab w:val="center" w:pos="5400"/>
                        </w:tabs>
                        <w:suppressAutoHyphens/>
                        <w:spacing w:before="60"/>
                        <w:rPr>
                          <w:rFonts w:asciiTheme="minorHAnsi" w:hAnsiTheme="minorHAnsi" w:cs="Univers"/>
                          <w:color w:val="0D0D0D" w:themeColor="text1" w:themeTint="F2"/>
                          <w:sz w:val="20"/>
                          <w:szCs w:val="20"/>
                        </w:rPr>
                      </w:pPr>
                    </w:p>
                    <w:p w14:paraId="6225E0FF" w14:textId="77777777" w:rsidR="000961D2" w:rsidRPr="00095932" w:rsidRDefault="000961D2" w:rsidP="000961D2">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9E269D9" w14:textId="77777777" w:rsidR="000961D2" w:rsidRPr="001F7871" w:rsidRDefault="000961D2" w:rsidP="000961D2">
      <w:pPr>
        <w:tabs>
          <w:tab w:val="center" w:pos="5400"/>
        </w:tabs>
        <w:suppressAutoHyphens/>
        <w:jc w:val="center"/>
        <w:rPr>
          <w:rFonts w:asciiTheme="majorHAnsi" w:hAnsiTheme="majorHAnsi"/>
          <w:sz w:val="22"/>
          <w:szCs w:val="22"/>
        </w:rPr>
      </w:pPr>
    </w:p>
    <w:p w14:paraId="1E035B70" w14:textId="77777777" w:rsidR="000961D2" w:rsidRPr="001F7871" w:rsidRDefault="000961D2" w:rsidP="000961D2">
      <w:pPr>
        <w:tabs>
          <w:tab w:val="center" w:pos="5400"/>
        </w:tabs>
        <w:suppressAutoHyphens/>
        <w:jc w:val="center"/>
        <w:rPr>
          <w:rFonts w:asciiTheme="majorHAnsi" w:hAnsiTheme="majorHAnsi"/>
          <w:sz w:val="22"/>
          <w:szCs w:val="22"/>
        </w:rPr>
      </w:pPr>
    </w:p>
    <w:p w14:paraId="01D7949C" w14:textId="77777777" w:rsidR="000961D2" w:rsidRPr="001F7871" w:rsidRDefault="000961D2" w:rsidP="000961D2">
      <w:pPr>
        <w:tabs>
          <w:tab w:val="center" w:pos="5400"/>
        </w:tabs>
        <w:suppressAutoHyphens/>
        <w:jc w:val="center"/>
        <w:rPr>
          <w:rFonts w:asciiTheme="majorHAnsi" w:hAnsiTheme="majorHAnsi" w:cs="Arial"/>
          <w:sz w:val="22"/>
          <w:szCs w:val="22"/>
        </w:rPr>
      </w:pPr>
    </w:p>
    <w:p w14:paraId="466CCBA2" w14:textId="77777777" w:rsidR="000961D2" w:rsidRPr="001F7871" w:rsidRDefault="000961D2" w:rsidP="000961D2">
      <w:pPr>
        <w:tabs>
          <w:tab w:val="center" w:pos="5400"/>
        </w:tabs>
        <w:suppressAutoHyphens/>
        <w:jc w:val="center"/>
        <w:rPr>
          <w:rFonts w:asciiTheme="majorHAnsi" w:hAnsiTheme="majorHAnsi"/>
          <w:sz w:val="22"/>
          <w:szCs w:val="22"/>
        </w:rPr>
      </w:pPr>
    </w:p>
    <w:p w14:paraId="56CCF113" w14:textId="77777777" w:rsidR="000961D2" w:rsidRPr="001F7871" w:rsidRDefault="000961D2" w:rsidP="000961D2">
      <w:pPr>
        <w:tabs>
          <w:tab w:val="center" w:pos="5400"/>
        </w:tabs>
        <w:suppressAutoHyphens/>
        <w:jc w:val="center"/>
        <w:rPr>
          <w:rFonts w:asciiTheme="majorHAnsi" w:hAnsiTheme="majorHAnsi"/>
          <w:sz w:val="22"/>
          <w:szCs w:val="22"/>
        </w:rPr>
      </w:pPr>
    </w:p>
    <w:p w14:paraId="0F4953FA" w14:textId="77777777" w:rsidR="000961D2" w:rsidRPr="001F7871" w:rsidRDefault="000961D2" w:rsidP="000961D2">
      <w:pPr>
        <w:tabs>
          <w:tab w:val="center" w:pos="5400"/>
        </w:tabs>
        <w:suppressAutoHyphens/>
        <w:jc w:val="center"/>
        <w:rPr>
          <w:rFonts w:asciiTheme="majorHAnsi" w:hAnsiTheme="majorHAnsi"/>
          <w:sz w:val="22"/>
          <w:szCs w:val="22"/>
        </w:rPr>
      </w:pPr>
    </w:p>
    <w:p w14:paraId="0B274AC8" w14:textId="77777777" w:rsidR="000961D2" w:rsidRPr="001F7871" w:rsidRDefault="000961D2" w:rsidP="000961D2">
      <w:pPr>
        <w:tabs>
          <w:tab w:val="center" w:pos="5400"/>
        </w:tabs>
        <w:suppressAutoHyphens/>
        <w:jc w:val="center"/>
        <w:rPr>
          <w:rFonts w:asciiTheme="majorHAnsi" w:hAnsiTheme="majorHAnsi"/>
          <w:sz w:val="22"/>
          <w:szCs w:val="22"/>
        </w:rPr>
      </w:pPr>
    </w:p>
    <w:p w14:paraId="7D6C8D87" w14:textId="77777777" w:rsidR="000961D2" w:rsidRPr="001F7871" w:rsidRDefault="000961D2" w:rsidP="000961D2">
      <w:pPr>
        <w:tabs>
          <w:tab w:val="center" w:pos="5400"/>
        </w:tabs>
        <w:suppressAutoHyphens/>
        <w:jc w:val="center"/>
        <w:rPr>
          <w:rFonts w:asciiTheme="majorHAnsi" w:hAnsiTheme="majorHAnsi"/>
          <w:sz w:val="22"/>
          <w:szCs w:val="22"/>
        </w:rPr>
      </w:pPr>
    </w:p>
    <w:p w14:paraId="487E810F" w14:textId="77777777" w:rsidR="000961D2" w:rsidRPr="001F7871" w:rsidRDefault="000961D2" w:rsidP="000961D2">
      <w:pPr>
        <w:tabs>
          <w:tab w:val="center" w:pos="5400"/>
        </w:tabs>
        <w:suppressAutoHyphens/>
        <w:jc w:val="center"/>
        <w:rPr>
          <w:rFonts w:asciiTheme="majorHAnsi" w:hAnsiTheme="majorHAnsi"/>
          <w:sz w:val="22"/>
          <w:szCs w:val="22"/>
        </w:rPr>
      </w:pPr>
    </w:p>
    <w:p w14:paraId="3829F098" w14:textId="77777777" w:rsidR="000961D2" w:rsidRPr="001F7871" w:rsidRDefault="000961D2" w:rsidP="000961D2">
      <w:pPr>
        <w:tabs>
          <w:tab w:val="center" w:pos="5400"/>
        </w:tabs>
        <w:suppressAutoHyphens/>
        <w:jc w:val="center"/>
        <w:rPr>
          <w:rFonts w:asciiTheme="majorHAnsi" w:hAnsiTheme="majorHAnsi"/>
          <w:sz w:val="22"/>
          <w:szCs w:val="22"/>
        </w:rPr>
      </w:pPr>
    </w:p>
    <w:p w14:paraId="3BFFD062" w14:textId="77777777" w:rsidR="000961D2" w:rsidRPr="001F7871" w:rsidRDefault="000961D2" w:rsidP="000961D2">
      <w:pPr>
        <w:tabs>
          <w:tab w:val="center" w:pos="5400"/>
        </w:tabs>
        <w:suppressAutoHyphens/>
        <w:jc w:val="center"/>
        <w:rPr>
          <w:rFonts w:asciiTheme="majorHAnsi" w:hAnsiTheme="majorHAnsi"/>
          <w:sz w:val="22"/>
          <w:szCs w:val="22"/>
        </w:rPr>
      </w:pPr>
    </w:p>
    <w:p w14:paraId="5FEA1F49" w14:textId="77777777" w:rsidR="000961D2" w:rsidRPr="001F7871" w:rsidRDefault="000961D2" w:rsidP="000961D2">
      <w:pPr>
        <w:tabs>
          <w:tab w:val="center" w:pos="5400"/>
        </w:tabs>
        <w:suppressAutoHyphens/>
        <w:jc w:val="center"/>
        <w:rPr>
          <w:rFonts w:asciiTheme="majorHAnsi" w:hAnsiTheme="majorHAnsi"/>
          <w:sz w:val="22"/>
          <w:szCs w:val="22"/>
        </w:rPr>
      </w:pPr>
    </w:p>
    <w:p w14:paraId="33BF0BA3" w14:textId="77777777" w:rsidR="000961D2" w:rsidRPr="001F7871" w:rsidRDefault="000961D2" w:rsidP="000961D2">
      <w:pPr>
        <w:tabs>
          <w:tab w:val="center" w:pos="5400"/>
        </w:tabs>
        <w:suppressAutoHyphens/>
        <w:jc w:val="center"/>
        <w:rPr>
          <w:rFonts w:asciiTheme="majorHAnsi" w:hAnsiTheme="majorHAnsi"/>
          <w:sz w:val="22"/>
          <w:szCs w:val="22"/>
        </w:rPr>
      </w:pPr>
    </w:p>
    <w:p w14:paraId="432E3711" w14:textId="77777777" w:rsidR="000961D2" w:rsidRPr="001F7871" w:rsidRDefault="000961D2" w:rsidP="000961D2">
      <w:pPr>
        <w:tabs>
          <w:tab w:val="center" w:pos="5400"/>
        </w:tabs>
        <w:suppressAutoHyphens/>
        <w:jc w:val="center"/>
        <w:rPr>
          <w:rFonts w:asciiTheme="majorHAnsi" w:hAnsiTheme="majorHAnsi"/>
          <w:sz w:val="22"/>
          <w:szCs w:val="22"/>
        </w:rPr>
      </w:pPr>
    </w:p>
    <w:p w14:paraId="5F03729F" w14:textId="77777777" w:rsidR="000961D2" w:rsidRPr="001F7871" w:rsidRDefault="000961D2" w:rsidP="000961D2">
      <w:pPr>
        <w:tabs>
          <w:tab w:val="center" w:pos="5400"/>
        </w:tabs>
        <w:suppressAutoHyphens/>
        <w:jc w:val="center"/>
        <w:rPr>
          <w:rFonts w:asciiTheme="majorHAnsi" w:hAnsiTheme="majorHAnsi"/>
          <w:sz w:val="18"/>
          <w:szCs w:val="22"/>
        </w:rPr>
      </w:pPr>
    </w:p>
    <w:p w14:paraId="225129BC" w14:textId="77777777" w:rsidR="000961D2" w:rsidRPr="001F7871" w:rsidRDefault="000961D2" w:rsidP="000961D2">
      <w:pPr>
        <w:tabs>
          <w:tab w:val="center" w:pos="5400"/>
        </w:tabs>
        <w:suppressAutoHyphens/>
        <w:jc w:val="center"/>
        <w:rPr>
          <w:rFonts w:asciiTheme="majorHAnsi" w:hAnsiTheme="majorHAnsi"/>
          <w:sz w:val="18"/>
          <w:szCs w:val="22"/>
        </w:rPr>
      </w:pPr>
    </w:p>
    <w:p w14:paraId="1EBAE153" w14:textId="77777777" w:rsidR="000961D2" w:rsidRPr="001F7871" w:rsidRDefault="000961D2" w:rsidP="000961D2">
      <w:pPr>
        <w:tabs>
          <w:tab w:val="center" w:pos="5400"/>
        </w:tabs>
        <w:suppressAutoHyphens/>
        <w:jc w:val="center"/>
        <w:rPr>
          <w:rFonts w:asciiTheme="majorHAnsi" w:hAnsiTheme="majorHAnsi"/>
          <w:sz w:val="18"/>
          <w:szCs w:val="22"/>
        </w:rPr>
      </w:pPr>
    </w:p>
    <w:p w14:paraId="0262E055" w14:textId="77777777" w:rsidR="000961D2" w:rsidRPr="001F7871" w:rsidRDefault="000961D2" w:rsidP="000961D2">
      <w:pPr>
        <w:tabs>
          <w:tab w:val="center" w:pos="5400"/>
        </w:tabs>
        <w:suppressAutoHyphens/>
        <w:jc w:val="center"/>
        <w:rPr>
          <w:rFonts w:asciiTheme="majorHAnsi" w:hAnsiTheme="majorHAnsi"/>
          <w:sz w:val="18"/>
          <w:szCs w:val="22"/>
        </w:rPr>
      </w:pPr>
    </w:p>
    <w:p w14:paraId="2644D2AE" w14:textId="77777777" w:rsidR="000961D2" w:rsidRPr="001F7871" w:rsidRDefault="000961D2" w:rsidP="000961D2">
      <w:pPr>
        <w:tabs>
          <w:tab w:val="center" w:pos="5400"/>
        </w:tabs>
        <w:suppressAutoHyphens/>
        <w:jc w:val="center"/>
        <w:rPr>
          <w:rFonts w:asciiTheme="majorHAnsi" w:hAnsiTheme="majorHAnsi"/>
          <w:sz w:val="18"/>
          <w:szCs w:val="22"/>
        </w:rPr>
      </w:pPr>
    </w:p>
    <w:p w14:paraId="395320B9" w14:textId="77777777" w:rsidR="000961D2" w:rsidRPr="001F7871" w:rsidRDefault="000961D2" w:rsidP="000961D2">
      <w:pPr>
        <w:tabs>
          <w:tab w:val="center" w:pos="5400"/>
        </w:tabs>
        <w:suppressAutoHyphens/>
        <w:jc w:val="center"/>
        <w:rPr>
          <w:rFonts w:asciiTheme="majorHAnsi" w:hAnsiTheme="majorHAnsi"/>
          <w:sz w:val="18"/>
          <w:szCs w:val="22"/>
        </w:rPr>
      </w:pPr>
    </w:p>
    <w:p w14:paraId="451B3CF0" w14:textId="77777777" w:rsidR="000961D2" w:rsidRPr="001F7871" w:rsidRDefault="000961D2" w:rsidP="000961D2">
      <w:pPr>
        <w:tabs>
          <w:tab w:val="center" w:pos="5400"/>
        </w:tabs>
        <w:suppressAutoHyphens/>
        <w:jc w:val="center"/>
        <w:rPr>
          <w:rFonts w:asciiTheme="majorHAnsi" w:hAnsiTheme="majorHAnsi"/>
          <w:sz w:val="18"/>
          <w:szCs w:val="22"/>
        </w:rPr>
      </w:pPr>
    </w:p>
    <w:p w14:paraId="40FD93F6" w14:textId="77777777" w:rsidR="000961D2" w:rsidRPr="001F7871" w:rsidRDefault="000961D2" w:rsidP="000961D2">
      <w:pPr>
        <w:tabs>
          <w:tab w:val="center" w:pos="5400"/>
        </w:tabs>
        <w:suppressAutoHyphens/>
        <w:jc w:val="center"/>
        <w:rPr>
          <w:rFonts w:asciiTheme="majorHAnsi" w:hAnsiTheme="majorHAnsi"/>
          <w:sz w:val="18"/>
          <w:szCs w:val="22"/>
        </w:rPr>
      </w:pPr>
    </w:p>
    <w:p w14:paraId="5B2216DD" w14:textId="77777777" w:rsidR="000961D2" w:rsidRPr="001F7871" w:rsidRDefault="000961D2" w:rsidP="000961D2">
      <w:pPr>
        <w:tabs>
          <w:tab w:val="center" w:pos="5400"/>
        </w:tabs>
        <w:suppressAutoHyphens/>
        <w:jc w:val="center"/>
        <w:rPr>
          <w:rFonts w:asciiTheme="majorHAnsi" w:hAnsiTheme="majorHAnsi"/>
          <w:sz w:val="18"/>
          <w:szCs w:val="22"/>
        </w:rPr>
      </w:pPr>
    </w:p>
    <w:p w14:paraId="45D3F59A" w14:textId="77777777" w:rsidR="000961D2" w:rsidRPr="001F7871" w:rsidRDefault="000961D2" w:rsidP="000961D2">
      <w:pPr>
        <w:tabs>
          <w:tab w:val="center" w:pos="5400"/>
        </w:tabs>
        <w:suppressAutoHyphens/>
        <w:jc w:val="center"/>
        <w:rPr>
          <w:rFonts w:asciiTheme="majorHAnsi" w:hAnsiTheme="majorHAnsi"/>
          <w:sz w:val="18"/>
          <w:szCs w:val="22"/>
        </w:rPr>
      </w:pPr>
    </w:p>
    <w:p w14:paraId="6F81DC33" w14:textId="77777777" w:rsidR="000961D2" w:rsidRPr="001F7871" w:rsidRDefault="000961D2" w:rsidP="000961D2">
      <w:pPr>
        <w:tabs>
          <w:tab w:val="center" w:pos="5400"/>
        </w:tabs>
        <w:suppressAutoHyphens/>
        <w:jc w:val="center"/>
        <w:rPr>
          <w:rFonts w:asciiTheme="majorHAnsi" w:hAnsiTheme="majorHAnsi"/>
          <w:sz w:val="18"/>
          <w:szCs w:val="22"/>
        </w:rPr>
      </w:pPr>
    </w:p>
    <w:p w14:paraId="63E986C3" w14:textId="77777777" w:rsidR="000961D2" w:rsidRPr="001F7871" w:rsidRDefault="000961D2" w:rsidP="000961D2">
      <w:pPr>
        <w:tabs>
          <w:tab w:val="center" w:pos="5400"/>
        </w:tabs>
        <w:suppressAutoHyphens/>
        <w:jc w:val="center"/>
        <w:rPr>
          <w:rFonts w:asciiTheme="majorHAnsi" w:hAnsiTheme="majorHAnsi"/>
          <w:sz w:val="18"/>
          <w:szCs w:val="22"/>
        </w:rPr>
      </w:pPr>
    </w:p>
    <w:p w14:paraId="10E3D8F5" w14:textId="77777777" w:rsidR="000961D2" w:rsidRPr="001F7871" w:rsidRDefault="000961D2" w:rsidP="000961D2">
      <w:pPr>
        <w:tabs>
          <w:tab w:val="center" w:pos="5400"/>
        </w:tabs>
        <w:suppressAutoHyphens/>
        <w:jc w:val="center"/>
        <w:rPr>
          <w:rFonts w:asciiTheme="majorHAnsi" w:hAnsiTheme="majorHAnsi"/>
          <w:sz w:val="18"/>
          <w:szCs w:val="22"/>
        </w:rPr>
      </w:pPr>
    </w:p>
    <w:p w14:paraId="1006FAFC" w14:textId="77777777" w:rsidR="000961D2" w:rsidRPr="001F7871" w:rsidRDefault="000961D2" w:rsidP="000961D2">
      <w:pPr>
        <w:tabs>
          <w:tab w:val="center" w:pos="5400"/>
        </w:tabs>
        <w:suppressAutoHyphens/>
        <w:jc w:val="center"/>
        <w:rPr>
          <w:rFonts w:asciiTheme="majorHAnsi" w:hAnsiTheme="majorHAnsi"/>
          <w:sz w:val="18"/>
          <w:szCs w:val="22"/>
        </w:rPr>
      </w:pPr>
    </w:p>
    <w:p w14:paraId="76D75010" w14:textId="77777777" w:rsidR="000961D2" w:rsidRPr="001F7871" w:rsidRDefault="000961D2" w:rsidP="000961D2">
      <w:pPr>
        <w:tabs>
          <w:tab w:val="center" w:pos="5400"/>
        </w:tabs>
        <w:suppressAutoHyphens/>
        <w:jc w:val="center"/>
        <w:rPr>
          <w:rFonts w:asciiTheme="majorHAnsi" w:hAnsiTheme="majorHAnsi"/>
          <w:sz w:val="18"/>
          <w:szCs w:val="22"/>
        </w:rPr>
      </w:pPr>
    </w:p>
    <w:p w14:paraId="3D2770B2" w14:textId="77777777" w:rsidR="000961D2" w:rsidRPr="001F7871" w:rsidRDefault="000961D2" w:rsidP="000961D2">
      <w:pPr>
        <w:tabs>
          <w:tab w:val="center" w:pos="5400"/>
        </w:tabs>
        <w:suppressAutoHyphens/>
        <w:jc w:val="center"/>
        <w:rPr>
          <w:rFonts w:asciiTheme="majorHAnsi" w:hAnsiTheme="majorHAnsi"/>
          <w:sz w:val="18"/>
          <w:szCs w:val="22"/>
        </w:rPr>
      </w:pPr>
    </w:p>
    <w:p w14:paraId="2D1B324F" w14:textId="77777777" w:rsidR="000961D2" w:rsidRPr="001F7871" w:rsidRDefault="000961D2" w:rsidP="000961D2">
      <w:pPr>
        <w:tabs>
          <w:tab w:val="center" w:pos="5400"/>
        </w:tabs>
        <w:suppressAutoHyphens/>
        <w:jc w:val="center"/>
        <w:rPr>
          <w:rFonts w:asciiTheme="majorHAnsi" w:hAnsiTheme="majorHAnsi"/>
          <w:sz w:val="18"/>
          <w:szCs w:val="22"/>
        </w:rPr>
      </w:pPr>
    </w:p>
    <w:p w14:paraId="0765CBC8" w14:textId="77777777" w:rsidR="000961D2" w:rsidRPr="001F7871" w:rsidRDefault="000961D2" w:rsidP="000961D2">
      <w:pPr>
        <w:tabs>
          <w:tab w:val="center" w:pos="5400"/>
        </w:tabs>
        <w:suppressAutoHyphens/>
        <w:jc w:val="center"/>
        <w:rPr>
          <w:rFonts w:asciiTheme="majorHAnsi" w:hAnsiTheme="majorHAnsi"/>
          <w:sz w:val="18"/>
          <w:szCs w:val="22"/>
        </w:rPr>
      </w:pPr>
    </w:p>
    <w:p w14:paraId="67476B48" w14:textId="77777777" w:rsidR="000961D2" w:rsidRPr="001F7871" w:rsidRDefault="000961D2" w:rsidP="000961D2">
      <w:pPr>
        <w:tabs>
          <w:tab w:val="center" w:pos="5400"/>
        </w:tabs>
        <w:suppressAutoHyphens/>
        <w:jc w:val="center"/>
        <w:rPr>
          <w:rFonts w:asciiTheme="majorHAnsi" w:hAnsiTheme="majorHAnsi"/>
          <w:sz w:val="18"/>
          <w:szCs w:val="22"/>
        </w:rPr>
      </w:pPr>
    </w:p>
    <w:p w14:paraId="39EB88C4" w14:textId="77777777" w:rsidR="000961D2" w:rsidRPr="001F7871" w:rsidRDefault="000961D2" w:rsidP="000961D2">
      <w:pPr>
        <w:tabs>
          <w:tab w:val="center" w:pos="5400"/>
        </w:tabs>
        <w:suppressAutoHyphens/>
        <w:jc w:val="center"/>
        <w:rPr>
          <w:rFonts w:asciiTheme="majorHAnsi" w:hAnsiTheme="majorHAnsi"/>
          <w:sz w:val="18"/>
          <w:szCs w:val="22"/>
        </w:rPr>
      </w:pPr>
    </w:p>
    <w:p w14:paraId="1BEA985A" w14:textId="77777777" w:rsidR="000961D2" w:rsidRPr="001F7871" w:rsidRDefault="000961D2" w:rsidP="000961D2">
      <w:pPr>
        <w:tabs>
          <w:tab w:val="center" w:pos="5400"/>
        </w:tabs>
        <w:suppressAutoHyphens/>
        <w:jc w:val="center"/>
        <w:rPr>
          <w:rFonts w:asciiTheme="majorHAnsi" w:hAnsiTheme="majorHAnsi"/>
          <w:sz w:val="18"/>
          <w:szCs w:val="22"/>
        </w:rPr>
      </w:pPr>
    </w:p>
    <w:p w14:paraId="11E383AC" w14:textId="77777777" w:rsidR="000961D2" w:rsidRPr="001F7871" w:rsidRDefault="000961D2" w:rsidP="000961D2">
      <w:pPr>
        <w:tabs>
          <w:tab w:val="center" w:pos="5400"/>
        </w:tabs>
        <w:suppressAutoHyphens/>
        <w:jc w:val="center"/>
        <w:rPr>
          <w:rFonts w:asciiTheme="majorHAnsi" w:hAnsiTheme="majorHAnsi"/>
          <w:b/>
          <w:sz w:val="20"/>
        </w:rPr>
      </w:pPr>
    </w:p>
    <w:p w14:paraId="603F2231" w14:textId="476E4F84" w:rsidR="000961D2" w:rsidRPr="001F7871" w:rsidRDefault="005E7CA0" w:rsidP="000961D2">
      <w:pPr>
        <w:tabs>
          <w:tab w:val="center" w:pos="5400"/>
        </w:tabs>
        <w:suppressAutoHyphens/>
        <w:jc w:val="center"/>
        <w:rPr>
          <w:rFonts w:asciiTheme="majorHAnsi" w:hAnsiTheme="majorHAnsi"/>
          <w:b/>
          <w:sz w:val="20"/>
        </w:rPr>
      </w:pPr>
      <w:r w:rsidRPr="00625030">
        <w:rPr>
          <w:rFonts w:asciiTheme="majorHAnsi" w:hAnsiTheme="majorHAnsi"/>
          <w:noProof/>
          <w:sz w:val="22"/>
          <w:szCs w:val="22"/>
        </w:rPr>
        <mc:AlternateContent>
          <mc:Choice Requires="wps">
            <w:drawing>
              <wp:anchor distT="0" distB="0" distL="114300" distR="114300" simplePos="0" relativeHeight="251653631" behindDoc="0" locked="0" layoutInCell="1" allowOverlap="1" wp14:anchorId="1A402928" wp14:editId="3B0E7104">
                <wp:simplePos x="0" y="0"/>
                <wp:positionH relativeFrom="column">
                  <wp:posOffset>-225588</wp:posOffset>
                </wp:positionH>
                <wp:positionV relativeFrom="paragraph">
                  <wp:posOffset>778510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FDCE6" w14:textId="3FFA344B" w:rsidR="00E27781" w:rsidRPr="004B7EB6" w:rsidRDefault="00E27781" w:rsidP="00E2778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503B7">
                              <w:rPr>
                                <w:rFonts w:asciiTheme="minorHAnsi" w:hAnsiTheme="minorHAnsi"/>
                                <w:b/>
                                <w:color w:val="FFFFFF" w:themeColor="background1"/>
                                <w:lang w:val="pt-BR"/>
                              </w:rPr>
                              <w:t>c</w:t>
                            </w:r>
                            <w:r>
                              <w:rPr>
                                <w:rFonts w:asciiTheme="minorHAnsi" w:hAnsiTheme="minorHAnsi"/>
                                <w:b/>
                                <w:color w:val="FFFFFF" w:themeColor="background1"/>
                                <w:lang w:val="pt-BR"/>
                              </w:rPr>
                              <w:t>i</w:t>
                            </w:r>
                            <w:r w:rsidR="000503B7">
                              <w:rPr>
                                <w:rFonts w:asciiTheme="minorHAnsi" w:hAnsiTheme="minorHAnsi"/>
                                <w:b/>
                                <w:color w:val="FFFFFF" w:themeColor="background1"/>
                                <w:lang w:val="pt-BR"/>
                              </w:rPr>
                              <w:t>d</w:t>
                            </w:r>
                            <w:r>
                              <w:rPr>
                                <w:rFonts w:asciiTheme="minorHAnsi" w:hAnsiTheme="minorHAnsi"/>
                                <w:b/>
                                <w:color w:val="FFFFFF" w:themeColor="background1"/>
                                <w:lang w:val="pt-BR"/>
                              </w:rPr>
                              <w:t>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2928" id="_x0000_s1032" type="#_x0000_t202" style="position:absolute;left:0;text-align:left;margin-left:-17.75pt;margin-top:61.3pt;width:93pt;height:26.2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UsM0WOEAAAALAQAADwAAAGRy&#10;cy9kb3ducmV2LnhtbEyPzU7DMBCE70i8g7VI3FqbIJcqxKmqSBUSgkNLL9w2sZtE+CfEbht4erYn&#10;etvdGc1+U6wmZ9nJjLEPXsHDXAAzvgm6962C/cdmtgQWE3qNNnij4MdEWJW3NwXmOpz91px2qWUU&#10;4mOOCrqUhpzz2HTGYZyHwXjSDmF0mGgdW65HPFO4szwTYsEd9p4+dDiYqjPN1+7oFLxWm3fc1plb&#10;/trq5e2wHr73n1Kp+7tp/QwsmSn9m+GCT+hQElMdjl5HZhXMHqUkKwlZtgB2cUhBl5qGJymAlwW/&#10;7lD+AQAA//8DAFBLAQItABQABgAIAAAAIQC2gziS/gAAAOEBAAATAAAAAAAAAAAAAAAAAAAAAABb&#10;Q29udGVudF9UeXBlc10ueG1sUEsBAi0AFAAGAAgAAAAhADj9If/WAAAAlAEAAAsAAAAAAAAAAAAA&#10;AAAALwEAAF9yZWxzLy5yZWxzUEsBAi0AFAAGAAgAAAAhAKJjtIRsAgAARAUAAA4AAAAAAAAAAAAA&#10;AAAALgIAAGRycy9lMm9Eb2MueG1sUEsBAi0AFAAGAAgAAAAhAFLDNFjhAAAACwEAAA8AAAAAAAAA&#10;AAAAAAAAxgQAAGRycy9kb3ducmV2LnhtbFBLBQYAAAAABAAEAPMAAADUBQAAAAA=&#10;" filled="f" stroked="f" strokeweight=".5pt">
                <v:textbox>
                  <w:txbxContent>
                    <w:p w14:paraId="44AFDCE6" w14:textId="3FFA344B" w:rsidR="00E27781" w:rsidRPr="004B7EB6" w:rsidRDefault="00E27781" w:rsidP="00E2778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0503B7">
                        <w:rPr>
                          <w:rFonts w:asciiTheme="minorHAnsi" w:hAnsiTheme="minorHAnsi"/>
                          <w:b/>
                          <w:color w:val="FFFFFF" w:themeColor="background1"/>
                          <w:lang w:val="pt-BR"/>
                        </w:rPr>
                        <w:t>c</w:t>
                      </w:r>
                      <w:r>
                        <w:rPr>
                          <w:rFonts w:asciiTheme="minorHAnsi" w:hAnsiTheme="minorHAnsi"/>
                          <w:b/>
                          <w:color w:val="FFFFFF" w:themeColor="background1"/>
                          <w:lang w:val="pt-BR"/>
                        </w:rPr>
                        <w:t>i</w:t>
                      </w:r>
                      <w:r w:rsidR="000503B7">
                        <w:rPr>
                          <w:rFonts w:asciiTheme="minorHAnsi" w:hAnsiTheme="minorHAnsi"/>
                          <w:b/>
                          <w:color w:val="FFFFFF" w:themeColor="background1"/>
                          <w:lang w:val="pt-BR"/>
                        </w:rPr>
                        <w:t>d</w:t>
                      </w:r>
                      <w:r>
                        <w:rPr>
                          <w:rFonts w:asciiTheme="minorHAnsi" w:hAnsiTheme="minorHAnsi"/>
                          <w:b/>
                          <w:color w:val="FFFFFF" w:themeColor="background1"/>
                          <w:lang w:val="pt-BR"/>
                        </w:rPr>
                        <w:t>h</w:t>
                      </w:r>
                      <w:r w:rsidRPr="004B7EB6">
                        <w:rPr>
                          <w:rFonts w:asciiTheme="minorHAnsi" w:hAnsiTheme="minorHAnsi"/>
                          <w:b/>
                          <w:color w:val="FFFFFF" w:themeColor="background1"/>
                          <w:lang w:val="pt-BR"/>
                        </w:rPr>
                        <w:t>.org</w:t>
                      </w:r>
                    </w:p>
                  </w:txbxContent>
                </v:textbox>
              </v:shape>
            </w:pict>
          </mc:Fallback>
        </mc:AlternateContent>
      </w:r>
      <w:r>
        <w:rPr>
          <w:noProof/>
        </w:rPr>
        <w:drawing>
          <wp:anchor distT="0" distB="0" distL="114300" distR="114300" simplePos="0" relativeHeight="251662848" behindDoc="0" locked="0" layoutInCell="1" allowOverlap="0" wp14:anchorId="460A2DC5" wp14:editId="6DED45F4">
            <wp:simplePos x="0" y="0"/>
            <wp:positionH relativeFrom="column">
              <wp:posOffset>1414943</wp:posOffset>
            </wp:positionH>
            <wp:positionV relativeFrom="page">
              <wp:posOffset>9055735</wp:posOffset>
            </wp:positionV>
            <wp:extent cx="1581785" cy="401955"/>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78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1D2" w:rsidRPr="001F7871">
        <w:rPr>
          <w:rFonts w:asciiTheme="majorHAnsi" w:hAnsiTheme="majorHAnsi"/>
          <w:b/>
          <w:sz w:val="20"/>
        </w:rPr>
        <w:tab/>
      </w:r>
    </w:p>
    <w:p w14:paraId="710FA14B" w14:textId="77777777" w:rsidR="000961D2" w:rsidRPr="001F7871" w:rsidRDefault="000961D2" w:rsidP="000961D2">
      <w:pPr>
        <w:rPr>
          <w:rFonts w:asciiTheme="majorHAnsi" w:hAnsiTheme="majorHAnsi"/>
          <w:b/>
          <w:sz w:val="20"/>
        </w:rPr>
        <w:sectPr w:rsidR="000961D2" w:rsidRPr="001F7871" w:rsidSect="000961D2">
          <w:headerReference w:type="default" r:id="rId10"/>
          <w:headerReference w:type="first" r:id="rId11"/>
          <w:pgSz w:w="12240" w:h="15840"/>
          <w:pgMar w:top="1440" w:right="1440" w:bottom="1440" w:left="1440" w:header="720" w:footer="720" w:gutter="0"/>
          <w:pgNumType w:start="0"/>
          <w:cols w:space="720"/>
        </w:sectPr>
      </w:pPr>
    </w:p>
    <w:p w14:paraId="7FAB9EDF" w14:textId="5AFB2E5A" w:rsidR="000961D2" w:rsidRPr="001F7871" w:rsidRDefault="000961D2" w:rsidP="000961D2">
      <w:pPr>
        <w:spacing w:after="240"/>
        <w:ind w:firstLine="720"/>
        <w:jc w:val="both"/>
        <w:rPr>
          <w:rFonts w:asciiTheme="majorHAnsi" w:hAnsiTheme="majorHAnsi"/>
          <w:b/>
          <w:bCs/>
          <w:sz w:val="20"/>
          <w:szCs w:val="20"/>
        </w:rPr>
      </w:pPr>
      <w:r w:rsidRPr="001F7871">
        <w:rPr>
          <w:rFonts w:asciiTheme="majorHAnsi" w:hAnsiTheme="majorHAnsi"/>
          <w:b/>
          <w:bCs/>
          <w:sz w:val="20"/>
          <w:szCs w:val="20"/>
        </w:rPr>
        <w:lastRenderedPageBreak/>
        <w:t>I.</w:t>
      </w:r>
      <w:r w:rsidRPr="001F7871">
        <w:rPr>
          <w:rFonts w:asciiTheme="majorHAnsi" w:hAnsiTheme="majorHAnsi"/>
          <w:b/>
          <w:bCs/>
          <w:sz w:val="20"/>
          <w:szCs w:val="20"/>
        </w:rPr>
        <w:tab/>
      </w:r>
      <w:r w:rsidR="00070F70" w:rsidRPr="001F7871">
        <w:rPr>
          <w:rFonts w:asciiTheme="majorHAnsi" w:hAnsiTheme="majorHAnsi"/>
          <w:b/>
          <w:bCs/>
          <w:sz w:val="20"/>
          <w:szCs w:val="20"/>
        </w:rPr>
        <w:t>INFORMATION ABOUT THE PETITION</w:t>
      </w:r>
      <w:r w:rsidRPr="001F7871">
        <w:rPr>
          <w:rFonts w:asciiTheme="majorHAnsi" w:hAnsiTheme="majorHAnsi"/>
          <w:b/>
          <w:bCs/>
          <w:sz w:val="20"/>
          <w:szCs w:val="20"/>
        </w:rPr>
        <w:t xml:space="preserve"> </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600"/>
        <w:gridCol w:w="5501"/>
      </w:tblGrid>
      <w:tr w:rsidR="000961D2" w:rsidRPr="001F7871" w14:paraId="3F90B711" w14:textId="77777777" w:rsidTr="00BF5445">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5FACF1D" w14:textId="3E2FE624"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Petitioner</w:t>
            </w:r>
            <w:r w:rsidR="000961D2" w:rsidRPr="001F7871">
              <w:rPr>
                <w:rFonts w:ascii="Cambria" w:hAnsi="Cambria"/>
                <w:b/>
                <w:bCs/>
                <w:color w:val="FFFFFF" w:themeColor="background1"/>
                <w:sz w:val="20"/>
                <w:szCs w:val="20"/>
                <w:lang w:val="en-US"/>
              </w:rPr>
              <w:t>:</w:t>
            </w:r>
          </w:p>
        </w:tc>
        <w:tc>
          <w:tcPr>
            <w:tcW w:w="5501" w:type="dxa"/>
            <w:tcBorders>
              <w:top w:val="single" w:sz="4" w:space="0" w:color="auto"/>
              <w:left w:val="single" w:sz="6" w:space="0" w:color="auto"/>
              <w:bottom w:val="single" w:sz="6" w:space="0" w:color="auto"/>
              <w:right w:val="single" w:sz="4" w:space="0" w:color="auto"/>
            </w:tcBorders>
            <w:vAlign w:val="center"/>
            <w:hideMark/>
          </w:tcPr>
          <w:p w14:paraId="31E88059" w14:textId="20E49409" w:rsidR="000961D2" w:rsidRPr="001F7871" w:rsidRDefault="00070F70">
            <w:pPr>
              <w:jc w:val="both"/>
              <w:rPr>
                <w:rFonts w:ascii="Cambria" w:hAnsi="Cambria"/>
                <w:bCs/>
                <w:sz w:val="20"/>
                <w:szCs w:val="20"/>
                <w:lang w:val="en-US"/>
              </w:rPr>
            </w:pPr>
            <w:r w:rsidRPr="001F7871">
              <w:rPr>
                <w:rFonts w:asciiTheme="majorHAnsi" w:hAnsiTheme="majorHAnsi"/>
                <w:bCs/>
                <w:sz w:val="20"/>
                <w:szCs w:val="20"/>
                <w:lang w:val="en-US"/>
              </w:rPr>
              <w:t xml:space="preserve">Indigenous Missionary Council and </w:t>
            </w:r>
            <w:r w:rsidR="000961D2" w:rsidRPr="001F7871">
              <w:rPr>
                <w:rFonts w:asciiTheme="majorHAnsi" w:hAnsiTheme="majorHAnsi"/>
                <w:bCs/>
                <w:sz w:val="20"/>
                <w:szCs w:val="20"/>
                <w:lang w:val="en-US"/>
              </w:rPr>
              <w:t>Survival International</w:t>
            </w:r>
          </w:p>
        </w:tc>
      </w:tr>
      <w:tr w:rsidR="000961D2" w:rsidRPr="001F7871" w14:paraId="1153DF1E"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DCBCDC2" w14:textId="64A31237"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Alleged victims</w:t>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7EA1695C" w14:textId="7B2F78D8"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Memb</w:t>
            </w:r>
            <w:r w:rsidR="00070F70" w:rsidRPr="001F7871">
              <w:rPr>
                <w:rFonts w:ascii="Cambria" w:hAnsi="Cambria"/>
                <w:bCs/>
                <w:sz w:val="20"/>
                <w:szCs w:val="20"/>
                <w:lang w:val="en-US"/>
              </w:rPr>
              <w:t xml:space="preserve">ers of the </w:t>
            </w:r>
            <w:r w:rsidRPr="001F7871">
              <w:rPr>
                <w:rFonts w:ascii="Cambria" w:hAnsi="Cambria"/>
                <w:bCs/>
                <w:sz w:val="20"/>
                <w:szCs w:val="20"/>
                <w:lang w:val="en-US"/>
              </w:rPr>
              <w:t>Awa-Guajá</w:t>
            </w:r>
            <w:r w:rsidR="00070F70" w:rsidRPr="001F7871">
              <w:rPr>
                <w:rFonts w:ascii="Cambria" w:hAnsi="Cambria"/>
                <w:bCs/>
                <w:sz w:val="20"/>
                <w:szCs w:val="20"/>
                <w:lang w:val="en-US"/>
              </w:rPr>
              <w:t xml:space="preserve"> indigenous people</w:t>
            </w:r>
          </w:p>
        </w:tc>
      </w:tr>
      <w:tr w:rsidR="000961D2" w:rsidRPr="001F7871" w14:paraId="42690AC1"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9A33C91" w14:textId="55BD92BB"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State accused</w:t>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66576921" w14:textId="02C65269"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Bra</w:t>
            </w:r>
            <w:r w:rsidR="00070F70" w:rsidRPr="001F7871">
              <w:rPr>
                <w:rFonts w:ascii="Cambria" w:hAnsi="Cambria"/>
                <w:bCs/>
                <w:sz w:val="20"/>
                <w:szCs w:val="20"/>
                <w:lang w:val="en-US"/>
              </w:rPr>
              <w:t>z</w:t>
            </w:r>
            <w:r w:rsidRPr="001F7871">
              <w:rPr>
                <w:rFonts w:ascii="Cambria" w:hAnsi="Cambria"/>
                <w:bCs/>
                <w:sz w:val="20"/>
                <w:szCs w:val="20"/>
                <w:lang w:val="en-US"/>
              </w:rPr>
              <w:t>il</w:t>
            </w:r>
          </w:p>
        </w:tc>
      </w:tr>
      <w:tr w:rsidR="000961D2" w:rsidRPr="001F7871" w14:paraId="023FF5E7"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2CE59F1" w14:textId="2FC799C3"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Rights invoked</w:t>
            </w:r>
            <w:r w:rsidR="000961D2" w:rsidRPr="001F7871">
              <w:rPr>
                <w:rStyle w:val="FootnoteReference"/>
                <w:rFonts w:ascii="Cambria" w:hAnsi="Cambria"/>
                <w:b/>
                <w:bCs/>
                <w:color w:val="FFFFFF" w:themeColor="background1"/>
                <w:sz w:val="20"/>
                <w:szCs w:val="20"/>
                <w:lang w:val="en-US"/>
              </w:rPr>
              <w:footnoteReference w:id="1"/>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4" w:space="0" w:color="auto"/>
              <w:right w:val="single" w:sz="4" w:space="0" w:color="auto"/>
            </w:tcBorders>
            <w:vAlign w:val="center"/>
            <w:hideMark/>
          </w:tcPr>
          <w:p w14:paraId="515D457F" w14:textId="6AA41754"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Arti</w:t>
            </w:r>
            <w:r w:rsidR="00070F70" w:rsidRPr="001F7871">
              <w:rPr>
                <w:rFonts w:ascii="Cambria" w:hAnsi="Cambria"/>
                <w:bCs/>
                <w:sz w:val="20"/>
                <w:szCs w:val="20"/>
                <w:lang w:val="en-US"/>
              </w:rPr>
              <w:t>cles</w:t>
            </w:r>
            <w:r w:rsidRPr="001F7871">
              <w:rPr>
                <w:rFonts w:ascii="Cambria" w:hAnsi="Cambria"/>
                <w:bCs/>
                <w:sz w:val="20"/>
                <w:szCs w:val="20"/>
                <w:lang w:val="en-US"/>
              </w:rPr>
              <w:t xml:space="preserve"> 4 (</w:t>
            </w:r>
            <w:r w:rsidR="00D226D5" w:rsidRPr="001F7871">
              <w:rPr>
                <w:rFonts w:ascii="Cambria" w:hAnsi="Cambria"/>
                <w:bCs/>
                <w:sz w:val="20"/>
                <w:szCs w:val="20"/>
                <w:lang w:val="en-US"/>
              </w:rPr>
              <w:t>life</w:t>
            </w:r>
            <w:r w:rsidRPr="001F7871">
              <w:rPr>
                <w:rFonts w:ascii="Cambria" w:hAnsi="Cambria"/>
                <w:bCs/>
                <w:sz w:val="20"/>
                <w:szCs w:val="20"/>
                <w:lang w:val="en-US"/>
              </w:rPr>
              <w:t>), 8 (</w:t>
            </w:r>
            <w:r w:rsidR="00D226D5" w:rsidRPr="001F7871">
              <w:rPr>
                <w:rFonts w:ascii="Cambria" w:hAnsi="Cambria"/>
                <w:bCs/>
                <w:sz w:val="20"/>
                <w:szCs w:val="20"/>
                <w:lang w:val="en-US"/>
              </w:rPr>
              <w:t>fair trial</w:t>
            </w:r>
            <w:r w:rsidRPr="001F7871">
              <w:rPr>
                <w:rFonts w:ascii="Cambria" w:hAnsi="Cambria"/>
                <w:bCs/>
                <w:sz w:val="20"/>
                <w:szCs w:val="20"/>
                <w:lang w:val="en-US"/>
              </w:rPr>
              <w:t>), 21 (</w:t>
            </w:r>
            <w:r w:rsidR="00D226D5" w:rsidRPr="001F7871">
              <w:rPr>
                <w:rFonts w:ascii="Cambria" w:hAnsi="Cambria"/>
                <w:bCs/>
                <w:sz w:val="20"/>
                <w:szCs w:val="20"/>
                <w:lang w:val="en-US"/>
              </w:rPr>
              <w:t>property</w:t>
            </w:r>
            <w:r w:rsidRPr="001F7871">
              <w:rPr>
                <w:rFonts w:ascii="Cambria" w:hAnsi="Cambria"/>
                <w:bCs/>
                <w:sz w:val="20"/>
                <w:szCs w:val="20"/>
                <w:lang w:val="en-US"/>
              </w:rPr>
              <w:t>), 25 (</w:t>
            </w:r>
            <w:r w:rsidR="00D226D5" w:rsidRPr="001F7871">
              <w:rPr>
                <w:rFonts w:ascii="Cambria" w:hAnsi="Cambria"/>
                <w:bCs/>
                <w:sz w:val="20"/>
                <w:szCs w:val="20"/>
                <w:lang w:val="en-US"/>
              </w:rPr>
              <w:t>judicial protection</w:t>
            </w:r>
            <w:r w:rsidR="00070F70" w:rsidRPr="001F7871">
              <w:rPr>
                <w:rFonts w:ascii="Cambria" w:hAnsi="Cambria"/>
                <w:bCs/>
                <w:sz w:val="20"/>
                <w:szCs w:val="20"/>
                <w:lang w:val="en-US"/>
              </w:rPr>
              <w:t>, and</w:t>
            </w:r>
            <w:r w:rsidRPr="001F7871">
              <w:rPr>
                <w:rFonts w:ascii="Cambria" w:hAnsi="Cambria"/>
                <w:bCs/>
                <w:sz w:val="20"/>
                <w:szCs w:val="20"/>
                <w:lang w:val="en-US"/>
              </w:rPr>
              <w:t xml:space="preserve"> 26 (</w:t>
            </w:r>
            <w:r w:rsidR="00D226D5" w:rsidRPr="001F7871">
              <w:rPr>
                <w:rFonts w:ascii="Cambria" w:hAnsi="Cambria"/>
                <w:bCs/>
                <w:sz w:val="20"/>
                <w:szCs w:val="20"/>
                <w:lang w:val="en-US"/>
              </w:rPr>
              <w:t>economic, social, and cultural rights</w:t>
            </w:r>
            <w:r w:rsidRPr="001F7871">
              <w:rPr>
                <w:rFonts w:ascii="Cambria" w:hAnsi="Cambria"/>
                <w:bCs/>
                <w:sz w:val="20"/>
                <w:szCs w:val="20"/>
                <w:lang w:val="en-US"/>
              </w:rPr>
              <w:t xml:space="preserve">) </w:t>
            </w:r>
            <w:r w:rsidR="00070F70" w:rsidRPr="001F7871">
              <w:rPr>
                <w:rFonts w:ascii="Cambria" w:hAnsi="Cambria"/>
                <w:bCs/>
                <w:sz w:val="20"/>
                <w:szCs w:val="20"/>
                <w:lang w:val="en-US"/>
              </w:rPr>
              <w:t>of the American Convention on Human Rights</w:t>
            </w:r>
            <w:r w:rsidRPr="001F7871">
              <w:rPr>
                <w:rFonts w:ascii="Cambria" w:hAnsi="Cambria"/>
                <w:sz w:val="20"/>
                <w:szCs w:val="20"/>
                <w:vertAlign w:val="superscript"/>
                <w:lang w:val="en-US"/>
              </w:rPr>
              <w:footnoteReference w:id="2"/>
            </w:r>
          </w:p>
        </w:tc>
      </w:tr>
    </w:tbl>
    <w:p w14:paraId="6AC94D72" w14:textId="24DFEB88"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II.</w:t>
      </w:r>
      <w:r w:rsidRPr="001F7871">
        <w:rPr>
          <w:rFonts w:asciiTheme="majorHAnsi" w:hAnsiTheme="majorHAnsi"/>
          <w:b/>
          <w:bCs/>
          <w:sz w:val="20"/>
          <w:szCs w:val="20"/>
        </w:rPr>
        <w:tab/>
      </w:r>
      <w:r w:rsidR="00D226D5" w:rsidRPr="001F7871">
        <w:rPr>
          <w:rFonts w:asciiTheme="majorHAnsi" w:hAnsiTheme="majorHAnsi"/>
          <w:b/>
          <w:bCs/>
          <w:sz w:val="20"/>
          <w:szCs w:val="20"/>
        </w:rPr>
        <w:t>PROCEEDINGS BEFORE THE IACHR</w:t>
      </w:r>
      <w:r w:rsidRPr="001F7871">
        <w:rPr>
          <w:rStyle w:val="FootnoteReference"/>
          <w:rFonts w:ascii="Cambria" w:hAnsi="Cambria"/>
          <w:b/>
          <w:sz w:val="20"/>
          <w:szCs w:val="20"/>
        </w:rPr>
        <w:footnoteReference w:id="3"/>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600"/>
        <w:gridCol w:w="5501"/>
      </w:tblGrid>
      <w:tr w:rsidR="000961D2" w:rsidRPr="001F7871" w14:paraId="03826A5D"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7AD06E7" w14:textId="305E7EB2" w:rsidR="000961D2" w:rsidRPr="001F7871" w:rsidRDefault="00D226D5">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Petition submitted</w:t>
            </w:r>
            <w:r w:rsidR="000961D2" w:rsidRPr="001F7871">
              <w:rPr>
                <w:rFonts w:ascii="Cambria" w:hAnsi="Cambria"/>
                <w:b/>
                <w:bCs/>
                <w:color w:val="FFFFFF" w:themeColor="background1"/>
                <w:sz w:val="20"/>
                <w:szCs w:val="20"/>
                <w:lang w:val="en-US"/>
              </w:rPr>
              <w:t>:</w:t>
            </w:r>
          </w:p>
        </w:tc>
        <w:tc>
          <w:tcPr>
            <w:tcW w:w="5501" w:type="dxa"/>
            <w:tcBorders>
              <w:top w:val="single" w:sz="4" w:space="0" w:color="auto"/>
              <w:left w:val="single" w:sz="6" w:space="0" w:color="auto"/>
              <w:bottom w:val="single" w:sz="6" w:space="0" w:color="auto"/>
              <w:right w:val="single" w:sz="4" w:space="0" w:color="auto"/>
            </w:tcBorders>
            <w:vAlign w:val="center"/>
            <w:hideMark/>
          </w:tcPr>
          <w:p w14:paraId="53EE9978" w14:textId="2E8FB4A4" w:rsidR="000961D2" w:rsidRPr="001F7871" w:rsidRDefault="00D226D5">
            <w:pPr>
              <w:jc w:val="both"/>
              <w:rPr>
                <w:rFonts w:ascii="Cambria" w:hAnsi="Cambria"/>
                <w:bCs/>
                <w:sz w:val="20"/>
                <w:szCs w:val="20"/>
                <w:lang w:val="en-US"/>
              </w:rPr>
            </w:pPr>
            <w:r w:rsidRPr="001F7871">
              <w:rPr>
                <w:rFonts w:ascii="Cambria" w:hAnsi="Cambria"/>
                <w:bCs/>
                <w:sz w:val="20"/>
                <w:szCs w:val="20"/>
                <w:lang w:val="en-US"/>
              </w:rPr>
              <w:t xml:space="preserve">May 6, </w:t>
            </w:r>
            <w:r w:rsidR="000961D2" w:rsidRPr="001F7871">
              <w:rPr>
                <w:rFonts w:ascii="Cambria" w:hAnsi="Cambria"/>
                <w:bCs/>
                <w:sz w:val="20"/>
                <w:szCs w:val="20"/>
                <w:lang w:val="en-US"/>
              </w:rPr>
              <w:t>2013</w:t>
            </w:r>
          </w:p>
        </w:tc>
      </w:tr>
      <w:tr w:rsidR="000961D2" w:rsidRPr="001F7871" w14:paraId="3510B791"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D371620" w14:textId="341FDF23" w:rsidR="000961D2" w:rsidRPr="001F7871" w:rsidRDefault="00D226D5">
            <w:pPr>
              <w:jc w:val="center"/>
              <w:rPr>
                <w:rFonts w:ascii="Cambria" w:hAnsi="Cambria"/>
                <w:b/>
                <w:bCs/>
                <w:color w:val="FFFFFF" w:themeColor="background1"/>
                <w:sz w:val="20"/>
                <w:szCs w:val="20"/>
                <w:lang w:val="en-US"/>
              </w:rPr>
            </w:pPr>
            <w:r w:rsidRPr="001F7871">
              <w:rPr>
                <w:rFonts w:ascii="Cambria" w:hAnsi="Cambria"/>
                <w:b/>
                <w:color w:val="FFFFFF" w:themeColor="background1"/>
                <w:sz w:val="20"/>
                <w:szCs w:val="20"/>
                <w:lang w:val="en-US"/>
              </w:rPr>
              <w:t>State  notified about petition</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0558A724" w14:textId="62B4BACE" w:rsidR="000961D2" w:rsidRPr="001F7871" w:rsidRDefault="00D226D5">
            <w:pPr>
              <w:jc w:val="both"/>
              <w:rPr>
                <w:rFonts w:ascii="Cambria" w:hAnsi="Cambria"/>
                <w:bCs/>
                <w:sz w:val="20"/>
                <w:szCs w:val="20"/>
                <w:lang w:val="en-US"/>
              </w:rPr>
            </w:pPr>
            <w:r w:rsidRPr="001F7871">
              <w:rPr>
                <w:rFonts w:ascii="Cambria" w:hAnsi="Cambria"/>
                <w:bCs/>
                <w:sz w:val="20"/>
                <w:szCs w:val="20"/>
                <w:lang w:val="en-US"/>
              </w:rPr>
              <w:t xml:space="preserve">December 24, </w:t>
            </w:r>
            <w:r w:rsidR="000961D2" w:rsidRPr="001F7871">
              <w:rPr>
                <w:rFonts w:ascii="Cambria" w:hAnsi="Cambria"/>
                <w:bCs/>
                <w:sz w:val="20"/>
                <w:szCs w:val="20"/>
                <w:lang w:val="en-US"/>
              </w:rPr>
              <w:t>2015</w:t>
            </w:r>
          </w:p>
        </w:tc>
      </w:tr>
      <w:tr w:rsidR="000961D2" w:rsidRPr="001F7871" w14:paraId="3E9FDCEE"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D5F04F3" w14:textId="033FDF7F" w:rsidR="000961D2" w:rsidRPr="001F7871" w:rsidRDefault="00D226D5">
            <w:pPr>
              <w:jc w:val="center"/>
              <w:rPr>
                <w:rFonts w:ascii="Cambria" w:hAnsi="Cambria"/>
                <w:b/>
                <w:bCs/>
                <w:color w:val="FFFFFF" w:themeColor="background1"/>
                <w:sz w:val="20"/>
                <w:szCs w:val="20"/>
                <w:lang w:val="en-US"/>
              </w:rPr>
            </w:pPr>
            <w:r w:rsidRPr="001F7871">
              <w:rPr>
                <w:rFonts w:ascii="Cambria" w:hAnsi="Cambria"/>
                <w:b/>
                <w:color w:val="FFFFFF" w:themeColor="background1"/>
                <w:sz w:val="20"/>
                <w:szCs w:val="20"/>
                <w:lang w:val="en-US"/>
              </w:rPr>
              <w:t>First response by the State</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214DBEDD" w14:textId="20C4500A" w:rsidR="000961D2" w:rsidRPr="001F7871" w:rsidRDefault="00D226D5">
            <w:pPr>
              <w:jc w:val="both"/>
              <w:rPr>
                <w:rFonts w:ascii="Cambria" w:hAnsi="Cambria"/>
                <w:bCs/>
                <w:sz w:val="20"/>
                <w:szCs w:val="20"/>
                <w:lang w:val="en-US"/>
              </w:rPr>
            </w:pPr>
            <w:r w:rsidRPr="001F7871">
              <w:rPr>
                <w:rFonts w:ascii="Cambria" w:hAnsi="Cambria"/>
                <w:bCs/>
                <w:sz w:val="20"/>
                <w:szCs w:val="20"/>
                <w:lang w:val="en-US"/>
              </w:rPr>
              <w:t xml:space="preserve">April 28, </w:t>
            </w:r>
            <w:r w:rsidR="000961D2" w:rsidRPr="001F7871">
              <w:rPr>
                <w:rFonts w:ascii="Cambria" w:hAnsi="Cambria"/>
                <w:bCs/>
                <w:sz w:val="20"/>
                <w:szCs w:val="20"/>
                <w:lang w:val="en-US"/>
              </w:rPr>
              <w:t>2016</w:t>
            </w:r>
          </w:p>
        </w:tc>
      </w:tr>
      <w:tr w:rsidR="000961D2" w:rsidRPr="001F7871" w14:paraId="4D276866"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5EB7C97" w14:textId="3FEE4780" w:rsidR="000961D2" w:rsidRPr="001F7871" w:rsidRDefault="00D226D5">
            <w:pPr>
              <w:jc w:val="center"/>
              <w:rPr>
                <w:rFonts w:ascii="Cambria" w:hAnsi="Cambria"/>
                <w:b/>
                <w:color w:val="FFFFFF" w:themeColor="background1"/>
                <w:sz w:val="20"/>
                <w:szCs w:val="20"/>
                <w:lang w:val="en-US"/>
              </w:rPr>
            </w:pPr>
            <w:r w:rsidRPr="001F7871">
              <w:rPr>
                <w:rFonts w:ascii="Cambria" w:hAnsi="Cambria"/>
                <w:b/>
                <w:color w:val="FFFFFF" w:themeColor="background1"/>
                <w:sz w:val="20"/>
                <w:szCs w:val="20"/>
                <w:lang w:val="en-US"/>
              </w:rPr>
              <w:t>Additional observations made by the petitioner</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06177670" w14:textId="4EC69928" w:rsidR="000961D2" w:rsidRPr="001F7871" w:rsidRDefault="00D226D5">
            <w:pPr>
              <w:jc w:val="both"/>
              <w:rPr>
                <w:rFonts w:ascii="Cambria" w:hAnsi="Cambria"/>
                <w:bCs/>
                <w:sz w:val="20"/>
                <w:szCs w:val="20"/>
                <w:lang w:val="en-US"/>
              </w:rPr>
            </w:pPr>
            <w:r w:rsidRPr="001F7871">
              <w:rPr>
                <w:rFonts w:ascii="Cambria" w:hAnsi="Cambria"/>
                <w:bCs/>
                <w:color w:val="000000" w:themeColor="text1"/>
                <w:sz w:val="20"/>
                <w:szCs w:val="20"/>
                <w:lang w:val="en-US"/>
              </w:rPr>
              <w:t xml:space="preserve">January 17, </w:t>
            </w:r>
            <w:r w:rsidR="000961D2" w:rsidRPr="001F7871">
              <w:rPr>
                <w:rFonts w:ascii="Cambria" w:hAnsi="Cambria"/>
                <w:bCs/>
                <w:color w:val="000000" w:themeColor="text1"/>
                <w:sz w:val="20"/>
                <w:szCs w:val="20"/>
                <w:lang w:val="en-US"/>
              </w:rPr>
              <w:t xml:space="preserve">2019, </w:t>
            </w:r>
            <w:r w:rsidRPr="001F7871">
              <w:rPr>
                <w:rFonts w:ascii="Cambria" w:hAnsi="Cambria"/>
                <w:bCs/>
                <w:color w:val="000000" w:themeColor="text1"/>
                <w:sz w:val="20"/>
                <w:szCs w:val="20"/>
                <w:lang w:val="en-US"/>
              </w:rPr>
              <w:t xml:space="preserve">February 5, </w:t>
            </w:r>
            <w:r w:rsidR="000961D2" w:rsidRPr="001F7871">
              <w:rPr>
                <w:rFonts w:ascii="Cambria" w:hAnsi="Cambria"/>
                <w:bCs/>
                <w:color w:val="000000" w:themeColor="text1"/>
                <w:sz w:val="20"/>
                <w:szCs w:val="20"/>
                <w:lang w:val="en-US"/>
              </w:rPr>
              <w:t>2019</w:t>
            </w:r>
            <w:r w:rsidRPr="001F7871">
              <w:rPr>
                <w:rFonts w:ascii="Cambria" w:hAnsi="Cambria"/>
                <w:bCs/>
                <w:color w:val="000000" w:themeColor="text1"/>
                <w:sz w:val="20"/>
                <w:szCs w:val="20"/>
                <w:lang w:val="en-US"/>
              </w:rPr>
              <w:t xml:space="preserve">, and September 2, </w:t>
            </w:r>
            <w:r w:rsidR="000961D2" w:rsidRPr="001F7871">
              <w:rPr>
                <w:rFonts w:ascii="Cambria" w:hAnsi="Cambria"/>
                <w:bCs/>
                <w:color w:val="000000" w:themeColor="text1"/>
                <w:sz w:val="20"/>
                <w:szCs w:val="20"/>
                <w:lang w:val="en-US"/>
              </w:rPr>
              <w:t>2019</w:t>
            </w:r>
          </w:p>
        </w:tc>
      </w:tr>
      <w:tr w:rsidR="000961D2" w:rsidRPr="001F7871" w14:paraId="51A45505"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BDCF65B" w14:textId="6FB9C387" w:rsidR="000961D2" w:rsidRPr="001F7871" w:rsidRDefault="00D226D5">
            <w:pPr>
              <w:jc w:val="center"/>
              <w:rPr>
                <w:rFonts w:ascii="Cambria" w:hAnsi="Cambria"/>
                <w:b/>
                <w:color w:val="FFFFFF" w:themeColor="background1"/>
                <w:sz w:val="20"/>
                <w:szCs w:val="20"/>
                <w:lang w:val="en-US"/>
              </w:rPr>
            </w:pPr>
            <w:r w:rsidRPr="001F7871">
              <w:rPr>
                <w:rFonts w:ascii="Cambria" w:hAnsi="Cambria"/>
                <w:b/>
                <w:color w:val="FFFFFF" w:themeColor="background1"/>
                <w:sz w:val="20"/>
                <w:szCs w:val="20"/>
                <w:lang w:val="en-US"/>
              </w:rPr>
              <w:t>Additional observations made by the State</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4" w:space="0" w:color="auto"/>
              <w:right w:val="single" w:sz="4" w:space="0" w:color="auto"/>
            </w:tcBorders>
            <w:vAlign w:val="center"/>
            <w:hideMark/>
          </w:tcPr>
          <w:p w14:paraId="66E3F113" w14:textId="1BB10B1D" w:rsidR="000961D2" w:rsidRPr="001F7871" w:rsidRDefault="00D226D5">
            <w:pPr>
              <w:jc w:val="both"/>
              <w:rPr>
                <w:rFonts w:ascii="Cambria" w:hAnsi="Cambria"/>
                <w:bCs/>
                <w:color w:val="000000" w:themeColor="text1"/>
                <w:sz w:val="20"/>
                <w:szCs w:val="20"/>
                <w:lang w:val="en-US"/>
              </w:rPr>
            </w:pPr>
            <w:r w:rsidRPr="001F7871">
              <w:rPr>
                <w:rFonts w:ascii="Cambria" w:hAnsi="Cambria"/>
                <w:bCs/>
                <w:color w:val="000000" w:themeColor="text1"/>
                <w:sz w:val="20"/>
                <w:szCs w:val="20"/>
                <w:lang w:val="en-US"/>
              </w:rPr>
              <w:t xml:space="preserve">November 6, </w:t>
            </w:r>
            <w:r w:rsidR="000961D2" w:rsidRPr="001F7871">
              <w:rPr>
                <w:rFonts w:ascii="Cambria" w:hAnsi="Cambria"/>
                <w:bCs/>
                <w:color w:val="000000" w:themeColor="text1"/>
                <w:sz w:val="20"/>
                <w:szCs w:val="20"/>
                <w:lang w:val="en-US"/>
              </w:rPr>
              <w:t>2020</w:t>
            </w:r>
          </w:p>
        </w:tc>
      </w:tr>
    </w:tbl>
    <w:p w14:paraId="285E88F8" w14:textId="4689CAD6"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 xml:space="preserve">III. </w:t>
      </w:r>
      <w:r w:rsidRPr="001F7871">
        <w:rPr>
          <w:rFonts w:asciiTheme="majorHAnsi" w:hAnsiTheme="majorHAnsi"/>
          <w:b/>
          <w:bCs/>
          <w:sz w:val="20"/>
          <w:szCs w:val="20"/>
        </w:rPr>
        <w:tab/>
        <w:t>COMPET</w:t>
      </w:r>
      <w:r w:rsidR="00D226D5" w:rsidRPr="001F7871">
        <w:rPr>
          <w:rFonts w:asciiTheme="majorHAnsi" w:hAnsiTheme="majorHAnsi"/>
          <w:b/>
          <w:bCs/>
          <w:sz w:val="20"/>
          <w:szCs w:val="20"/>
        </w:rPr>
        <w:t>ENCE</w:t>
      </w:r>
      <w:r w:rsidRPr="001F7871">
        <w:rPr>
          <w:rFonts w:asciiTheme="majorHAnsi" w:hAnsiTheme="majorHAnsi"/>
          <w:b/>
          <w:bCs/>
          <w:sz w:val="20"/>
          <w:szCs w:val="20"/>
        </w:rPr>
        <w:t xml:space="preserve"> </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321"/>
        <w:gridCol w:w="5780"/>
      </w:tblGrid>
      <w:tr w:rsidR="00D226D5" w:rsidRPr="001F7871" w14:paraId="5E40B79C"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4DB95800" w14:textId="3DB1FC2F" w:rsidR="000961D2" w:rsidRPr="001F7871" w:rsidRDefault="000961D2">
            <w:pPr>
              <w:jc w:val="center"/>
              <w:rPr>
                <w:rFonts w:ascii="Cambria" w:hAnsi="Cambria"/>
                <w:b/>
                <w:bCs/>
                <w:i/>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personae:</w:t>
            </w:r>
          </w:p>
        </w:tc>
        <w:tc>
          <w:tcPr>
            <w:tcW w:w="5780" w:type="dxa"/>
            <w:tcBorders>
              <w:top w:val="single" w:sz="4" w:space="0" w:color="auto"/>
              <w:left w:val="single" w:sz="6" w:space="0" w:color="auto"/>
              <w:bottom w:val="single" w:sz="6" w:space="0" w:color="auto"/>
              <w:right w:val="single" w:sz="4" w:space="0" w:color="auto"/>
            </w:tcBorders>
            <w:vAlign w:val="center"/>
            <w:hideMark/>
          </w:tcPr>
          <w:p w14:paraId="5A71E3E5" w14:textId="5285E38A"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4E78E03A"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3D0B954" w14:textId="3EB3E0F2"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loci</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2962CDAB" w14:textId="54375536"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6C95D7B6"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E3EF960" w14:textId="4DF156C3"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temporis</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20F1855C" w14:textId="1CB1B3BE"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2A97DB87"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B815149" w14:textId="4AE0EAB2"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materiae</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4" w:space="0" w:color="auto"/>
              <w:right w:val="single" w:sz="4" w:space="0" w:color="auto"/>
            </w:tcBorders>
            <w:vAlign w:val="center"/>
            <w:hideMark/>
          </w:tcPr>
          <w:p w14:paraId="3B183436" w14:textId="6FD90A67" w:rsidR="000961D2" w:rsidRPr="001F7871" w:rsidRDefault="001F7871">
            <w:pPr>
              <w:jc w:val="both"/>
              <w:rPr>
                <w:rFonts w:ascii="Cambria" w:hAnsi="Cambria"/>
                <w:bCs/>
                <w:sz w:val="20"/>
                <w:szCs w:val="20"/>
                <w:lang w:val="en-US"/>
              </w:rPr>
            </w:pPr>
            <w:r>
              <w:rPr>
                <w:rFonts w:ascii="Cambria" w:hAnsi="Cambria"/>
                <w:bCs/>
                <w:sz w:val="20"/>
                <w:szCs w:val="20"/>
                <w:lang w:val="en-US" w:bidi="es-ES"/>
              </w:rPr>
              <w:t>Yes</w:t>
            </w:r>
            <w:r w:rsidR="000961D2" w:rsidRPr="001F7871">
              <w:rPr>
                <w:rFonts w:ascii="Cambria" w:hAnsi="Cambria"/>
                <w:bCs/>
                <w:sz w:val="20"/>
                <w:szCs w:val="20"/>
                <w:lang w:val="en-US" w:bidi="es-ES"/>
              </w:rPr>
              <w:t xml:space="preserve">, </w:t>
            </w:r>
            <w:r w:rsidR="00D226D5" w:rsidRPr="001F7871">
              <w:rPr>
                <w:rFonts w:ascii="Cambria" w:hAnsi="Cambria"/>
                <w:bCs/>
                <w:sz w:val="20"/>
                <w:szCs w:val="20"/>
                <w:lang w:val="en-US" w:bidi="es-ES"/>
              </w:rPr>
              <w:t xml:space="preserve">American Convention (instrument deposited on September 25, </w:t>
            </w:r>
            <w:r w:rsidR="000961D2" w:rsidRPr="001F7871">
              <w:rPr>
                <w:rFonts w:ascii="Cambria" w:hAnsi="Cambria"/>
                <w:bCs/>
                <w:sz w:val="20"/>
                <w:szCs w:val="20"/>
                <w:lang w:val="en-US" w:bidi="es-ES"/>
              </w:rPr>
              <w:t>1992)</w:t>
            </w:r>
          </w:p>
        </w:tc>
      </w:tr>
    </w:tbl>
    <w:p w14:paraId="1ECD90B4" w14:textId="3D897D10"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 xml:space="preserve">IV. </w:t>
      </w:r>
      <w:r w:rsidRPr="001F7871">
        <w:rPr>
          <w:rFonts w:asciiTheme="majorHAnsi" w:hAnsiTheme="majorHAnsi"/>
          <w:b/>
          <w:bCs/>
          <w:sz w:val="20"/>
          <w:szCs w:val="20"/>
        </w:rPr>
        <w:tab/>
        <w:t>DUPLIC</w:t>
      </w:r>
      <w:r w:rsidR="00D226D5" w:rsidRPr="001F7871">
        <w:rPr>
          <w:rFonts w:asciiTheme="majorHAnsi" w:hAnsiTheme="majorHAnsi"/>
          <w:b/>
          <w:bCs/>
          <w:sz w:val="20"/>
          <w:szCs w:val="20"/>
        </w:rPr>
        <w:t xml:space="preserve">ATION OF PROCEEDINGS AND INTERNATIONAL RES JUDICATA, </w:t>
      </w:r>
      <w:r w:rsidRPr="001F7871">
        <w:rPr>
          <w:rFonts w:asciiTheme="majorHAnsi" w:hAnsiTheme="majorHAnsi"/>
          <w:b/>
          <w:bCs/>
          <w:sz w:val="20"/>
          <w:szCs w:val="20"/>
        </w:rPr>
        <w:t>C</w:t>
      </w:r>
      <w:r w:rsidR="00D226D5" w:rsidRPr="001F7871">
        <w:rPr>
          <w:rFonts w:asciiTheme="majorHAnsi" w:hAnsiTheme="majorHAnsi"/>
          <w:b/>
          <w:bCs/>
          <w:sz w:val="20"/>
          <w:szCs w:val="20"/>
        </w:rPr>
        <w:t>OLORABLE CLAIM, EXHAUSTION OF DOMESTIC REMEDIES, AND TIMELY SUBMISSION</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321"/>
        <w:gridCol w:w="5780"/>
      </w:tblGrid>
      <w:tr w:rsidR="00DB1EBA" w:rsidRPr="001F7871" w14:paraId="772FCB1A"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4F3507E1" w14:textId="16FB9B6A"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Duplic</w:t>
            </w:r>
            <w:r w:rsidR="00D226D5" w:rsidRPr="001F7871">
              <w:rPr>
                <w:rFonts w:ascii="Cambria" w:hAnsi="Cambria"/>
                <w:b/>
                <w:bCs/>
                <w:color w:val="FFFFFF" w:themeColor="background1"/>
                <w:sz w:val="20"/>
                <w:szCs w:val="20"/>
                <w:lang w:val="en-US"/>
              </w:rPr>
              <w:t>ation of proceedings and international res judicata</w:t>
            </w:r>
            <w:r w:rsidRPr="001F7871">
              <w:rPr>
                <w:rFonts w:ascii="Cambria" w:hAnsi="Cambria"/>
                <w:b/>
                <w:bCs/>
                <w:color w:val="FFFFFF" w:themeColor="background1"/>
                <w:sz w:val="20"/>
                <w:szCs w:val="20"/>
                <w:lang w:val="en-US"/>
              </w:rPr>
              <w:t>:</w:t>
            </w:r>
          </w:p>
        </w:tc>
        <w:tc>
          <w:tcPr>
            <w:tcW w:w="5780" w:type="dxa"/>
            <w:tcBorders>
              <w:top w:val="single" w:sz="4" w:space="0" w:color="auto"/>
              <w:left w:val="single" w:sz="6" w:space="0" w:color="auto"/>
              <w:bottom w:val="single" w:sz="6" w:space="0" w:color="auto"/>
              <w:right w:val="single" w:sz="4" w:space="0" w:color="auto"/>
            </w:tcBorders>
            <w:vAlign w:val="center"/>
            <w:hideMark/>
          </w:tcPr>
          <w:p w14:paraId="407C2F4F" w14:textId="4D85E3EF"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No</w:t>
            </w:r>
          </w:p>
        </w:tc>
      </w:tr>
      <w:tr w:rsidR="00DB1EBA" w:rsidRPr="001F7871" w14:paraId="6ABC61B8"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F8FA9BD" w14:textId="2D0A1706" w:rsidR="000961D2" w:rsidRPr="001F7871" w:rsidRDefault="00D226D5">
            <w:pPr>
              <w:jc w:val="center"/>
              <w:rPr>
                <w:rFonts w:ascii="Cambria" w:hAnsi="Cambria"/>
                <w:b/>
                <w:bCs/>
                <w:i/>
                <w:color w:val="FFFFFF" w:themeColor="background1"/>
                <w:sz w:val="20"/>
                <w:szCs w:val="20"/>
                <w:lang w:val="en-US"/>
              </w:rPr>
            </w:pPr>
            <w:r w:rsidRPr="001F7871">
              <w:rPr>
                <w:rFonts w:ascii="Cambria" w:hAnsi="Cambria"/>
                <w:b/>
                <w:bCs/>
                <w:color w:val="FFFFFF" w:themeColor="background1"/>
                <w:sz w:val="20"/>
                <w:szCs w:val="20"/>
                <w:lang w:val="en-US"/>
              </w:rPr>
              <w:t>Rights declared admissible</w:t>
            </w:r>
            <w:r w:rsidR="000961D2" w:rsidRPr="001F7871">
              <w:rPr>
                <w:rFonts w:ascii="Cambria" w:hAnsi="Cambria"/>
                <w:b/>
                <w:bCs/>
                <w:i/>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456FBD42" w14:textId="191617EB" w:rsidR="000961D2" w:rsidRPr="001F7871" w:rsidRDefault="000961D2">
            <w:pPr>
              <w:jc w:val="both"/>
              <w:rPr>
                <w:rFonts w:ascii="Cambria" w:hAnsi="Cambria"/>
                <w:bCs/>
                <w:sz w:val="20"/>
                <w:szCs w:val="20"/>
                <w:lang w:val="en-US" w:bidi="es-ES"/>
              </w:rPr>
            </w:pPr>
            <w:r w:rsidRPr="00D3432F">
              <w:rPr>
                <w:rFonts w:ascii="Cambria" w:hAnsi="Cambria"/>
                <w:bCs/>
                <w:sz w:val="20"/>
                <w:szCs w:val="20"/>
                <w:lang w:val="en-US" w:bidi="es-ES"/>
              </w:rPr>
              <w:t>Arti</w:t>
            </w:r>
            <w:r w:rsidR="00D226D5" w:rsidRPr="00D3432F">
              <w:rPr>
                <w:rFonts w:ascii="Cambria" w:hAnsi="Cambria"/>
                <w:bCs/>
                <w:sz w:val="20"/>
                <w:szCs w:val="20"/>
                <w:lang w:val="en-US" w:bidi="es-ES"/>
              </w:rPr>
              <w:t>cles</w:t>
            </w:r>
            <w:r w:rsidR="006E3396" w:rsidRPr="00D3432F">
              <w:rPr>
                <w:rFonts w:ascii="Cambria" w:hAnsi="Cambria"/>
                <w:bCs/>
                <w:sz w:val="20"/>
                <w:szCs w:val="20"/>
                <w:lang w:val="en-US" w:bidi="es-ES"/>
              </w:rPr>
              <w:t xml:space="preserve"> 4 (life),</w:t>
            </w:r>
            <w:r w:rsidRPr="00D3432F">
              <w:rPr>
                <w:rFonts w:ascii="Cambria" w:hAnsi="Cambria"/>
                <w:bCs/>
                <w:sz w:val="20"/>
                <w:szCs w:val="20"/>
                <w:lang w:val="en-US" w:bidi="es-ES"/>
              </w:rPr>
              <w:t xml:space="preserve"> 5 (</w:t>
            </w:r>
            <w:r w:rsidR="00D226D5" w:rsidRPr="001F7871">
              <w:rPr>
                <w:rFonts w:ascii="Cambria" w:hAnsi="Cambria"/>
                <w:bCs/>
                <w:sz w:val="20"/>
                <w:szCs w:val="20"/>
                <w:lang w:val="en-US" w:bidi="es-ES"/>
              </w:rPr>
              <w:t>humane treatment</w:t>
            </w:r>
            <w:r w:rsidRPr="001F7871">
              <w:rPr>
                <w:rFonts w:ascii="Cambria" w:hAnsi="Cambria"/>
                <w:bCs/>
                <w:sz w:val="20"/>
                <w:szCs w:val="20"/>
                <w:lang w:val="en-US" w:bidi="es-ES"/>
              </w:rPr>
              <w:t>), 8 (</w:t>
            </w:r>
            <w:r w:rsidR="00D226D5" w:rsidRPr="001F7871">
              <w:rPr>
                <w:rFonts w:ascii="Cambria" w:hAnsi="Cambria"/>
                <w:bCs/>
                <w:sz w:val="20"/>
                <w:szCs w:val="20"/>
                <w:lang w:val="en-US" w:bidi="es-ES"/>
              </w:rPr>
              <w:t>fair trial</w:t>
            </w:r>
            <w:r w:rsidRPr="001F7871">
              <w:rPr>
                <w:rFonts w:ascii="Cambria" w:hAnsi="Cambria"/>
                <w:bCs/>
                <w:sz w:val="20"/>
                <w:szCs w:val="20"/>
                <w:lang w:val="en-US" w:bidi="es-ES"/>
              </w:rPr>
              <w:t>), 21 (prop</w:t>
            </w:r>
            <w:r w:rsidR="00D226D5" w:rsidRPr="001F7871">
              <w:rPr>
                <w:rFonts w:ascii="Cambria" w:hAnsi="Cambria"/>
                <w:bCs/>
                <w:sz w:val="20"/>
                <w:szCs w:val="20"/>
                <w:lang w:val="en-US" w:bidi="es-ES"/>
              </w:rPr>
              <w:t>erty</w:t>
            </w:r>
            <w:r w:rsidRPr="001F7871">
              <w:rPr>
                <w:rFonts w:ascii="Cambria" w:hAnsi="Cambria"/>
                <w:bCs/>
                <w:sz w:val="20"/>
                <w:szCs w:val="20"/>
                <w:lang w:val="en-US" w:bidi="es-ES"/>
              </w:rPr>
              <w:t>), 24 (</w:t>
            </w:r>
            <w:r w:rsidR="00D226D5" w:rsidRPr="001F7871">
              <w:rPr>
                <w:rFonts w:ascii="Cambria" w:hAnsi="Cambria"/>
                <w:bCs/>
                <w:sz w:val="20"/>
                <w:szCs w:val="20"/>
                <w:lang w:val="en-US" w:bidi="es-ES"/>
              </w:rPr>
              <w:t>equal protection</w:t>
            </w:r>
            <w:r w:rsidRPr="001F7871">
              <w:rPr>
                <w:rFonts w:ascii="Cambria" w:hAnsi="Cambria"/>
                <w:bCs/>
                <w:sz w:val="20"/>
                <w:szCs w:val="20"/>
                <w:lang w:val="en-US" w:bidi="es-ES"/>
              </w:rPr>
              <w:t>), 25 (</w:t>
            </w:r>
            <w:r w:rsidR="00D226D5" w:rsidRPr="001F7871">
              <w:rPr>
                <w:rFonts w:ascii="Cambria" w:hAnsi="Cambria"/>
                <w:bCs/>
                <w:sz w:val="20"/>
                <w:szCs w:val="20"/>
                <w:lang w:val="en-US" w:bidi="es-ES"/>
              </w:rPr>
              <w:t>judicial protection</w:t>
            </w:r>
            <w:r w:rsidRPr="001F7871">
              <w:rPr>
                <w:rFonts w:ascii="Cambria" w:hAnsi="Cambria"/>
                <w:bCs/>
                <w:sz w:val="20"/>
                <w:szCs w:val="20"/>
                <w:lang w:val="en-US" w:bidi="es-ES"/>
              </w:rPr>
              <w:t>)</w:t>
            </w:r>
            <w:r w:rsidR="00D226D5" w:rsidRPr="001F7871">
              <w:rPr>
                <w:rFonts w:ascii="Cambria" w:hAnsi="Cambria"/>
                <w:bCs/>
                <w:sz w:val="20"/>
                <w:szCs w:val="20"/>
                <w:lang w:val="en-US" w:bidi="es-ES"/>
              </w:rPr>
              <w:t xml:space="preserve">, and </w:t>
            </w:r>
            <w:r w:rsidRPr="001F7871">
              <w:rPr>
                <w:rFonts w:ascii="Cambria" w:hAnsi="Cambria"/>
                <w:bCs/>
                <w:sz w:val="20"/>
                <w:szCs w:val="20"/>
                <w:lang w:val="en-US" w:bidi="es-ES"/>
              </w:rPr>
              <w:t>26 (</w:t>
            </w:r>
            <w:r w:rsidR="00D226D5" w:rsidRPr="001F7871">
              <w:rPr>
                <w:rFonts w:ascii="Cambria" w:hAnsi="Cambria"/>
                <w:bCs/>
                <w:sz w:val="20"/>
                <w:szCs w:val="20"/>
                <w:lang w:val="en-US" w:bidi="es-ES"/>
              </w:rPr>
              <w:t>progressive development of economic, social, cultural</w:t>
            </w:r>
            <w:r w:rsidR="001F7871">
              <w:rPr>
                <w:rFonts w:ascii="Cambria" w:hAnsi="Cambria"/>
                <w:bCs/>
                <w:sz w:val="20"/>
                <w:szCs w:val="20"/>
                <w:lang w:val="en-US" w:bidi="es-ES"/>
              </w:rPr>
              <w:t>, and environmental</w:t>
            </w:r>
            <w:r w:rsidR="00D226D5" w:rsidRPr="001F7871">
              <w:rPr>
                <w:rFonts w:ascii="Cambria" w:hAnsi="Cambria"/>
                <w:bCs/>
                <w:sz w:val="20"/>
                <w:szCs w:val="20"/>
                <w:lang w:val="en-US" w:bidi="es-ES"/>
              </w:rPr>
              <w:t xml:space="preserve"> rights) of the American Convention</w:t>
            </w:r>
          </w:p>
        </w:tc>
      </w:tr>
      <w:tr w:rsidR="00DB1EBA" w:rsidRPr="001F7871" w14:paraId="462C37E5"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7FDBA64" w14:textId="72C50D10"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E</w:t>
            </w:r>
            <w:r w:rsidR="00D226D5" w:rsidRPr="001F7871">
              <w:rPr>
                <w:rFonts w:ascii="Cambria" w:hAnsi="Cambria"/>
                <w:b/>
                <w:bCs/>
                <w:color w:val="FFFFFF" w:themeColor="background1"/>
                <w:sz w:val="20"/>
                <w:szCs w:val="20"/>
                <w:lang w:val="en-US"/>
              </w:rPr>
              <w:t xml:space="preserve">xhaustion of domestic remedies or </w:t>
            </w:r>
            <w:r w:rsidR="00DB1EBA" w:rsidRPr="001F7871">
              <w:rPr>
                <w:rFonts w:ascii="Cambria" w:hAnsi="Cambria"/>
                <w:b/>
                <w:bCs/>
                <w:color w:val="FFFFFF" w:themeColor="background1"/>
                <w:sz w:val="20"/>
                <w:szCs w:val="20"/>
                <w:lang w:val="en-US"/>
              </w:rPr>
              <w:t>granting</w:t>
            </w:r>
            <w:r w:rsidR="00D226D5" w:rsidRPr="001F7871">
              <w:rPr>
                <w:rFonts w:ascii="Cambria" w:hAnsi="Cambria"/>
                <w:b/>
                <w:bCs/>
                <w:color w:val="FFFFFF" w:themeColor="background1"/>
                <w:sz w:val="20"/>
                <w:szCs w:val="20"/>
                <w:lang w:val="en-US"/>
              </w:rPr>
              <w:t xml:space="preserve"> of an exception</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3BE47368" w14:textId="224D8B65" w:rsidR="000961D2" w:rsidRPr="001F7871" w:rsidRDefault="00DB1EBA">
            <w:pPr>
              <w:rPr>
                <w:rFonts w:ascii="Cambria" w:hAnsi="Cambria"/>
                <w:bCs/>
                <w:sz w:val="20"/>
                <w:szCs w:val="20"/>
                <w:lang w:val="en-US"/>
              </w:rPr>
            </w:pPr>
            <w:r w:rsidRPr="001F7871">
              <w:rPr>
                <w:rFonts w:ascii="Cambria" w:hAnsi="Cambria"/>
                <w:bCs/>
                <w:sz w:val="20"/>
                <w:szCs w:val="20"/>
                <w:lang w:val="en-US" w:bidi="es-ES"/>
              </w:rPr>
              <w:t>Yes, under the terms of Section</w:t>
            </w:r>
            <w:r w:rsidR="000961D2" w:rsidRPr="001F7871">
              <w:rPr>
                <w:rFonts w:ascii="Cambria" w:hAnsi="Cambria"/>
                <w:bCs/>
                <w:sz w:val="20"/>
                <w:szCs w:val="20"/>
                <w:lang w:val="en-US" w:bidi="es-ES"/>
              </w:rPr>
              <w:t xml:space="preserve"> VI </w:t>
            </w:r>
          </w:p>
        </w:tc>
      </w:tr>
      <w:tr w:rsidR="00DB1EBA" w:rsidRPr="001F7871" w14:paraId="70D4D826"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969213D" w14:textId="102C60F7" w:rsidR="000961D2" w:rsidRPr="001F7871" w:rsidRDefault="00DB1EBA">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Timely submission</w:t>
            </w:r>
            <w:r w:rsidR="000961D2"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4" w:space="0" w:color="auto"/>
              <w:right w:val="single" w:sz="4" w:space="0" w:color="auto"/>
            </w:tcBorders>
            <w:vAlign w:val="center"/>
            <w:hideMark/>
          </w:tcPr>
          <w:p w14:paraId="412CDADB" w14:textId="7080651A" w:rsidR="000961D2" w:rsidRPr="001F7871" w:rsidRDefault="00DB1EBA">
            <w:pPr>
              <w:rPr>
                <w:rFonts w:ascii="Cambria" w:hAnsi="Cambria"/>
                <w:bCs/>
                <w:sz w:val="20"/>
                <w:szCs w:val="20"/>
                <w:lang w:val="en-US"/>
              </w:rPr>
            </w:pPr>
            <w:r w:rsidRPr="001F7871">
              <w:rPr>
                <w:rFonts w:ascii="Cambria" w:hAnsi="Cambria"/>
                <w:bCs/>
                <w:sz w:val="20"/>
                <w:szCs w:val="20"/>
                <w:lang w:val="en-US" w:bidi="es-ES"/>
              </w:rPr>
              <w:t>Yes, under the terms of Section</w:t>
            </w:r>
            <w:r w:rsidR="000961D2" w:rsidRPr="001F7871">
              <w:rPr>
                <w:rFonts w:ascii="Cambria" w:hAnsi="Cambria"/>
                <w:bCs/>
                <w:sz w:val="20"/>
                <w:szCs w:val="20"/>
                <w:lang w:val="en-US" w:bidi="es-ES"/>
              </w:rPr>
              <w:t xml:space="preserve"> VI</w:t>
            </w:r>
          </w:p>
        </w:tc>
      </w:tr>
    </w:tbl>
    <w:p w14:paraId="30752CC8" w14:textId="7271E5E4" w:rsidR="000961D2" w:rsidRPr="00D3432F" w:rsidRDefault="00886C3D" w:rsidP="00886C3D">
      <w:pPr>
        <w:ind w:firstLine="720"/>
        <w:rPr>
          <w:rFonts w:asciiTheme="majorHAnsi" w:hAnsiTheme="majorHAnsi"/>
          <w:b/>
          <w:sz w:val="20"/>
          <w:szCs w:val="20"/>
        </w:rPr>
      </w:pPr>
      <w:r>
        <w:rPr>
          <w:rFonts w:asciiTheme="majorHAnsi" w:hAnsiTheme="majorHAnsi"/>
          <w:b/>
          <w:sz w:val="20"/>
          <w:szCs w:val="20"/>
        </w:rPr>
        <w:br w:type="page"/>
      </w:r>
      <w:r w:rsidR="000961D2" w:rsidRPr="001F7871">
        <w:rPr>
          <w:rFonts w:asciiTheme="majorHAnsi" w:hAnsiTheme="majorHAnsi"/>
          <w:b/>
          <w:sz w:val="20"/>
          <w:szCs w:val="20"/>
        </w:rPr>
        <w:lastRenderedPageBreak/>
        <w:t xml:space="preserve">V. </w:t>
      </w:r>
      <w:r w:rsidR="000961D2" w:rsidRPr="001F7871">
        <w:rPr>
          <w:rFonts w:asciiTheme="majorHAnsi" w:hAnsiTheme="majorHAnsi"/>
          <w:b/>
          <w:sz w:val="20"/>
          <w:szCs w:val="20"/>
        </w:rPr>
        <w:tab/>
      </w:r>
      <w:r w:rsidR="000961D2" w:rsidRPr="00D3432F">
        <w:rPr>
          <w:rFonts w:asciiTheme="majorHAnsi" w:hAnsiTheme="majorHAnsi"/>
          <w:b/>
          <w:sz w:val="20"/>
          <w:szCs w:val="20"/>
        </w:rPr>
        <w:t>POSI</w:t>
      </w:r>
      <w:r w:rsidR="00DB1EBA" w:rsidRPr="00D3432F">
        <w:rPr>
          <w:rFonts w:asciiTheme="majorHAnsi" w:hAnsiTheme="majorHAnsi"/>
          <w:b/>
          <w:sz w:val="20"/>
          <w:szCs w:val="20"/>
        </w:rPr>
        <w:t>TIONS OF THE PARTIES</w:t>
      </w:r>
      <w:r w:rsidR="000961D2" w:rsidRPr="00D3432F">
        <w:rPr>
          <w:rFonts w:asciiTheme="majorHAnsi" w:hAnsiTheme="majorHAnsi"/>
          <w:b/>
          <w:sz w:val="20"/>
          <w:szCs w:val="20"/>
        </w:rPr>
        <w:t xml:space="preserve"> </w:t>
      </w:r>
    </w:p>
    <w:p w14:paraId="37E490D1" w14:textId="77777777" w:rsidR="00886C3D" w:rsidRDefault="00886C3D" w:rsidP="00886C3D">
      <w:pPr>
        <w:pStyle w:val="ListParagraph"/>
        <w:autoSpaceDE w:val="0"/>
        <w:autoSpaceDN w:val="0"/>
        <w:jc w:val="both"/>
        <w:rPr>
          <w:i/>
          <w:iCs/>
          <w:sz w:val="20"/>
          <w:szCs w:val="20"/>
        </w:rPr>
      </w:pPr>
    </w:p>
    <w:p w14:paraId="1A43BB9E" w14:textId="1A011DE5" w:rsidR="000961D2" w:rsidRDefault="00DB1EBA" w:rsidP="00886C3D">
      <w:pPr>
        <w:pStyle w:val="ListParagraph"/>
        <w:autoSpaceDE w:val="0"/>
        <w:autoSpaceDN w:val="0"/>
        <w:jc w:val="both"/>
        <w:rPr>
          <w:i/>
          <w:iCs/>
          <w:sz w:val="20"/>
          <w:szCs w:val="20"/>
        </w:rPr>
      </w:pPr>
      <w:r w:rsidRPr="00D3432F">
        <w:rPr>
          <w:i/>
          <w:iCs/>
          <w:sz w:val="20"/>
          <w:szCs w:val="20"/>
        </w:rPr>
        <w:t>The petitioner</w:t>
      </w:r>
    </w:p>
    <w:p w14:paraId="18D9FBF7" w14:textId="77777777" w:rsidR="00886C3D" w:rsidRPr="00D3432F" w:rsidRDefault="00886C3D" w:rsidP="00886C3D">
      <w:pPr>
        <w:pStyle w:val="ListParagraph"/>
        <w:autoSpaceDE w:val="0"/>
        <w:autoSpaceDN w:val="0"/>
        <w:jc w:val="both"/>
        <w:rPr>
          <w:i/>
          <w:iCs/>
          <w:sz w:val="20"/>
          <w:szCs w:val="20"/>
        </w:rPr>
      </w:pPr>
    </w:p>
    <w:p w14:paraId="33815066" w14:textId="51F15C3A" w:rsidR="000961D2" w:rsidRPr="00D3432F" w:rsidRDefault="00DB1EBA" w:rsidP="00D3432F">
      <w:pPr>
        <w:pStyle w:val="ListParagraph"/>
        <w:numPr>
          <w:ilvl w:val="0"/>
          <w:numId w:val="1"/>
        </w:numPr>
        <w:autoSpaceDE w:val="0"/>
        <w:autoSpaceDN w:val="0"/>
        <w:spacing w:after="240"/>
        <w:ind w:left="0" w:firstLine="720"/>
        <w:jc w:val="both"/>
        <w:rPr>
          <w:sz w:val="20"/>
          <w:szCs w:val="20"/>
        </w:rPr>
      </w:pPr>
      <w:r w:rsidRPr="00D3432F">
        <w:rPr>
          <w:sz w:val="20"/>
          <w:szCs w:val="20"/>
        </w:rPr>
        <w:t xml:space="preserve">The petitioner denounces the partial and inadequate demarcation of the indigenous lands of the </w:t>
      </w:r>
      <w:r w:rsidR="000961D2" w:rsidRPr="00D3432F">
        <w:rPr>
          <w:sz w:val="20"/>
          <w:szCs w:val="20"/>
        </w:rPr>
        <w:t>Awá</w:t>
      </w:r>
      <w:r w:rsidRPr="00D3432F">
        <w:rPr>
          <w:sz w:val="20"/>
          <w:szCs w:val="20"/>
        </w:rPr>
        <w:t xml:space="preserve"> people, as well as the lack of territorial security, which allowed the presence of </w:t>
      </w:r>
      <w:r w:rsidR="001F7871" w:rsidRPr="00D3432F">
        <w:rPr>
          <w:sz w:val="20"/>
          <w:szCs w:val="20"/>
        </w:rPr>
        <w:t>invaders</w:t>
      </w:r>
      <w:r w:rsidRPr="00D3432F">
        <w:rPr>
          <w:sz w:val="20"/>
          <w:szCs w:val="20"/>
        </w:rPr>
        <w:t>, resulting in threats, violent acts, environmental degradation, and serious risks to their way of life</w:t>
      </w:r>
      <w:r w:rsidR="000961D2" w:rsidRPr="00D3432F">
        <w:rPr>
          <w:sz w:val="20"/>
          <w:szCs w:val="20"/>
        </w:rPr>
        <w:t>.</w:t>
      </w:r>
    </w:p>
    <w:p w14:paraId="02F63525" w14:textId="540CF006" w:rsidR="000961D2" w:rsidRPr="00D3432F" w:rsidRDefault="00DB1EBA" w:rsidP="00D3432F">
      <w:pPr>
        <w:pStyle w:val="ListParagraph"/>
        <w:numPr>
          <w:ilvl w:val="0"/>
          <w:numId w:val="1"/>
        </w:numPr>
        <w:autoSpaceDE w:val="0"/>
        <w:autoSpaceDN w:val="0"/>
        <w:spacing w:after="240"/>
        <w:ind w:left="0" w:firstLine="720"/>
        <w:jc w:val="both"/>
        <w:rPr>
          <w:sz w:val="20"/>
          <w:szCs w:val="20"/>
        </w:rPr>
      </w:pPr>
      <w:r w:rsidRPr="00D3432F">
        <w:rPr>
          <w:sz w:val="20"/>
          <w:szCs w:val="20"/>
        </w:rPr>
        <w:t>As context, they report that in</w:t>
      </w:r>
      <w:r w:rsidR="000961D2" w:rsidRPr="00D3432F">
        <w:rPr>
          <w:sz w:val="20"/>
          <w:szCs w:val="20"/>
        </w:rPr>
        <w:t xml:space="preserve"> 1950</w:t>
      </w:r>
      <w:r w:rsidRPr="00D3432F">
        <w:rPr>
          <w:sz w:val="20"/>
          <w:szCs w:val="20"/>
        </w:rPr>
        <w:t xml:space="preserve"> and</w:t>
      </w:r>
      <w:r w:rsidR="000961D2" w:rsidRPr="00D3432F">
        <w:rPr>
          <w:sz w:val="20"/>
          <w:szCs w:val="20"/>
        </w:rPr>
        <w:t xml:space="preserve"> 1985, d</w:t>
      </w:r>
      <w:r w:rsidRPr="00D3432F">
        <w:rPr>
          <w:sz w:val="20"/>
          <w:szCs w:val="20"/>
        </w:rPr>
        <w:t xml:space="preserve">ue to construction of the </w:t>
      </w:r>
      <w:r w:rsidR="000961D2" w:rsidRPr="00D3432F">
        <w:rPr>
          <w:sz w:val="20"/>
          <w:szCs w:val="20"/>
        </w:rPr>
        <w:t xml:space="preserve">BR-222 </w:t>
      </w:r>
      <w:r w:rsidRPr="00D3432F">
        <w:rPr>
          <w:sz w:val="20"/>
          <w:szCs w:val="20"/>
        </w:rPr>
        <w:t>highway and a railway, lumbermen invaded the lands of the</w:t>
      </w:r>
      <w:r w:rsidR="000961D2" w:rsidRPr="00D3432F">
        <w:rPr>
          <w:sz w:val="20"/>
          <w:szCs w:val="20"/>
        </w:rPr>
        <w:t xml:space="preserve"> Awá</w:t>
      </w:r>
      <w:r w:rsidRPr="00D3432F">
        <w:rPr>
          <w:sz w:val="20"/>
          <w:szCs w:val="20"/>
        </w:rPr>
        <w:t xml:space="preserve"> people and enga</w:t>
      </w:r>
      <w:r w:rsidR="001F7871" w:rsidRPr="00D3432F">
        <w:rPr>
          <w:sz w:val="20"/>
          <w:szCs w:val="20"/>
        </w:rPr>
        <w:t>g</w:t>
      </w:r>
      <w:r w:rsidRPr="00D3432F">
        <w:rPr>
          <w:sz w:val="20"/>
          <w:szCs w:val="20"/>
        </w:rPr>
        <w:t>ed in economic activities, provoking conflicts, attacks, murders, and the introduction of contagious diseases. Notable among more recent incidents are invasions by armed timbermen in September</w:t>
      </w:r>
      <w:r w:rsidR="000961D2" w:rsidRPr="00D3432F">
        <w:rPr>
          <w:sz w:val="20"/>
          <w:szCs w:val="20"/>
        </w:rPr>
        <w:t xml:space="preserve"> 2012, </w:t>
      </w:r>
      <w:r w:rsidRPr="00D3432F">
        <w:rPr>
          <w:sz w:val="20"/>
          <w:szCs w:val="20"/>
        </w:rPr>
        <w:t xml:space="preserve">which forced a </w:t>
      </w:r>
      <w:r w:rsidR="00195E4A" w:rsidRPr="00D3432F">
        <w:rPr>
          <w:sz w:val="20"/>
          <w:szCs w:val="20"/>
        </w:rPr>
        <w:t>National Indigenous Foundation (FUNAI) team to withdraw from the region. In February</w:t>
      </w:r>
      <w:r w:rsidR="000961D2" w:rsidRPr="00D3432F">
        <w:rPr>
          <w:sz w:val="20"/>
          <w:szCs w:val="20"/>
        </w:rPr>
        <w:t xml:space="preserve"> 2013, </w:t>
      </w:r>
      <w:r w:rsidR="00195E4A" w:rsidRPr="00D3432F">
        <w:rPr>
          <w:sz w:val="20"/>
          <w:szCs w:val="20"/>
        </w:rPr>
        <w:t xml:space="preserve">the indigenous </w:t>
      </w:r>
      <w:r w:rsidR="000961D2" w:rsidRPr="00D3432F">
        <w:rPr>
          <w:sz w:val="20"/>
          <w:szCs w:val="20"/>
        </w:rPr>
        <w:t xml:space="preserve">Awá </w:t>
      </w:r>
      <w:r w:rsidR="00195E4A" w:rsidRPr="00D3432F">
        <w:rPr>
          <w:sz w:val="20"/>
          <w:szCs w:val="20"/>
        </w:rPr>
        <w:t>informed one of the petitioner organizations that the timbermen were then located a few kilometers from their homes</w:t>
      </w:r>
      <w:r w:rsidR="000961D2" w:rsidRPr="00D3432F">
        <w:rPr>
          <w:sz w:val="20"/>
          <w:szCs w:val="20"/>
        </w:rPr>
        <w:t>.</w:t>
      </w:r>
    </w:p>
    <w:p w14:paraId="3A6188FC" w14:textId="14608771" w:rsidR="000961D2" w:rsidRPr="00D3432F" w:rsidRDefault="00195E4A" w:rsidP="00D3432F">
      <w:pPr>
        <w:pStyle w:val="ListParagraph"/>
        <w:numPr>
          <w:ilvl w:val="0"/>
          <w:numId w:val="1"/>
        </w:numPr>
        <w:autoSpaceDE w:val="0"/>
        <w:autoSpaceDN w:val="0"/>
        <w:spacing w:after="240"/>
        <w:ind w:left="0" w:firstLine="720"/>
        <w:jc w:val="both"/>
        <w:rPr>
          <w:sz w:val="20"/>
          <w:szCs w:val="20"/>
        </w:rPr>
      </w:pPr>
      <w:r w:rsidRPr="00D3432F">
        <w:rPr>
          <w:sz w:val="20"/>
          <w:szCs w:val="20"/>
        </w:rPr>
        <w:t>Moreover, they report that in</w:t>
      </w:r>
      <w:r w:rsidR="000961D2" w:rsidRPr="00D3432F">
        <w:rPr>
          <w:sz w:val="20"/>
          <w:szCs w:val="20"/>
        </w:rPr>
        <w:t xml:space="preserve"> 2004 </w:t>
      </w:r>
      <w:r w:rsidRPr="00D3432F">
        <w:rPr>
          <w:sz w:val="20"/>
          <w:szCs w:val="20"/>
        </w:rPr>
        <w:t xml:space="preserve">the authorities formally recognized one of the territories inhabited by the </w:t>
      </w:r>
      <w:r w:rsidR="000961D2" w:rsidRPr="00D3432F">
        <w:rPr>
          <w:sz w:val="20"/>
          <w:szCs w:val="20"/>
        </w:rPr>
        <w:t>Awá</w:t>
      </w:r>
      <w:r w:rsidRPr="00D3432F">
        <w:rPr>
          <w:sz w:val="20"/>
          <w:szCs w:val="20"/>
        </w:rPr>
        <w:t xml:space="preserve"> people, which initially </w:t>
      </w:r>
      <w:r w:rsidR="00567793" w:rsidRPr="00D3432F">
        <w:rPr>
          <w:sz w:val="20"/>
          <w:szCs w:val="20"/>
        </w:rPr>
        <w:t xml:space="preserve">helped to reduce </w:t>
      </w:r>
      <w:r w:rsidRPr="00D3432F">
        <w:rPr>
          <w:sz w:val="20"/>
          <w:szCs w:val="20"/>
        </w:rPr>
        <w:t xml:space="preserve">deforestation of the area. In </w:t>
      </w:r>
      <w:r w:rsidR="000961D2" w:rsidRPr="00D3432F">
        <w:rPr>
          <w:sz w:val="20"/>
          <w:szCs w:val="20"/>
        </w:rPr>
        <w:t>2009</w:t>
      </w:r>
      <w:r w:rsidRPr="00D3432F">
        <w:rPr>
          <w:sz w:val="20"/>
          <w:szCs w:val="20"/>
        </w:rPr>
        <w:t xml:space="preserve">, that territory suffered one of the country’s greatest losses of forest. For this reason, </w:t>
      </w:r>
      <w:r w:rsidR="00740E1E" w:rsidRPr="00D3432F">
        <w:rPr>
          <w:sz w:val="20"/>
          <w:szCs w:val="20"/>
        </w:rPr>
        <w:t>although the petitioner appreciates this advance in the protection of its rights, it</w:t>
      </w:r>
      <w:r w:rsidR="000961D2" w:rsidRPr="00D3432F">
        <w:rPr>
          <w:sz w:val="20"/>
          <w:szCs w:val="20"/>
        </w:rPr>
        <w:t xml:space="preserve"> </w:t>
      </w:r>
      <w:r w:rsidR="00740E1E" w:rsidRPr="00D3432F">
        <w:rPr>
          <w:sz w:val="20"/>
          <w:szCs w:val="20"/>
        </w:rPr>
        <w:t xml:space="preserve">points out that the subsistence of the </w:t>
      </w:r>
      <w:r w:rsidR="000961D2" w:rsidRPr="00D3432F">
        <w:rPr>
          <w:sz w:val="20"/>
          <w:szCs w:val="20"/>
        </w:rPr>
        <w:t xml:space="preserve">Awá </w:t>
      </w:r>
      <w:r w:rsidR="00740E1E" w:rsidRPr="00D3432F">
        <w:rPr>
          <w:sz w:val="20"/>
          <w:szCs w:val="20"/>
        </w:rPr>
        <w:t>people remains at risk even if the current rate of deforestation continues. It also emphasizes that degradation of the territory is exacerbated by fires, many of which are deliberately set in order to expand pasture area</w:t>
      </w:r>
      <w:r w:rsidR="000961D2" w:rsidRPr="00D3432F">
        <w:rPr>
          <w:sz w:val="20"/>
          <w:szCs w:val="20"/>
        </w:rPr>
        <w:t>.</w:t>
      </w:r>
    </w:p>
    <w:p w14:paraId="4AD0FC66" w14:textId="5EFA0489" w:rsidR="000961D2" w:rsidRPr="00D3432F" w:rsidRDefault="004E4F32" w:rsidP="00D3432F">
      <w:pPr>
        <w:pStyle w:val="ListParagraph"/>
        <w:numPr>
          <w:ilvl w:val="0"/>
          <w:numId w:val="1"/>
        </w:numPr>
        <w:autoSpaceDE w:val="0"/>
        <w:autoSpaceDN w:val="0"/>
        <w:spacing w:after="240"/>
        <w:ind w:left="0" w:firstLine="720"/>
        <w:jc w:val="both"/>
        <w:rPr>
          <w:sz w:val="20"/>
          <w:szCs w:val="20"/>
        </w:rPr>
      </w:pPr>
      <w:r w:rsidRPr="00D3432F">
        <w:rPr>
          <w:sz w:val="20"/>
          <w:szCs w:val="20"/>
        </w:rPr>
        <w:t>With regard to the exhaustion of domestic remedies, the petitioner maintains that Brazilian legislation does not provide remedies allowing members of the</w:t>
      </w:r>
      <w:r w:rsidR="000961D2" w:rsidRPr="00D3432F">
        <w:rPr>
          <w:sz w:val="20"/>
          <w:szCs w:val="20"/>
        </w:rPr>
        <w:t xml:space="preserve"> Awá</w:t>
      </w:r>
      <w:r w:rsidRPr="00D3432F">
        <w:rPr>
          <w:sz w:val="20"/>
          <w:szCs w:val="20"/>
        </w:rPr>
        <w:t xml:space="preserve"> people who live in voluntary isolation to obtain the protection of their rights. Nonetheless, it states that in</w:t>
      </w:r>
      <w:r w:rsidR="000961D2" w:rsidRPr="00D3432F">
        <w:rPr>
          <w:sz w:val="20"/>
          <w:szCs w:val="20"/>
        </w:rPr>
        <w:t xml:space="preserve"> 2002</w:t>
      </w:r>
      <w:r w:rsidRPr="00D3432F">
        <w:rPr>
          <w:sz w:val="20"/>
          <w:szCs w:val="20"/>
        </w:rPr>
        <w:t xml:space="preserve"> the Federal Public Ministry</w:t>
      </w:r>
      <w:r w:rsidR="000961D2" w:rsidRPr="00D3432F">
        <w:rPr>
          <w:sz w:val="20"/>
          <w:szCs w:val="20"/>
        </w:rPr>
        <w:t xml:space="preserve"> </w:t>
      </w:r>
      <w:r w:rsidRPr="00D3432F">
        <w:rPr>
          <w:sz w:val="20"/>
          <w:szCs w:val="20"/>
        </w:rPr>
        <w:t>(</w:t>
      </w:r>
      <w:r w:rsidR="000961D2" w:rsidRPr="00D3432F">
        <w:rPr>
          <w:sz w:val="20"/>
          <w:szCs w:val="20"/>
        </w:rPr>
        <w:t>Ministério Público Federal</w:t>
      </w:r>
      <w:r w:rsidRPr="00D3432F">
        <w:rPr>
          <w:sz w:val="20"/>
          <w:szCs w:val="20"/>
        </w:rPr>
        <w:t xml:space="preserve"> - </w:t>
      </w:r>
      <w:r w:rsidR="000961D2" w:rsidRPr="00D3432F">
        <w:rPr>
          <w:sz w:val="20"/>
          <w:szCs w:val="20"/>
        </w:rPr>
        <w:t xml:space="preserve">"MPF") </w:t>
      </w:r>
      <w:r w:rsidRPr="00D3432F">
        <w:rPr>
          <w:sz w:val="20"/>
          <w:szCs w:val="20"/>
        </w:rPr>
        <w:t>file</w:t>
      </w:r>
      <w:r w:rsidR="001F7871" w:rsidRPr="00D3432F">
        <w:rPr>
          <w:sz w:val="20"/>
          <w:szCs w:val="20"/>
        </w:rPr>
        <w:t xml:space="preserve">d </w:t>
      </w:r>
      <w:r w:rsidRPr="00D3432F">
        <w:rPr>
          <w:sz w:val="20"/>
          <w:szCs w:val="20"/>
        </w:rPr>
        <w:t xml:space="preserve">a public civil action asking the Judicial Branch to order the State to demarcate and clean up the entire </w:t>
      </w:r>
      <w:r w:rsidR="000961D2" w:rsidRPr="00D3432F">
        <w:rPr>
          <w:sz w:val="20"/>
          <w:szCs w:val="20"/>
        </w:rPr>
        <w:t>Awá</w:t>
      </w:r>
      <w:r w:rsidRPr="00D3432F">
        <w:rPr>
          <w:sz w:val="20"/>
          <w:szCs w:val="20"/>
        </w:rPr>
        <w:t xml:space="preserve"> territory. In</w:t>
      </w:r>
      <w:r w:rsidR="000961D2" w:rsidRPr="00D3432F">
        <w:rPr>
          <w:sz w:val="20"/>
          <w:szCs w:val="20"/>
        </w:rPr>
        <w:t xml:space="preserve"> 2012</w:t>
      </w:r>
      <w:r w:rsidRPr="00D3432F">
        <w:rPr>
          <w:sz w:val="20"/>
          <w:szCs w:val="20"/>
        </w:rPr>
        <w:t>, the Federal Regional Court of the 1st Region</w:t>
      </w:r>
      <w:r w:rsidR="000961D2" w:rsidRPr="00D3432F">
        <w:rPr>
          <w:sz w:val="20"/>
          <w:szCs w:val="20"/>
        </w:rPr>
        <w:t xml:space="preserve"> (TRF1) </w:t>
      </w:r>
      <w:r w:rsidRPr="00D3432F">
        <w:rPr>
          <w:sz w:val="20"/>
          <w:szCs w:val="20"/>
        </w:rPr>
        <w:t>handed down a ruling favorable to the demarcation and expulsion of the invaders, but the decision was not implemented. In addition, other</w:t>
      </w:r>
      <w:r w:rsidR="000961D2" w:rsidRPr="00D3432F">
        <w:rPr>
          <w:sz w:val="20"/>
          <w:szCs w:val="20"/>
        </w:rPr>
        <w:t xml:space="preserve"> Awá </w:t>
      </w:r>
      <w:r w:rsidRPr="00D3432F">
        <w:rPr>
          <w:sz w:val="20"/>
          <w:szCs w:val="20"/>
        </w:rPr>
        <w:t xml:space="preserve">territories </w:t>
      </w:r>
      <w:r w:rsidR="000961D2" w:rsidRPr="00D3432F">
        <w:rPr>
          <w:sz w:val="20"/>
          <w:szCs w:val="20"/>
        </w:rPr>
        <w:t>— Alto Turiaçu, Car</w:t>
      </w:r>
      <w:r w:rsidR="000D3164" w:rsidRPr="00D3432F">
        <w:rPr>
          <w:sz w:val="20"/>
          <w:szCs w:val="20"/>
        </w:rPr>
        <w:t xml:space="preserve">u, and </w:t>
      </w:r>
      <w:r w:rsidR="000961D2" w:rsidRPr="00D3432F">
        <w:rPr>
          <w:sz w:val="20"/>
          <w:szCs w:val="20"/>
        </w:rPr>
        <w:t xml:space="preserve"> Araribóia — </w:t>
      </w:r>
      <w:r w:rsidRPr="00D3432F">
        <w:rPr>
          <w:sz w:val="20"/>
          <w:szCs w:val="20"/>
        </w:rPr>
        <w:t xml:space="preserve">continued under pressure from the invaders, without having been included in the judicial decisions on demarcation and </w:t>
      </w:r>
      <w:r w:rsidR="00BF5445" w:rsidRPr="00D3432F">
        <w:rPr>
          <w:sz w:val="20"/>
          <w:szCs w:val="20"/>
        </w:rPr>
        <w:t>the clearing</w:t>
      </w:r>
      <w:r w:rsidRPr="00D3432F">
        <w:rPr>
          <w:sz w:val="20"/>
          <w:szCs w:val="20"/>
        </w:rPr>
        <w:t xml:space="preserve"> or expulsion of the invaders</w:t>
      </w:r>
      <w:r w:rsidR="000961D2" w:rsidRPr="00D3432F">
        <w:rPr>
          <w:sz w:val="20"/>
          <w:szCs w:val="20"/>
        </w:rPr>
        <w:t>.</w:t>
      </w:r>
    </w:p>
    <w:p w14:paraId="4E6F9F29" w14:textId="3914048E" w:rsidR="000961D2" w:rsidRPr="00D3432F" w:rsidRDefault="004E4F32" w:rsidP="00D3432F">
      <w:pPr>
        <w:pStyle w:val="ListParagraph"/>
        <w:autoSpaceDE w:val="0"/>
        <w:autoSpaceDN w:val="0"/>
        <w:spacing w:after="240"/>
        <w:jc w:val="both"/>
        <w:rPr>
          <w:i/>
          <w:iCs/>
          <w:sz w:val="20"/>
          <w:szCs w:val="20"/>
        </w:rPr>
      </w:pPr>
      <w:r w:rsidRPr="00D3432F">
        <w:rPr>
          <w:i/>
          <w:iCs/>
          <w:sz w:val="20"/>
          <w:szCs w:val="20"/>
        </w:rPr>
        <w:t>The Brazilian State</w:t>
      </w:r>
      <w:r w:rsidR="000961D2" w:rsidRPr="00D3432F">
        <w:rPr>
          <w:i/>
          <w:iCs/>
          <w:sz w:val="20"/>
          <w:szCs w:val="20"/>
        </w:rPr>
        <w:t xml:space="preserve"> </w:t>
      </w:r>
    </w:p>
    <w:p w14:paraId="2B39B406" w14:textId="0D31A335" w:rsidR="000961D2" w:rsidRPr="00D3432F" w:rsidRDefault="004E4F32" w:rsidP="00D3432F">
      <w:pPr>
        <w:pStyle w:val="ListParagraph"/>
        <w:numPr>
          <w:ilvl w:val="0"/>
          <w:numId w:val="1"/>
        </w:numPr>
        <w:autoSpaceDE w:val="0"/>
        <w:autoSpaceDN w:val="0"/>
        <w:spacing w:after="240"/>
        <w:ind w:left="0" w:firstLine="720"/>
        <w:jc w:val="both"/>
        <w:rPr>
          <w:sz w:val="20"/>
          <w:szCs w:val="20"/>
        </w:rPr>
      </w:pPr>
      <w:r w:rsidRPr="00D3432F">
        <w:rPr>
          <w:sz w:val="20"/>
          <w:szCs w:val="20"/>
        </w:rPr>
        <w:t>The State maintains, first of all, that the Inter-American Commission is not competent based on the subject matter to declare violations of ILO Convention</w:t>
      </w:r>
      <w:r w:rsidR="000961D2" w:rsidRPr="00D3432F">
        <w:rPr>
          <w:sz w:val="20"/>
          <w:szCs w:val="20"/>
        </w:rPr>
        <w:t xml:space="preserve"> 169 </w:t>
      </w:r>
      <w:r w:rsidRPr="00D3432F">
        <w:rPr>
          <w:sz w:val="20"/>
          <w:szCs w:val="20"/>
        </w:rPr>
        <w:t>invoked by the petitioner, in that this convention is not part of the inter-American system</w:t>
      </w:r>
      <w:r w:rsidR="000961D2" w:rsidRPr="00D3432F">
        <w:rPr>
          <w:sz w:val="20"/>
          <w:szCs w:val="20"/>
        </w:rPr>
        <w:t>.</w:t>
      </w:r>
    </w:p>
    <w:p w14:paraId="5FBC12A2" w14:textId="44E419CC" w:rsidR="000961D2" w:rsidRPr="00D3432F" w:rsidRDefault="005474D6" w:rsidP="00D3432F">
      <w:pPr>
        <w:pStyle w:val="ListParagraph"/>
        <w:numPr>
          <w:ilvl w:val="0"/>
          <w:numId w:val="1"/>
        </w:numPr>
        <w:autoSpaceDE w:val="0"/>
        <w:autoSpaceDN w:val="0"/>
        <w:spacing w:after="240"/>
        <w:ind w:left="0" w:firstLine="720"/>
        <w:jc w:val="both"/>
        <w:rPr>
          <w:sz w:val="20"/>
          <w:szCs w:val="20"/>
        </w:rPr>
      </w:pPr>
      <w:r w:rsidRPr="00D3432F">
        <w:rPr>
          <w:sz w:val="20"/>
          <w:szCs w:val="20"/>
        </w:rPr>
        <w:t xml:space="preserve">It maintains that the petitioner submitted the complaint to the IACHR prior to the conclusion of proceedings under the public civil action filed to demarcate all the </w:t>
      </w:r>
      <w:r w:rsidR="000961D2" w:rsidRPr="00D3432F">
        <w:rPr>
          <w:sz w:val="20"/>
          <w:szCs w:val="20"/>
        </w:rPr>
        <w:t>Awá</w:t>
      </w:r>
      <w:r w:rsidRPr="00D3432F">
        <w:rPr>
          <w:sz w:val="20"/>
          <w:szCs w:val="20"/>
        </w:rPr>
        <w:t xml:space="preserve"> territory</w:t>
      </w:r>
      <w:r w:rsidR="000961D2" w:rsidRPr="00D3432F">
        <w:rPr>
          <w:sz w:val="20"/>
          <w:szCs w:val="20"/>
        </w:rPr>
        <w:t xml:space="preserve"> (Ação Civil Pública </w:t>
      </w:r>
      <w:r w:rsidRPr="00D3432F">
        <w:rPr>
          <w:sz w:val="20"/>
          <w:szCs w:val="20"/>
        </w:rPr>
        <w:t>No.</w:t>
      </w:r>
      <w:r w:rsidR="000961D2" w:rsidRPr="00D3432F">
        <w:rPr>
          <w:sz w:val="20"/>
          <w:szCs w:val="20"/>
        </w:rPr>
        <w:t xml:space="preserve"> 2002.37.00.003918-2). </w:t>
      </w:r>
      <w:r w:rsidRPr="00D3432F">
        <w:rPr>
          <w:sz w:val="20"/>
          <w:szCs w:val="20"/>
        </w:rPr>
        <w:t>It points out that, although on December</w:t>
      </w:r>
      <w:r w:rsidR="000961D2" w:rsidRPr="00D3432F">
        <w:rPr>
          <w:sz w:val="20"/>
          <w:szCs w:val="20"/>
        </w:rPr>
        <w:t xml:space="preserve"> 9</w:t>
      </w:r>
      <w:r w:rsidRPr="00D3432F">
        <w:rPr>
          <w:sz w:val="20"/>
          <w:szCs w:val="20"/>
        </w:rPr>
        <w:t>,</w:t>
      </w:r>
      <w:r w:rsidR="000961D2" w:rsidRPr="00D3432F">
        <w:rPr>
          <w:sz w:val="20"/>
          <w:szCs w:val="20"/>
        </w:rPr>
        <w:t xml:space="preserve"> 2011 </w:t>
      </w:r>
      <w:r w:rsidRPr="00D3432F">
        <w:rPr>
          <w:sz w:val="20"/>
          <w:szCs w:val="20"/>
        </w:rPr>
        <w:t>the</w:t>
      </w:r>
      <w:r w:rsidR="000961D2" w:rsidRPr="00D3432F">
        <w:rPr>
          <w:sz w:val="20"/>
          <w:szCs w:val="20"/>
        </w:rPr>
        <w:t xml:space="preserve"> TRF1, </w:t>
      </w:r>
      <w:r w:rsidRPr="00D3432F">
        <w:rPr>
          <w:sz w:val="20"/>
          <w:szCs w:val="20"/>
        </w:rPr>
        <w:t>following a decision in the first instance, had determined that within one year the authorities would expel non-indigenous people from these lands</w:t>
      </w:r>
      <w:r w:rsidR="000961D2" w:rsidRPr="00D3432F">
        <w:rPr>
          <w:sz w:val="20"/>
          <w:szCs w:val="20"/>
        </w:rPr>
        <w:t xml:space="preserve">, </w:t>
      </w:r>
      <w:r w:rsidRPr="00D3432F">
        <w:rPr>
          <w:sz w:val="20"/>
          <w:szCs w:val="20"/>
        </w:rPr>
        <w:t xml:space="preserve">one of the parties filed motions seeking clarification, resolved on August 6, </w:t>
      </w:r>
      <w:r w:rsidR="000961D2" w:rsidRPr="00D3432F">
        <w:rPr>
          <w:sz w:val="20"/>
          <w:szCs w:val="20"/>
        </w:rPr>
        <w:t xml:space="preserve">2012. </w:t>
      </w:r>
      <w:r w:rsidRPr="00D3432F">
        <w:rPr>
          <w:sz w:val="20"/>
          <w:szCs w:val="20"/>
        </w:rPr>
        <w:t xml:space="preserve">Then other appeals were filed and decided upon on November 20, </w:t>
      </w:r>
      <w:r w:rsidR="000961D2" w:rsidRPr="00D3432F">
        <w:rPr>
          <w:sz w:val="20"/>
          <w:szCs w:val="20"/>
        </w:rPr>
        <w:t xml:space="preserve">2015, </w:t>
      </w:r>
      <w:r w:rsidRPr="00D3432F">
        <w:rPr>
          <w:sz w:val="20"/>
          <w:szCs w:val="20"/>
        </w:rPr>
        <w:t>the date on which the domestic proceeding was concluded. Consequently, the State believes that the petitioner filed its petition before that process had a firm and final decision</w:t>
      </w:r>
      <w:r w:rsidR="000961D2" w:rsidRPr="00D3432F">
        <w:rPr>
          <w:sz w:val="20"/>
          <w:szCs w:val="20"/>
        </w:rPr>
        <w:t xml:space="preserve">. </w:t>
      </w:r>
    </w:p>
    <w:p w14:paraId="4D23C37E" w14:textId="09206761" w:rsidR="000961D2" w:rsidRPr="00D3432F" w:rsidRDefault="005474D6" w:rsidP="00D3432F">
      <w:pPr>
        <w:pStyle w:val="ListParagraph"/>
        <w:numPr>
          <w:ilvl w:val="0"/>
          <w:numId w:val="1"/>
        </w:numPr>
        <w:autoSpaceDE w:val="0"/>
        <w:autoSpaceDN w:val="0"/>
        <w:spacing w:after="240"/>
        <w:ind w:left="0" w:firstLine="720"/>
        <w:jc w:val="both"/>
        <w:rPr>
          <w:sz w:val="20"/>
          <w:szCs w:val="20"/>
        </w:rPr>
      </w:pPr>
      <w:r w:rsidRPr="00D3432F">
        <w:rPr>
          <w:sz w:val="20"/>
          <w:szCs w:val="20"/>
        </w:rPr>
        <w:t xml:space="preserve">Based on a simple search of the </w:t>
      </w:r>
      <w:r w:rsidR="000961D2" w:rsidRPr="00D3432F">
        <w:rPr>
          <w:sz w:val="20"/>
          <w:szCs w:val="20"/>
        </w:rPr>
        <w:t xml:space="preserve">TRF1 </w:t>
      </w:r>
      <w:r w:rsidRPr="00D3432F">
        <w:rPr>
          <w:sz w:val="20"/>
          <w:szCs w:val="20"/>
        </w:rPr>
        <w:t xml:space="preserve">site it is possible to identify the </w:t>
      </w:r>
      <w:r w:rsidR="00C32034" w:rsidRPr="00D3432F">
        <w:rPr>
          <w:sz w:val="20"/>
          <w:szCs w:val="20"/>
        </w:rPr>
        <w:t>existence</w:t>
      </w:r>
      <w:r w:rsidRPr="00D3432F">
        <w:rPr>
          <w:sz w:val="20"/>
          <w:szCs w:val="20"/>
        </w:rPr>
        <w:t xml:space="preserve"> of various public civil actions filed by one of the two petitioner organizations, the Indigenous Missionary Council</w:t>
      </w:r>
      <w:r w:rsidR="000961D2" w:rsidRPr="00D3432F">
        <w:rPr>
          <w:sz w:val="20"/>
          <w:szCs w:val="20"/>
        </w:rPr>
        <w:t xml:space="preserve">. </w:t>
      </w:r>
      <w:r w:rsidRPr="00D3432F">
        <w:rPr>
          <w:sz w:val="20"/>
          <w:szCs w:val="20"/>
        </w:rPr>
        <w:t xml:space="preserve">Along the same lines, </w:t>
      </w:r>
      <w:r w:rsidR="00C32034" w:rsidRPr="00D3432F">
        <w:rPr>
          <w:sz w:val="20"/>
          <w:szCs w:val="20"/>
        </w:rPr>
        <w:t>the State</w:t>
      </w:r>
      <w:r w:rsidRPr="00D3432F">
        <w:rPr>
          <w:sz w:val="20"/>
          <w:szCs w:val="20"/>
        </w:rPr>
        <w:t xml:space="preserve"> adds that the</w:t>
      </w:r>
      <w:r w:rsidR="00AC694D" w:rsidRPr="00D3432F">
        <w:rPr>
          <w:sz w:val="20"/>
          <w:szCs w:val="20"/>
        </w:rPr>
        <w:t xml:space="preserve"> </w:t>
      </w:r>
      <w:r w:rsidRPr="00D3432F">
        <w:rPr>
          <w:sz w:val="20"/>
          <w:szCs w:val="20"/>
        </w:rPr>
        <w:t>petitioner</w:t>
      </w:r>
      <w:r w:rsidR="00AC694D" w:rsidRPr="00D3432F">
        <w:rPr>
          <w:sz w:val="20"/>
          <w:szCs w:val="20"/>
        </w:rPr>
        <w:t xml:space="preserve"> did not seek reparations for material, moral, and environmental damage in any of its civil suits.</w:t>
      </w:r>
      <w:r w:rsidR="000961D2" w:rsidRPr="00D3432F">
        <w:rPr>
          <w:sz w:val="20"/>
          <w:szCs w:val="20"/>
        </w:rPr>
        <w:t xml:space="preserve"> </w:t>
      </w:r>
      <w:r w:rsidR="00AC694D" w:rsidRPr="00D3432F">
        <w:rPr>
          <w:sz w:val="20"/>
          <w:szCs w:val="20"/>
        </w:rPr>
        <w:t xml:space="preserve">Therefore, it asks the Commission to </w:t>
      </w:r>
      <w:r w:rsidR="00C32034" w:rsidRPr="00D3432F">
        <w:rPr>
          <w:sz w:val="20"/>
          <w:szCs w:val="20"/>
        </w:rPr>
        <w:t>declare</w:t>
      </w:r>
      <w:r w:rsidR="00AC694D" w:rsidRPr="00D3432F">
        <w:rPr>
          <w:sz w:val="20"/>
          <w:szCs w:val="20"/>
        </w:rPr>
        <w:t xml:space="preserve"> this petition inadmissible because it fails to comply </w:t>
      </w:r>
      <w:r w:rsidR="00CB3B71" w:rsidRPr="00D3432F">
        <w:rPr>
          <w:sz w:val="20"/>
          <w:szCs w:val="20"/>
        </w:rPr>
        <w:t>with the</w:t>
      </w:r>
      <w:r w:rsidR="00AC694D" w:rsidRPr="00D3432F">
        <w:rPr>
          <w:sz w:val="20"/>
          <w:szCs w:val="20"/>
        </w:rPr>
        <w:t xml:space="preserve"> requirement provided in Article </w:t>
      </w:r>
      <w:r w:rsidR="000961D2" w:rsidRPr="00D3432F">
        <w:rPr>
          <w:sz w:val="20"/>
          <w:szCs w:val="20"/>
        </w:rPr>
        <w:t xml:space="preserve">46.1.a </w:t>
      </w:r>
      <w:r w:rsidR="00AC694D" w:rsidRPr="00D3432F">
        <w:rPr>
          <w:sz w:val="20"/>
          <w:szCs w:val="20"/>
        </w:rPr>
        <w:t>of the American Convention</w:t>
      </w:r>
      <w:r w:rsidR="000961D2" w:rsidRPr="00D3432F">
        <w:rPr>
          <w:sz w:val="20"/>
          <w:szCs w:val="20"/>
        </w:rPr>
        <w:t>.</w:t>
      </w:r>
    </w:p>
    <w:p w14:paraId="700F8F2A" w14:textId="412F75AF" w:rsidR="000961D2" w:rsidRPr="00D3432F" w:rsidRDefault="00C32034" w:rsidP="00D3432F">
      <w:pPr>
        <w:pStyle w:val="ListParagraph"/>
        <w:numPr>
          <w:ilvl w:val="0"/>
          <w:numId w:val="1"/>
        </w:numPr>
        <w:autoSpaceDE w:val="0"/>
        <w:autoSpaceDN w:val="0"/>
        <w:spacing w:after="240"/>
        <w:ind w:left="0" w:firstLine="720"/>
        <w:jc w:val="both"/>
        <w:rPr>
          <w:sz w:val="20"/>
          <w:szCs w:val="20"/>
        </w:rPr>
      </w:pPr>
      <w:r w:rsidRPr="00D3432F">
        <w:rPr>
          <w:sz w:val="20"/>
          <w:szCs w:val="20"/>
        </w:rPr>
        <w:lastRenderedPageBreak/>
        <w:t>Notwithstanding</w:t>
      </w:r>
      <w:r w:rsidR="00AC694D" w:rsidRPr="00D3432F">
        <w:rPr>
          <w:sz w:val="20"/>
          <w:szCs w:val="20"/>
        </w:rPr>
        <w:t xml:space="preserve"> the above, it maintains that it adopted measures to protect the rights of potential victims. It points out that, as of the cited decision of August 6,</w:t>
      </w:r>
      <w:r w:rsidR="000961D2" w:rsidRPr="00D3432F">
        <w:rPr>
          <w:sz w:val="20"/>
          <w:szCs w:val="20"/>
        </w:rPr>
        <w:t xml:space="preserve"> 2012, </w:t>
      </w:r>
      <w:r w:rsidR="00AC694D" w:rsidRPr="00D3432F">
        <w:rPr>
          <w:sz w:val="20"/>
          <w:szCs w:val="20"/>
        </w:rPr>
        <w:t xml:space="preserve">the </w:t>
      </w:r>
      <w:r w:rsidR="007D50F9" w:rsidRPr="00D3432F">
        <w:rPr>
          <w:sz w:val="20"/>
          <w:szCs w:val="20"/>
        </w:rPr>
        <w:t>authorities initiated</w:t>
      </w:r>
      <w:r w:rsidR="00AC694D" w:rsidRPr="00D3432F">
        <w:rPr>
          <w:sz w:val="20"/>
          <w:szCs w:val="20"/>
        </w:rPr>
        <w:t xml:space="preserve"> work to characterize and map the </w:t>
      </w:r>
      <w:r w:rsidR="000961D2" w:rsidRPr="00D3432F">
        <w:rPr>
          <w:sz w:val="20"/>
          <w:szCs w:val="20"/>
        </w:rPr>
        <w:t>Awá</w:t>
      </w:r>
      <w:r w:rsidR="00AC694D" w:rsidRPr="00D3432F">
        <w:rPr>
          <w:sz w:val="20"/>
          <w:szCs w:val="20"/>
        </w:rPr>
        <w:t xml:space="preserve"> indigenous area, in preparation for the large </w:t>
      </w:r>
      <w:r w:rsidRPr="00D3432F">
        <w:rPr>
          <w:sz w:val="20"/>
          <w:szCs w:val="20"/>
        </w:rPr>
        <w:t>expulsion</w:t>
      </w:r>
      <w:r w:rsidR="00AC694D" w:rsidRPr="00D3432F">
        <w:rPr>
          <w:sz w:val="20"/>
          <w:szCs w:val="20"/>
        </w:rPr>
        <w:t xml:space="preserve"> operation that would take place. Moreover, it maintains that the State’s actions, initiated in</w:t>
      </w:r>
      <w:r w:rsidR="000961D2" w:rsidRPr="00D3432F">
        <w:rPr>
          <w:sz w:val="20"/>
          <w:szCs w:val="20"/>
        </w:rPr>
        <w:t xml:space="preserve"> 2013 </w:t>
      </w:r>
      <w:r w:rsidR="00AC694D" w:rsidRPr="00D3432F">
        <w:rPr>
          <w:sz w:val="20"/>
          <w:szCs w:val="20"/>
        </w:rPr>
        <w:t xml:space="preserve">and intensified in </w:t>
      </w:r>
      <w:r w:rsidR="000961D2" w:rsidRPr="00D3432F">
        <w:rPr>
          <w:sz w:val="20"/>
          <w:szCs w:val="20"/>
        </w:rPr>
        <w:t>2014 culmi</w:t>
      </w:r>
      <w:r w:rsidR="00AC694D" w:rsidRPr="00D3432F">
        <w:rPr>
          <w:sz w:val="20"/>
          <w:szCs w:val="20"/>
        </w:rPr>
        <w:t xml:space="preserve">nated </w:t>
      </w:r>
      <w:r w:rsidR="00EB28E2" w:rsidRPr="00D3432F">
        <w:rPr>
          <w:sz w:val="20"/>
          <w:szCs w:val="20"/>
        </w:rPr>
        <w:t>with the</w:t>
      </w:r>
      <w:r w:rsidR="00AC694D" w:rsidRPr="00D3432F">
        <w:rPr>
          <w:sz w:val="20"/>
          <w:szCs w:val="20"/>
        </w:rPr>
        <w:t xml:space="preserve"> effective </w:t>
      </w:r>
      <w:r w:rsidRPr="00D3432F">
        <w:rPr>
          <w:sz w:val="20"/>
          <w:szCs w:val="20"/>
        </w:rPr>
        <w:t>expulsion</w:t>
      </w:r>
      <w:r w:rsidR="00AC694D" w:rsidRPr="00D3432F">
        <w:rPr>
          <w:sz w:val="20"/>
          <w:szCs w:val="20"/>
        </w:rPr>
        <w:t xml:space="preserve"> of non-indigenous people from the lands of the </w:t>
      </w:r>
      <w:r w:rsidR="000961D2" w:rsidRPr="00D3432F">
        <w:rPr>
          <w:sz w:val="20"/>
          <w:szCs w:val="20"/>
        </w:rPr>
        <w:t xml:space="preserve">Awá </w:t>
      </w:r>
      <w:r w:rsidR="00AC694D" w:rsidRPr="00D3432F">
        <w:rPr>
          <w:sz w:val="20"/>
          <w:szCs w:val="20"/>
        </w:rPr>
        <w:t>people in that same year. It emphasizes that, as a result, on April 15,</w:t>
      </w:r>
      <w:r w:rsidR="000961D2" w:rsidRPr="00D3432F">
        <w:rPr>
          <w:sz w:val="20"/>
          <w:szCs w:val="20"/>
        </w:rPr>
        <w:t xml:space="preserve"> 2014</w:t>
      </w:r>
      <w:r w:rsidR="00AC694D" w:rsidRPr="00D3432F">
        <w:rPr>
          <w:sz w:val="20"/>
          <w:szCs w:val="20"/>
        </w:rPr>
        <w:t xml:space="preserve">, the </w:t>
      </w:r>
      <w:r w:rsidR="000961D2" w:rsidRPr="00D3432F">
        <w:rPr>
          <w:sz w:val="20"/>
          <w:szCs w:val="20"/>
        </w:rPr>
        <w:t>Awá</w:t>
      </w:r>
      <w:r w:rsidR="00AC694D" w:rsidRPr="00D3432F">
        <w:rPr>
          <w:sz w:val="20"/>
          <w:szCs w:val="20"/>
        </w:rPr>
        <w:t xml:space="preserve"> people received the “order of </w:t>
      </w:r>
      <w:r w:rsidRPr="00D3432F">
        <w:rPr>
          <w:sz w:val="20"/>
          <w:szCs w:val="20"/>
        </w:rPr>
        <w:t>expulsion</w:t>
      </w:r>
      <w:r w:rsidR="00AC694D" w:rsidRPr="00D3432F">
        <w:rPr>
          <w:sz w:val="20"/>
          <w:szCs w:val="20"/>
        </w:rPr>
        <w:t xml:space="preserve">” from the officials of Federal Justice in the State of </w:t>
      </w:r>
      <w:r w:rsidR="000961D2" w:rsidRPr="00D3432F">
        <w:rPr>
          <w:sz w:val="20"/>
          <w:szCs w:val="20"/>
        </w:rPr>
        <w:t>Maranhão</w:t>
      </w:r>
      <w:r w:rsidR="00AC694D" w:rsidRPr="00D3432F">
        <w:rPr>
          <w:sz w:val="20"/>
          <w:szCs w:val="20"/>
        </w:rPr>
        <w:t xml:space="preserve"> and with that the State secured the Awá people’s possession of the indigenous land</w:t>
      </w:r>
      <w:r w:rsidR="000961D2" w:rsidRPr="00D3432F">
        <w:rPr>
          <w:sz w:val="20"/>
          <w:szCs w:val="20"/>
        </w:rPr>
        <w:t>.</w:t>
      </w:r>
    </w:p>
    <w:p w14:paraId="1FF428A9" w14:textId="48FAEA36" w:rsidR="000961D2" w:rsidRPr="00D3432F" w:rsidRDefault="00AC694D" w:rsidP="00D3432F">
      <w:pPr>
        <w:pStyle w:val="ListParagraph"/>
        <w:numPr>
          <w:ilvl w:val="0"/>
          <w:numId w:val="1"/>
        </w:numPr>
        <w:autoSpaceDE w:val="0"/>
        <w:autoSpaceDN w:val="0"/>
        <w:spacing w:after="240"/>
        <w:ind w:left="0" w:firstLine="720"/>
        <w:jc w:val="both"/>
        <w:rPr>
          <w:sz w:val="20"/>
          <w:szCs w:val="20"/>
        </w:rPr>
      </w:pPr>
      <w:r w:rsidRPr="00D3432F">
        <w:rPr>
          <w:sz w:val="20"/>
          <w:szCs w:val="20"/>
        </w:rPr>
        <w:t>In addition, it emphasizes that the indigenous</w:t>
      </w:r>
      <w:r w:rsidR="000961D2" w:rsidRPr="00D3432F">
        <w:rPr>
          <w:sz w:val="20"/>
          <w:szCs w:val="20"/>
        </w:rPr>
        <w:t xml:space="preserve"> Caru, Alto Turiaçu, Araribóia</w:t>
      </w:r>
      <w:r w:rsidRPr="00D3432F">
        <w:rPr>
          <w:sz w:val="20"/>
          <w:szCs w:val="20"/>
        </w:rPr>
        <w:t>, and</w:t>
      </w:r>
      <w:r w:rsidR="000961D2" w:rsidRPr="00D3432F">
        <w:rPr>
          <w:sz w:val="20"/>
          <w:szCs w:val="20"/>
        </w:rPr>
        <w:t xml:space="preserve"> Awá </w:t>
      </w:r>
      <w:r w:rsidRPr="00D3432F">
        <w:rPr>
          <w:sz w:val="20"/>
          <w:szCs w:val="20"/>
        </w:rPr>
        <w:t>territories were demarcated in</w:t>
      </w:r>
      <w:r w:rsidR="000961D2" w:rsidRPr="00D3432F">
        <w:rPr>
          <w:sz w:val="20"/>
          <w:szCs w:val="20"/>
        </w:rPr>
        <w:t xml:space="preserve"> 1982, 1988, 1990</w:t>
      </w:r>
      <w:r w:rsidRPr="00D3432F">
        <w:rPr>
          <w:sz w:val="20"/>
          <w:szCs w:val="20"/>
        </w:rPr>
        <w:t>, and</w:t>
      </w:r>
      <w:r w:rsidR="000961D2" w:rsidRPr="00D3432F">
        <w:rPr>
          <w:sz w:val="20"/>
          <w:szCs w:val="20"/>
        </w:rPr>
        <w:t xml:space="preserve"> 2005</w:t>
      </w:r>
      <w:r w:rsidRPr="00D3432F">
        <w:rPr>
          <w:sz w:val="20"/>
          <w:szCs w:val="20"/>
        </w:rPr>
        <w:t>, respectively. It indicates that the railroad mentioned by the petitioner, completed in</w:t>
      </w:r>
      <w:r w:rsidR="000961D2" w:rsidRPr="00D3432F">
        <w:rPr>
          <w:sz w:val="20"/>
          <w:szCs w:val="20"/>
        </w:rPr>
        <w:t xml:space="preserve"> 1985, </w:t>
      </w:r>
      <w:r w:rsidRPr="00D3432F">
        <w:rPr>
          <w:sz w:val="20"/>
          <w:szCs w:val="20"/>
        </w:rPr>
        <w:t xml:space="preserve">does not </w:t>
      </w:r>
      <w:r w:rsidR="00C32034" w:rsidRPr="00D3432F">
        <w:rPr>
          <w:sz w:val="20"/>
          <w:szCs w:val="20"/>
        </w:rPr>
        <w:t>g</w:t>
      </w:r>
      <w:r w:rsidR="007977F3" w:rsidRPr="00D3432F">
        <w:rPr>
          <w:sz w:val="20"/>
          <w:szCs w:val="20"/>
        </w:rPr>
        <w:t>o through indigenous territories. According to the State, the route in question is the</w:t>
      </w:r>
      <w:r w:rsidR="000961D2" w:rsidRPr="00D3432F">
        <w:rPr>
          <w:sz w:val="20"/>
          <w:szCs w:val="20"/>
        </w:rPr>
        <w:t xml:space="preserve"> </w:t>
      </w:r>
      <w:r w:rsidR="007977F3" w:rsidRPr="00D3432F">
        <w:rPr>
          <w:sz w:val="20"/>
          <w:szCs w:val="20"/>
        </w:rPr>
        <w:t>Carajás Railroad (</w:t>
      </w:r>
      <w:r w:rsidR="000961D2" w:rsidRPr="00D3432F">
        <w:rPr>
          <w:sz w:val="20"/>
          <w:szCs w:val="20"/>
        </w:rPr>
        <w:t xml:space="preserve">Estrada de Ferro Carajás </w:t>
      </w:r>
      <w:r w:rsidR="007977F3" w:rsidRPr="00D3432F">
        <w:rPr>
          <w:sz w:val="20"/>
          <w:szCs w:val="20"/>
        </w:rPr>
        <w:t xml:space="preserve">- </w:t>
      </w:r>
      <w:r w:rsidR="000961D2" w:rsidRPr="00D3432F">
        <w:rPr>
          <w:sz w:val="20"/>
          <w:szCs w:val="20"/>
        </w:rPr>
        <w:t>EFC), constru</w:t>
      </w:r>
      <w:r w:rsidR="007977F3" w:rsidRPr="00D3432F">
        <w:rPr>
          <w:sz w:val="20"/>
          <w:szCs w:val="20"/>
        </w:rPr>
        <w:t xml:space="preserve">cted in </w:t>
      </w:r>
      <w:r w:rsidR="000961D2" w:rsidRPr="00D3432F">
        <w:rPr>
          <w:sz w:val="20"/>
          <w:szCs w:val="20"/>
        </w:rPr>
        <w:t xml:space="preserve">1982 </w:t>
      </w:r>
      <w:r w:rsidR="007977F3" w:rsidRPr="00D3432F">
        <w:rPr>
          <w:sz w:val="20"/>
          <w:szCs w:val="20"/>
        </w:rPr>
        <w:t>and currently responsible for carrying both passengers and minerals. For construction of the route, indigenous people in the region benefited from compensatory and mitigating measures</w:t>
      </w:r>
      <w:r w:rsidR="000961D2" w:rsidRPr="00D3432F">
        <w:rPr>
          <w:sz w:val="20"/>
          <w:szCs w:val="20"/>
        </w:rPr>
        <w:t xml:space="preserve">, </w:t>
      </w:r>
      <w:r w:rsidR="007977F3" w:rsidRPr="00D3432F">
        <w:rPr>
          <w:sz w:val="20"/>
          <w:szCs w:val="20"/>
        </w:rPr>
        <w:t>such as demarcation, environmental conservation</w:t>
      </w:r>
      <w:r w:rsidR="00C32034" w:rsidRPr="00D3432F">
        <w:rPr>
          <w:sz w:val="20"/>
          <w:szCs w:val="20"/>
        </w:rPr>
        <w:t xml:space="preserve"> projects</w:t>
      </w:r>
      <w:r w:rsidR="007977F3" w:rsidRPr="00D3432F">
        <w:rPr>
          <w:sz w:val="20"/>
          <w:szCs w:val="20"/>
        </w:rPr>
        <w:t xml:space="preserve">, education, health, sanitation, and protection of indigenous people in </w:t>
      </w:r>
      <w:r w:rsidR="00C32034" w:rsidRPr="00D3432F">
        <w:rPr>
          <w:sz w:val="20"/>
          <w:szCs w:val="20"/>
        </w:rPr>
        <w:t>isolation</w:t>
      </w:r>
      <w:r w:rsidR="007977F3" w:rsidRPr="00D3432F">
        <w:rPr>
          <w:sz w:val="20"/>
          <w:szCs w:val="20"/>
        </w:rPr>
        <w:t xml:space="preserve">. In addition, the map of the place where the </w:t>
      </w:r>
      <w:r w:rsidR="00C32034" w:rsidRPr="00D3432F">
        <w:rPr>
          <w:sz w:val="20"/>
          <w:szCs w:val="20"/>
        </w:rPr>
        <w:t>railroad</w:t>
      </w:r>
      <w:r w:rsidR="007977F3" w:rsidRPr="00D3432F">
        <w:rPr>
          <w:sz w:val="20"/>
          <w:szCs w:val="20"/>
        </w:rPr>
        <w:t xml:space="preserve"> was constructed shows that it is very far from the land of the</w:t>
      </w:r>
      <w:r w:rsidR="000961D2" w:rsidRPr="00D3432F">
        <w:rPr>
          <w:sz w:val="20"/>
          <w:szCs w:val="20"/>
        </w:rPr>
        <w:t xml:space="preserve"> Awá</w:t>
      </w:r>
      <w:r w:rsidR="007977F3" w:rsidRPr="00D3432F">
        <w:rPr>
          <w:sz w:val="20"/>
          <w:szCs w:val="20"/>
        </w:rPr>
        <w:t xml:space="preserve"> and, </w:t>
      </w:r>
      <w:r w:rsidR="00EB28E2" w:rsidRPr="00D3432F">
        <w:rPr>
          <w:sz w:val="20"/>
          <w:szCs w:val="20"/>
        </w:rPr>
        <w:t>in fact</w:t>
      </w:r>
      <w:r w:rsidR="007977F3" w:rsidRPr="00D3432F">
        <w:rPr>
          <w:sz w:val="20"/>
          <w:szCs w:val="20"/>
        </w:rPr>
        <w:t>, only abuts the Caru indigenous land</w:t>
      </w:r>
      <w:r w:rsidR="000961D2" w:rsidRPr="00D3432F">
        <w:rPr>
          <w:sz w:val="20"/>
          <w:szCs w:val="20"/>
        </w:rPr>
        <w:t>.</w:t>
      </w:r>
    </w:p>
    <w:p w14:paraId="74C88C2C" w14:textId="317CC792" w:rsidR="000961D2" w:rsidRPr="00D3432F" w:rsidRDefault="00A41E3B" w:rsidP="00D3432F">
      <w:pPr>
        <w:pStyle w:val="ListParagraph"/>
        <w:numPr>
          <w:ilvl w:val="0"/>
          <w:numId w:val="1"/>
        </w:numPr>
        <w:autoSpaceDE w:val="0"/>
        <w:autoSpaceDN w:val="0"/>
        <w:spacing w:after="240"/>
        <w:ind w:left="0" w:firstLine="720"/>
        <w:jc w:val="both"/>
        <w:rPr>
          <w:sz w:val="20"/>
          <w:szCs w:val="20"/>
        </w:rPr>
      </w:pPr>
      <w:r w:rsidRPr="00D3432F">
        <w:rPr>
          <w:sz w:val="20"/>
          <w:szCs w:val="20"/>
        </w:rPr>
        <w:t xml:space="preserve">Finally, Brazil reports that it adopted public policies intended to protect the indigenous lands located </w:t>
      </w:r>
      <w:r w:rsidR="00EB28E2" w:rsidRPr="00D3432F">
        <w:rPr>
          <w:sz w:val="20"/>
          <w:szCs w:val="20"/>
        </w:rPr>
        <w:t>in the</w:t>
      </w:r>
      <w:r w:rsidRPr="00D3432F">
        <w:rPr>
          <w:sz w:val="20"/>
          <w:szCs w:val="20"/>
        </w:rPr>
        <w:t xml:space="preserve"> State of</w:t>
      </w:r>
      <w:r w:rsidR="000961D2" w:rsidRPr="00D3432F">
        <w:rPr>
          <w:sz w:val="20"/>
          <w:szCs w:val="20"/>
        </w:rPr>
        <w:t xml:space="preserve"> Maranhão, inclu</w:t>
      </w:r>
      <w:r w:rsidRPr="00D3432F">
        <w:rPr>
          <w:sz w:val="20"/>
          <w:szCs w:val="20"/>
        </w:rPr>
        <w:t xml:space="preserve">ding the lands of the </w:t>
      </w:r>
      <w:r w:rsidR="000961D2" w:rsidRPr="00D3432F">
        <w:rPr>
          <w:sz w:val="20"/>
          <w:szCs w:val="20"/>
        </w:rPr>
        <w:t xml:space="preserve">Awá, </w:t>
      </w:r>
      <w:r w:rsidRPr="00D3432F">
        <w:rPr>
          <w:sz w:val="20"/>
          <w:szCs w:val="20"/>
        </w:rPr>
        <w:t>such as supervisory actions, support for preventive monitoring activities, and the so-called indigenous surveillance, which promotes the</w:t>
      </w:r>
      <w:r w:rsidR="00A401D2" w:rsidRPr="00D3432F">
        <w:rPr>
          <w:sz w:val="20"/>
          <w:szCs w:val="20"/>
        </w:rPr>
        <w:t xml:space="preserve"> participation of the indigenous community in activities supporting and promoting territorial protection. To prove this, it submits the report of a supervisory operation in April</w:t>
      </w:r>
      <w:r w:rsidR="000961D2" w:rsidRPr="00D3432F">
        <w:rPr>
          <w:sz w:val="20"/>
          <w:szCs w:val="20"/>
        </w:rPr>
        <w:t xml:space="preserve"> 2019 </w:t>
      </w:r>
      <w:r w:rsidR="00A401D2" w:rsidRPr="00D3432F">
        <w:rPr>
          <w:sz w:val="20"/>
          <w:szCs w:val="20"/>
        </w:rPr>
        <w:t>that mentions the presence of invaders and documents monitoring and inspection activities on the part of military, police, and environmental forces. Those activities include</w:t>
      </w:r>
      <w:r w:rsidR="00131936" w:rsidRPr="00D3432F">
        <w:rPr>
          <w:sz w:val="20"/>
          <w:szCs w:val="20"/>
        </w:rPr>
        <w:t>d</w:t>
      </w:r>
      <w:r w:rsidR="00A401D2" w:rsidRPr="00D3432F">
        <w:rPr>
          <w:sz w:val="20"/>
          <w:szCs w:val="20"/>
        </w:rPr>
        <w:t xml:space="preserve"> seizure of the equipment of </w:t>
      </w:r>
      <w:r w:rsidR="007D50F9" w:rsidRPr="00D3432F">
        <w:rPr>
          <w:sz w:val="20"/>
          <w:szCs w:val="20"/>
        </w:rPr>
        <w:t>clandestine timbermen</w:t>
      </w:r>
      <w:r w:rsidR="00A401D2" w:rsidRPr="00D3432F">
        <w:rPr>
          <w:sz w:val="20"/>
          <w:szCs w:val="20"/>
        </w:rPr>
        <w:t>. On this basis, it asks the Commission to declare this complaint inadmissible</w:t>
      </w:r>
      <w:r w:rsidR="000961D2" w:rsidRPr="00D3432F">
        <w:rPr>
          <w:sz w:val="20"/>
          <w:szCs w:val="20"/>
        </w:rPr>
        <w:t>.</w:t>
      </w:r>
    </w:p>
    <w:p w14:paraId="4CB65757" w14:textId="4ADE9A17" w:rsidR="000961D2" w:rsidRPr="00D3432F" w:rsidRDefault="000961D2" w:rsidP="00D3432F">
      <w:pPr>
        <w:pStyle w:val="ListParagraph"/>
        <w:autoSpaceDE w:val="0"/>
        <w:autoSpaceDN w:val="0"/>
        <w:spacing w:after="240"/>
        <w:ind w:left="0" w:firstLine="720"/>
        <w:jc w:val="both"/>
        <w:rPr>
          <w:sz w:val="20"/>
          <w:szCs w:val="20"/>
        </w:rPr>
      </w:pPr>
      <w:r w:rsidRPr="00D3432F">
        <w:rPr>
          <w:rFonts w:asciiTheme="majorHAnsi" w:hAnsiTheme="majorHAnsi"/>
          <w:b/>
          <w:sz w:val="20"/>
          <w:szCs w:val="20"/>
        </w:rPr>
        <w:t xml:space="preserve">VI. </w:t>
      </w:r>
      <w:r w:rsidRPr="00D3432F">
        <w:rPr>
          <w:rFonts w:asciiTheme="majorHAnsi" w:hAnsiTheme="majorHAnsi"/>
          <w:b/>
          <w:sz w:val="20"/>
          <w:szCs w:val="20"/>
        </w:rPr>
        <w:tab/>
      </w:r>
      <w:r w:rsidRPr="00D3432F">
        <w:rPr>
          <w:rFonts w:asciiTheme="majorHAnsi" w:hAnsiTheme="majorHAnsi"/>
          <w:b/>
          <w:bCs/>
          <w:sz w:val="20"/>
          <w:szCs w:val="20"/>
        </w:rPr>
        <w:t>AN</w:t>
      </w:r>
      <w:r w:rsidR="00A401D2" w:rsidRPr="00D3432F">
        <w:rPr>
          <w:rFonts w:asciiTheme="majorHAnsi" w:hAnsiTheme="majorHAnsi"/>
          <w:b/>
          <w:bCs/>
          <w:sz w:val="20"/>
          <w:szCs w:val="20"/>
        </w:rPr>
        <w:t>ALYSIS OF THE EXHAUSTION OF DOMESTIC REMEDIES AND TIMELY SUBMISSION</w:t>
      </w:r>
      <w:r w:rsidRPr="00D3432F">
        <w:rPr>
          <w:rFonts w:asciiTheme="majorHAnsi" w:hAnsiTheme="majorHAnsi"/>
          <w:b/>
          <w:bCs/>
          <w:sz w:val="20"/>
          <w:szCs w:val="20"/>
        </w:rPr>
        <w:t xml:space="preserve"> </w:t>
      </w:r>
    </w:p>
    <w:p w14:paraId="0A41790E" w14:textId="3D3AF601" w:rsidR="000961D2" w:rsidRPr="00D3432F" w:rsidRDefault="00A401D2" w:rsidP="00D3432F">
      <w:pPr>
        <w:pStyle w:val="ListParagraph"/>
        <w:numPr>
          <w:ilvl w:val="0"/>
          <w:numId w:val="1"/>
        </w:numPr>
        <w:spacing w:after="240"/>
        <w:ind w:left="0" w:firstLine="720"/>
        <w:jc w:val="both"/>
        <w:rPr>
          <w:rFonts w:asciiTheme="majorHAnsi" w:hAnsiTheme="majorHAnsi"/>
          <w:sz w:val="20"/>
          <w:szCs w:val="20"/>
        </w:rPr>
      </w:pPr>
      <w:r w:rsidRPr="00D3432F">
        <w:rPr>
          <w:rFonts w:asciiTheme="majorHAnsi" w:hAnsiTheme="majorHAnsi"/>
          <w:sz w:val="20"/>
          <w:szCs w:val="20"/>
        </w:rPr>
        <w:t xml:space="preserve">The petition focuses on denouncing the failure to completely demarcate the indigenous lands of the </w:t>
      </w:r>
      <w:r w:rsidR="000961D2" w:rsidRPr="00D3432F">
        <w:rPr>
          <w:rFonts w:asciiTheme="majorHAnsi" w:hAnsiTheme="majorHAnsi"/>
          <w:sz w:val="20"/>
          <w:szCs w:val="20"/>
        </w:rPr>
        <w:t xml:space="preserve">Awá </w:t>
      </w:r>
      <w:r w:rsidRPr="00D3432F">
        <w:rPr>
          <w:rFonts w:asciiTheme="majorHAnsi" w:hAnsiTheme="majorHAnsi"/>
          <w:sz w:val="20"/>
          <w:szCs w:val="20"/>
        </w:rPr>
        <w:t>people and inadequate territor</w:t>
      </w:r>
      <w:r w:rsidR="00131936" w:rsidRPr="00D3432F">
        <w:rPr>
          <w:rFonts w:asciiTheme="majorHAnsi" w:hAnsiTheme="majorHAnsi"/>
          <w:sz w:val="20"/>
          <w:szCs w:val="20"/>
        </w:rPr>
        <w:t>ial</w:t>
      </w:r>
      <w:r w:rsidRPr="00D3432F">
        <w:rPr>
          <w:rFonts w:asciiTheme="majorHAnsi" w:hAnsiTheme="majorHAnsi"/>
          <w:sz w:val="20"/>
          <w:szCs w:val="20"/>
        </w:rPr>
        <w:t xml:space="preserve"> security, which facilitated the persisten</w:t>
      </w:r>
      <w:r w:rsidR="00131936" w:rsidRPr="00D3432F">
        <w:rPr>
          <w:rFonts w:asciiTheme="majorHAnsi" w:hAnsiTheme="majorHAnsi"/>
          <w:sz w:val="20"/>
          <w:szCs w:val="20"/>
        </w:rPr>
        <w:t>t</w:t>
      </w:r>
      <w:r w:rsidRPr="00D3432F">
        <w:rPr>
          <w:rFonts w:asciiTheme="majorHAnsi" w:hAnsiTheme="majorHAnsi"/>
          <w:sz w:val="20"/>
          <w:szCs w:val="20"/>
        </w:rPr>
        <w:t xml:space="preserve"> presence of invaders in their territories. On this basis, the Inter-American Commission recalls that, in accordance with its precedents, compliance with </w:t>
      </w:r>
      <w:r w:rsidR="00131936" w:rsidRPr="00D3432F">
        <w:rPr>
          <w:rFonts w:asciiTheme="majorHAnsi" w:hAnsiTheme="majorHAnsi"/>
          <w:sz w:val="20"/>
          <w:szCs w:val="20"/>
        </w:rPr>
        <w:t xml:space="preserve">the </w:t>
      </w:r>
      <w:r w:rsidRPr="00D3432F">
        <w:rPr>
          <w:rFonts w:asciiTheme="majorHAnsi" w:hAnsiTheme="majorHAnsi"/>
          <w:sz w:val="20"/>
          <w:szCs w:val="20"/>
        </w:rPr>
        <w:t xml:space="preserve">requirement of prior exhaustion of remedies is analyzed based on the factual and legal situation in effect when the </w:t>
      </w:r>
      <w:r w:rsidR="00131936" w:rsidRPr="00D3432F">
        <w:rPr>
          <w:rFonts w:asciiTheme="majorHAnsi" w:hAnsiTheme="majorHAnsi"/>
          <w:sz w:val="20"/>
          <w:szCs w:val="20"/>
        </w:rPr>
        <w:t>admissibility</w:t>
      </w:r>
      <w:r w:rsidRPr="00D3432F">
        <w:rPr>
          <w:rFonts w:asciiTheme="majorHAnsi" w:hAnsiTheme="majorHAnsi"/>
          <w:sz w:val="20"/>
          <w:szCs w:val="20"/>
        </w:rPr>
        <w:t xml:space="preserve"> report is adopted, and not on the basis of the situation existing upon submission of  the petition.</w:t>
      </w:r>
      <w:r w:rsidR="000961D2" w:rsidRPr="00D3432F">
        <w:rPr>
          <w:rFonts w:asciiTheme="majorHAnsi" w:hAnsiTheme="majorHAnsi"/>
          <w:sz w:val="20"/>
          <w:szCs w:val="20"/>
          <w:bdr w:val="none" w:sz="0" w:space="0" w:color="auto" w:frame="1"/>
          <w:vertAlign w:val="superscript"/>
        </w:rPr>
        <w:footnoteReference w:id="4"/>
      </w:r>
      <w:r w:rsidRPr="00D3432F">
        <w:rPr>
          <w:rFonts w:asciiTheme="majorHAnsi" w:hAnsiTheme="majorHAnsi"/>
          <w:sz w:val="20"/>
          <w:szCs w:val="20"/>
        </w:rPr>
        <w:t xml:space="preserve"> In addition, </w:t>
      </w:r>
      <w:r w:rsidR="00955C8C" w:rsidRPr="00D3432F">
        <w:rPr>
          <w:rFonts w:asciiTheme="majorHAnsi" w:hAnsiTheme="majorHAnsi"/>
          <w:sz w:val="20"/>
          <w:szCs w:val="20"/>
        </w:rPr>
        <w:t>it reiterates that the requirement regarding the exhaustion of</w:t>
      </w:r>
      <w:r w:rsidR="00131936" w:rsidRPr="00D3432F">
        <w:rPr>
          <w:rFonts w:asciiTheme="majorHAnsi" w:hAnsiTheme="majorHAnsi"/>
          <w:sz w:val="20"/>
          <w:szCs w:val="20"/>
        </w:rPr>
        <w:t xml:space="preserve"> </w:t>
      </w:r>
      <w:r w:rsidR="00955C8C" w:rsidRPr="00D3432F">
        <w:rPr>
          <w:rFonts w:asciiTheme="majorHAnsi" w:hAnsiTheme="majorHAnsi"/>
          <w:sz w:val="20"/>
          <w:szCs w:val="20"/>
        </w:rPr>
        <w:t xml:space="preserve">domestic remedies does not mean that the alleged victims are required to exhaust all the remedies available. Both the Court and </w:t>
      </w:r>
      <w:r w:rsidR="00624824" w:rsidRPr="00D3432F">
        <w:rPr>
          <w:rFonts w:asciiTheme="majorHAnsi" w:hAnsiTheme="majorHAnsi"/>
          <w:sz w:val="20"/>
          <w:szCs w:val="20"/>
        </w:rPr>
        <w:t>the Commission</w:t>
      </w:r>
      <w:r w:rsidR="00955C8C" w:rsidRPr="00D3432F">
        <w:rPr>
          <w:rFonts w:asciiTheme="majorHAnsi" w:hAnsiTheme="majorHAnsi"/>
          <w:sz w:val="20"/>
          <w:szCs w:val="20"/>
        </w:rPr>
        <w:t xml:space="preserve"> have repeatedly indicated that</w:t>
      </w:r>
      <w:r w:rsidR="000961D2" w:rsidRPr="00D3432F">
        <w:rPr>
          <w:rFonts w:asciiTheme="majorHAnsi" w:hAnsiTheme="majorHAnsi"/>
          <w:sz w:val="20"/>
          <w:szCs w:val="20"/>
        </w:rPr>
        <w:t xml:space="preserve"> “[…] </w:t>
      </w:r>
      <w:r w:rsidR="00955C8C" w:rsidRPr="00D3432F">
        <w:rPr>
          <w:rFonts w:asciiTheme="majorHAnsi" w:hAnsiTheme="majorHAnsi"/>
          <w:i/>
          <w:iCs/>
          <w:sz w:val="20"/>
          <w:szCs w:val="20"/>
        </w:rPr>
        <w:t>the rule that requires the prior exhaustion of domestic remedies is conceived in the interest of the State, since it seeks to absolve it of the need to respond to an international organ for acts imputed</w:t>
      </w:r>
      <w:r w:rsidR="00131936" w:rsidRPr="00D3432F">
        <w:rPr>
          <w:rFonts w:asciiTheme="majorHAnsi" w:hAnsiTheme="majorHAnsi"/>
          <w:i/>
          <w:iCs/>
          <w:sz w:val="20"/>
          <w:szCs w:val="20"/>
        </w:rPr>
        <w:t xml:space="preserve"> </w:t>
      </w:r>
      <w:r w:rsidR="002B247D" w:rsidRPr="00D3432F">
        <w:rPr>
          <w:rFonts w:asciiTheme="majorHAnsi" w:hAnsiTheme="majorHAnsi"/>
          <w:i/>
          <w:iCs/>
          <w:sz w:val="20"/>
          <w:szCs w:val="20"/>
        </w:rPr>
        <w:t>to it</w:t>
      </w:r>
      <w:r w:rsidR="00955C8C" w:rsidRPr="00D3432F">
        <w:rPr>
          <w:rFonts w:asciiTheme="majorHAnsi" w:hAnsiTheme="majorHAnsi"/>
          <w:i/>
          <w:iCs/>
          <w:sz w:val="20"/>
          <w:szCs w:val="20"/>
        </w:rPr>
        <w:t xml:space="preserve"> before having had an opportunity to remedy them using its own means.</w:t>
      </w:r>
      <w:r w:rsidR="000961D2" w:rsidRPr="00D3432F">
        <w:rPr>
          <w:rFonts w:asciiTheme="majorHAnsi" w:hAnsiTheme="majorHAnsi"/>
          <w:sz w:val="20"/>
          <w:szCs w:val="20"/>
        </w:rPr>
        <w:t>”</w:t>
      </w:r>
      <w:r w:rsidR="000961D2" w:rsidRPr="00D3432F">
        <w:rPr>
          <w:rStyle w:val="FootnoteReference"/>
          <w:rFonts w:asciiTheme="majorHAnsi" w:hAnsiTheme="majorHAnsi"/>
          <w:sz w:val="20"/>
          <w:szCs w:val="20"/>
        </w:rPr>
        <w:footnoteReference w:id="5"/>
      </w:r>
    </w:p>
    <w:p w14:paraId="0CCDB667" w14:textId="696B9553" w:rsidR="000961D2" w:rsidRPr="00D3432F" w:rsidRDefault="00955C8C" w:rsidP="00D3432F">
      <w:pPr>
        <w:pStyle w:val="ListParagraph"/>
        <w:numPr>
          <w:ilvl w:val="0"/>
          <w:numId w:val="1"/>
        </w:numPr>
        <w:spacing w:after="240"/>
        <w:ind w:left="0" w:firstLine="720"/>
        <w:jc w:val="both"/>
        <w:rPr>
          <w:rFonts w:asciiTheme="majorHAnsi" w:hAnsiTheme="majorHAnsi"/>
          <w:sz w:val="20"/>
          <w:szCs w:val="20"/>
        </w:rPr>
      </w:pPr>
      <w:r w:rsidRPr="00D3432F">
        <w:rPr>
          <w:rFonts w:asciiTheme="majorHAnsi" w:hAnsiTheme="majorHAnsi"/>
          <w:sz w:val="20"/>
          <w:szCs w:val="20"/>
        </w:rPr>
        <w:t>In the instant case, in order to comply with the requirement on exhaustion of the domestic jurisdiction, the petition points out that</w:t>
      </w:r>
      <w:r w:rsidR="000961D2" w:rsidRPr="00D3432F">
        <w:rPr>
          <w:rFonts w:asciiTheme="majorHAnsi" w:hAnsiTheme="majorHAnsi"/>
          <w:sz w:val="20"/>
          <w:szCs w:val="20"/>
        </w:rPr>
        <w:t xml:space="preserve">: i) </w:t>
      </w:r>
      <w:r w:rsidRPr="00D3432F">
        <w:rPr>
          <w:rFonts w:asciiTheme="majorHAnsi" w:hAnsiTheme="majorHAnsi"/>
          <w:sz w:val="20"/>
          <w:szCs w:val="20"/>
        </w:rPr>
        <w:t>in</w:t>
      </w:r>
      <w:r w:rsidR="000961D2" w:rsidRPr="00D3432F">
        <w:rPr>
          <w:rFonts w:asciiTheme="majorHAnsi" w:hAnsiTheme="majorHAnsi"/>
          <w:sz w:val="20"/>
          <w:szCs w:val="20"/>
        </w:rPr>
        <w:t xml:space="preserve"> 2002, </w:t>
      </w:r>
      <w:r w:rsidRPr="00D3432F">
        <w:rPr>
          <w:rFonts w:asciiTheme="majorHAnsi" w:hAnsiTheme="majorHAnsi"/>
          <w:sz w:val="20"/>
          <w:szCs w:val="20"/>
        </w:rPr>
        <w:t>the Federal Public Ministry</w:t>
      </w:r>
      <w:r w:rsidR="000961D2" w:rsidRPr="00D3432F">
        <w:rPr>
          <w:rFonts w:asciiTheme="majorHAnsi" w:hAnsiTheme="majorHAnsi"/>
          <w:sz w:val="20"/>
          <w:szCs w:val="20"/>
        </w:rPr>
        <w:t xml:space="preserve"> (MPF), </w:t>
      </w:r>
      <w:r w:rsidR="00DE5EBB" w:rsidRPr="00D3432F">
        <w:rPr>
          <w:rFonts w:asciiTheme="majorHAnsi" w:hAnsiTheme="majorHAnsi"/>
          <w:sz w:val="20"/>
          <w:szCs w:val="20"/>
        </w:rPr>
        <w:t>representing the indigenous interests, initiated public civil action</w:t>
      </w:r>
      <w:r w:rsidR="000961D2" w:rsidRPr="00D3432F">
        <w:rPr>
          <w:rFonts w:asciiTheme="majorHAnsi" w:hAnsiTheme="majorHAnsi"/>
          <w:sz w:val="20"/>
          <w:szCs w:val="20"/>
        </w:rPr>
        <w:t xml:space="preserve"> 2002.37.00.003918-2</w:t>
      </w:r>
      <w:r w:rsidR="00DE5EBB" w:rsidRPr="00D3432F">
        <w:rPr>
          <w:rFonts w:asciiTheme="majorHAnsi" w:hAnsiTheme="majorHAnsi"/>
          <w:sz w:val="20"/>
          <w:szCs w:val="20"/>
        </w:rPr>
        <w:t xml:space="preserve">, seeking demarcation or regularization of the indigenous lands of the </w:t>
      </w:r>
      <w:r w:rsidR="000961D2" w:rsidRPr="00D3432F">
        <w:rPr>
          <w:rFonts w:asciiTheme="majorHAnsi" w:hAnsiTheme="majorHAnsi"/>
          <w:sz w:val="20"/>
          <w:szCs w:val="20"/>
        </w:rPr>
        <w:t>Awá</w:t>
      </w:r>
      <w:r w:rsidR="00DE5EBB" w:rsidRPr="00D3432F">
        <w:rPr>
          <w:rFonts w:asciiTheme="majorHAnsi" w:hAnsiTheme="majorHAnsi"/>
          <w:sz w:val="20"/>
          <w:szCs w:val="20"/>
        </w:rPr>
        <w:t xml:space="preserve"> people, as well as expulsion of the invaders;</w:t>
      </w:r>
      <w:r w:rsidR="000961D2" w:rsidRPr="00D3432F">
        <w:rPr>
          <w:rFonts w:asciiTheme="majorHAnsi" w:hAnsiTheme="majorHAnsi"/>
          <w:sz w:val="20"/>
          <w:szCs w:val="20"/>
        </w:rPr>
        <w:t xml:space="preserve"> ii) </w:t>
      </w:r>
      <w:r w:rsidR="00DE5EBB" w:rsidRPr="00D3432F">
        <w:rPr>
          <w:rFonts w:asciiTheme="majorHAnsi" w:hAnsiTheme="majorHAnsi"/>
          <w:sz w:val="20"/>
          <w:szCs w:val="20"/>
        </w:rPr>
        <w:t>in</w:t>
      </w:r>
      <w:r w:rsidR="000961D2" w:rsidRPr="00D3432F">
        <w:rPr>
          <w:rFonts w:asciiTheme="majorHAnsi" w:hAnsiTheme="majorHAnsi"/>
          <w:sz w:val="20"/>
          <w:szCs w:val="20"/>
        </w:rPr>
        <w:t xml:space="preserve"> 2012, </w:t>
      </w:r>
      <w:r w:rsidR="00DE5EBB" w:rsidRPr="00D3432F">
        <w:rPr>
          <w:rFonts w:asciiTheme="majorHAnsi" w:hAnsiTheme="majorHAnsi"/>
          <w:sz w:val="20"/>
          <w:szCs w:val="20"/>
        </w:rPr>
        <w:t>the Federal Regional Court</w:t>
      </w:r>
      <w:r w:rsidR="000961D2" w:rsidRPr="00D3432F">
        <w:rPr>
          <w:rFonts w:asciiTheme="majorHAnsi" w:hAnsiTheme="majorHAnsi"/>
          <w:sz w:val="20"/>
          <w:szCs w:val="20"/>
        </w:rPr>
        <w:t xml:space="preserve"> (TRF) orde</w:t>
      </w:r>
      <w:r w:rsidR="00DE5EBB" w:rsidRPr="00D3432F">
        <w:rPr>
          <w:rFonts w:asciiTheme="majorHAnsi" w:hAnsiTheme="majorHAnsi"/>
          <w:sz w:val="20"/>
          <w:szCs w:val="20"/>
        </w:rPr>
        <w:t xml:space="preserve">red the demarcation and expulsion of the invaders, but that decision was not implemented. </w:t>
      </w:r>
      <w:r w:rsidR="00DE5EBB" w:rsidRPr="00D3432F">
        <w:rPr>
          <w:rFonts w:asciiTheme="majorHAnsi" w:hAnsiTheme="majorHAnsi"/>
          <w:sz w:val="20"/>
          <w:szCs w:val="20"/>
        </w:rPr>
        <w:lastRenderedPageBreak/>
        <w:t>According to the information provided by the State</w:t>
      </w:r>
      <w:r w:rsidR="000961D2" w:rsidRPr="00D3432F">
        <w:rPr>
          <w:rFonts w:asciiTheme="majorHAnsi" w:hAnsiTheme="majorHAnsi"/>
          <w:sz w:val="20"/>
          <w:szCs w:val="20"/>
        </w:rPr>
        <w:t xml:space="preserve">, </w:t>
      </w:r>
      <w:r w:rsidR="00DE5EBB" w:rsidRPr="00D3432F">
        <w:rPr>
          <w:rFonts w:asciiTheme="majorHAnsi" w:hAnsiTheme="majorHAnsi"/>
          <w:sz w:val="20"/>
          <w:szCs w:val="20"/>
        </w:rPr>
        <w:t>on November 20,</w:t>
      </w:r>
      <w:r w:rsidR="000961D2" w:rsidRPr="00D3432F">
        <w:rPr>
          <w:rFonts w:asciiTheme="majorHAnsi" w:hAnsiTheme="majorHAnsi"/>
          <w:sz w:val="20"/>
          <w:szCs w:val="20"/>
        </w:rPr>
        <w:t xml:space="preserve"> 2015</w:t>
      </w:r>
      <w:r w:rsidR="00DE5EBB" w:rsidRPr="00D3432F">
        <w:rPr>
          <w:rFonts w:asciiTheme="majorHAnsi" w:hAnsiTheme="majorHAnsi"/>
          <w:sz w:val="20"/>
          <w:szCs w:val="20"/>
        </w:rPr>
        <w:t>, the organs of justice adopted the final decision related to this process, which</w:t>
      </w:r>
      <w:r w:rsidR="000961D2" w:rsidRPr="00D3432F">
        <w:rPr>
          <w:rFonts w:asciiTheme="majorHAnsi" w:hAnsiTheme="majorHAnsi"/>
          <w:sz w:val="20"/>
          <w:szCs w:val="20"/>
        </w:rPr>
        <w:t xml:space="preserve"> </w:t>
      </w:r>
      <w:r w:rsidR="00DE5EBB" w:rsidRPr="00D3432F">
        <w:rPr>
          <w:rFonts w:asciiTheme="majorHAnsi" w:hAnsiTheme="majorHAnsi"/>
          <w:sz w:val="20"/>
          <w:szCs w:val="20"/>
        </w:rPr>
        <w:t xml:space="preserve">has </w:t>
      </w:r>
      <w:r w:rsidR="00DE5EBB" w:rsidRPr="00D3432F">
        <w:rPr>
          <w:rFonts w:asciiTheme="majorHAnsi" w:hAnsiTheme="majorHAnsi"/>
          <w:i/>
          <w:iCs/>
          <w:sz w:val="20"/>
          <w:szCs w:val="20"/>
        </w:rPr>
        <w:t>res judicata</w:t>
      </w:r>
      <w:r w:rsidR="00DE5EBB" w:rsidRPr="00D3432F">
        <w:rPr>
          <w:rFonts w:asciiTheme="majorHAnsi" w:hAnsiTheme="majorHAnsi"/>
          <w:sz w:val="20"/>
          <w:szCs w:val="20"/>
        </w:rPr>
        <w:t xml:space="preserve"> status</w:t>
      </w:r>
      <w:r w:rsidR="000961D2" w:rsidRPr="00D3432F">
        <w:rPr>
          <w:rFonts w:asciiTheme="majorHAnsi" w:hAnsiTheme="majorHAnsi"/>
          <w:sz w:val="20"/>
          <w:szCs w:val="20"/>
        </w:rPr>
        <w:t>.</w:t>
      </w:r>
    </w:p>
    <w:p w14:paraId="03CF665D" w14:textId="3A629C2A" w:rsidR="001273C2" w:rsidRPr="00D3432F" w:rsidRDefault="001273C2" w:rsidP="00D3432F">
      <w:pPr>
        <w:pStyle w:val="ListParagraph"/>
        <w:numPr>
          <w:ilvl w:val="0"/>
          <w:numId w:val="1"/>
        </w:numPr>
        <w:spacing w:after="240"/>
        <w:ind w:left="0" w:firstLine="720"/>
        <w:jc w:val="both"/>
        <w:rPr>
          <w:rFonts w:asciiTheme="majorHAnsi" w:hAnsiTheme="majorHAnsi"/>
          <w:sz w:val="20"/>
          <w:szCs w:val="20"/>
        </w:rPr>
      </w:pPr>
      <w:r w:rsidRPr="00D3432F">
        <w:rPr>
          <w:rFonts w:asciiTheme="majorHAnsi" w:hAnsiTheme="majorHAnsi"/>
          <w:sz w:val="20"/>
          <w:szCs w:val="20"/>
        </w:rPr>
        <w:t xml:space="preserve">The State, for its part, alleges that there are several actions filed by one of the petitioning organizations, the </w:t>
      </w:r>
      <w:r w:rsidRPr="00D3432F">
        <w:rPr>
          <w:rFonts w:asciiTheme="majorHAnsi" w:hAnsiTheme="majorHAnsi"/>
          <w:i/>
          <w:iCs/>
          <w:sz w:val="20"/>
          <w:szCs w:val="20"/>
        </w:rPr>
        <w:t>Conselho Indigenista Missionário</w:t>
      </w:r>
      <w:r w:rsidRPr="00D3432F">
        <w:rPr>
          <w:rFonts w:asciiTheme="majorHAnsi" w:hAnsiTheme="majorHAnsi"/>
          <w:sz w:val="20"/>
          <w:szCs w:val="20"/>
        </w:rPr>
        <w:t xml:space="preserve"> (Missionary Indigenous Council), and that the petitioners have not requested reparations for material, moral, and environmental damages in any of their civil suits. It argues that, since these available domestic remedies have not been exhausted, the petition does not comply with the requirement set forth in Article 46.1.a) of the American Convention and should be declared inadmissible.</w:t>
      </w:r>
    </w:p>
    <w:p w14:paraId="4696BE13" w14:textId="77777777" w:rsidR="001273C2" w:rsidRPr="00D3432F" w:rsidRDefault="001273C2" w:rsidP="00D3432F">
      <w:pPr>
        <w:pStyle w:val="ListParagraph"/>
        <w:numPr>
          <w:ilvl w:val="0"/>
          <w:numId w:val="1"/>
        </w:numPr>
        <w:spacing w:after="240"/>
        <w:ind w:left="0" w:firstLine="720"/>
        <w:jc w:val="both"/>
        <w:rPr>
          <w:rFonts w:asciiTheme="majorHAnsi" w:hAnsiTheme="majorHAnsi"/>
          <w:sz w:val="20"/>
          <w:szCs w:val="20"/>
        </w:rPr>
      </w:pPr>
      <w:r w:rsidRPr="00D3432F">
        <w:rPr>
          <w:rFonts w:asciiTheme="majorHAnsi" w:hAnsiTheme="majorHAnsi"/>
          <w:sz w:val="20"/>
          <w:szCs w:val="20"/>
        </w:rPr>
        <w:t>The Commission observes that the requirement of exhaustion of domestic remedies demands that adequate and effective remedies be used to address the alleged violations. In this regard, the public civil action filed in 2002 by the MPF sought the demarcation and protection of the Awá indigenous lands, as well as the expulsion of invaders, which are central issues in this petition. That action culminated in a final decision on November 20, 2015.</w:t>
      </w:r>
    </w:p>
    <w:p w14:paraId="3C09ECC9" w14:textId="204BA6F2" w:rsidR="001273C2" w:rsidRPr="00D3432F" w:rsidRDefault="001273C2" w:rsidP="00D3432F">
      <w:pPr>
        <w:pStyle w:val="ListParagraph"/>
        <w:numPr>
          <w:ilvl w:val="0"/>
          <w:numId w:val="1"/>
        </w:numPr>
        <w:spacing w:after="240"/>
        <w:ind w:left="0" w:firstLine="720"/>
        <w:jc w:val="both"/>
        <w:rPr>
          <w:rFonts w:asciiTheme="majorHAnsi" w:hAnsiTheme="majorHAnsi"/>
          <w:sz w:val="20"/>
          <w:szCs w:val="20"/>
        </w:rPr>
      </w:pPr>
      <w:r w:rsidRPr="00D3432F">
        <w:rPr>
          <w:rFonts w:asciiTheme="majorHAnsi" w:hAnsiTheme="majorHAnsi"/>
          <w:sz w:val="20"/>
          <w:szCs w:val="20"/>
        </w:rPr>
        <w:t>Regarding the other actions mentioned by the State and allegedly filed by CIMI, the Commission notes that the State has not provided specific details about their content, procedural status, or direct relevance to the violations alleged in this petition. Furthermore, regarding the lack of requests for reparations for material, moral, and environmental damages, the Commission considers that the main object of the petition is the protection of the territorial and cultural rights of the Awá people. The absence of compensation claims in domestic proceedings does not preclude considering domestic remedies pertinent to the purposes of this petition as exhausted.</w:t>
      </w:r>
    </w:p>
    <w:p w14:paraId="4ADB3641" w14:textId="6D586B0A" w:rsidR="000961D2" w:rsidRPr="00D3432F" w:rsidRDefault="001273C2" w:rsidP="00D3432F">
      <w:pPr>
        <w:pStyle w:val="ListParagraph"/>
        <w:numPr>
          <w:ilvl w:val="0"/>
          <w:numId w:val="1"/>
        </w:numPr>
        <w:spacing w:after="240"/>
        <w:ind w:left="0" w:firstLine="720"/>
        <w:jc w:val="both"/>
        <w:rPr>
          <w:sz w:val="20"/>
          <w:szCs w:val="20"/>
        </w:rPr>
      </w:pPr>
      <w:r w:rsidRPr="00D3432F">
        <w:rPr>
          <w:rFonts w:asciiTheme="majorHAnsi" w:hAnsiTheme="majorHAnsi"/>
          <w:sz w:val="20"/>
          <w:szCs w:val="20"/>
        </w:rPr>
        <w:t xml:space="preserve">Therefore, the Commission concludes that domestic remedies have been exhausted in relation to the principal claims of the petition, and that this petition complies with the requirement set forth in Article 46.1.a) of the American Convention. </w:t>
      </w:r>
      <w:r w:rsidR="00463203" w:rsidRPr="00D3432F">
        <w:rPr>
          <w:rFonts w:asciiTheme="majorHAnsi" w:hAnsiTheme="majorHAnsi"/>
          <w:sz w:val="20"/>
          <w:szCs w:val="20"/>
        </w:rPr>
        <w:t xml:space="preserve">With regard to the timeliness of submission, considering that the cited final resolution was adopted </w:t>
      </w:r>
      <w:r w:rsidR="00131936" w:rsidRPr="00D3432F">
        <w:rPr>
          <w:rFonts w:asciiTheme="majorHAnsi" w:hAnsiTheme="majorHAnsi"/>
          <w:sz w:val="20"/>
          <w:szCs w:val="20"/>
        </w:rPr>
        <w:t>while</w:t>
      </w:r>
      <w:r w:rsidR="00463203" w:rsidRPr="00D3432F">
        <w:rPr>
          <w:rFonts w:asciiTheme="majorHAnsi" w:hAnsiTheme="majorHAnsi"/>
          <w:sz w:val="20"/>
          <w:szCs w:val="20"/>
        </w:rPr>
        <w:t xml:space="preserve"> the current review was being evaluated for admissibility, there is also compliance with the timing requirement established in Article</w:t>
      </w:r>
      <w:r w:rsidR="000961D2" w:rsidRPr="00D3432F">
        <w:rPr>
          <w:sz w:val="20"/>
          <w:szCs w:val="20"/>
        </w:rPr>
        <w:t xml:space="preserve"> 46.1.b) </w:t>
      </w:r>
      <w:r w:rsidR="00463203" w:rsidRPr="00D3432F">
        <w:rPr>
          <w:sz w:val="20"/>
          <w:szCs w:val="20"/>
        </w:rPr>
        <w:t>of the Convention</w:t>
      </w:r>
      <w:r w:rsidR="000961D2" w:rsidRPr="00D3432F">
        <w:rPr>
          <w:sz w:val="20"/>
          <w:szCs w:val="20"/>
        </w:rPr>
        <w:t xml:space="preserve">. </w:t>
      </w:r>
      <w:bookmarkStart w:id="2" w:name="_Hlk144994399"/>
    </w:p>
    <w:p w14:paraId="56BD353A" w14:textId="40861BD7" w:rsidR="000961D2" w:rsidRPr="00D3432F" w:rsidRDefault="000961D2" w:rsidP="00D3432F">
      <w:pPr>
        <w:pStyle w:val="ListParagraph"/>
        <w:keepNext/>
        <w:spacing w:after="240"/>
        <w:ind w:left="0" w:firstLine="720"/>
        <w:jc w:val="both"/>
        <w:rPr>
          <w:rFonts w:asciiTheme="majorHAnsi" w:hAnsiTheme="majorHAnsi"/>
          <w:b/>
          <w:bCs/>
          <w:sz w:val="20"/>
          <w:szCs w:val="20"/>
        </w:rPr>
      </w:pPr>
      <w:r w:rsidRPr="00D3432F">
        <w:rPr>
          <w:rFonts w:asciiTheme="majorHAnsi" w:hAnsiTheme="majorHAnsi"/>
          <w:b/>
          <w:sz w:val="20"/>
          <w:szCs w:val="20"/>
        </w:rPr>
        <w:t xml:space="preserve">VII. </w:t>
      </w:r>
      <w:r w:rsidRPr="00D3432F">
        <w:rPr>
          <w:rFonts w:asciiTheme="majorHAnsi" w:hAnsiTheme="majorHAnsi"/>
          <w:b/>
          <w:sz w:val="20"/>
          <w:szCs w:val="20"/>
        </w:rPr>
        <w:tab/>
      </w:r>
      <w:r w:rsidR="00BF5445" w:rsidRPr="00D3432F">
        <w:rPr>
          <w:rFonts w:asciiTheme="majorHAnsi" w:hAnsiTheme="majorHAnsi"/>
          <w:b/>
          <w:bCs/>
          <w:sz w:val="20"/>
          <w:szCs w:val="20"/>
        </w:rPr>
        <w:t>CHARACTERIZATION OF THE ALLEGED FACTS</w:t>
      </w:r>
    </w:p>
    <w:p w14:paraId="33AFD534" w14:textId="72C8D6F6" w:rsidR="000961D2" w:rsidRPr="00D3432F" w:rsidRDefault="00463203" w:rsidP="00D3432F">
      <w:pPr>
        <w:pStyle w:val="ListParagraph"/>
        <w:numPr>
          <w:ilvl w:val="0"/>
          <w:numId w:val="1"/>
        </w:numPr>
        <w:spacing w:after="240"/>
        <w:ind w:left="0" w:firstLine="720"/>
        <w:jc w:val="both"/>
        <w:rPr>
          <w:sz w:val="20"/>
          <w:szCs w:val="20"/>
        </w:rPr>
      </w:pPr>
      <w:r w:rsidRPr="00D3432F">
        <w:rPr>
          <w:sz w:val="20"/>
          <w:szCs w:val="20"/>
        </w:rPr>
        <w:t>Firstly, the Commission reiterates that the criterion of evaluation in the admissibility phase differs from that used to rule on the merits of a petition; in this phase the IACHR must perform a</w:t>
      </w:r>
      <w:r w:rsidR="000961D2" w:rsidRPr="00D3432F">
        <w:rPr>
          <w:sz w:val="20"/>
          <w:szCs w:val="20"/>
        </w:rPr>
        <w:t xml:space="preserve"> </w:t>
      </w:r>
      <w:r w:rsidR="000961D2" w:rsidRPr="00D3432F">
        <w:rPr>
          <w:i/>
          <w:iCs/>
          <w:sz w:val="20"/>
          <w:szCs w:val="20"/>
        </w:rPr>
        <w:t>prima facie</w:t>
      </w:r>
      <w:r w:rsidR="000961D2" w:rsidRPr="00D3432F">
        <w:rPr>
          <w:sz w:val="20"/>
          <w:szCs w:val="20"/>
        </w:rPr>
        <w:t xml:space="preserve"> </w:t>
      </w:r>
      <w:r w:rsidRPr="00D3432F">
        <w:rPr>
          <w:sz w:val="20"/>
          <w:szCs w:val="20"/>
        </w:rPr>
        <w:t>evaluation to determine whether a petition establishes the basis for a possible or potential violation of a right guaranteed by the Convention, but not to establish</w:t>
      </w:r>
      <w:r w:rsidR="00EA0589" w:rsidRPr="00D3432F">
        <w:rPr>
          <w:sz w:val="20"/>
          <w:szCs w:val="20"/>
        </w:rPr>
        <w:t xml:space="preserve"> the existence of a violation of rights. This determination regarding the characterization of violations of the American Convention constitutes a preliminary analysis, which does not imply </w:t>
      </w:r>
      <w:r w:rsidR="00131936" w:rsidRPr="00D3432F">
        <w:rPr>
          <w:sz w:val="20"/>
          <w:szCs w:val="20"/>
        </w:rPr>
        <w:t>prejudging</w:t>
      </w:r>
      <w:r w:rsidR="00EA0589" w:rsidRPr="00D3432F">
        <w:rPr>
          <w:sz w:val="20"/>
          <w:szCs w:val="20"/>
        </w:rPr>
        <w:t xml:space="preserve"> the merits of the case. For purposes of admissibility, the Commission must decide whether the facts alleged could characterize a violation of rights, as stipulated in Article</w:t>
      </w:r>
      <w:r w:rsidR="000961D2" w:rsidRPr="00D3432F">
        <w:rPr>
          <w:sz w:val="20"/>
          <w:szCs w:val="20"/>
        </w:rPr>
        <w:t xml:space="preserve"> 47.b) </w:t>
      </w:r>
      <w:r w:rsidR="00EA0589" w:rsidRPr="00D3432F">
        <w:rPr>
          <w:sz w:val="20"/>
          <w:szCs w:val="20"/>
        </w:rPr>
        <w:t>of the American Convention or if the petition is</w:t>
      </w:r>
      <w:r w:rsidR="000961D2" w:rsidRPr="00D3432F">
        <w:rPr>
          <w:sz w:val="20"/>
          <w:szCs w:val="20"/>
        </w:rPr>
        <w:t xml:space="preserve"> “</w:t>
      </w:r>
      <w:r w:rsidR="00EA0589" w:rsidRPr="00D3432F">
        <w:rPr>
          <w:sz w:val="20"/>
          <w:szCs w:val="20"/>
        </w:rPr>
        <w:t xml:space="preserve">manifestly groundless” </w:t>
      </w:r>
      <w:r w:rsidR="008E0B9D" w:rsidRPr="00D3432F">
        <w:rPr>
          <w:sz w:val="20"/>
          <w:szCs w:val="20"/>
        </w:rPr>
        <w:t>or “</w:t>
      </w:r>
      <w:r w:rsidR="00EA0589" w:rsidRPr="00D3432F">
        <w:rPr>
          <w:sz w:val="20"/>
          <w:szCs w:val="20"/>
        </w:rPr>
        <w:t>obviously out of order,”</w:t>
      </w:r>
      <w:r w:rsidR="000961D2" w:rsidRPr="00D3432F">
        <w:rPr>
          <w:sz w:val="20"/>
          <w:szCs w:val="20"/>
        </w:rPr>
        <w:t xml:space="preserve"> </w:t>
      </w:r>
      <w:r w:rsidR="00EA0589" w:rsidRPr="00D3432F">
        <w:rPr>
          <w:sz w:val="20"/>
          <w:szCs w:val="20"/>
        </w:rPr>
        <w:t>in accordance with Article</w:t>
      </w:r>
      <w:r w:rsidR="000961D2" w:rsidRPr="00D3432F">
        <w:rPr>
          <w:sz w:val="20"/>
          <w:szCs w:val="20"/>
        </w:rPr>
        <w:t xml:space="preserve"> 47.c) </w:t>
      </w:r>
      <w:r w:rsidR="00EA0589" w:rsidRPr="00D3432F">
        <w:rPr>
          <w:sz w:val="20"/>
          <w:szCs w:val="20"/>
        </w:rPr>
        <w:t>of the American Convention</w:t>
      </w:r>
      <w:r w:rsidR="000961D2" w:rsidRPr="00D3432F">
        <w:rPr>
          <w:sz w:val="20"/>
          <w:szCs w:val="20"/>
        </w:rPr>
        <w:t>.</w:t>
      </w:r>
    </w:p>
    <w:p w14:paraId="7B92EB47" w14:textId="269B520A" w:rsidR="000961D2" w:rsidRPr="00D3432F" w:rsidRDefault="00EA0589" w:rsidP="00D3432F">
      <w:pPr>
        <w:pStyle w:val="ListParagraph"/>
        <w:numPr>
          <w:ilvl w:val="0"/>
          <w:numId w:val="1"/>
        </w:numPr>
        <w:spacing w:after="240"/>
        <w:ind w:left="0" w:firstLine="720"/>
        <w:jc w:val="both"/>
        <w:rPr>
          <w:sz w:val="20"/>
          <w:szCs w:val="20"/>
        </w:rPr>
      </w:pPr>
      <w:r w:rsidRPr="00D3432F">
        <w:rPr>
          <w:sz w:val="20"/>
          <w:szCs w:val="20"/>
        </w:rPr>
        <w:t>The petitioner denounce</w:t>
      </w:r>
      <w:r w:rsidR="00131936" w:rsidRPr="00D3432F">
        <w:rPr>
          <w:sz w:val="20"/>
          <w:szCs w:val="20"/>
        </w:rPr>
        <w:t>s</w:t>
      </w:r>
      <w:r w:rsidRPr="00D3432F">
        <w:rPr>
          <w:sz w:val="20"/>
          <w:szCs w:val="20"/>
        </w:rPr>
        <w:t xml:space="preserve"> the partial and inadequate demarcation of the indigenous lands of the </w:t>
      </w:r>
      <w:r w:rsidR="000961D2" w:rsidRPr="00D3432F">
        <w:rPr>
          <w:sz w:val="20"/>
          <w:szCs w:val="20"/>
        </w:rPr>
        <w:t>Awá</w:t>
      </w:r>
      <w:r w:rsidRPr="00D3432F">
        <w:rPr>
          <w:sz w:val="20"/>
          <w:szCs w:val="20"/>
        </w:rPr>
        <w:t xml:space="preserve"> people and the lack of territorial security, which allowed the continued presence of invaders in their territories. For its part, the State argues that the </w:t>
      </w:r>
      <w:r w:rsidR="0013102B" w:rsidRPr="00D3432F">
        <w:rPr>
          <w:sz w:val="20"/>
          <w:szCs w:val="20"/>
        </w:rPr>
        <w:t>petition</w:t>
      </w:r>
      <w:r w:rsidRPr="00D3432F">
        <w:rPr>
          <w:sz w:val="20"/>
          <w:szCs w:val="20"/>
        </w:rPr>
        <w:t xml:space="preserve"> is manifestly groundless, in that:</w:t>
      </w:r>
      <w:r w:rsidR="000961D2" w:rsidRPr="00D3432F">
        <w:rPr>
          <w:sz w:val="20"/>
          <w:szCs w:val="20"/>
        </w:rPr>
        <w:t xml:space="preserve"> i) </w:t>
      </w:r>
      <w:r w:rsidRPr="00D3432F">
        <w:rPr>
          <w:sz w:val="20"/>
          <w:szCs w:val="20"/>
        </w:rPr>
        <w:t xml:space="preserve">construction of the </w:t>
      </w:r>
      <w:r w:rsidR="000961D2" w:rsidRPr="00D3432F">
        <w:rPr>
          <w:sz w:val="20"/>
          <w:szCs w:val="20"/>
        </w:rPr>
        <w:t xml:space="preserve">Carajás </w:t>
      </w:r>
      <w:r w:rsidRPr="00D3432F">
        <w:rPr>
          <w:sz w:val="20"/>
          <w:szCs w:val="20"/>
        </w:rPr>
        <w:t>railroad benefited the indigenous people</w:t>
      </w:r>
      <w:r w:rsidR="000961D2" w:rsidRPr="00D3432F">
        <w:rPr>
          <w:sz w:val="20"/>
          <w:szCs w:val="20"/>
        </w:rPr>
        <w:t xml:space="preserve">, ii) </w:t>
      </w:r>
      <w:r w:rsidRPr="00D3432F">
        <w:rPr>
          <w:sz w:val="20"/>
          <w:szCs w:val="20"/>
        </w:rPr>
        <w:t>the indigenous territories mentioned by the petitioner were already demarcated, and</w:t>
      </w:r>
      <w:r w:rsidR="000961D2" w:rsidRPr="00D3432F">
        <w:rPr>
          <w:sz w:val="20"/>
          <w:szCs w:val="20"/>
        </w:rPr>
        <w:t xml:space="preserve"> iii) </w:t>
      </w:r>
      <w:r w:rsidRPr="00D3432F">
        <w:rPr>
          <w:sz w:val="20"/>
          <w:szCs w:val="20"/>
        </w:rPr>
        <w:t xml:space="preserve">the authorities promoted the </w:t>
      </w:r>
      <w:r w:rsidR="0013102B" w:rsidRPr="00D3432F">
        <w:rPr>
          <w:sz w:val="20"/>
          <w:szCs w:val="20"/>
        </w:rPr>
        <w:t>expulsion</w:t>
      </w:r>
      <w:r w:rsidRPr="00D3432F">
        <w:rPr>
          <w:sz w:val="20"/>
          <w:szCs w:val="20"/>
        </w:rPr>
        <w:t xml:space="preserve"> of the </w:t>
      </w:r>
      <w:r w:rsidR="0013102B" w:rsidRPr="00D3432F">
        <w:rPr>
          <w:sz w:val="20"/>
          <w:szCs w:val="20"/>
        </w:rPr>
        <w:t>invaders</w:t>
      </w:r>
      <w:r w:rsidRPr="00D3432F">
        <w:rPr>
          <w:sz w:val="20"/>
          <w:szCs w:val="20"/>
        </w:rPr>
        <w:t xml:space="preserve"> from the </w:t>
      </w:r>
      <w:r w:rsidR="000961D2" w:rsidRPr="00D3432F">
        <w:rPr>
          <w:sz w:val="20"/>
          <w:szCs w:val="20"/>
        </w:rPr>
        <w:t xml:space="preserve">Awá </w:t>
      </w:r>
      <w:r w:rsidRPr="00D3432F">
        <w:rPr>
          <w:sz w:val="20"/>
          <w:szCs w:val="20"/>
        </w:rPr>
        <w:t>lands in</w:t>
      </w:r>
      <w:r w:rsidR="000961D2" w:rsidRPr="00D3432F">
        <w:rPr>
          <w:sz w:val="20"/>
          <w:szCs w:val="20"/>
        </w:rPr>
        <w:t xml:space="preserve"> 2014. </w:t>
      </w:r>
    </w:p>
    <w:p w14:paraId="4E58F642" w14:textId="6FBF642F" w:rsidR="000961D2" w:rsidRPr="00D3432F" w:rsidRDefault="00EA0589" w:rsidP="00D3432F">
      <w:pPr>
        <w:pStyle w:val="ListParagraph"/>
        <w:numPr>
          <w:ilvl w:val="0"/>
          <w:numId w:val="1"/>
        </w:numPr>
        <w:spacing w:after="240"/>
        <w:ind w:left="0" w:firstLine="720"/>
        <w:jc w:val="both"/>
        <w:rPr>
          <w:sz w:val="20"/>
          <w:szCs w:val="20"/>
        </w:rPr>
      </w:pPr>
      <w:r w:rsidRPr="00D3432F">
        <w:rPr>
          <w:sz w:val="20"/>
          <w:szCs w:val="20"/>
        </w:rPr>
        <w:t xml:space="preserve">The Commission notes that, according </w:t>
      </w:r>
      <w:r w:rsidR="0013102B" w:rsidRPr="00D3432F">
        <w:rPr>
          <w:sz w:val="20"/>
          <w:szCs w:val="20"/>
        </w:rPr>
        <w:t xml:space="preserve">to </w:t>
      </w:r>
      <w:r w:rsidRPr="00D3432F">
        <w:rPr>
          <w:sz w:val="20"/>
          <w:szCs w:val="20"/>
        </w:rPr>
        <w:t xml:space="preserve">the facts related, the lands of the </w:t>
      </w:r>
      <w:r w:rsidR="000961D2" w:rsidRPr="00D3432F">
        <w:rPr>
          <w:sz w:val="20"/>
          <w:szCs w:val="20"/>
        </w:rPr>
        <w:t xml:space="preserve">Awá </w:t>
      </w:r>
      <w:r w:rsidR="00FF35E2" w:rsidRPr="00D3432F">
        <w:rPr>
          <w:sz w:val="20"/>
          <w:szCs w:val="20"/>
        </w:rPr>
        <w:t xml:space="preserve">indigenous people cover the territories known by the State as </w:t>
      </w:r>
      <w:r w:rsidR="000961D2" w:rsidRPr="00D3432F">
        <w:rPr>
          <w:sz w:val="20"/>
          <w:szCs w:val="20"/>
        </w:rPr>
        <w:t>Caru, Alto Turiaçu, Araribóia</w:t>
      </w:r>
      <w:r w:rsidR="00FF35E2" w:rsidRPr="00D3432F">
        <w:rPr>
          <w:sz w:val="20"/>
          <w:szCs w:val="20"/>
        </w:rPr>
        <w:t>, and</w:t>
      </w:r>
      <w:r w:rsidR="000961D2" w:rsidRPr="00D3432F">
        <w:rPr>
          <w:sz w:val="20"/>
          <w:szCs w:val="20"/>
        </w:rPr>
        <w:t xml:space="preserve"> Awá. </w:t>
      </w:r>
      <w:r w:rsidR="00FF35E2" w:rsidRPr="00D3432F">
        <w:rPr>
          <w:sz w:val="20"/>
          <w:szCs w:val="20"/>
        </w:rPr>
        <w:t xml:space="preserve">According to the State, these </w:t>
      </w:r>
      <w:r w:rsidR="0013102B" w:rsidRPr="00D3432F">
        <w:rPr>
          <w:sz w:val="20"/>
          <w:szCs w:val="20"/>
        </w:rPr>
        <w:t>territories</w:t>
      </w:r>
      <w:r w:rsidR="00FF35E2" w:rsidRPr="00D3432F">
        <w:rPr>
          <w:sz w:val="20"/>
          <w:szCs w:val="20"/>
        </w:rPr>
        <w:t xml:space="preserve"> were approved and demarcated, respectively, in</w:t>
      </w:r>
      <w:r w:rsidR="000961D2" w:rsidRPr="00D3432F">
        <w:rPr>
          <w:sz w:val="20"/>
          <w:szCs w:val="20"/>
        </w:rPr>
        <w:t xml:space="preserve"> 1982, 1988, 199</w:t>
      </w:r>
      <w:r w:rsidR="00FF35E2" w:rsidRPr="00D3432F">
        <w:rPr>
          <w:sz w:val="20"/>
          <w:szCs w:val="20"/>
        </w:rPr>
        <w:t>0, and</w:t>
      </w:r>
      <w:r w:rsidR="000961D2" w:rsidRPr="00D3432F">
        <w:rPr>
          <w:sz w:val="20"/>
          <w:szCs w:val="20"/>
        </w:rPr>
        <w:t xml:space="preserve"> 2005. </w:t>
      </w:r>
      <w:r w:rsidR="00FF35E2" w:rsidRPr="00D3432F">
        <w:rPr>
          <w:sz w:val="20"/>
          <w:szCs w:val="20"/>
        </w:rPr>
        <w:t xml:space="preserve">However, the </w:t>
      </w:r>
      <w:r w:rsidR="000961D2" w:rsidRPr="00D3432F">
        <w:rPr>
          <w:sz w:val="20"/>
          <w:szCs w:val="20"/>
        </w:rPr>
        <w:t xml:space="preserve">MPF, </w:t>
      </w:r>
      <w:r w:rsidR="00FF35E2" w:rsidRPr="00D3432F">
        <w:rPr>
          <w:sz w:val="20"/>
          <w:szCs w:val="20"/>
        </w:rPr>
        <w:t xml:space="preserve">the State body that represents the interests and rights of the </w:t>
      </w:r>
      <w:r w:rsidR="000961D2" w:rsidRPr="00D3432F">
        <w:rPr>
          <w:sz w:val="20"/>
          <w:szCs w:val="20"/>
        </w:rPr>
        <w:t xml:space="preserve">Awá </w:t>
      </w:r>
      <w:r w:rsidR="00FF35E2" w:rsidRPr="00D3432F">
        <w:rPr>
          <w:sz w:val="20"/>
          <w:szCs w:val="20"/>
        </w:rPr>
        <w:t>indigenous people before the courts, presented a public civil action in</w:t>
      </w:r>
      <w:r w:rsidR="000961D2" w:rsidRPr="00D3432F">
        <w:rPr>
          <w:sz w:val="20"/>
          <w:szCs w:val="20"/>
        </w:rPr>
        <w:t xml:space="preserve"> 2002 </w:t>
      </w:r>
      <w:r w:rsidR="00FF35E2" w:rsidRPr="00D3432F">
        <w:rPr>
          <w:sz w:val="20"/>
          <w:szCs w:val="20"/>
        </w:rPr>
        <w:t>to</w:t>
      </w:r>
      <w:r w:rsidR="000961D2" w:rsidRPr="00D3432F">
        <w:rPr>
          <w:sz w:val="20"/>
          <w:szCs w:val="20"/>
        </w:rPr>
        <w:t xml:space="preserve"> </w:t>
      </w:r>
      <w:r w:rsidR="00FF35E2" w:rsidRPr="00D3432F">
        <w:rPr>
          <w:sz w:val="20"/>
          <w:szCs w:val="20"/>
        </w:rPr>
        <w:t xml:space="preserve">claim both the failure to demarcate the </w:t>
      </w:r>
      <w:r w:rsidR="000961D2" w:rsidRPr="00D3432F">
        <w:rPr>
          <w:sz w:val="20"/>
          <w:szCs w:val="20"/>
        </w:rPr>
        <w:t xml:space="preserve">Awá </w:t>
      </w:r>
      <w:r w:rsidR="00FF35E2" w:rsidRPr="00D3432F">
        <w:rPr>
          <w:sz w:val="20"/>
          <w:szCs w:val="20"/>
        </w:rPr>
        <w:t xml:space="preserve">territory and the lack of </w:t>
      </w:r>
      <w:r w:rsidR="00FF35E2" w:rsidRPr="00D3432F">
        <w:rPr>
          <w:sz w:val="20"/>
          <w:szCs w:val="20"/>
        </w:rPr>
        <w:lastRenderedPageBreak/>
        <w:t xml:space="preserve">security and presence of </w:t>
      </w:r>
      <w:r w:rsidR="00FA02B4" w:rsidRPr="00D3432F">
        <w:rPr>
          <w:sz w:val="20"/>
          <w:szCs w:val="20"/>
        </w:rPr>
        <w:t>invaders</w:t>
      </w:r>
      <w:r w:rsidR="00FF35E2" w:rsidRPr="00D3432F">
        <w:rPr>
          <w:sz w:val="20"/>
          <w:szCs w:val="20"/>
        </w:rPr>
        <w:t xml:space="preserve"> throughout all the </w:t>
      </w:r>
      <w:r w:rsidR="008E0B9D" w:rsidRPr="00D3432F">
        <w:rPr>
          <w:sz w:val="20"/>
          <w:szCs w:val="20"/>
        </w:rPr>
        <w:t>indigenous lands</w:t>
      </w:r>
      <w:r w:rsidR="00FF35E2" w:rsidRPr="00D3432F">
        <w:rPr>
          <w:sz w:val="20"/>
          <w:szCs w:val="20"/>
        </w:rPr>
        <w:t>. During this judicial action, in</w:t>
      </w:r>
      <w:r w:rsidR="000961D2" w:rsidRPr="00D3432F">
        <w:rPr>
          <w:sz w:val="20"/>
          <w:szCs w:val="20"/>
        </w:rPr>
        <w:t xml:space="preserve"> 2012 </w:t>
      </w:r>
      <w:r w:rsidR="00FF35E2" w:rsidRPr="00D3432F">
        <w:rPr>
          <w:sz w:val="20"/>
          <w:szCs w:val="20"/>
        </w:rPr>
        <w:t>the</w:t>
      </w:r>
      <w:r w:rsidR="000961D2" w:rsidRPr="00D3432F">
        <w:rPr>
          <w:sz w:val="20"/>
          <w:szCs w:val="20"/>
        </w:rPr>
        <w:t xml:space="preserve"> TRF1 determi</w:t>
      </w:r>
      <w:r w:rsidR="00FF35E2" w:rsidRPr="00D3432F">
        <w:rPr>
          <w:sz w:val="20"/>
          <w:szCs w:val="20"/>
        </w:rPr>
        <w:t xml:space="preserve">ned that the demarcation </w:t>
      </w:r>
      <w:r w:rsidR="00FA02B4" w:rsidRPr="00D3432F">
        <w:rPr>
          <w:sz w:val="20"/>
          <w:szCs w:val="20"/>
        </w:rPr>
        <w:t>and</w:t>
      </w:r>
      <w:r w:rsidR="00FF35E2" w:rsidRPr="00D3432F">
        <w:rPr>
          <w:sz w:val="20"/>
          <w:szCs w:val="20"/>
        </w:rPr>
        <w:t xml:space="preserve"> expulsion of the invaders would be realized. With respect to this last point, the dispute between the parties is that, for the State, the decision was enforced in</w:t>
      </w:r>
      <w:r w:rsidR="000961D2" w:rsidRPr="00D3432F">
        <w:rPr>
          <w:sz w:val="20"/>
          <w:szCs w:val="20"/>
        </w:rPr>
        <w:t xml:space="preserve"> 2014, </w:t>
      </w:r>
      <w:r w:rsidR="00FF35E2" w:rsidRPr="00D3432F">
        <w:rPr>
          <w:sz w:val="20"/>
          <w:szCs w:val="20"/>
        </w:rPr>
        <w:t xml:space="preserve">the year when the </w:t>
      </w:r>
      <w:r w:rsidR="000961D2" w:rsidRPr="00D3432F">
        <w:rPr>
          <w:sz w:val="20"/>
          <w:szCs w:val="20"/>
        </w:rPr>
        <w:t xml:space="preserve">Awá </w:t>
      </w:r>
      <w:r w:rsidR="00FF35E2" w:rsidRPr="00D3432F">
        <w:rPr>
          <w:sz w:val="20"/>
          <w:szCs w:val="20"/>
        </w:rPr>
        <w:t>received the “notification of expulsion” from the government</w:t>
      </w:r>
      <w:r w:rsidR="00FA02B4" w:rsidRPr="00D3432F">
        <w:rPr>
          <w:sz w:val="20"/>
          <w:szCs w:val="20"/>
        </w:rPr>
        <w:t>,</w:t>
      </w:r>
      <w:r w:rsidR="00FF35E2" w:rsidRPr="00D3432F">
        <w:rPr>
          <w:sz w:val="20"/>
          <w:szCs w:val="20"/>
        </w:rPr>
        <w:t xml:space="preserve"> whereas, for the petitioner, the decision has not been enforced.</w:t>
      </w:r>
    </w:p>
    <w:p w14:paraId="45EC185E" w14:textId="73330F16" w:rsidR="000961D2" w:rsidRPr="00D3432F" w:rsidRDefault="00FF35E2" w:rsidP="00D3432F">
      <w:pPr>
        <w:pStyle w:val="ListParagraph"/>
        <w:numPr>
          <w:ilvl w:val="0"/>
          <w:numId w:val="1"/>
        </w:numPr>
        <w:spacing w:after="240"/>
        <w:ind w:left="0" w:firstLine="720"/>
        <w:jc w:val="both"/>
        <w:rPr>
          <w:sz w:val="20"/>
          <w:szCs w:val="20"/>
        </w:rPr>
      </w:pPr>
      <w:r w:rsidRPr="00D3432F">
        <w:rPr>
          <w:sz w:val="20"/>
          <w:szCs w:val="20"/>
        </w:rPr>
        <w:t xml:space="preserve">Taking the above into </w:t>
      </w:r>
      <w:r w:rsidR="00FA02B4" w:rsidRPr="00D3432F">
        <w:rPr>
          <w:sz w:val="20"/>
          <w:szCs w:val="20"/>
        </w:rPr>
        <w:t>account</w:t>
      </w:r>
      <w:r w:rsidRPr="00D3432F">
        <w:rPr>
          <w:sz w:val="20"/>
          <w:szCs w:val="20"/>
        </w:rPr>
        <w:t>, the facts reported are not clearly groundless and merit analysis in the merits phase. There is evidence that implementation of the property rights regarding all the indigenous Awá lands was affected by tardy demarcation and the persistent presence of non-indigenous occupiers or invaders. With respect to this last point, the IACHR emphasize</w:t>
      </w:r>
      <w:r w:rsidR="00FA02B4" w:rsidRPr="00D3432F">
        <w:rPr>
          <w:sz w:val="20"/>
          <w:szCs w:val="20"/>
        </w:rPr>
        <w:t>s</w:t>
      </w:r>
      <w:r w:rsidRPr="00D3432F">
        <w:rPr>
          <w:sz w:val="20"/>
          <w:szCs w:val="20"/>
        </w:rPr>
        <w:t xml:space="preserve"> that although the State asserts that the invaders were expelled in</w:t>
      </w:r>
      <w:r w:rsidR="000961D2" w:rsidRPr="00D3432F">
        <w:rPr>
          <w:sz w:val="20"/>
          <w:szCs w:val="20"/>
        </w:rPr>
        <w:t xml:space="preserve"> 2014, </w:t>
      </w:r>
      <w:r w:rsidR="00E867F6" w:rsidRPr="00D3432F">
        <w:rPr>
          <w:sz w:val="20"/>
          <w:szCs w:val="20"/>
        </w:rPr>
        <w:t xml:space="preserve">the precautionary measures mechanism of the IACHR adopted a resolution in </w:t>
      </w:r>
      <w:r w:rsidR="000961D2" w:rsidRPr="00D3432F">
        <w:rPr>
          <w:sz w:val="20"/>
          <w:szCs w:val="20"/>
        </w:rPr>
        <w:t xml:space="preserve">2021 </w:t>
      </w:r>
      <w:r w:rsidR="00E867F6" w:rsidRPr="00D3432F">
        <w:rPr>
          <w:sz w:val="20"/>
          <w:szCs w:val="20"/>
        </w:rPr>
        <w:t xml:space="preserve">referring, among other matters, to the continued presence of </w:t>
      </w:r>
      <w:r w:rsidR="00FA02B4" w:rsidRPr="00D3432F">
        <w:rPr>
          <w:sz w:val="20"/>
          <w:szCs w:val="20"/>
        </w:rPr>
        <w:t>invaders</w:t>
      </w:r>
      <w:r w:rsidR="00E867F6" w:rsidRPr="00D3432F">
        <w:rPr>
          <w:sz w:val="20"/>
          <w:szCs w:val="20"/>
        </w:rPr>
        <w:t xml:space="preserve"> in one of the indigenous lands of the</w:t>
      </w:r>
      <w:r w:rsidR="000961D2" w:rsidRPr="00D3432F">
        <w:rPr>
          <w:sz w:val="20"/>
          <w:szCs w:val="20"/>
        </w:rPr>
        <w:t xml:space="preserve"> Awá</w:t>
      </w:r>
      <w:r w:rsidR="00E867F6" w:rsidRPr="00D3432F">
        <w:rPr>
          <w:sz w:val="20"/>
          <w:szCs w:val="20"/>
        </w:rPr>
        <w:t xml:space="preserve"> people.</w:t>
      </w:r>
      <w:r w:rsidR="000961D2" w:rsidRPr="00D3432F">
        <w:rPr>
          <w:rFonts w:asciiTheme="majorHAnsi" w:hAnsiTheme="majorHAnsi"/>
          <w:sz w:val="20"/>
          <w:szCs w:val="20"/>
          <w:bdr w:val="none" w:sz="0" w:space="0" w:color="auto" w:frame="1"/>
          <w:vertAlign w:val="superscript"/>
        </w:rPr>
        <w:footnoteReference w:id="6"/>
      </w:r>
      <w:r w:rsidR="00E867F6" w:rsidRPr="00D3432F">
        <w:rPr>
          <w:sz w:val="20"/>
          <w:szCs w:val="20"/>
        </w:rPr>
        <w:t xml:space="preserve"> It is thus relevant to examine whether and to what extent and in what period the process of demarcation of the indigenous Awá lands was tardy and incomplete, in the light of rights and obligations </w:t>
      </w:r>
      <w:r w:rsidR="00FA02B4" w:rsidRPr="00D3432F">
        <w:rPr>
          <w:sz w:val="20"/>
          <w:szCs w:val="20"/>
        </w:rPr>
        <w:t>under</w:t>
      </w:r>
      <w:r w:rsidR="00E867F6" w:rsidRPr="00D3432F">
        <w:rPr>
          <w:sz w:val="20"/>
          <w:szCs w:val="20"/>
        </w:rPr>
        <w:t xml:space="preserve"> the American Convention</w:t>
      </w:r>
      <w:r w:rsidR="000961D2" w:rsidRPr="00D3432F">
        <w:rPr>
          <w:sz w:val="20"/>
          <w:szCs w:val="20"/>
        </w:rPr>
        <w:t>.</w:t>
      </w:r>
    </w:p>
    <w:p w14:paraId="1DC774D5" w14:textId="0A418ECC" w:rsidR="006E3396" w:rsidRPr="00D3432F" w:rsidRDefault="006E3396" w:rsidP="00D3432F">
      <w:pPr>
        <w:pStyle w:val="ListParagraph"/>
        <w:numPr>
          <w:ilvl w:val="0"/>
          <w:numId w:val="1"/>
        </w:numPr>
        <w:spacing w:after="240"/>
        <w:ind w:left="0" w:firstLine="720"/>
        <w:jc w:val="both"/>
        <w:rPr>
          <w:sz w:val="20"/>
          <w:szCs w:val="20"/>
        </w:rPr>
      </w:pPr>
      <w:r w:rsidRPr="00D3432F">
        <w:rPr>
          <w:sz w:val="20"/>
          <w:szCs w:val="20"/>
        </w:rPr>
        <w:t>Finally, the Commission emphasizes that in the case of culturally distinct communities with a special connection to the land, such as indigenous and quilombola communities, the life of their members fundamentally depends on subsistence activities (agriculture, hunting, fishing, gathering) carried out in their territories</w:t>
      </w:r>
      <w:r w:rsidR="002B247D">
        <w:rPr>
          <w:sz w:val="20"/>
          <w:szCs w:val="20"/>
        </w:rPr>
        <w:t>,</w:t>
      </w:r>
      <w:r w:rsidRPr="00D3432F">
        <w:rPr>
          <w:rFonts w:asciiTheme="majorHAnsi" w:hAnsiTheme="majorHAnsi"/>
          <w:sz w:val="20"/>
          <w:szCs w:val="20"/>
          <w:vertAlign w:val="superscript"/>
          <w:lang w:val="pt-BR"/>
        </w:rPr>
        <w:footnoteReference w:id="7"/>
      </w:r>
      <w:r w:rsidRPr="00D3432F">
        <w:rPr>
          <w:sz w:val="20"/>
          <w:szCs w:val="20"/>
        </w:rPr>
        <w:t xml:space="preserve"> including the continued use of traditional collective systems “essential for the individual and collective well-being and [...] for the survival” of these groups</w:t>
      </w:r>
      <w:r w:rsidR="00D465F5">
        <w:rPr>
          <w:sz w:val="20"/>
          <w:szCs w:val="20"/>
        </w:rPr>
        <w:t>.</w:t>
      </w:r>
      <w:r w:rsidRPr="00D3432F">
        <w:rPr>
          <w:rFonts w:asciiTheme="majorHAnsi" w:hAnsiTheme="majorHAnsi"/>
          <w:sz w:val="20"/>
          <w:szCs w:val="20"/>
          <w:vertAlign w:val="superscript"/>
          <w:lang w:val="pt-BR"/>
        </w:rPr>
        <w:footnoteReference w:id="8"/>
      </w:r>
      <w:r w:rsidRPr="00D3432F">
        <w:rPr>
          <w:sz w:val="20"/>
          <w:szCs w:val="20"/>
        </w:rPr>
        <w:t xml:space="preserve"> In establishing the parameters or conditions necessary for adequate living conditions, without which the free and full development of life projects becomes impossible, the rights established in Article 26 serve as a reference for interpreting the state obligations necessary to guarantee a dignified life</w:t>
      </w:r>
      <w:r w:rsidR="009A0742">
        <w:rPr>
          <w:sz w:val="20"/>
          <w:szCs w:val="20"/>
        </w:rPr>
        <w:t>.</w:t>
      </w:r>
      <w:r w:rsidRPr="00D3432F">
        <w:rPr>
          <w:rFonts w:asciiTheme="majorHAnsi" w:hAnsiTheme="majorHAnsi"/>
          <w:sz w:val="20"/>
          <w:szCs w:val="20"/>
          <w:vertAlign w:val="superscript"/>
          <w:lang w:val="pt-BR"/>
        </w:rPr>
        <w:footnoteReference w:id="9"/>
      </w:r>
    </w:p>
    <w:p w14:paraId="0D6FB88D" w14:textId="78FEBF25" w:rsidR="000961D2" w:rsidRPr="00D3432F" w:rsidRDefault="00E867F6" w:rsidP="00D3432F">
      <w:pPr>
        <w:pStyle w:val="ListParagraph"/>
        <w:numPr>
          <w:ilvl w:val="0"/>
          <w:numId w:val="1"/>
        </w:numPr>
        <w:spacing w:after="240"/>
        <w:ind w:left="0" w:firstLine="720"/>
        <w:jc w:val="both"/>
        <w:rPr>
          <w:sz w:val="20"/>
          <w:szCs w:val="20"/>
        </w:rPr>
      </w:pPr>
      <w:r w:rsidRPr="00D3432F">
        <w:rPr>
          <w:sz w:val="20"/>
          <w:szCs w:val="20"/>
        </w:rPr>
        <w:t>Based on these considerations, and after examining the elements of fact and law presented by the parties, the Commission believes that the allegations made by the petitioner</w:t>
      </w:r>
      <w:r w:rsidR="000961D2" w:rsidRPr="00D3432F">
        <w:rPr>
          <w:sz w:val="20"/>
          <w:szCs w:val="20"/>
        </w:rPr>
        <w:t xml:space="preserve"> </w:t>
      </w:r>
      <w:r w:rsidRPr="00D3432F">
        <w:rPr>
          <w:sz w:val="20"/>
          <w:szCs w:val="20"/>
        </w:rPr>
        <w:t>are not</w:t>
      </w:r>
      <w:r w:rsidR="000961D2" w:rsidRPr="00D3432F">
        <w:rPr>
          <w:sz w:val="20"/>
          <w:szCs w:val="20"/>
        </w:rPr>
        <w:t xml:space="preserve"> </w:t>
      </w:r>
      <w:r w:rsidRPr="00D3432F">
        <w:rPr>
          <w:sz w:val="20"/>
          <w:szCs w:val="20"/>
        </w:rPr>
        <w:t>groundless and require a study on the  merits, as the alleged facts, if corroborated, could characterize violations of Articles</w:t>
      </w:r>
      <w:r w:rsidR="000961D2" w:rsidRPr="00D3432F">
        <w:rPr>
          <w:sz w:val="20"/>
          <w:szCs w:val="20"/>
        </w:rPr>
        <w:t xml:space="preserve"> </w:t>
      </w:r>
      <w:r w:rsidR="006E3396" w:rsidRPr="00D3432F">
        <w:rPr>
          <w:sz w:val="20"/>
          <w:szCs w:val="20"/>
        </w:rPr>
        <w:t xml:space="preserve">4 (life), </w:t>
      </w:r>
      <w:r w:rsidR="000961D2" w:rsidRPr="00D3432F">
        <w:rPr>
          <w:sz w:val="20"/>
          <w:szCs w:val="20"/>
        </w:rPr>
        <w:t>5 (</w:t>
      </w:r>
      <w:r w:rsidRPr="00D3432F">
        <w:rPr>
          <w:sz w:val="20"/>
          <w:szCs w:val="20"/>
        </w:rPr>
        <w:t>humane treatment</w:t>
      </w:r>
      <w:r w:rsidR="000961D2" w:rsidRPr="00D3432F">
        <w:rPr>
          <w:sz w:val="20"/>
          <w:szCs w:val="20"/>
        </w:rPr>
        <w:t>), 8 (</w:t>
      </w:r>
      <w:r w:rsidRPr="00D3432F">
        <w:rPr>
          <w:sz w:val="20"/>
          <w:szCs w:val="20"/>
        </w:rPr>
        <w:t>fair trial</w:t>
      </w:r>
      <w:r w:rsidR="000961D2" w:rsidRPr="00D3432F">
        <w:rPr>
          <w:sz w:val="20"/>
          <w:szCs w:val="20"/>
        </w:rPr>
        <w:t>), 21 (prop</w:t>
      </w:r>
      <w:r w:rsidRPr="00D3432F">
        <w:rPr>
          <w:sz w:val="20"/>
          <w:szCs w:val="20"/>
        </w:rPr>
        <w:t>erty</w:t>
      </w:r>
      <w:r w:rsidR="000961D2" w:rsidRPr="00D3432F">
        <w:rPr>
          <w:sz w:val="20"/>
          <w:szCs w:val="20"/>
        </w:rPr>
        <w:t>), 24 (</w:t>
      </w:r>
      <w:r w:rsidRPr="00D3432F">
        <w:rPr>
          <w:sz w:val="20"/>
          <w:szCs w:val="20"/>
        </w:rPr>
        <w:t>equality before the law</w:t>
      </w:r>
      <w:r w:rsidR="000961D2" w:rsidRPr="00D3432F">
        <w:rPr>
          <w:sz w:val="20"/>
          <w:szCs w:val="20"/>
        </w:rPr>
        <w:t>), 25 (</w:t>
      </w:r>
      <w:r w:rsidRPr="00D3432F">
        <w:rPr>
          <w:sz w:val="20"/>
          <w:szCs w:val="20"/>
        </w:rPr>
        <w:t>judicial protection</w:t>
      </w:r>
      <w:r w:rsidR="000961D2" w:rsidRPr="00D3432F">
        <w:rPr>
          <w:sz w:val="20"/>
          <w:szCs w:val="20"/>
        </w:rPr>
        <w:t>)</w:t>
      </w:r>
      <w:r w:rsidRPr="00D3432F">
        <w:rPr>
          <w:sz w:val="20"/>
          <w:szCs w:val="20"/>
        </w:rPr>
        <w:t>, and</w:t>
      </w:r>
      <w:r w:rsidR="000961D2" w:rsidRPr="00D3432F">
        <w:rPr>
          <w:sz w:val="20"/>
          <w:szCs w:val="20"/>
        </w:rPr>
        <w:t xml:space="preserve"> 26 (</w:t>
      </w:r>
      <w:r w:rsidRPr="00D3432F">
        <w:rPr>
          <w:sz w:val="20"/>
          <w:szCs w:val="20"/>
        </w:rPr>
        <w:t>progressive development of economic, social, cultural, and environmental rights</w:t>
      </w:r>
      <w:r w:rsidR="000961D2" w:rsidRPr="00D3432F">
        <w:rPr>
          <w:sz w:val="20"/>
          <w:szCs w:val="20"/>
        </w:rPr>
        <w:t xml:space="preserve">) </w:t>
      </w:r>
      <w:r w:rsidRPr="00D3432F">
        <w:rPr>
          <w:sz w:val="20"/>
          <w:szCs w:val="20"/>
        </w:rPr>
        <w:t>of the American Convention, in relation to Article</w:t>
      </w:r>
      <w:r w:rsidR="000961D2" w:rsidRPr="00D3432F">
        <w:rPr>
          <w:sz w:val="20"/>
          <w:szCs w:val="20"/>
        </w:rPr>
        <w:t xml:space="preserve"> 1.1 </w:t>
      </w:r>
      <w:r w:rsidRPr="00D3432F">
        <w:rPr>
          <w:sz w:val="20"/>
          <w:szCs w:val="20"/>
        </w:rPr>
        <w:t xml:space="preserve">thereof </w:t>
      </w:r>
      <w:r w:rsidR="000961D2" w:rsidRPr="00D3432F">
        <w:rPr>
          <w:sz w:val="20"/>
          <w:szCs w:val="20"/>
        </w:rPr>
        <w:t>(</w:t>
      </w:r>
      <w:r w:rsidRPr="00D3432F">
        <w:rPr>
          <w:sz w:val="20"/>
          <w:szCs w:val="20"/>
        </w:rPr>
        <w:t>obligation to respect rights</w:t>
      </w:r>
      <w:r w:rsidR="000961D2" w:rsidRPr="00D3432F">
        <w:rPr>
          <w:sz w:val="20"/>
          <w:szCs w:val="20"/>
        </w:rPr>
        <w:t xml:space="preserve">), </w:t>
      </w:r>
      <w:r w:rsidRPr="00D3432F">
        <w:rPr>
          <w:sz w:val="20"/>
          <w:szCs w:val="20"/>
        </w:rPr>
        <w:t xml:space="preserve">to the detriment of the indigenous </w:t>
      </w:r>
      <w:r w:rsidR="000961D2" w:rsidRPr="00D3432F">
        <w:rPr>
          <w:sz w:val="20"/>
          <w:szCs w:val="20"/>
        </w:rPr>
        <w:t xml:space="preserve">Awá </w:t>
      </w:r>
      <w:r w:rsidRPr="00D3432F">
        <w:rPr>
          <w:sz w:val="20"/>
          <w:szCs w:val="20"/>
        </w:rPr>
        <w:t>community and its members</w:t>
      </w:r>
      <w:r w:rsidR="000961D2" w:rsidRPr="00D3432F">
        <w:rPr>
          <w:sz w:val="20"/>
          <w:szCs w:val="20"/>
        </w:rPr>
        <w:t>.</w:t>
      </w:r>
    </w:p>
    <w:p w14:paraId="1207AA01" w14:textId="3BD2DBCA" w:rsidR="000961D2" w:rsidRPr="00D3432F" w:rsidRDefault="000961D2" w:rsidP="00D3432F">
      <w:pPr>
        <w:pStyle w:val="ListParagraph"/>
        <w:numPr>
          <w:ilvl w:val="0"/>
          <w:numId w:val="1"/>
        </w:numPr>
        <w:spacing w:after="240"/>
        <w:ind w:left="0" w:firstLine="720"/>
        <w:jc w:val="both"/>
        <w:rPr>
          <w:sz w:val="20"/>
          <w:szCs w:val="20"/>
        </w:rPr>
      </w:pPr>
      <w:r w:rsidRPr="00D3432F">
        <w:rPr>
          <w:sz w:val="20"/>
          <w:szCs w:val="20"/>
        </w:rPr>
        <w:t>Final</w:t>
      </w:r>
      <w:r w:rsidR="00E867F6" w:rsidRPr="00D3432F">
        <w:rPr>
          <w:sz w:val="20"/>
          <w:szCs w:val="20"/>
        </w:rPr>
        <w:t>ly, the Commission takes note that the State</w:t>
      </w:r>
      <w:r w:rsidRPr="00D3432F">
        <w:rPr>
          <w:sz w:val="20"/>
          <w:szCs w:val="20"/>
        </w:rPr>
        <w:t xml:space="preserve"> </w:t>
      </w:r>
      <w:r w:rsidR="00D67C44" w:rsidRPr="00D3432F">
        <w:rPr>
          <w:sz w:val="20"/>
          <w:szCs w:val="20"/>
        </w:rPr>
        <w:t>opposed the petitioner’s invocation of Convention</w:t>
      </w:r>
      <w:r w:rsidRPr="00D3432F">
        <w:rPr>
          <w:sz w:val="20"/>
          <w:szCs w:val="20"/>
        </w:rPr>
        <w:t xml:space="preserve"> 169 </w:t>
      </w:r>
      <w:r w:rsidR="00D67C44" w:rsidRPr="00D3432F">
        <w:rPr>
          <w:sz w:val="20"/>
          <w:szCs w:val="20"/>
        </w:rPr>
        <w:t>of the International Labour Organization on Indigenous and Tribal Peoples</w:t>
      </w:r>
      <w:r w:rsidRPr="00D3432F">
        <w:rPr>
          <w:sz w:val="20"/>
          <w:szCs w:val="20"/>
        </w:rPr>
        <w:t xml:space="preserve">. </w:t>
      </w:r>
      <w:r w:rsidR="00D67C44" w:rsidRPr="00D3432F">
        <w:rPr>
          <w:sz w:val="20"/>
          <w:szCs w:val="20"/>
        </w:rPr>
        <w:t xml:space="preserve">In this regard, the IACHR reiterates that it is not competent to rule on the direct </w:t>
      </w:r>
      <w:r w:rsidR="00FA02B4" w:rsidRPr="00D3432F">
        <w:rPr>
          <w:sz w:val="20"/>
          <w:szCs w:val="20"/>
        </w:rPr>
        <w:t>violation</w:t>
      </w:r>
      <w:r w:rsidR="00D67C44" w:rsidRPr="00D3432F">
        <w:rPr>
          <w:sz w:val="20"/>
          <w:szCs w:val="20"/>
        </w:rPr>
        <w:t xml:space="preserve"> of this </w:t>
      </w:r>
      <w:r w:rsidR="008E0B9D" w:rsidRPr="00D3432F">
        <w:rPr>
          <w:sz w:val="20"/>
          <w:szCs w:val="20"/>
        </w:rPr>
        <w:t>treaty, but</w:t>
      </w:r>
      <w:r w:rsidR="00D67C44" w:rsidRPr="00D3432F">
        <w:rPr>
          <w:sz w:val="20"/>
          <w:szCs w:val="20"/>
        </w:rPr>
        <w:t xml:space="preserve"> under the terms </w:t>
      </w:r>
      <w:r w:rsidR="0028458C" w:rsidRPr="00D3432F">
        <w:rPr>
          <w:sz w:val="20"/>
          <w:szCs w:val="20"/>
        </w:rPr>
        <w:t>of Article</w:t>
      </w:r>
      <w:r w:rsidRPr="00D3432F">
        <w:rPr>
          <w:sz w:val="20"/>
          <w:szCs w:val="20"/>
        </w:rPr>
        <w:t xml:space="preserve"> 29 </w:t>
      </w:r>
      <w:r w:rsidR="00D67C44" w:rsidRPr="00D3432F">
        <w:rPr>
          <w:sz w:val="20"/>
          <w:szCs w:val="20"/>
        </w:rPr>
        <w:t>of the American Convention it can use it when interpreting the meaning and/or scope of inter-American legal obligations.</w:t>
      </w:r>
      <w:r w:rsidRPr="00D3432F">
        <w:rPr>
          <w:sz w:val="20"/>
          <w:szCs w:val="20"/>
          <w:vertAlign w:val="superscript"/>
        </w:rPr>
        <w:footnoteReference w:id="10"/>
      </w:r>
    </w:p>
    <w:p w14:paraId="4B11A55B" w14:textId="2C2974B2" w:rsidR="000961D2" w:rsidRPr="00D3432F" w:rsidRDefault="000961D2" w:rsidP="00D3432F">
      <w:pPr>
        <w:pStyle w:val="ListParagraph"/>
        <w:spacing w:after="240"/>
        <w:ind w:left="0" w:firstLine="720"/>
        <w:jc w:val="both"/>
        <w:rPr>
          <w:rFonts w:asciiTheme="majorHAnsi" w:hAnsiTheme="majorHAnsi"/>
          <w:b/>
          <w:sz w:val="20"/>
          <w:szCs w:val="20"/>
        </w:rPr>
      </w:pPr>
      <w:r w:rsidRPr="00D3432F">
        <w:rPr>
          <w:rFonts w:asciiTheme="majorHAnsi" w:hAnsiTheme="majorHAnsi"/>
          <w:b/>
          <w:sz w:val="20"/>
          <w:szCs w:val="20"/>
        </w:rPr>
        <w:t xml:space="preserve">VIII. </w:t>
      </w:r>
      <w:r w:rsidRPr="00D3432F">
        <w:rPr>
          <w:rFonts w:asciiTheme="majorHAnsi" w:hAnsiTheme="majorHAnsi"/>
          <w:b/>
          <w:sz w:val="20"/>
          <w:szCs w:val="20"/>
        </w:rPr>
        <w:tab/>
      </w:r>
      <w:r w:rsidRPr="00D3432F">
        <w:rPr>
          <w:rFonts w:asciiTheme="majorHAnsi" w:hAnsiTheme="majorHAnsi"/>
          <w:b/>
          <w:bCs/>
          <w:sz w:val="20"/>
          <w:szCs w:val="20"/>
        </w:rPr>
        <w:t>DECIS</w:t>
      </w:r>
      <w:r w:rsidR="00D67C44" w:rsidRPr="00D3432F">
        <w:rPr>
          <w:rFonts w:asciiTheme="majorHAnsi" w:hAnsiTheme="majorHAnsi"/>
          <w:b/>
          <w:bCs/>
          <w:sz w:val="20"/>
          <w:szCs w:val="20"/>
        </w:rPr>
        <w:t>ION</w:t>
      </w:r>
    </w:p>
    <w:p w14:paraId="7F016859" w14:textId="635172E8" w:rsidR="000961D2" w:rsidRPr="00D3432F" w:rsidRDefault="00D67C44" w:rsidP="00D3432F">
      <w:pPr>
        <w:pStyle w:val="ListParagraph"/>
        <w:numPr>
          <w:ilvl w:val="0"/>
          <w:numId w:val="2"/>
        </w:numPr>
        <w:autoSpaceDE w:val="0"/>
        <w:autoSpaceDN w:val="0"/>
        <w:spacing w:after="240"/>
        <w:ind w:left="0" w:firstLine="720"/>
        <w:jc w:val="both"/>
        <w:rPr>
          <w:sz w:val="20"/>
          <w:szCs w:val="20"/>
        </w:rPr>
      </w:pPr>
      <w:r w:rsidRPr="00D3432F">
        <w:rPr>
          <w:sz w:val="20"/>
          <w:szCs w:val="20"/>
        </w:rPr>
        <w:t>To declar</w:t>
      </w:r>
      <w:r w:rsidR="00FA02B4" w:rsidRPr="00D3432F">
        <w:rPr>
          <w:sz w:val="20"/>
          <w:szCs w:val="20"/>
        </w:rPr>
        <w:t>e</w:t>
      </w:r>
      <w:r w:rsidRPr="00D3432F">
        <w:rPr>
          <w:sz w:val="20"/>
          <w:szCs w:val="20"/>
        </w:rPr>
        <w:t xml:space="preserve"> this </w:t>
      </w:r>
      <w:r w:rsidR="00FA02B4" w:rsidRPr="00D3432F">
        <w:rPr>
          <w:sz w:val="20"/>
          <w:szCs w:val="20"/>
        </w:rPr>
        <w:t>petition</w:t>
      </w:r>
      <w:r w:rsidRPr="00D3432F">
        <w:rPr>
          <w:sz w:val="20"/>
          <w:szCs w:val="20"/>
        </w:rPr>
        <w:t xml:space="preserve"> admissibility with regard to Articles </w:t>
      </w:r>
      <w:r w:rsidR="006E3396" w:rsidRPr="00D3432F">
        <w:rPr>
          <w:sz w:val="20"/>
          <w:szCs w:val="20"/>
        </w:rPr>
        <w:t xml:space="preserve">4, </w:t>
      </w:r>
      <w:r w:rsidR="000961D2" w:rsidRPr="00D3432F">
        <w:rPr>
          <w:sz w:val="20"/>
          <w:szCs w:val="20"/>
        </w:rPr>
        <w:t>5, 8, 21, 24, 25</w:t>
      </w:r>
      <w:r w:rsidRPr="00D3432F">
        <w:rPr>
          <w:sz w:val="20"/>
          <w:szCs w:val="20"/>
        </w:rPr>
        <w:t xml:space="preserve">, and </w:t>
      </w:r>
      <w:r w:rsidR="000961D2" w:rsidRPr="00D3432F">
        <w:rPr>
          <w:sz w:val="20"/>
          <w:szCs w:val="20"/>
        </w:rPr>
        <w:t xml:space="preserve">26 </w:t>
      </w:r>
      <w:r w:rsidRPr="00D3432F">
        <w:rPr>
          <w:sz w:val="20"/>
          <w:szCs w:val="20"/>
        </w:rPr>
        <w:t>of the American Convention, in connection with Article</w:t>
      </w:r>
      <w:r w:rsidR="000961D2" w:rsidRPr="00D3432F">
        <w:rPr>
          <w:sz w:val="20"/>
          <w:szCs w:val="20"/>
        </w:rPr>
        <w:t xml:space="preserve"> 1.1</w:t>
      </w:r>
      <w:r w:rsidRPr="00D3432F">
        <w:rPr>
          <w:sz w:val="20"/>
          <w:szCs w:val="20"/>
        </w:rPr>
        <w:t xml:space="preserve"> thereof</w:t>
      </w:r>
      <w:r w:rsidR="000961D2" w:rsidRPr="00D3432F">
        <w:rPr>
          <w:sz w:val="20"/>
          <w:szCs w:val="20"/>
        </w:rPr>
        <w:t>.</w:t>
      </w:r>
    </w:p>
    <w:p w14:paraId="740D2BCB" w14:textId="64452311" w:rsidR="000961D2" w:rsidRPr="00D3432F" w:rsidRDefault="00D67C44" w:rsidP="00D3432F">
      <w:pPr>
        <w:pStyle w:val="ListParagraph"/>
        <w:numPr>
          <w:ilvl w:val="0"/>
          <w:numId w:val="2"/>
        </w:numPr>
        <w:autoSpaceDE w:val="0"/>
        <w:autoSpaceDN w:val="0"/>
        <w:spacing w:after="240"/>
        <w:ind w:left="0" w:firstLine="720"/>
        <w:jc w:val="both"/>
        <w:rPr>
          <w:sz w:val="20"/>
          <w:szCs w:val="20"/>
        </w:rPr>
      </w:pPr>
      <w:r w:rsidRPr="00D3432F">
        <w:rPr>
          <w:sz w:val="20"/>
          <w:szCs w:val="20"/>
        </w:rPr>
        <w:lastRenderedPageBreak/>
        <w:t>To notify the parties of this decision; continue with analysis of the merits of the case, publish this decision, and include i</w:t>
      </w:r>
      <w:r w:rsidR="00FA02B4" w:rsidRPr="00D3432F">
        <w:rPr>
          <w:sz w:val="20"/>
          <w:szCs w:val="20"/>
        </w:rPr>
        <w:t>n</w:t>
      </w:r>
      <w:r w:rsidRPr="00D3432F">
        <w:rPr>
          <w:sz w:val="20"/>
          <w:szCs w:val="20"/>
        </w:rPr>
        <w:t xml:space="preserve"> its Annual Report to the General </w:t>
      </w:r>
      <w:r w:rsidR="00FA02B4" w:rsidRPr="00D3432F">
        <w:rPr>
          <w:sz w:val="20"/>
          <w:szCs w:val="20"/>
        </w:rPr>
        <w:t>Assembly</w:t>
      </w:r>
      <w:r w:rsidRPr="00D3432F">
        <w:rPr>
          <w:sz w:val="20"/>
          <w:szCs w:val="20"/>
        </w:rPr>
        <w:t xml:space="preserve"> of the Organization of American States</w:t>
      </w:r>
      <w:r w:rsidR="000961D2" w:rsidRPr="00D3432F">
        <w:rPr>
          <w:sz w:val="20"/>
          <w:szCs w:val="20"/>
        </w:rPr>
        <w:t>.</w:t>
      </w:r>
      <w:bookmarkEnd w:id="2"/>
    </w:p>
    <w:p w14:paraId="32B5B2D3" w14:textId="3665420D" w:rsidR="003B3F1F" w:rsidRDefault="003B3F1F" w:rsidP="003B3F1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D93CE5">
        <w:rPr>
          <w:rFonts w:ascii="Cambria" w:hAnsi="Cambria"/>
          <w:spacing w:val="-2"/>
          <w:sz w:val="20"/>
        </w:rPr>
        <w:t>18</w:t>
      </w:r>
      <w:r w:rsidR="00D93CE5" w:rsidRPr="00D93CE5">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D93CE5">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748619AD" w14:textId="137CA3A6" w:rsidR="00391A8F" w:rsidRPr="00D3432F" w:rsidRDefault="00391A8F" w:rsidP="00D3432F">
      <w:pPr>
        <w:spacing w:after="240"/>
        <w:rPr>
          <w:sz w:val="20"/>
          <w:szCs w:val="20"/>
        </w:rPr>
      </w:pPr>
    </w:p>
    <w:sectPr w:rsidR="00391A8F" w:rsidRPr="00D3432F" w:rsidSect="00886C3D">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759C" w14:textId="77777777" w:rsidR="009E3E26" w:rsidRDefault="009E3E26" w:rsidP="000961D2">
      <w:r>
        <w:separator/>
      </w:r>
    </w:p>
  </w:endnote>
  <w:endnote w:type="continuationSeparator" w:id="0">
    <w:p w14:paraId="5A40D64E" w14:textId="77777777" w:rsidR="009E3E26" w:rsidRDefault="009E3E26" w:rsidP="0009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5D5A" w14:textId="77777777" w:rsidR="009E3E26" w:rsidRDefault="009E3E26" w:rsidP="000961D2">
      <w:r>
        <w:separator/>
      </w:r>
    </w:p>
  </w:footnote>
  <w:footnote w:type="continuationSeparator" w:id="0">
    <w:p w14:paraId="200250DC" w14:textId="77777777" w:rsidR="009E3E26" w:rsidRDefault="009E3E26" w:rsidP="000961D2">
      <w:r>
        <w:continuationSeparator/>
      </w:r>
    </w:p>
  </w:footnote>
  <w:footnote w:id="1">
    <w:p w14:paraId="3856088D" w14:textId="48AFFB08" w:rsidR="000961D2" w:rsidRPr="00D3432F" w:rsidRDefault="000961D2" w:rsidP="000961D2">
      <w:pPr>
        <w:pStyle w:val="FootnoteText"/>
        <w:ind w:firstLine="709"/>
        <w:jc w:val="both"/>
        <w:rPr>
          <w:rFonts w:asciiTheme="majorHAnsi" w:hAnsiTheme="majorHAnsi"/>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w:t>
      </w:r>
      <w:r w:rsidR="00DB1EBA" w:rsidRPr="00D3432F">
        <w:rPr>
          <w:rFonts w:asciiTheme="majorHAnsi" w:hAnsiTheme="majorHAnsi"/>
          <w:sz w:val="16"/>
          <w:szCs w:val="16"/>
        </w:rPr>
        <w:t xml:space="preserve">Also invokes Convention </w:t>
      </w:r>
      <w:r w:rsidRPr="00D3432F">
        <w:rPr>
          <w:rFonts w:asciiTheme="majorHAnsi" w:hAnsiTheme="majorHAnsi"/>
          <w:bCs/>
          <w:sz w:val="16"/>
          <w:szCs w:val="16"/>
        </w:rPr>
        <w:t xml:space="preserve">No. 169 </w:t>
      </w:r>
      <w:r w:rsidR="00DB1EBA" w:rsidRPr="00D3432F">
        <w:rPr>
          <w:rFonts w:asciiTheme="majorHAnsi" w:hAnsiTheme="majorHAnsi"/>
          <w:bCs/>
          <w:sz w:val="16"/>
          <w:szCs w:val="16"/>
        </w:rPr>
        <w:t>of the International Labour Organization</w:t>
      </w:r>
      <w:r w:rsidRPr="00D3432F">
        <w:rPr>
          <w:rFonts w:asciiTheme="majorHAnsi" w:hAnsiTheme="majorHAnsi"/>
          <w:bCs/>
          <w:sz w:val="16"/>
          <w:szCs w:val="16"/>
        </w:rPr>
        <w:t>.</w:t>
      </w:r>
    </w:p>
  </w:footnote>
  <w:footnote w:id="2">
    <w:p w14:paraId="5792E229" w14:textId="74426F6A" w:rsidR="000961D2" w:rsidRPr="00D3432F" w:rsidRDefault="000961D2" w:rsidP="000961D2">
      <w:pPr>
        <w:pStyle w:val="FootnoteText"/>
        <w:ind w:firstLine="709"/>
        <w:jc w:val="both"/>
        <w:rPr>
          <w:rFonts w:asciiTheme="majorHAnsi" w:hAnsiTheme="majorHAnsi"/>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w:t>
      </w:r>
      <w:r w:rsidR="00DB1EBA" w:rsidRPr="00D3432F">
        <w:rPr>
          <w:rFonts w:asciiTheme="majorHAnsi" w:hAnsiTheme="majorHAnsi"/>
          <w:sz w:val="16"/>
          <w:szCs w:val="16"/>
        </w:rPr>
        <w:t>Hereinafter, “American Convention” or “Convenion.”</w:t>
      </w:r>
    </w:p>
  </w:footnote>
  <w:footnote w:id="3">
    <w:p w14:paraId="38FB3009" w14:textId="5492E44C" w:rsidR="000961D2" w:rsidRPr="00D3432F" w:rsidRDefault="000961D2" w:rsidP="000961D2">
      <w:pPr>
        <w:pStyle w:val="FootnoteText"/>
        <w:ind w:firstLine="709"/>
        <w:jc w:val="both"/>
        <w:rPr>
          <w:rFonts w:asciiTheme="majorHAnsi" w:hAnsiTheme="majorHAnsi"/>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w:t>
      </w:r>
      <w:r w:rsidR="00DB1EBA" w:rsidRPr="00D3432F">
        <w:rPr>
          <w:rFonts w:asciiTheme="majorHAnsi" w:hAnsiTheme="majorHAnsi"/>
          <w:sz w:val="16"/>
          <w:szCs w:val="16"/>
        </w:rPr>
        <w:t>The observations of each party were duly forwarded to the opposing party. On May 11,</w:t>
      </w:r>
      <w:r w:rsidRPr="00D3432F">
        <w:rPr>
          <w:rFonts w:asciiTheme="majorHAnsi" w:hAnsiTheme="majorHAnsi"/>
          <w:sz w:val="16"/>
          <w:szCs w:val="16"/>
        </w:rPr>
        <w:t xml:space="preserve"> 2023</w:t>
      </w:r>
      <w:r w:rsidR="00DB1EBA" w:rsidRPr="00D3432F">
        <w:rPr>
          <w:rFonts w:asciiTheme="majorHAnsi" w:hAnsiTheme="majorHAnsi"/>
          <w:sz w:val="16"/>
          <w:szCs w:val="16"/>
        </w:rPr>
        <w:t xml:space="preserve">, the petitioner reiterated its interest in continuing the IACHR </w:t>
      </w:r>
      <w:r w:rsidR="001F7871" w:rsidRPr="00D3432F">
        <w:rPr>
          <w:rFonts w:asciiTheme="majorHAnsi" w:hAnsiTheme="majorHAnsi"/>
          <w:sz w:val="16"/>
          <w:szCs w:val="16"/>
        </w:rPr>
        <w:t>process</w:t>
      </w:r>
      <w:r w:rsidRPr="00D3432F">
        <w:rPr>
          <w:rFonts w:asciiTheme="majorHAnsi" w:hAnsiTheme="majorHAnsi"/>
          <w:sz w:val="16"/>
          <w:szCs w:val="16"/>
        </w:rPr>
        <w:t>.</w:t>
      </w:r>
    </w:p>
  </w:footnote>
  <w:footnote w:id="4">
    <w:p w14:paraId="176EADC0" w14:textId="3471B9E6" w:rsidR="000961D2" w:rsidRPr="00D3432F" w:rsidRDefault="000961D2" w:rsidP="000961D2">
      <w:pPr>
        <w:tabs>
          <w:tab w:val="left" w:pos="0"/>
          <w:tab w:val="left" w:pos="360"/>
          <w:tab w:val="left" w:pos="567"/>
          <w:tab w:val="left" w:pos="720"/>
        </w:tabs>
        <w:ind w:firstLine="709"/>
        <w:jc w:val="both"/>
        <w:rPr>
          <w:rFonts w:asciiTheme="majorHAnsi" w:hAnsiTheme="majorHAnsi"/>
          <w:iCs/>
          <w:sz w:val="16"/>
          <w:szCs w:val="16"/>
          <w:lang w:val="pt-BR"/>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w:t>
      </w:r>
      <w:r w:rsidR="00DE5EBB" w:rsidRPr="00D3432F">
        <w:rPr>
          <w:rFonts w:asciiTheme="majorHAnsi" w:hAnsiTheme="majorHAnsi"/>
          <w:sz w:val="16"/>
          <w:szCs w:val="16"/>
        </w:rPr>
        <w:t>See, inter alia:</w:t>
      </w:r>
      <w:r w:rsidRPr="00D3432F">
        <w:rPr>
          <w:rFonts w:asciiTheme="majorHAnsi" w:hAnsiTheme="majorHAnsi"/>
          <w:sz w:val="16"/>
          <w:szCs w:val="16"/>
        </w:rPr>
        <w:t xml:space="preserve"> </w:t>
      </w:r>
      <w:r w:rsidR="00DE5EBB" w:rsidRPr="00D3432F">
        <w:rPr>
          <w:rFonts w:asciiTheme="majorHAnsi" w:hAnsiTheme="majorHAnsi"/>
          <w:sz w:val="16"/>
          <w:szCs w:val="16"/>
        </w:rPr>
        <w:t>IACHR, Report No.</w:t>
      </w:r>
      <w:r w:rsidRPr="00D3432F">
        <w:rPr>
          <w:rFonts w:asciiTheme="majorHAnsi" w:hAnsiTheme="majorHAnsi"/>
          <w:sz w:val="16"/>
          <w:szCs w:val="16"/>
        </w:rPr>
        <w:t xml:space="preserve"> 35/16, Peti</w:t>
      </w:r>
      <w:r w:rsidR="00DE5EBB" w:rsidRPr="00D3432F">
        <w:rPr>
          <w:rFonts w:asciiTheme="majorHAnsi" w:hAnsiTheme="majorHAnsi"/>
          <w:sz w:val="16"/>
          <w:szCs w:val="16"/>
        </w:rPr>
        <w:t>tion</w:t>
      </w:r>
      <w:r w:rsidRPr="00D3432F">
        <w:rPr>
          <w:rFonts w:asciiTheme="majorHAnsi" w:hAnsiTheme="majorHAnsi"/>
          <w:sz w:val="16"/>
          <w:szCs w:val="16"/>
        </w:rPr>
        <w:t xml:space="preserve"> 4480-02, Admissibili</w:t>
      </w:r>
      <w:r w:rsidR="00DE5EBB" w:rsidRPr="00D3432F">
        <w:rPr>
          <w:rFonts w:asciiTheme="majorHAnsi" w:hAnsiTheme="majorHAnsi"/>
          <w:sz w:val="16"/>
          <w:szCs w:val="16"/>
        </w:rPr>
        <w:t>ty</w:t>
      </w:r>
      <w:r w:rsidRPr="00D3432F">
        <w:rPr>
          <w:rFonts w:asciiTheme="majorHAnsi" w:hAnsiTheme="majorHAnsi"/>
          <w:sz w:val="16"/>
          <w:szCs w:val="16"/>
        </w:rPr>
        <w:t>, Carlos Manuel Veraza Urtusuástegui, M</w:t>
      </w:r>
      <w:r w:rsidR="00DE5EBB" w:rsidRPr="00D3432F">
        <w:rPr>
          <w:rFonts w:asciiTheme="majorHAnsi" w:hAnsiTheme="majorHAnsi"/>
          <w:sz w:val="16"/>
          <w:szCs w:val="16"/>
        </w:rPr>
        <w:t>e</w:t>
      </w:r>
      <w:r w:rsidRPr="00D3432F">
        <w:rPr>
          <w:rFonts w:asciiTheme="majorHAnsi" w:hAnsiTheme="majorHAnsi"/>
          <w:sz w:val="16"/>
          <w:szCs w:val="16"/>
        </w:rPr>
        <w:t xml:space="preserve">xico, 29 </w:t>
      </w:r>
      <w:r w:rsidR="00DE5EBB" w:rsidRPr="00D3432F">
        <w:rPr>
          <w:rFonts w:asciiTheme="majorHAnsi" w:hAnsiTheme="majorHAnsi"/>
          <w:sz w:val="16"/>
          <w:szCs w:val="16"/>
        </w:rPr>
        <w:t>July</w:t>
      </w:r>
      <w:r w:rsidRPr="00D3432F">
        <w:rPr>
          <w:rFonts w:asciiTheme="majorHAnsi" w:hAnsiTheme="majorHAnsi"/>
          <w:sz w:val="16"/>
          <w:szCs w:val="16"/>
        </w:rPr>
        <w:t xml:space="preserve"> 2016, par</w:t>
      </w:r>
      <w:r w:rsidR="00DE5EBB" w:rsidRPr="00D3432F">
        <w:rPr>
          <w:rFonts w:asciiTheme="majorHAnsi" w:hAnsiTheme="majorHAnsi"/>
          <w:sz w:val="16"/>
          <w:szCs w:val="16"/>
        </w:rPr>
        <w:t>a.</w:t>
      </w:r>
      <w:r w:rsidRPr="00D3432F">
        <w:rPr>
          <w:rFonts w:asciiTheme="majorHAnsi" w:hAnsiTheme="majorHAnsi"/>
          <w:sz w:val="16"/>
          <w:szCs w:val="16"/>
        </w:rPr>
        <w:t xml:space="preserve"> 33; R</w:t>
      </w:r>
      <w:r w:rsidR="00DE5EBB" w:rsidRPr="00D3432F">
        <w:rPr>
          <w:rFonts w:asciiTheme="majorHAnsi" w:hAnsiTheme="majorHAnsi"/>
          <w:sz w:val="16"/>
          <w:szCs w:val="16"/>
        </w:rPr>
        <w:t xml:space="preserve">eport No. </w:t>
      </w:r>
      <w:r w:rsidRPr="00D3432F">
        <w:rPr>
          <w:rFonts w:asciiTheme="majorHAnsi" w:hAnsiTheme="majorHAnsi"/>
          <w:sz w:val="16"/>
          <w:szCs w:val="16"/>
        </w:rPr>
        <w:t>4/15, Pet</w:t>
      </w:r>
      <w:r w:rsidR="00DE5EBB" w:rsidRPr="00D3432F">
        <w:rPr>
          <w:rFonts w:asciiTheme="majorHAnsi" w:hAnsiTheme="majorHAnsi"/>
          <w:sz w:val="16"/>
          <w:szCs w:val="16"/>
        </w:rPr>
        <w:t>ition</w:t>
      </w:r>
      <w:r w:rsidRPr="00D3432F">
        <w:rPr>
          <w:rFonts w:asciiTheme="majorHAnsi" w:hAnsiTheme="majorHAnsi"/>
          <w:sz w:val="16"/>
          <w:szCs w:val="16"/>
        </w:rPr>
        <w:t xml:space="preserve"> 582-01, Admissibili</w:t>
      </w:r>
      <w:r w:rsidR="00DE5EBB" w:rsidRPr="00D3432F">
        <w:rPr>
          <w:rFonts w:asciiTheme="majorHAnsi" w:hAnsiTheme="majorHAnsi"/>
          <w:sz w:val="16"/>
          <w:szCs w:val="16"/>
        </w:rPr>
        <w:t>ty</w:t>
      </w:r>
      <w:r w:rsidRPr="00D3432F">
        <w:rPr>
          <w:rFonts w:asciiTheme="majorHAnsi" w:hAnsiTheme="majorHAnsi"/>
          <w:sz w:val="16"/>
          <w:szCs w:val="16"/>
        </w:rPr>
        <w:t xml:space="preserve">, Raúl Rolando Romero Feris, Argentina, 29 </w:t>
      </w:r>
      <w:r w:rsidR="00DE5EBB" w:rsidRPr="00D3432F">
        <w:rPr>
          <w:rFonts w:asciiTheme="majorHAnsi" w:hAnsiTheme="majorHAnsi"/>
          <w:sz w:val="16"/>
          <w:szCs w:val="16"/>
        </w:rPr>
        <w:t>January</w:t>
      </w:r>
      <w:r w:rsidRPr="00D3432F">
        <w:rPr>
          <w:rFonts w:asciiTheme="majorHAnsi" w:hAnsiTheme="majorHAnsi"/>
          <w:sz w:val="16"/>
          <w:szCs w:val="16"/>
        </w:rPr>
        <w:t xml:space="preserve"> 2015, par</w:t>
      </w:r>
      <w:r w:rsidR="00DE5EBB" w:rsidRPr="00D3432F">
        <w:rPr>
          <w:rFonts w:asciiTheme="majorHAnsi" w:hAnsiTheme="majorHAnsi"/>
          <w:sz w:val="16"/>
          <w:szCs w:val="16"/>
        </w:rPr>
        <w:t>a</w:t>
      </w:r>
      <w:r w:rsidRPr="00D3432F">
        <w:rPr>
          <w:rFonts w:asciiTheme="majorHAnsi" w:hAnsiTheme="majorHAnsi"/>
          <w:sz w:val="16"/>
          <w:szCs w:val="16"/>
        </w:rPr>
        <w:t>. 40; Re</w:t>
      </w:r>
      <w:r w:rsidR="00DE5EBB" w:rsidRPr="00D3432F">
        <w:rPr>
          <w:rFonts w:asciiTheme="majorHAnsi" w:hAnsiTheme="majorHAnsi"/>
          <w:sz w:val="16"/>
          <w:szCs w:val="16"/>
        </w:rPr>
        <w:t>port No.</w:t>
      </w:r>
      <w:r w:rsidRPr="00D3432F">
        <w:rPr>
          <w:rFonts w:asciiTheme="majorHAnsi" w:hAnsiTheme="majorHAnsi"/>
          <w:sz w:val="16"/>
          <w:szCs w:val="16"/>
        </w:rPr>
        <w:t xml:space="preserve"> 15/15, Peti</w:t>
      </w:r>
      <w:r w:rsidR="00DE5EBB" w:rsidRPr="00D3432F">
        <w:rPr>
          <w:rFonts w:asciiTheme="majorHAnsi" w:hAnsiTheme="majorHAnsi"/>
          <w:sz w:val="16"/>
          <w:szCs w:val="16"/>
        </w:rPr>
        <w:t>tion</w:t>
      </w:r>
      <w:r w:rsidRPr="00D3432F">
        <w:rPr>
          <w:rFonts w:asciiTheme="majorHAnsi" w:hAnsiTheme="majorHAnsi"/>
          <w:sz w:val="16"/>
          <w:szCs w:val="16"/>
        </w:rPr>
        <w:t xml:space="preserve"> 374-05, Admissibili</w:t>
      </w:r>
      <w:r w:rsidR="00DE5EBB" w:rsidRPr="00D3432F">
        <w:rPr>
          <w:rFonts w:asciiTheme="majorHAnsi" w:hAnsiTheme="majorHAnsi"/>
          <w:sz w:val="16"/>
          <w:szCs w:val="16"/>
        </w:rPr>
        <w:t>ty</w:t>
      </w:r>
      <w:r w:rsidRPr="00D3432F">
        <w:rPr>
          <w:rFonts w:asciiTheme="majorHAnsi" w:hAnsiTheme="majorHAnsi"/>
          <w:sz w:val="16"/>
          <w:szCs w:val="16"/>
        </w:rPr>
        <w:t xml:space="preserve">, </w:t>
      </w:r>
      <w:r w:rsidR="00DE5EBB" w:rsidRPr="00D3432F">
        <w:rPr>
          <w:rFonts w:asciiTheme="majorHAnsi" w:hAnsiTheme="majorHAnsi"/>
          <w:sz w:val="16"/>
          <w:szCs w:val="16"/>
        </w:rPr>
        <w:t xml:space="preserve">Members of the Trade Union of Workers of the National Federation of Coffee </w:t>
      </w:r>
      <w:r w:rsidR="00463203" w:rsidRPr="00D3432F">
        <w:rPr>
          <w:rFonts w:asciiTheme="majorHAnsi" w:hAnsiTheme="majorHAnsi"/>
          <w:sz w:val="16"/>
          <w:szCs w:val="16"/>
        </w:rPr>
        <w:t>Growers of Colombia</w:t>
      </w:r>
      <w:r w:rsidRPr="00D3432F">
        <w:rPr>
          <w:rFonts w:asciiTheme="majorHAnsi" w:hAnsiTheme="majorHAnsi"/>
          <w:sz w:val="16"/>
          <w:szCs w:val="16"/>
        </w:rPr>
        <w:t xml:space="preserve">, Colômbia, 24 </w:t>
      </w:r>
      <w:r w:rsidR="00463203" w:rsidRPr="00D3432F">
        <w:rPr>
          <w:rFonts w:asciiTheme="majorHAnsi" w:hAnsiTheme="majorHAnsi"/>
          <w:sz w:val="16"/>
          <w:szCs w:val="16"/>
        </w:rPr>
        <w:t xml:space="preserve">March </w:t>
      </w:r>
      <w:r w:rsidRPr="00D3432F">
        <w:rPr>
          <w:rFonts w:asciiTheme="majorHAnsi" w:hAnsiTheme="majorHAnsi"/>
          <w:sz w:val="16"/>
          <w:szCs w:val="16"/>
        </w:rPr>
        <w:t>2015, par</w:t>
      </w:r>
      <w:r w:rsidR="00463203" w:rsidRPr="00D3432F">
        <w:rPr>
          <w:rFonts w:asciiTheme="majorHAnsi" w:hAnsiTheme="majorHAnsi"/>
          <w:sz w:val="16"/>
          <w:szCs w:val="16"/>
        </w:rPr>
        <w:t>a</w:t>
      </w:r>
      <w:r w:rsidRPr="00D3432F">
        <w:rPr>
          <w:rFonts w:asciiTheme="majorHAnsi" w:hAnsiTheme="majorHAnsi"/>
          <w:sz w:val="16"/>
          <w:szCs w:val="16"/>
        </w:rPr>
        <w:t xml:space="preserve">. </w:t>
      </w:r>
      <w:r w:rsidRPr="00D3432F">
        <w:rPr>
          <w:rFonts w:asciiTheme="majorHAnsi" w:hAnsiTheme="majorHAnsi"/>
          <w:sz w:val="16"/>
          <w:szCs w:val="16"/>
          <w:lang w:val="pt-BR"/>
        </w:rPr>
        <w:t>39; R</w:t>
      </w:r>
      <w:r w:rsidR="00463203" w:rsidRPr="00D3432F">
        <w:rPr>
          <w:rFonts w:asciiTheme="majorHAnsi" w:hAnsiTheme="majorHAnsi"/>
          <w:sz w:val="16"/>
          <w:szCs w:val="16"/>
          <w:lang w:val="pt-BR"/>
        </w:rPr>
        <w:t>eport No.</w:t>
      </w:r>
      <w:r w:rsidRPr="00D3432F">
        <w:rPr>
          <w:rFonts w:asciiTheme="majorHAnsi" w:hAnsiTheme="majorHAnsi"/>
          <w:sz w:val="16"/>
          <w:szCs w:val="16"/>
          <w:lang w:val="pt-BR"/>
        </w:rPr>
        <w:t xml:space="preserve"> 4/19, Pet</w:t>
      </w:r>
      <w:r w:rsidR="00463203" w:rsidRPr="00D3432F">
        <w:rPr>
          <w:rFonts w:asciiTheme="majorHAnsi" w:hAnsiTheme="majorHAnsi"/>
          <w:sz w:val="16"/>
          <w:szCs w:val="16"/>
          <w:lang w:val="pt-BR"/>
        </w:rPr>
        <w:t>ition</w:t>
      </w:r>
      <w:r w:rsidRPr="00D3432F">
        <w:rPr>
          <w:rFonts w:asciiTheme="majorHAnsi" w:hAnsiTheme="majorHAnsi"/>
          <w:sz w:val="16"/>
          <w:szCs w:val="16"/>
          <w:lang w:val="pt-BR"/>
        </w:rPr>
        <w:t xml:space="preserve"> 673-11, Admissibili</w:t>
      </w:r>
      <w:r w:rsidR="00463203" w:rsidRPr="00D3432F">
        <w:rPr>
          <w:rFonts w:asciiTheme="majorHAnsi" w:hAnsiTheme="majorHAnsi"/>
          <w:sz w:val="16"/>
          <w:szCs w:val="16"/>
          <w:lang w:val="pt-BR"/>
        </w:rPr>
        <w:t>ty</w:t>
      </w:r>
      <w:r w:rsidRPr="00D3432F">
        <w:rPr>
          <w:rFonts w:asciiTheme="majorHAnsi" w:hAnsiTheme="majorHAnsi"/>
          <w:sz w:val="16"/>
          <w:szCs w:val="16"/>
          <w:lang w:val="pt-BR"/>
        </w:rPr>
        <w:t xml:space="preserve">, Fernando Alcântara de Figueiredo </w:t>
      </w:r>
      <w:r w:rsidR="00463203" w:rsidRPr="00D3432F">
        <w:rPr>
          <w:rFonts w:asciiTheme="majorHAnsi" w:hAnsiTheme="majorHAnsi"/>
          <w:sz w:val="16"/>
          <w:szCs w:val="16"/>
          <w:lang w:val="pt-BR"/>
        </w:rPr>
        <w:t>and</w:t>
      </w:r>
      <w:r w:rsidRPr="00D3432F">
        <w:rPr>
          <w:rFonts w:asciiTheme="majorHAnsi" w:hAnsiTheme="majorHAnsi"/>
          <w:sz w:val="16"/>
          <w:szCs w:val="16"/>
          <w:lang w:val="pt-BR"/>
        </w:rPr>
        <w:t xml:space="preserve"> Laci Marinho de Araújo, Bra</w:t>
      </w:r>
      <w:r w:rsidR="00463203" w:rsidRPr="00D3432F">
        <w:rPr>
          <w:rFonts w:asciiTheme="majorHAnsi" w:hAnsiTheme="majorHAnsi"/>
          <w:sz w:val="16"/>
          <w:szCs w:val="16"/>
          <w:lang w:val="pt-BR"/>
        </w:rPr>
        <w:t>z</w:t>
      </w:r>
      <w:r w:rsidRPr="00D3432F">
        <w:rPr>
          <w:rFonts w:asciiTheme="majorHAnsi" w:hAnsiTheme="majorHAnsi"/>
          <w:sz w:val="16"/>
          <w:szCs w:val="16"/>
          <w:lang w:val="pt-BR"/>
        </w:rPr>
        <w:t xml:space="preserve">il, 3 </w:t>
      </w:r>
      <w:r w:rsidR="00463203" w:rsidRPr="00D3432F">
        <w:rPr>
          <w:rFonts w:asciiTheme="majorHAnsi" w:hAnsiTheme="majorHAnsi"/>
          <w:sz w:val="16"/>
          <w:szCs w:val="16"/>
          <w:lang w:val="pt-BR"/>
        </w:rPr>
        <w:t>January</w:t>
      </w:r>
      <w:r w:rsidRPr="00D3432F">
        <w:rPr>
          <w:rFonts w:asciiTheme="majorHAnsi" w:hAnsiTheme="majorHAnsi"/>
          <w:sz w:val="16"/>
          <w:szCs w:val="16"/>
          <w:lang w:val="pt-BR"/>
        </w:rPr>
        <w:t xml:space="preserve"> 2019, par</w:t>
      </w:r>
      <w:r w:rsidR="00463203" w:rsidRPr="00D3432F">
        <w:rPr>
          <w:rFonts w:asciiTheme="majorHAnsi" w:hAnsiTheme="majorHAnsi"/>
          <w:sz w:val="16"/>
          <w:szCs w:val="16"/>
          <w:lang w:val="pt-BR"/>
        </w:rPr>
        <w:t>a</w:t>
      </w:r>
      <w:r w:rsidRPr="00D3432F">
        <w:rPr>
          <w:rFonts w:asciiTheme="majorHAnsi" w:hAnsiTheme="majorHAnsi"/>
          <w:sz w:val="16"/>
          <w:szCs w:val="16"/>
          <w:lang w:val="pt-BR"/>
        </w:rPr>
        <w:t>. 21.</w:t>
      </w:r>
    </w:p>
  </w:footnote>
  <w:footnote w:id="5">
    <w:p w14:paraId="0C0C687C" w14:textId="60ACDCE6" w:rsidR="000961D2" w:rsidRPr="00D3432F" w:rsidRDefault="000961D2" w:rsidP="000961D2">
      <w:pPr>
        <w:pStyle w:val="FootnoteText"/>
        <w:ind w:firstLine="720"/>
        <w:jc w:val="both"/>
        <w:rPr>
          <w:rFonts w:asciiTheme="majorHAnsi" w:hAnsiTheme="majorHAnsi"/>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lang w:val="pt-BR"/>
        </w:rPr>
        <w:t xml:space="preserve"> </w:t>
      </w:r>
      <w:r w:rsidR="00955C8C" w:rsidRPr="00D3432F">
        <w:rPr>
          <w:rFonts w:asciiTheme="majorHAnsi" w:hAnsiTheme="majorHAnsi"/>
          <w:sz w:val="16"/>
          <w:szCs w:val="16"/>
          <w:lang w:val="pt-BR"/>
        </w:rPr>
        <w:t>IACHR. Report No.</w:t>
      </w:r>
      <w:r w:rsidRPr="00D3432F">
        <w:rPr>
          <w:rFonts w:asciiTheme="majorHAnsi" w:hAnsiTheme="majorHAnsi"/>
          <w:sz w:val="16"/>
          <w:szCs w:val="16"/>
          <w:lang w:val="pt-BR"/>
        </w:rPr>
        <w:t xml:space="preserve"> 70/04, Peti</w:t>
      </w:r>
      <w:r w:rsidR="00955C8C" w:rsidRPr="00D3432F">
        <w:rPr>
          <w:rFonts w:asciiTheme="majorHAnsi" w:hAnsiTheme="majorHAnsi"/>
          <w:sz w:val="16"/>
          <w:szCs w:val="16"/>
          <w:lang w:val="pt-BR"/>
        </w:rPr>
        <w:t>tion</w:t>
      </w:r>
      <w:r w:rsidRPr="00D3432F">
        <w:rPr>
          <w:rFonts w:asciiTheme="majorHAnsi" w:hAnsiTheme="majorHAnsi"/>
          <w:sz w:val="16"/>
          <w:szCs w:val="16"/>
          <w:lang w:val="pt-BR"/>
        </w:rPr>
        <w:t xml:space="preserve"> 667/01, Admissibili</w:t>
      </w:r>
      <w:r w:rsidR="00955C8C" w:rsidRPr="00D3432F">
        <w:rPr>
          <w:rFonts w:asciiTheme="majorHAnsi" w:hAnsiTheme="majorHAnsi"/>
          <w:sz w:val="16"/>
          <w:szCs w:val="16"/>
          <w:lang w:val="pt-BR"/>
        </w:rPr>
        <w:t>ty</w:t>
      </w:r>
      <w:r w:rsidRPr="00D3432F">
        <w:rPr>
          <w:rFonts w:asciiTheme="majorHAnsi" w:hAnsiTheme="majorHAnsi"/>
          <w:sz w:val="16"/>
          <w:szCs w:val="16"/>
          <w:lang w:val="pt-BR"/>
        </w:rPr>
        <w:t>, Jesús Manuel Naranjo Cárdenas</w:t>
      </w:r>
      <w:r w:rsidR="00955C8C" w:rsidRPr="00D3432F">
        <w:rPr>
          <w:rFonts w:asciiTheme="majorHAnsi" w:hAnsiTheme="majorHAnsi"/>
          <w:sz w:val="16"/>
          <w:szCs w:val="16"/>
          <w:lang w:val="pt-BR"/>
        </w:rPr>
        <w:t xml:space="preserve"> et al.</w:t>
      </w:r>
      <w:r w:rsidRPr="00D3432F">
        <w:rPr>
          <w:rFonts w:asciiTheme="majorHAnsi" w:hAnsiTheme="majorHAnsi"/>
          <w:sz w:val="16"/>
          <w:szCs w:val="16"/>
          <w:lang w:val="pt-BR"/>
        </w:rPr>
        <w:t xml:space="preserve"> – </w:t>
      </w:r>
      <w:r w:rsidR="00463203" w:rsidRPr="00D3432F">
        <w:rPr>
          <w:rFonts w:asciiTheme="majorHAnsi" w:hAnsiTheme="majorHAnsi"/>
          <w:sz w:val="16"/>
          <w:szCs w:val="16"/>
          <w:lang w:val="pt-BR"/>
        </w:rPr>
        <w:t xml:space="preserve">Pensioners of the Venezuelan Aviation Company, </w:t>
      </w:r>
      <w:r w:rsidRPr="00D3432F">
        <w:rPr>
          <w:rFonts w:asciiTheme="majorHAnsi" w:hAnsiTheme="majorHAnsi"/>
          <w:sz w:val="16"/>
          <w:szCs w:val="16"/>
          <w:lang w:val="pt-BR"/>
        </w:rPr>
        <w:t xml:space="preserve">VIASA, Venezuela, 13 </w:t>
      </w:r>
      <w:r w:rsidR="00463203" w:rsidRPr="00D3432F">
        <w:rPr>
          <w:rFonts w:asciiTheme="majorHAnsi" w:hAnsiTheme="majorHAnsi"/>
          <w:sz w:val="16"/>
          <w:szCs w:val="16"/>
          <w:lang w:val="pt-BR"/>
        </w:rPr>
        <w:t>October</w:t>
      </w:r>
      <w:r w:rsidRPr="00D3432F">
        <w:rPr>
          <w:rFonts w:asciiTheme="majorHAnsi" w:hAnsiTheme="majorHAnsi"/>
          <w:sz w:val="16"/>
          <w:szCs w:val="16"/>
          <w:lang w:val="pt-BR"/>
        </w:rPr>
        <w:t xml:space="preserve"> 2004, par</w:t>
      </w:r>
      <w:r w:rsidR="00955C8C" w:rsidRPr="00D3432F">
        <w:rPr>
          <w:rFonts w:asciiTheme="majorHAnsi" w:hAnsiTheme="majorHAnsi"/>
          <w:sz w:val="16"/>
          <w:szCs w:val="16"/>
          <w:lang w:val="pt-BR"/>
        </w:rPr>
        <w:t>a</w:t>
      </w:r>
      <w:r w:rsidRPr="00D3432F">
        <w:rPr>
          <w:rFonts w:asciiTheme="majorHAnsi" w:hAnsiTheme="majorHAnsi"/>
          <w:sz w:val="16"/>
          <w:szCs w:val="16"/>
          <w:lang w:val="pt-BR"/>
        </w:rPr>
        <w:t xml:space="preserve">. </w:t>
      </w:r>
      <w:r w:rsidRPr="00D3432F">
        <w:rPr>
          <w:rFonts w:asciiTheme="majorHAnsi" w:hAnsiTheme="majorHAnsi"/>
          <w:sz w:val="16"/>
          <w:szCs w:val="16"/>
        </w:rPr>
        <w:t>52.</w:t>
      </w:r>
    </w:p>
  </w:footnote>
  <w:footnote w:id="6">
    <w:p w14:paraId="53110655" w14:textId="7F3902EC" w:rsidR="000961D2" w:rsidRPr="00D3432F" w:rsidRDefault="000961D2" w:rsidP="000961D2">
      <w:pPr>
        <w:tabs>
          <w:tab w:val="left" w:pos="0"/>
          <w:tab w:val="left" w:pos="360"/>
          <w:tab w:val="left" w:pos="567"/>
          <w:tab w:val="left" w:pos="720"/>
        </w:tabs>
        <w:ind w:firstLine="709"/>
        <w:jc w:val="both"/>
        <w:rPr>
          <w:rFonts w:asciiTheme="majorHAnsi" w:hAnsiTheme="majorHAnsi"/>
          <w:iCs/>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w:t>
      </w:r>
      <w:r w:rsidR="00E867F6" w:rsidRPr="00D3432F">
        <w:rPr>
          <w:rFonts w:asciiTheme="majorHAnsi" w:hAnsiTheme="majorHAnsi"/>
          <w:sz w:val="16"/>
          <w:szCs w:val="16"/>
        </w:rPr>
        <w:t>IACHR</w:t>
      </w:r>
      <w:r w:rsidRPr="00D3432F">
        <w:rPr>
          <w:rFonts w:asciiTheme="majorHAnsi" w:hAnsiTheme="majorHAnsi"/>
          <w:sz w:val="16"/>
          <w:szCs w:val="16"/>
        </w:rPr>
        <w:t xml:space="preserve">, </w:t>
      </w:r>
      <w:hyperlink r:id="rId1" w:history="1">
        <w:r w:rsidRPr="00D3432F">
          <w:rPr>
            <w:rStyle w:val="Hyperlink"/>
            <w:rFonts w:asciiTheme="majorHAnsi" w:hAnsiTheme="majorHAnsi"/>
            <w:color w:val="000000"/>
            <w:sz w:val="16"/>
            <w:szCs w:val="16"/>
          </w:rPr>
          <w:t>Resol</w:t>
        </w:r>
        <w:r w:rsidR="00E867F6" w:rsidRPr="00D3432F">
          <w:rPr>
            <w:rStyle w:val="Hyperlink"/>
            <w:rFonts w:asciiTheme="majorHAnsi" w:hAnsiTheme="majorHAnsi"/>
            <w:color w:val="000000"/>
            <w:sz w:val="16"/>
            <w:szCs w:val="16"/>
          </w:rPr>
          <w:t>ution</w:t>
        </w:r>
        <w:r w:rsidRPr="00D3432F">
          <w:rPr>
            <w:rStyle w:val="Hyperlink"/>
            <w:rFonts w:asciiTheme="majorHAnsi" w:hAnsiTheme="majorHAnsi"/>
            <w:color w:val="000000"/>
            <w:sz w:val="16"/>
            <w:szCs w:val="16"/>
          </w:rPr>
          <w:t xml:space="preserve"> 1/2021, </w:t>
        </w:r>
        <w:r w:rsidR="00E867F6" w:rsidRPr="00D3432F">
          <w:rPr>
            <w:rStyle w:val="Hyperlink"/>
            <w:rFonts w:asciiTheme="majorHAnsi" w:hAnsiTheme="majorHAnsi"/>
            <w:color w:val="000000"/>
            <w:sz w:val="16"/>
            <w:szCs w:val="16"/>
          </w:rPr>
          <w:t>Precautionary Measure No.</w:t>
        </w:r>
        <w:r w:rsidRPr="00D3432F">
          <w:rPr>
            <w:rStyle w:val="Hyperlink"/>
            <w:rFonts w:asciiTheme="majorHAnsi" w:hAnsiTheme="majorHAnsi"/>
            <w:color w:val="000000"/>
            <w:sz w:val="16"/>
            <w:szCs w:val="16"/>
          </w:rPr>
          <w:t xml:space="preserve"> 754-20</w:t>
        </w:r>
      </w:hyperlink>
      <w:r w:rsidRPr="00D3432F">
        <w:rPr>
          <w:rFonts w:asciiTheme="majorHAnsi" w:hAnsiTheme="majorHAnsi"/>
          <w:sz w:val="16"/>
          <w:szCs w:val="16"/>
        </w:rPr>
        <w:t>. Memb</w:t>
      </w:r>
      <w:r w:rsidR="00E867F6" w:rsidRPr="00D3432F">
        <w:rPr>
          <w:rFonts w:asciiTheme="majorHAnsi" w:hAnsiTheme="majorHAnsi"/>
          <w:sz w:val="16"/>
          <w:szCs w:val="16"/>
        </w:rPr>
        <w:t>ers of the</w:t>
      </w:r>
      <w:r w:rsidRPr="00D3432F">
        <w:rPr>
          <w:rFonts w:asciiTheme="majorHAnsi" w:hAnsiTheme="majorHAnsi"/>
          <w:sz w:val="16"/>
          <w:szCs w:val="16"/>
        </w:rPr>
        <w:t xml:space="preserve"> Guajajara </w:t>
      </w:r>
      <w:r w:rsidR="00E867F6" w:rsidRPr="00D3432F">
        <w:rPr>
          <w:rFonts w:asciiTheme="majorHAnsi" w:hAnsiTheme="majorHAnsi"/>
          <w:sz w:val="16"/>
          <w:szCs w:val="16"/>
        </w:rPr>
        <w:t>and</w:t>
      </w:r>
      <w:r w:rsidRPr="00D3432F">
        <w:rPr>
          <w:rFonts w:asciiTheme="majorHAnsi" w:hAnsiTheme="majorHAnsi"/>
          <w:sz w:val="16"/>
          <w:szCs w:val="16"/>
        </w:rPr>
        <w:t xml:space="preserve"> Awá </w:t>
      </w:r>
      <w:r w:rsidR="00E867F6" w:rsidRPr="00D3432F">
        <w:rPr>
          <w:rFonts w:asciiTheme="majorHAnsi" w:hAnsiTheme="majorHAnsi"/>
          <w:sz w:val="16"/>
          <w:szCs w:val="16"/>
        </w:rPr>
        <w:t xml:space="preserve">Indigenous Peoples of the Indigenous </w:t>
      </w:r>
      <w:r w:rsidRPr="00D3432F">
        <w:rPr>
          <w:rFonts w:asciiTheme="majorHAnsi" w:hAnsiTheme="majorHAnsi"/>
          <w:sz w:val="16"/>
          <w:szCs w:val="16"/>
        </w:rPr>
        <w:t>Araribóia</w:t>
      </w:r>
      <w:r w:rsidR="00E867F6" w:rsidRPr="00D3432F">
        <w:rPr>
          <w:rFonts w:asciiTheme="majorHAnsi" w:hAnsiTheme="majorHAnsi"/>
          <w:sz w:val="16"/>
          <w:szCs w:val="16"/>
        </w:rPr>
        <w:t xml:space="preserve"> Land with respect to Brazil</w:t>
      </w:r>
      <w:r w:rsidRPr="00D3432F">
        <w:rPr>
          <w:rFonts w:asciiTheme="majorHAnsi" w:hAnsiTheme="majorHAnsi"/>
          <w:sz w:val="16"/>
          <w:szCs w:val="16"/>
        </w:rPr>
        <w:t xml:space="preserve">. 4 </w:t>
      </w:r>
      <w:r w:rsidR="00E867F6" w:rsidRPr="00D3432F">
        <w:rPr>
          <w:rFonts w:asciiTheme="majorHAnsi" w:hAnsiTheme="majorHAnsi"/>
          <w:sz w:val="16"/>
          <w:szCs w:val="16"/>
        </w:rPr>
        <w:t>January</w:t>
      </w:r>
      <w:r w:rsidRPr="00D3432F">
        <w:rPr>
          <w:rFonts w:asciiTheme="majorHAnsi" w:hAnsiTheme="majorHAnsi"/>
          <w:sz w:val="16"/>
          <w:szCs w:val="16"/>
        </w:rPr>
        <w:t xml:space="preserve"> 2021.</w:t>
      </w:r>
    </w:p>
  </w:footnote>
  <w:footnote w:id="7">
    <w:p w14:paraId="76A9BDC3" w14:textId="2B73A7E3" w:rsidR="006E3396" w:rsidRPr="00D3432F" w:rsidRDefault="006E3396" w:rsidP="006E3396">
      <w:pPr>
        <w:tabs>
          <w:tab w:val="left" w:pos="0"/>
          <w:tab w:val="left" w:pos="360"/>
          <w:tab w:val="left" w:pos="567"/>
          <w:tab w:val="left" w:pos="720"/>
        </w:tabs>
        <w:ind w:firstLine="709"/>
        <w:jc w:val="both"/>
        <w:rPr>
          <w:rFonts w:asciiTheme="majorHAnsi" w:hAnsiTheme="majorHAnsi"/>
          <w:iCs/>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IACHR, Allegations before the Inter-American Court of Human Rights in the case of Awas Tingni v. Nicaragua. Referred in: IACtHR. Case of the Mayagna (Sumo) Awas Tingni Community Vs. Nicaragua. Merits, Reparations, and Costs. Judgment of August 31, 2001. Series C No. 79, para. 140(f).</w:t>
      </w:r>
    </w:p>
  </w:footnote>
  <w:footnote w:id="8">
    <w:p w14:paraId="460A641F" w14:textId="343CDD68" w:rsidR="006E3396" w:rsidRPr="00D3432F" w:rsidRDefault="006E3396" w:rsidP="006E3396">
      <w:pPr>
        <w:tabs>
          <w:tab w:val="left" w:pos="0"/>
          <w:tab w:val="left" w:pos="360"/>
          <w:tab w:val="left" w:pos="567"/>
          <w:tab w:val="left" w:pos="720"/>
        </w:tabs>
        <w:ind w:firstLine="709"/>
        <w:jc w:val="both"/>
        <w:rPr>
          <w:rFonts w:asciiTheme="majorHAnsi" w:hAnsiTheme="majorHAnsi"/>
          <w:iCs/>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IACHR, Report No. 75/02, Case 11.140, Mary and Carrie Dann (United States), December 27, 2002, para. 128.</w:t>
      </w:r>
    </w:p>
  </w:footnote>
  <w:footnote w:id="9">
    <w:p w14:paraId="16450693" w14:textId="2BC2501D" w:rsidR="006E3396" w:rsidRPr="00D3432F" w:rsidRDefault="006E3396" w:rsidP="006E3396">
      <w:pPr>
        <w:tabs>
          <w:tab w:val="left" w:pos="0"/>
          <w:tab w:val="left" w:pos="360"/>
          <w:tab w:val="left" w:pos="567"/>
          <w:tab w:val="left" w:pos="720"/>
        </w:tabs>
        <w:ind w:firstLine="709"/>
        <w:jc w:val="both"/>
        <w:rPr>
          <w:rFonts w:asciiTheme="majorHAnsi" w:hAnsiTheme="majorHAnsi"/>
          <w:iCs/>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sz w:val="16"/>
          <w:szCs w:val="16"/>
        </w:rPr>
        <w:t xml:space="preserve"> IACtHR. Case of the Yakye Axa Indigenous Community vs. Paraguay. Judgment of June 17, 2005 (Merits, Reparations, and Costs), paras. 157, 158, 164 and following; IACHR, Report No. 189/20, Case 12.569. Merits. Quilombola Communities of Alcântara. Brazil. June 14, 2020, para. 247.</w:t>
      </w:r>
    </w:p>
  </w:footnote>
  <w:footnote w:id="10">
    <w:p w14:paraId="4F2CC7F0" w14:textId="6EF9C90D" w:rsidR="000961D2" w:rsidRPr="00D3432F" w:rsidRDefault="000961D2" w:rsidP="000961D2">
      <w:pPr>
        <w:pStyle w:val="FootnoteText"/>
        <w:ind w:firstLine="709"/>
        <w:jc w:val="both"/>
        <w:rPr>
          <w:rFonts w:asciiTheme="majorHAnsi" w:hAnsiTheme="majorHAnsi"/>
          <w:sz w:val="16"/>
          <w:szCs w:val="16"/>
        </w:rPr>
      </w:pPr>
      <w:r w:rsidRPr="00D3432F">
        <w:rPr>
          <w:rStyle w:val="FootnoteReference"/>
          <w:rFonts w:asciiTheme="majorHAnsi" w:hAnsiTheme="majorHAnsi"/>
          <w:sz w:val="16"/>
          <w:szCs w:val="16"/>
          <w:lang w:val="pt-BR"/>
        </w:rPr>
        <w:footnoteRef/>
      </w:r>
      <w:r w:rsidRPr="00D3432F">
        <w:rPr>
          <w:rFonts w:asciiTheme="majorHAnsi" w:hAnsiTheme="majorHAnsi"/>
          <w:i/>
          <w:iCs/>
          <w:sz w:val="16"/>
          <w:szCs w:val="16"/>
        </w:rPr>
        <w:t xml:space="preserve"> </w:t>
      </w:r>
      <w:r w:rsidR="00D67C44" w:rsidRPr="00D3432F">
        <w:rPr>
          <w:rFonts w:asciiTheme="majorHAnsi" w:hAnsiTheme="majorHAnsi"/>
          <w:sz w:val="16"/>
          <w:szCs w:val="16"/>
        </w:rPr>
        <w:t>Along the same lines, see</w:t>
      </w:r>
      <w:r w:rsidRPr="00D3432F">
        <w:rPr>
          <w:rFonts w:asciiTheme="majorHAnsi" w:hAnsiTheme="majorHAnsi"/>
          <w:sz w:val="16"/>
          <w:szCs w:val="16"/>
        </w:rPr>
        <w:t xml:space="preserve">: </w:t>
      </w:r>
      <w:r w:rsidR="00D67C44" w:rsidRPr="00D3432F">
        <w:rPr>
          <w:rFonts w:asciiTheme="majorHAnsi" w:hAnsiTheme="majorHAnsi"/>
          <w:sz w:val="16"/>
          <w:szCs w:val="16"/>
        </w:rPr>
        <w:t>IACHR</w:t>
      </w:r>
      <w:r w:rsidRPr="00D3432F">
        <w:rPr>
          <w:rFonts w:asciiTheme="majorHAnsi" w:hAnsiTheme="majorHAnsi"/>
          <w:sz w:val="16"/>
          <w:szCs w:val="16"/>
        </w:rPr>
        <w:t xml:space="preserve">, </w:t>
      </w:r>
      <w:r w:rsidR="00D67C44" w:rsidRPr="00D3432F">
        <w:rPr>
          <w:rFonts w:asciiTheme="majorHAnsi" w:hAnsiTheme="majorHAnsi"/>
          <w:sz w:val="16"/>
          <w:szCs w:val="16"/>
        </w:rPr>
        <w:t xml:space="preserve">Complaint filed with the Inter-American Court of Human Rights in the Case of the </w:t>
      </w:r>
      <w:r w:rsidRPr="00D3432F">
        <w:rPr>
          <w:rFonts w:asciiTheme="majorHAnsi" w:hAnsiTheme="majorHAnsi"/>
          <w:sz w:val="16"/>
          <w:szCs w:val="16"/>
        </w:rPr>
        <w:t xml:space="preserve">Yakye Axa </w:t>
      </w:r>
      <w:r w:rsidR="00D67C44" w:rsidRPr="00D3432F">
        <w:rPr>
          <w:rFonts w:asciiTheme="majorHAnsi" w:hAnsiTheme="majorHAnsi"/>
          <w:sz w:val="16"/>
          <w:szCs w:val="16"/>
        </w:rPr>
        <w:t>Indigenous Community v.</w:t>
      </w:r>
      <w:r w:rsidRPr="00D3432F">
        <w:rPr>
          <w:rFonts w:asciiTheme="majorHAnsi" w:hAnsiTheme="majorHAnsi"/>
          <w:sz w:val="16"/>
          <w:szCs w:val="16"/>
        </w:rPr>
        <w:t xml:space="preserve"> Paragua</w:t>
      </w:r>
      <w:r w:rsidR="00FA02B4" w:rsidRPr="00D3432F">
        <w:rPr>
          <w:rFonts w:asciiTheme="majorHAnsi" w:hAnsiTheme="majorHAnsi"/>
          <w:sz w:val="16"/>
          <w:szCs w:val="16"/>
        </w:rPr>
        <w:t>y</w:t>
      </w:r>
      <w:r w:rsidRPr="00D3432F">
        <w:rPr>
          <w:rFonts w:asciiTheme="majorHAnsi" w:hAnsiTheme="majorHAnsi"/>
          <w:sz w:val="16"/>
          <w:szCs w:val="16"/>
        </w:rPr>
        <w:t xml:space="preserve">, 17 </w:t>
      </w:r>
      <w:r w:rsidR="00D67C44" w:rsidRPr="00D3432F">
        <w:rPr>
          <w:rFonts w:asciiTheme="majorHAnsi" w:hAnsiTheme="majorHAnsi"/>
          <w:sz w:val="16"/>
          <w:szCs w:val="16"/>
        </w:rPr>
        <w:t>March</w:t>
      </w:r>
      <w:r w:rsidRPr="00D3432F">
        <w:rPr>
          <w:rFonts w:asciiTheme="majorHAnsi" w:hAnsiTheme="majorHAnsi"/>
          <w:sz w:val="16"/>
          <w:szCs w:val="16"/>
        </w:rPr>
        <w:t xml:space="preserve"> 2003; </w:t>
      </w:r>
      <w:r w:rsidR="00D67C44" w:rsidRPr="00D3432F">
        <w:rPr>
          <w:rFonts w:asciiTheme="majorHAnsi" w:hAnsiTheme="majorHAnsi"/>
          <w:sz w:val="16"/>
          <w:szCs w:val="16"/>
        </w:rPr>
        <w:t>IACHR, Report No.</w:t>
      </w:r>
      <w:r w:rsidRPr="00D3432F">
        <w:rPr>
          <w:rFonts w:asciiTheme="majorHAnsi" w:hAnsiTheme="majorHAnsi"/>
          <w:sz w:val="16"/>
          <w:szCs w:val="16"/>
        </w:rPr>
        <w:t xml:space="preserve"> 40/04, Cas</w:t>
      </w:r>
      <w:r w:rsidR="00D67C44" w:rsidRPr="00D3432F">
        <w:rPr>
          <w:rFonts w:asciiTheme="majorHAnsi" w:hAnsiTheme="majorHAnsi"/>
          <w:sz w:val="16"/>
          <w:szCs w:val="16"/>
        </w:rPr>
        <w:t>e</w:t>
      </w:r>
      <w:r w:rsidRPr="00D3432F">
        <w:rPr>
          <w:rFonts w:asciiTheme="majorHAnsi" w:hAnsiTheme="majorHAnsi"/>
          <w:sz w:val="16"/>
          <w:szCs w:val="16"/>
        </w:rPr>
        <w:t xml:space="preserve"> 12053, </w:t>
      </w:r>
      <w:r w:rsidR="001F7871" w:rsidRPr="00D3432F">
        <w:rPr>
          <w:rFonts w:asciiTheme="majorHAnsi" w:hAnsiTheme="majorHAnsi"/>
          <w:sz w:val="16"/>
          <w:szCs w:val="16"/>
        </w:rPr>
        <w:t>Maya Indigenous Communities of the Toledo District v.</w:t>
      </w:r>
      <w:r w:rsidRPr="00D3432F">
        <w:rPr>
          <w:rFonts w:asciiTheme="majorHAnsi" w:hAnsiTheme="majorHAnsi"/>
          <w:sz w:val="16"/>
          <w:szCs w:val="16"/>
        </w:rPr>
        <w:t xml:space="preserve"> Belize, 12 </w:t>
      </w:r>
      <w:r w:rsidR="00D67C44" w:rsidRPr="00D3432F">
        <w:rPr>
          <w:rFonts w:asciiTheme="majorHAnsi" w:hAnsiTheme="majorHAnsi"/>
          <w:sz w:val="16"/>
          <w:szCs w:val="16"/>
        </w:rPr>
        <w:t>October</w:t>
      </w:r>
      <w:r w:rsidRPr="00D3432F">
        <w:rPr>
          <w:rFonts w:asciiTheme="majorHAnsi" w:hAnsiTheme="majorHAnsi"/>
          <w:sz w:val="16"/>
          <w:szCs w:val="16"/>
        </w:rPr>
        <w:t xml:space="preserve"> 2004. par</w:t>
      </w:r>
      <w:r w:rsidR="00D67C44" w:rsidRPr="00D3432F">
        <w:rPr>
          <w:rFonts w:asciiTheme="majorHAnsi" w:hAnsiTheme="majorHAnsi"/>
          <w:sz w:val="16"/>
          <w:szCs w:val="16"/>
        </w:rPr>
        <w:t>a</w:t>
      </w:r>
      <w:r w:rsidRPr="00D3432F">
        <w:rPr>
          <w:rFonts w:asciiTheme="majorHAnsi" w:hAnsiTheme="majorHAnsi"/>
          <w:sz w:val="16"/>
          <w:szCs w:val="16"/>
        </w:rP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9BD0" w14:textId="12465ABC" w:rsidR="00886C3D" w:rsidRPr="00EC7D62" w:rsidRDefault="00886C3D" w:rsidP="00886C3D">
    <w:pPr>
      <w:pStyle w:val="Header"/>
      <w:jc w:val="center"/>
      <w:rPr>
        <w:sz w:val="22"/>
        <w:szCs w:val="22"/>
      </w:rPr>
    </w:pPr>
  </w:p>
  <w:p w14:paraId="186244B2" w14:textId="3A6C355E" w:rsidR="005C4D9D" w:rsidRPr="00886C3D" w:rsidRDefault="005C4D9D" w:rsidP="00886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2251" w14:textId="77777777" w:rsidR="00886C3D" w:rsidRDefault="00886C3D" w:rsidP="00886C3D">
    <w:pPr>
      <w:pStyle w:val="Header"/>
      <w:jc w:val="center"/>
      <w:rPr>
        <w:sz w:val="22"/>
        <w:szCs w:val="22"/>
      </w:rPr>
    </w:pPr>
    <w:r>
      <w:rPr>
        <w:noProof/>
        <w:sz w:val="22"/>
        <w:szCs w:val="22"/>
      </w:rPr>
      <w:drawing>
        <wp:inline distT="0" distB="0" distL="0" distR="0" wp14:anchorId="5639CD14" wp14:editId="027D637E">
          <wp:extent cx="2209800" cy="117396"/>
          <wp:effectExtent l="0" t="0" r="0" b="0"/>
          <wp:docPr id="571180929" name="Picture 57118092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67B60B4" w14:textId="77777777" w:rsidR="00886C3D" w:rsidRPr="00EC7D62" w:rsidRDefault="000C4495" w:rsidP="00886C3D">
    <w:pPr>
      <w:pStyle w:val="Header"/>
      <w:jc w:val="center"/>
      <w:rPr>
        <w:sz w:val="22"/>
        <w:szCs w:val="22"/>
      </w:rPr>
    </w:pPr>
    <w:r>
      <w:rPr>
        <w:sz w:val="22"/>
        <w:szCs w:val="22"/>
      </w:rPr>
      <w:pict w14:anchorId="0C19DA23">
        <v:rect id="_x0000_i1025" style="width:0;height:1.5pt" o:hralign="center" o:hrstd="t" o:hr="t" fillcolor="#a0a0a0" stroked="f"/>
      </w:pict>
    </w:r>
  </w:p>
  <w:p w14:paraId="36981D5D" w14:textId="77777777" w:rsidR="00886C3D" w:rsidRDefault="00886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1D88" w14:textId="77777777" w:rsidR="00886C3D" w:rsidRDefault="00886C3D" w:rsidP="00886C3D">
    <w:pPr>
      <w:pStyle w:val="Header"/>
      <w:jc w:val="center"/>
      <w:rPr>
        <w:sz w:val="22"/>
        <w:szCs w:val="22"/>
      </w:rPr>
    </w:pPr>
    <w:r>
      <w:rPr>
        <w:noProof/>
        <w:sz w:val="22"/>
        <w:szCs w:val="22"/>
      </w:rPr>
      <w:drawing>
        <wp:inline distT="0" distB="0" distL="0" distR="0" wp14:anchorId="29F42EDB" wp14:editId="17B65988">
          <wp:extent cx="2209800" cy="117396"/>
          <wp:effectExtent l="0" t="0" r="0" b="0"/>
          <wp:docPr id="110357294" name="Picture 11035729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9E2B2DC" w14:textId="77777777" w:rsidR="00886C3D" w:rsidRPr="00EC7D62" w:rsidRDefault="000C4495" w:rsidP="00886C3D">
    <w:pPr>
      <w:pStyle w:val="Header"/>
      <w:jc w:val="center"/>
      <w:rPr>
        <w:sz w:val="22"/>
        <w:szCs w:val="22"/>
      </w:rPr>
    </w:pPr>
    <w:r>
      <w:rPr>
        <w:sz w:val="22"/>
        <w:szCs w:val="22"/>
      </w:rPr>
      <w:pict w14:anchorId="7F20E1A3">
        <v:rect id="_x0000_i1026" style="width:0;height:1.5pt" o:hralign="center" o:hrstd="t" o:hr="t" fillcolor="#a0a0a0" stroked="f"/>
      </w:pict>
    </w:r>
  </w:p>
  <w:p w14:paraId="08F49491" w14:textId="77777777" w:rsidR="00886C3D" w:rsidRPr="00886C3D" w:rsidRDefault="00886C3D" w:rsidP="00886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lang w:val="es-ES" w:eastAsia="es-ES" w:bidi="es-ES"/>
      </w:rPr>
    </w:lvl>
    <w:lvl w:ilvl="2" w:tplc="FFFFFFFF">
      <w:numFmt w:val="bullet"/>
      <w:lvlText w:val="•"/>
      <w:lvlJc w:val="left"/>
      <w:pPr>
        <w:ind w:left="2680" w:hanging="720"/>
      </w:pPr>
      <w:rPr>
        <w:lang w:val="es-ES" w:eastAsia="es-ES" w:bidi="es-ES"/>
      </w:rPr>
    </w:lvl>
    <w:lvl w:ilvl="3" w:tplc="FFFFFFFF">
      <w:numFmt w:val="bullet"/>
      <w:lvlText w:val="•"/>
      <w:lvlJc w:val="left"/>
      <w:pPr>
        <w:ind w:left="3640" w:hanging="720"/>
      </w:pPr>
      <w:rPr>
        <w:lang w:val="es-ES" w:eastAsia="es-ES" w:bidi="es-ES"/>
      </w:rPr>
    </w:lvl>
    <w:lvl w:ilvl="4" w:tplc="FFFFFFFF">
      <w:numFmt w:val="bullet"/>
      <w:lvlText w:val="•"/>
      <w:lvlJc w:val="left"/>
      <w:pPr>
        <w:ind w:left="4600" w:hanging="720"/>
      </w:pPr>
      <w:rPr>
        <w:lang w:val="es-ES" w:eastAsia="es-ES" w:bidi="es-ES"/>
      </w:rPr>
    </w:lvl>
    <w:lvl w:ilvl="5" w:tplc="FFFFFFFF">
      <w:numFmt w:val="bullet"/>
      <w:lvlText w:val="•"/>
      <w:lvlJc w:val="left"/>
      <w:pPr>
        <w:ind w:left="5560" w:hanging="720"/>
      </w:pPr>
      <w:rPr>
        <w:lang w:val="es-ES" w:eastAsia="es-ES" w:bidi="es-ES"/>
      </w:rPr>
    </w:lvl>
    <w:lvl w:ilvl="6" w:tplc="FFFFFFFF">
      <w:numFmt w:val="bullet"/>
      <w:lvlText w:val="•"/>
      <w:lvlJc w:val="left"/>
      <w:pPr>
        <w:ind w:left="6520" w:hanging="720"/>
      </w:pPr>
      <w:rPr>
        <w:lang w:val="es-ES" w:eastAsia="es-ES" w:bidi="es-ES"/>
      </w:rPr>
    </w:lvl>
    <w:lvl w:ilvl="7" w:tplc="FFFFFFFF">
      <w:numFmt w:val="bullet"/>
      <w:lvlText w:val="•"/>
      <w:lvlJc w:val="left"/>
      <w:pPr>
        <w:ind w:left="7480" w:hanging="720"/>
      </w:pPr>
      <w:rPr>
        <w:lang w:val="es-ES" w:eastAsia="es-ES" w:bidi="es-ES"/>
      </w:rPr>
    </w:lvl>
    <w:lvl w:ilvl="8" w:tplc="FFFFFFFF">
      <w:numFmt w:val="bullet"/>
      <w:lvlText w:val="•"/>
      <w:lvlJc w:val="left"/>
      <w:pPr>
        <w:ind w:left="8440" w:hanging="720"/>
      </w:pPr>
      <w:rPr>
        <w:lang w:val="es-ES" w:eastAsia="es-ES" w:bidi="es-ES"/>
      </w:rPr>
    </w:lvl>
  </w:abstractNum>
  <w:abstractNum w:abstractNumId="1" w15:restartNumberingAfterBreak="0">
    <w:nsid w:val="7E001150"/>
    <w:multiLevelType w:val="hybridMultilevel"/>
    <w:tmpl w:val="6EFACEF8"/>
    <w:lvl w:ilvl="0" w:tplc="BC5ED63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lang w:val="es-ES" w:eastAsia="es-ES" w:bidi="es-ES"/>
      </w:rPr>
    </w:lvl>
    <w:lvl w:ilvl="2" w:tplc="BC0A4154">
      <w:numFmt w:val="bullet"/>
      <w:lvlText w:val="•"/>
      <w:lvlJc w:val="left"/>
      <w:pPr>
        <w:ind w:left="2680" w:hanging="720"/>
      </w:pPr>
      <w:rPr>
        <w:lang w:val="es-ES" w:eastAsia="es-ES" w:bidi="es-ES"/>
      </w:rPr>
    </w:lvl>
    <w:lvl w:ilvl="3" w:tplc="B0AE9C12">
      <w:numFmt w:val="bullet"/>
      <w:lvlText w:val="•"/>
      <w:lvlJc w:val="left"/>
      <w:pPr>
        <w:ind w:left="3640" w:hanging="720"/>
      </w:pPr>
      <w:rPr>
        <w:lang w:val="es-ES" w:eastAsia="es-ES" w:bidi="es-ES"/>
      </w:rPr>
    </w:lvl>
    <w:lvl w:ilvl="4" w:tplc="CD3C2C16">
      <w:numFmt w:val="bullet"/>
      <w:lvlText w:val="•"/>
      <w:lvlJc w:val="left"/>
      <w:pPr>
        <w:ind w:left="4600" w:hanging="720"/>
      </w:pPr>
      <w:rPr>
        <w:lang w:val="es-ES" w:eastAsia="es-ES" w:bidi="es-ES"/>
      </w:rPr>
    </w:lvl>
    <w:lvl w:ilvl="5" w:tplc="9C224F7A">
      <w:numFmt w:val="bullet"/>
      <w:lvlText w:val="•"/>
      <w:lvlJc w:val="left"/>
      <w:pPr>
        <w:ind w:left="5560" w:hanging="720"/>
      </w:pPr>
      <w:rPr>
        <w:lang w:val="es-ES" w:eastAsia="es-ES" w:bidi="es-ES"/>
      </w:rPr>
    </w:lvl>
    <w:lvl w:ilvl="6" w:tplc="6AD2521C">
      <w:numFmt w:val="bullet"/>
      <w:lvlText w:val="•"/>
      <w:lvlJc w:val="left"/>
      <w:pPr>
        <w:ind w:left="6520" w:hanging="720"/>
      </w:pPr>
      <w:rPr>
        <w:lang w:val="es-ES" w:eastAsia="es-ES" w:bidi="es-ES"/>
      </w:rPr>
    </w:lvl>
    <w:lvl w:ilvl="7" w:tplc="8F9CD5E6">
      <w:numFmt w:val="bullet"/>
      <w:lvlText w:val="•"/>
      <w:lvlJc w:val="left"/>
      <w:pPr>
        <w:ind w:left="7480" w:hanging="720"/>
      </w:pPr>
      <w:rPr>
        <w:lang w:val="es-ES" w:eastAsia="es-ES" w:bidi="es-ES"/>
      </w:rPr>
    </w:lvl>
    <w:lvl w:ilvl="8" w:tplc="7CB0D4FE">
      <w:numFmt w:val="bullet"/>
      <w:lvlText w:val="•"/>
      <w:lvlJc w:val="left"/>
      <w:pPr>
        <w:ind w:left="8440" w:hanging="720"/>
      </w:pPr>
      <w:rPr>
        <w:lang w:val="es-ES" w:eastAsia="es-ES" w:bidi="es-ES"/>
      </w:rPr>
    </w:lvl>
  </w:abstractNum>
  <w:num w:numId="1" w16cid:durableId="975184217">
    <w:abstractNumId w:val="1"/>
    <w:lvlOverride w:ilvl="0">
      <w:startOverride w:val="1"/>
    </w:lvlOverride>
    <w:lvlOverride w:ilvl="1"/>
    <w:lvlOverride w:ilvl="2"/>
    <w:lvlOverride w:ilvl="3"/>
    <w:lvlOverride w:ilvl="4"/>
    <w:lvlOverride w:ilvl="5"/>
    <w:lvlOverride w:ilvl="6"/>
    <w:lvlOverride w:ilvl="7"/>
    <w:lvlOverride w:ilvl="8"/>
  </w:num>
  <w:num w:numId="2" w16cid:durableId="131799634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503B7"/>
    <w:rsid w:val="00070F70"/>
    <w:rsid w:val="0007229D"/>
    <w:rsid w:val="00095932"/>
    <w:rsid w:val="000961D2"/>
    <w:rsid w:val="000B5B0F"/>
    <w:rsid w:val="000C4495"/>
    <w:rsid w:val="000D3164"/>
    <w:rsid w:val="000F0F93"/>
    <w:rsid w:val="00102CC9"/>
    <w:rsid w:val="001273C2"/>
    <w:rsid w:val="0013102B"/>
    <w:rsid w:val="00131936"/>
    <w:rsid w:val="00195E4A"/>
    <w:rsid w:val="001B76BC"/>
    <w:rsid w:val="001F7871"/>
    <w:rsid w:val="00236634"/>
    <w:rsid w:val="0024471B"/>
    <w:rsid w:val="0028458C"/>
    <w:rsid w:val="002B247D"/>
    <w:rsid w:val="002E644A"/>
    <w:rsid w:val="00363D45"/>
    <w:rsid w:val="00391A8F"/>
    <w:rsid w:val="003B3F1F"/>
    <w:rsid w:val="00411127"/>
    <w:rsid w:val="00463203"/>
    <w:rsid w:val="00476FA0"/>
    <w:rsid w:val="004E282F"/>
    <w:rsid w:val="004E4F32"/>
    <w:rsid w:val="005474D6"/>
    <w:rsid w:val="00567793"/>
    <w:rsid w:val="005C4D9D"/>
    <w:rsid w:val="005E7CA0"/>
    <w:rsid w:val="00624824"/>
    <w:rsid w:val="00627E8F"/>
    <w:rsid w:val="00667AA0"/>
    <w:rsid w:val="006E3396"/>
    <w:rsid w:val="006E39F6"/>
    <w:rsid w:val="00733841"/>
    <w:rsid w:val="00740E1E"/>
    <w:rsid w:val="007765D8"/>
    <w:rsid w:val="007977F3"/>
    <w:rsid w:val="007D50F9"/>
    <w:rsid w:val="00805C9F"/>
    <w:rsid w:val="00866442"/>
    <w:rsid w:val="00886C3D"/>
    <w:rsid w:val="008A5550"/>
    <w:rsid w:val="008D1406"/>
    <w:rsid w:val="008D5437"/>
    <w:rsid w:val="008E0B9D"/>
    <w:rsid w:val="0092161E"/>
    <w:rsid w:val="009325E5"/>
    <w:rsid w:val="00933F02"/>
    <w:rsid w:val="00955C8C"/>
    <w:rsid w:val="009A0742"/>
    <w:rsid w:val="009E3E26"/>
    <w:rsid w:val="00A401D2"/>
    <w:rsid w:val="00A41E3B"/>
    <w:rsid w:val="00AC694D"/>
    <w:rsid w:val="00BF5445"/>
    <w:rsid w:val="00C32034"/>
    <w:rsid w:val="00C32E35"/>
    <w:rsid w:val="00CB3B71"/>
    <w:rsid w:val="00D226D5"/>
    <w:rsid w:val="00D3432F"/>
    <w:rsid w:val="00D465F5"/>
    <w:rsid w:val="00D67C44"/>
    <w:rsid w:val="00D87190"/>
    <w:rsid w:val="00D93CE5"/>
    <w:rsid w:val="00DB1EBA"/>
    <w:rsid w:val="00DE5EBB"/>
    <w:rsid w:val="00E27781"/>
    <w:rsid w:val="00E8323C"/>
    <w:rsid w:val="00E867F6"/>
    <w:rsid w:val="00EA0589"/>
    <w:rsid w:val="00EB28E2"/>
    <w:rsid w:val="00EE2BCC"/>
    <w:rsid w:val="00F549D1"/>
    <w:rsid w:val="00FA02B4"/>
    <w:rsid w:val="00FF35E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370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61D2"/>
    <w:rPr>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locked/>
    <w:rsid w:val="000961D2"/>
    <w:rPr>
      <w:rFonts w:ascii="Calibri" w:eastAsia="Calibri" w:hAnsi="Calibri" w:cs="Calibri"/>
      <w:color w:val="000000"/>
      <w:u w:color="00000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nhideWhenUsed/>
    <w:qFormat/>
    <w:rsid w:val="000961D2"/>
    <w:rPr>
      <w:rFonts w:ascii="Calibri" w:eastAsia="Calibri" w:hAnsi="Calibri" w:cs="Calibri"/>
      <w:color w:val="000000"/>
      <w:u w:color="000000"/>
    </w:rPr>
  </w:style>
  <w:style w:type="character" w:customStyle="1" w:styleId="FootnoteTextChar1">
    <w:name w:val="Footnote Text Char1"/>
    <w:basedOn w:val="DefaultParagraphFont"/>
    <w:rsid w:val="000961D2"/>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rsid w:val="000961D2"/>
    <w:pPr>
      <w:ind w:left="720"/>
    </w:pPr>
    <w:rPr>
      <w:rFonts w:ascii="Cambria" w:eastAsia="Cambria" w:hAnsi="Cambria" w:cs="Cambria"/>
      <w:color w:val="000000"/>
      <w:sz w:val="24"/>
      <w:szCs w:val="24"/>
      <w:u w:color="000000"/>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961D2"/>
    <w:rPr>
      <w:vertAlign w:val="superscript"/>
    </w:rPr>
  </w:style>
  <w:style w:type="paragraph" w:customStyle="1" w:styleId="1">
    <w:name w:val="1"/>
    <w:basedOn w:val="Normal"/>
    <w:link w:val="FootnoteReference"/>
    <w:uiPriority w:val="99"/>
    <w:rsid w:val="000961D2"/>
    <w:pPr>
      <w:spacing w:after="160" w:line="240" w:lineRule="exact"/>
    </w:pPr>
    <w:rPr>
      <w:sz w:val="20"/>
      <w:szCs w:val="20"/>
      <w:vertAlign w:val="superscript"/>
    </w:rPr>
  </w:style>
  <w:style w:type="table" w:styleId="TableGrid">
    <w:name w:val="Table Grid"/>
    <w:basedOn w:val="TableNormal"/>
    <w:uiPriority w:val="59"/>
    <w:rsid w:val="000961D2"/>
    <w:rPr>
      <w:rFonts w:eastAsia="Arial Unicode MS"/>
      <w:bdr w:val="none" w:sz="0" w:space="0" w:color="auto" w:frame="1"/>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
    <w:basedOn w:val="Normal"/>
    <w:link w:val="HeaderChar"/>
    <w:uiPriority w:val="99"/>
    <w:rsid w:val="00DB1EBA"/>
    <w:pPr>
      <w:tabs>
        <w:tab w:val="center" w:pos="4680"/>
        <w:tab w:val="right" w:pos="9360"/>
      </w:tabs>
    </w:pPr>
  </w:style>
  <w:style w:type="character" w:customStyle="1" w:styleId="HeaderChar">
    <w:name w:val="Header Char"/>
    <w:aliases w:val="encabezado Char"/>
    <w:basedOn w:val="DefaultParagraphFont"/>
    <w:link w:val="Header"/>
    <w:uiPriority w:val="99"/>
    <w:rsid w:val="00DB1EBA"/>
    <w:rPr>
      <w:sz w:val="24"/>
      <w:szCs w:val="24"/>
    </w:rPr>
  </w:style>
  <w:style w:type="paragraph" w:styleId="Footer">
    <w:name w:val="footer"/>
    <w:basedOn w:val="Normal"/>
    <w:link w:val="FooterChar"/>
    <w:rsid w:val="00DB1EBA"/>
    <w:pPr>
      <w:tabs>
        <w:tab w:val="center" w:pos="4680"/>
        <w:tab w:val="right" w:pos="9360"/>
      </w:tabs>
    </w:pPr>
  </w:style>
  <w:style w:type="character" w:customStyle="1" w:styleId="FooterChar">
    <w:name w:val="Footer Char"/>
    <w:basedOn w:val="DefaultParagraphFont"/>
    <w:link w:val="Footer"/>
    <w:rsid w:val="00DB1EBA"/>
    <w:rPr>
      <w:sz w:val="24"/>
      <w:szCs w:val="24"/>
    </w:rPr>
  </w:style>
  <w:style w:type="character" w:customStyle="1" w:styleId="normaltextrun">
    <w:name w:val="normaltextrun"/>
    <w:basedOn w:val="DefaultParagraphFont"/>
    <w:rsid w:val="003B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7670">
      <w:bodyDiv w:val="1"/>
      <w:marLeft w:val="0"/>
      <w:marRight w:val="0"/>
      <w:marTop w:val="0"/>
      <w:marBottom w:val="0"/>
      <w:divBdr>
        <w:top w:val="none" w:sz="0" w:space="0" w:color="auto"/>
        <w:left w:val="none" w:sz="0" w:space="0" w:color="auto"/>
        <w:bottom w:val="none" w:sz="0" w:space="0" w:color="auto"/>
        <w:right w:val="none" w:sz="0" w:space="0" w:color="auto"/>
      </w:divBdr>
    </w:div>
    <w:div w:id="18542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pdf/2021/1-21MC754-20B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1E33-D441-4E82-9E33-0A22360D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2025-01-09T15:49:00Z</dcterms:created>
  <dcterms:modified xsi:type="dcterms:W3CDTF">2025-01-09T15:49:00Z</dcterms:modified>
</cp:coreProperties>
</file>