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1806F5D"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792D562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2FA2CD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" fillcolor="#92d050"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letter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letter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F8C1490" w:rsidR="005B52B0" w:rsidRPr="005564B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57717B">
                              <w:rPr>
                                <w:rFonts w:asciiTheme="majorHAnsi" w:hAnsiTheme="majorHAnsi" w:cs="Arial"/>
                                <w:b/>
                                <w:bCs/>
                                <w:color w:val="0D0D0D" w:themeColor="text1" w:themeTint="F2"/>
                                <w:sz w:val="36"/>
                                <w:szCs w:val="22"/>
                              </w:rPr>
                              <w:t>214</w:t>
                            </w:r>
                            <w:r w:rsidR="007B05C4">
                              <w:rPr>
                                <w:rFonts w:asciiTheme="majorHAnsi" w:hAnsiTheme="majorHAnsi" w:cs="Arial"/>
                                <w:b/>
                                <w:bCs/>
                                <w:color w:val="0D0D0D" w:themeColor="text1" w:themeTint="F2"/>
                                <w:sz w:val="36"/>
                                <w:szCs w:val="22"/>
                              </w:rPr>
                              <w:t>/24</w:t>
                            </w:r>
                          </w:p>
                          <w:p w14:paraId="45F30ECA" w14:textId="508066F8" w:rsidR="007B05C4" w:rsidRPr="005564B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1717-18</w:t>
                            </w:r>
                          </w:p>
                          <w:p w14:paraId="188B4303" w14:textId="15301BA4" w:rsidR="00CD046C" w:rsidRPr="005564BF" w:rsidRDefault="005564BF"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REPORT </w:t>
                            </w:r>
                            <w:r>
                              <w:rPr>
                                <w:rFonts w:asciiTheme="majorHAnsi" w:hAnsiTheme="majorHAnsi" w:cs="Arial"/>
                                <w:color w:val="0D0D0D" w:themeColor="text1" w:themeTint="F2"/>
                                <w:szCs w:val="22"/>
                              </w:rPr>
                              <w:t xml:space="preserve">ON </w:t>
                            </w:r>
                            <w:r w:rsidR="005B52B0" w:rsidRPr="0010736F">
                              <w:rPr>
                                <w:rFonts w:asciiTheme="majorHAnsi" w:hAnsiTheme="majorHAnsi" w:cs="Arial"/>
                                <w:color w:val="0D0D0D" w:themeColor="text1" w:themeTint="F2"/>
                                <w:szCs w:val="22"/>
                              </w:rPr>
                              <w:t xml:space="preserve">ADMISSIBILITY </w:t>
                            </w:r>
                          </w:p>
                          <w:p w14:paraId="31968596" w14:textId="77777777" w:rsidR="008F1912" w:rsidRPr="005564BF" w:rsidRDefault="008F1912" w:rsidP="00997BC5">
                            <w:pPr>
                              <w:spacing w:line="276" w:lineRule="auto"/>
                              <w:rPr>
                                <w:rFonts w:asciiTheme="majorHAnsi" w:hAnsiTheme="majorHAnsi" w:cs="Arial"/>
                                <w:color w:val="0D0D0D" w:themeColor="text1" w:themeTint="F2"/>
                                <w:szCs w:val="22"/>
                              </w:rPr>
                            </w:pPr>
                            <w:bookmarkStart w:id="0" w:name="_ftnref1"/>
                          </w:p>
                          <w:bookmarkEnd w:id="0"/>
                          <w:p w14:paraId="24554CFB" w14:textId="375EF838" w:rsidR="00944399" w:rsidRPr="005564BF" w:rsidRDefault="00944399" w:rsidP="00F56ECB">
                            <w:pPr>
                              <w:spacing w:line="276" w:lineRule="auto"/>
                              <w:rPr>
                                <w:rFonts w:asciiTheme="majorHAnsi" w:hAnsiTheme="majorHAnsi" w:cs="Arial"/>
                                <w:color w:val="0D0D0D" w:themeColor="text1" w:themeTint="F2"/>
                                <w:szCs w:val="22"/>
                              </w:rPr>
                            </w:pPr>
                            <w:r w:rsidRPr="005564BF">
                              <w:rPr>
                                <w:rFonts w:asciiTheme="majorHAnsi" w:hAnsiTheme="majorHAnsi" w:cs="Arial"/>
                                <w:color w:val="0D0D0D" w:themeColor="text1" w:themeTint="F2"/>
                                <w:szCs w:val="22"/>
                              </w:rPr>
                              <w:t xml:space="preserve">L.J.S.H. </w:t>
                            </w:r>
                            <w:r w:rsidR="00B60E30">
                              <w:rPr>
                                <w:rFonts w:asciiTheme="majorHAnsi" w:hAnsiTheme="majorHAnsi" w:cs="Arial"/>
                                <w:color w:val="0D0D0D" w:themeColor="text1" w:themeTint="F2"/>
                                <w:szCs w:val="22"/>
                              </w:rPr>
                              <w:t>&amp;</w:t>
                            </w:r>
                            <w:r w:rsidRPr="005564BF">
                              <w:rPr>
                                <w:rFonts w:asciiTheme="majorHAnsi" w:hAnsiTheme="majorHAnsi" w:cs="Arial"/>
                                <w:color w:val="0D0D0D" w:themeColor="text1" w:themeTint="F2"/>
                                <w:szCs w:val="22"/>
                              </w:rPr>
                              <w:t xml:space="preserve"> FAMIL</w:t>
                            </w:r>
                            <w:r w:rsidR="005564BF" w:rsidRPr="005564BF">
                              <w:rPr>
                                <w:rFonts w:asciiTheme="majorHAnsi" w:hAnsiTheme="majorHAnsi" w:cs="Arial"/>
                                <w:color w:val="0D0D0D" w:themeColor="text1" w:themeTint="F2"/>
                                <w:szCs w:val="22"/>
                              </w:rPr>
                              <w:t>Y</w:t>
                            </w:r>
                          </w:p>
                          <w:p w14:paraId="0B9F7D22" w14:textId="2CDAEA4C" w:rsidR="005B52B0" w:rsidRPr="00F56ECB" w:rsidRDefault="0094439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F8C1490" w:rsidR="005B52B0" w:rsidRPr="005564BF" w:rsidRDefault="005B52B0"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REPORT </w:t>
                      </w:r>
                      <w:r w:rsidR="00477592" w:rsidRPr="00DC7023">
                        <w:rPr>
                          <w:rFonts w:asciiTheme="majorHAnsi" w:hAnsiTheme="majorHAnsi" w:cs="Arial"/>
                          <w:b/>
                          <w:bCs/>
                          <w:color w:val="0D0D0D" w:themeColor="text1" w:themeTint="F2"/>
                          <w:sz w:val="36"/>
                          <w:szCs w:val="40"/>
                        </w:rPr>
                        <w:t>No.</w:t>
                      </w:r>
                      <w:r w:rsidR="007B05C4">
                        <w:rPr>
                          <w:rFonts w:asciiTheme="majorHAnsi" w:hAnsiTheme="majorHAnsi" w:cs="Arial"/>
                          <w:b/>
                          <w:bCs/>
                          <w:color w:val="0D0D0D" w:themeColor="text1" w:themeTint="F2"/>
                          <w:sz w:val="36"/>
                          <w:szCs w:val="22"/>
                        </w:rPr>
                        <w:t xml:space="preserve"> </w:t>
                      </w:r>
                      <w:r w:rsidR="0057717B">
                        <w:rPr>
                          <w:rFonts w:asciiTheme="majorHAnsi" w:hAnsiTheme="majorHAnsi" w:cs="Arial"/>
                          <w:b/>
                          <w:bCs/>
                          <w:color w:val="0D0D0D" w:themeColor="text1" w:themeTint="F2"/>
                          <w:sz w:val="36"/>
                          <w:szCs w:val="22"/>
                        </w:rPr>
                        <w:t>214</w:t>
                      </w:r>
                      <w:r w:rsidR="007B05C4">
                        <w:rPr>
                          <w:rFonts w:asciiTheme="majorHAnsi" w:hAnsiTheme="majorHAnsi" w:cs="Arial"/>
                          <w:b/>
                          <w:bCs/>
                          <w:color w:val="0D0D0D" w:themeColor="text1" w:themeTint="F2"/>
                          <w:sz w:val="36"/>
                          <w:szCs w:val="22"/>
                        </w:rPr>
                        <w:t>/24</w:t>
                      </w:r>
                    </w:p>
                    <w:p w14:paraId="45F30ECA" w14:textId="508066F8" w:rsidR="007B05C4" w:rsidRPr="005564BF" w:rsidRDefault="005B52B0"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PETITION 1717-18</w:t>
                      </w:r>
                    </w:p>
                    <w:p w14:paraId="188B4303" w14:textId="15301BA4" w:rsidR="00CD046C" w:rsidRPr="005564BF" w:rsidRDefault="005564BF"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REPORT </w:t>
                      </w:r>
                      <w:r>
                        <w:rPr>
                          <w:rFonts w:asciiTheme="majorHAnsi" w:hAnsiTheme="majorHAnsi" w:cs="Arial"/>
                          <w:color w:val="0D0D0D" w:themeColor="text1" w:themeTint="F2"/>
                          <w:szCs w:val="22"/>
                        </w:rPr>
                        <w:t xml:space="preserve">ON </w:t>
                      </w:r>
                      <w:r w:rsidR="005B52B0" w:rsidRPr="0010736F">
                        <w:rPr>
                          <w:rFonts w:asciiTheme="majorHAnsi" w:hAnsiTheme="majorHAnsi" w:cs="Arial"/>
                          <w:color w:val="0D0D0D" w:themeColor="text1" w:themeTint="F2"/>
                          <w:szCs w:val="22"/>
                        </w:rPr>
                        <w:t xml:space="preserve">ADMISSIBILITY </w:t>
                      </w:r>
                    </w:p>
                    <w:p w14:paraId="31968596" w14:textId="77777777" w:rsidR="008F1912" w:rsidRPr="005564BF" w:rsidRDefault="008F1912" w:rsidP="00997BC5">
                      <w:pPr>
                        <w:spacing w:line="276" w:lineRule="auto"/>
                        <w:rPr>
                          <w:rFonts w:asciiTheme="majorHAnsi" w:hAnsiTheme="majorHAnsi" w:cs="Arial"/>
                          <w:color w:val="0D0D0D" w:themeColor="text1" w:themeTint="F2"/>
                          <w:szCs w:val="22"/>
                        </w:rPr>
                      </w:pPr>
                      <w:bookmarkStart w:id="1" w:name="_ftnref1"/>
                    </w:p>
                    <w:bookmarkEnd w:id="1"/>
                    <w:p w14:paraId="24554CFB" w14:textId="375EF838" w:rsidR="00944399" w:rsidRPr="005564BF" w:rsidRDefault="00944399" w:rsidP="00F56ECB">
                      <w:pPr>
                        <w:spacing w:line="276" w:lineRule="auto"/>
                        <w:rPr>
                          <w:rFonts w:asciiTheme="majorHAnsi" w:hAnsiTheme="majorHAnsi" w:cs="Arial"/>
                          <w:color w:val="0D0D0D" w:themeColor="text1" w:themeTint="F2"/>
                          <w:szCs w:val="22"/>
                        </w:rPr>
                      </w:pPr>
                      <w:r w:rsidRPr="005564BF">
                        <w:rPr>
                          <w:rFonts w:asciiTheme="majorHAnsi" w:hAnsiTheme="majorHAnsi" w:cs="Arial"/>
                          <w:color w:val="0D0D0D" w:themeColor="text1" w:themeTint="F2"/>
                          <w:szCs w:val="22"/>
                        </w:rPr>
                        <w:t xml:space="preserve">L.J.S.H. </w:t>
                      </w:r>
                      <w:r w:rsidR="00B60E30">
                        <w:rPr>
                          <w:rFonts w:asciiTheme="majorHAnsi" w:hAnsiTheme="majorHAnsi" w:cs="Arial"/>
                          <w:color w:val="0D0D0D" w:themeColor="text1" w:themeTint="F2"/>
                          <w:szCs w:val="22"/>
                        </w:rPr>
                        <w:t>&amp;</w:t>
                      </w:r>
                      <w:r w:rsidRPr="005564BF">
                        <w:rPr>
                          <w:rFonts w:asciiTheme="majorHAnsi" w:hAnsiTheme="majorHAnsi" w:cs="Arial"/>
                          <w:color w:val="0D0D0D" w:themeColor="text1" w:themeTint="F2"/>
                          <w:szCs w:val="22"/>
                        </w:rPr>
                        <w:t xml:space="preserve"> FAMIL</w:t>
                      </w:r>
                      <w:r w:rsidR="005564BF" w:rsidRPr="005564BF">
                        <w:rPr>
                          <w:rFonts w:asciiTheme="majorHAnsi" w:hAnsiTheme="majorHAnsi" w:cs="Arial"/>
                          <w:color w:val="0D0D0D" w:themeColor="text1" w:themeTint="F2"/>
                          <w:szCs w:val="22"/>
                        </w:rPr>
                        <w:t>Y</w:t>
                      </w:r>
                    </w:p>
                    <w:p w14:paraId="0B9F7D22" w14:textId="2CDAEA4C" w:rsidR="005B52B0" w:rsidRPr="00F56ECB" w:rsidRDefault="00944399"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2DC8915" w:rsidR="00627C9F" w:rsidRPr="006914AB" w:rsidRDefault="00834D49" w:rsidP="007A5817">
                            <w:pPr>
                              <w:spacing w:line="276" w:lineRule="auto"/>
                              <w:jc w:val="right"/>
                              <w:rPr>
                                <w:rFonts w:asciiTheme="minorHAnsi" w:hAnsiTheme="minorHAnsi"/>
                                <w:color w:val="FFFFFF" w:themeColor="background1"/>
                                <w:sz w:val="22"/>
                              </w:rPr>
                            </w:pPr>
                            <w:r w:rsidRPr="006914AB">
                              <w:rPr>
                                <w:rFonts w:asciiTheme="minorHAnsi" w:hAnsiTheme="minorHAnsi"/>
                                <w:color w:val="FFFFFF" w:themeColor="background1"/>
                                <w:sz w:val="22"/>
                              </w:rPr>
                              <w:t>OEA/Ser.L/V/II</w:t>
                            </w:r>
                          </w:p>
                          <w:p w14:paraId="71D2D5D2" w14:textId="232E4E1B" w:rsidR="00627C9F" w:rsidRPr="006914AB" w:rsidRDefault="00627C9F" w:rsidP="007A5817">
                            <w:pPr>
                              <w:spacing w:line="276" w:lineRule="auto"/>
                              <w:jc w:val="right"/>
                              <w:rPr>
                                <w:rFonts w:asciiTheme="minorHAnsi" w:hAnsiTheme="minorHAnsi"/>
                                <w:color w:val="FFFFFF" w:themeColor="background1"/>
                                <w:sz w:val="22"/>
                              </w:rPr>
                            </w:pPr>
                            <w:r w:rsidRPr="006914AB">
                              <w:rPr>
                                <w:rFonts w:asciiTheme="minorHAnsi" w:hAnsiTheme="minorHAnsi"/>
                                <w:color w:val="FFFFFF" w:themeColor="background1"/>
                                <w:sz w:val="22"/>
                              </w:rPr>
                              <w:t xml:space="preserve">Doc. </w:t>
                            </w:r>
                            <w:r w:rsidR="00B60E30" w:rsidRPr="006914AB">
                              <w:rPr>
                                <w:rFonts w:asciiTheme="minorHAnsi" w:hAnsiTheme="minorHAnsi"/>
                                <w:color w:val="FFFFFF" w:themeColor="background1"/>
                                <w:sz w:val="22"/>
                              </w:rPr>
                              <w:t>223</w:t>
                            </w:r>
                          </w:p>
                          <w:p w14:paraId="4061DBBD" w14:textId="28CC5E7E" w:rsidR="00627C9F" w:rsidRPr="006914AB" w:rsidRDefault="00B60E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November</w:t>
                            </w:r>
                            <w:r w:rsidR="00627C9F" w:rsidRPr="00C25ADB">
                              <w:rPr>
                                <w:rFonts w:asciiTheme="minorHAnsi" w:hAnsiTheme="minorHAnsi"/>
                                <w:color w:val="FFFFFF" w:themeColor="background1"/>
                                <w:sz w:val="22"/>
                              </w:rPr>
                              <w:t xml:space="preserve"> 2024</w:t>
                            </w:r>
                          </w:p>
                          <w:p w14:paraId="0537C4A5" w14:textId="77777777" w:rsidR="00627C9F" w:rsidRPr="006914AB" w:rsidRDefault="00E0340B" w:rsidP="007A5817">
                            <w:pPr>
                              <w:spacing w:line="276" w:lineRule="auto"/>
                              <w:jc w:val="right"/>
                              <w:rPr>
                                <w:rFonts w:asciiTheme="minorHAnsi" w:hAnsiTheme="minorHAnsi"/>
                                <w:color w:val="FFFFFF" w:themeColor="background1"/>
                                <w:sz w:val="22"/>
                              </w:rPr>
                            </w:pPr>
                            <w:r w:rsidRPr="00C25ADB">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2DC8915" w:rsidR="00627C9F" w:rsidRPr="006914AB" w:rsidRDefault="00834D49" w:rsidP="007A5817">
                      <w:pPr>
                        <w:spacing w:line="276" w:lineRule="auto"/>
                        <w:jc w:val="right"/>
                        <w:rPr>
                          <w:rFonts w:asciiTheme="minorHAnsi" w:hAnsiTheme="minorHAnsi"/>
                          <w:color w:val="FFFFFF" w:themeColor="background1"/>
                          <w:sz w:val="22"/>
                        </w:rPr>
                      </w:pPr>
                      <w:r w:rsidRPr="006914AB">
                        <w:rPr>
                          <w:rFonts w:asciiTheme="minorHAnsi" w:hAnsiTheme="minorHAnsi"/>
                          <w:color w:val="FFFFFF" w:themeColor="background1"/>
                          <w:sz w:val="22"/>
                        </w:rPr>
                        <w:t>OEA/Ser.L/V/II</w:t>
                      </w:r>
                    </w:p>
                    <w:p w14:paraId="71D2D5D2" w14:textId="232E4E1B" w:rsidR="00627C9F" w:rsidRPr="006914AB" w:rsidRDefault="00627C9F" w:rsidP="007A5817">
                      <w:pPr>
                        <w:spacing w:line="276" w:lineRule="auto"/>
                        <w:jc w:val="right"/>
                        <w:rPr>
                          <w:rFonts w:asciiTheme="minorHAnsi" w:hAnsiTheme="minorHAnsi"/>
                          <w:color w:val="FFFFFF" w:themeColor="background1"/>
                          <w:sz w:val="22"/>
                        </w:rPr>
                      </w:pPr>
                      <w:r w:rsidRPr="006914AB">
                        <w:rPr>
                          <w:rFonts w:asciiTheme="minorHAnsi" w:hAnsiTheme="minorHAnsi"/>
                          <w:color w:val="FFFFFF" w:themeColor="background1"/>
                          <w:sz w:val="22"/>
                        </w:rPr>
                        <w:t xml:space="preserve">Doc. </w:t>
                      </w:r>
                      <w:r w:rsidR="00B60E30" w:rsidRPr="006914AB">
                        <w:rPr>
                          <w:rFonts w:asciiTheme="minorHAnsi" w:hAnsiTheme="minorHAnsi"/>
                          <w:color w:val="FFFFFF" w:themeColor="background1"/>
                          <w:sz w:val="22"/>
                        </w:rPr>
                        <w:t>223</w:t>
                      </w:r>
                    </w:p>
                    <w:p w14:paraId="4061DBBD" w14:textId="28CC5E7E" w:rsidR="00627C9F" w:rsidRPr="006914AB" w:rsidRDefault="00B60E30"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27 November</w:t>
                      </w:r>
                      <w:r w:rsidR="00627C9F" w:rsidRPr="00C25ADB">
                        <w:rPr>
                          <w:rFonts w:asciiTheme="minorHAnsi" w:hAnsiTheme="minorHAnsi"/>
                          <w:color w:val="FFFFFF" w:themeColor="background1"/>
                          <w:sz w:val="22"/>
                        </w:rPr>
                        <w:t xml:space="preserve"> 2024</w:t>
                      </w:r>
                    </w:p>
                    <w:p w14:paraId="0537C4A5" w14:textId="77777777" w:rsidR="00627C9F" w:rsidRPr="006914AB" w:rsidRDefault="00E0340B" w:rsidP="007A5817">
                      <w:pPr>
                        <w:spacing w:line="276" w:lineRule="auto"/>
                        <w:jc w:val="right"/>
                        <w:rPr>
                          <w:rFonts w:asciiTheme="minorHAnsi" w:hAnsiTheme="minorHAnsi"/>
                          <w:color w:val="FFFFFF" w:themeColor="background1"/>
                          <w:sz w:val="22"/>
                        </w:rPr>
                      </w:pPr>
                      <w:r w:rsidRPr="00C25ADB">
                        <w:rPr>
                          <w:rFonts w:asciiTheme="minorHAnsi" w:hAnsiTheme="minorHAnsi"/>
                          <w:color w:val="FFFFFF" w:themeColor="background1"/>
                          <w:sz w:val="22"/>
                        </w:rPr>
                        <w:t>Original: Spanish</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E1D71CB" w:rsidR="00DD3D86" w:rsidRPr="005564BF" w:rsidRDefault="00B60E30"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November 27,</w:t>
                            </w:r>
                            <w:r w:rsidR="00DD3D86" w:rsidRPr="00890650">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p w14:paraId="27EB8538" w14:textId="77777777" w:rsidR="00DD3D86" w:rsidRPr="005564B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5564BF"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7E1D71CB" w:rsidR="00DD3D86" w:rsidRPr="005564BF" w:rsidRDefault="00B60E30" w:rsidP="00DD3D86">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e</w:t>
                      </w:r>
                      <w:r w:rsidR="00DD3D86" w:rsidRPr="00890650">
                        <w:rPr>
                          <w:rFonts w:asciiTheme="majorHAnsi" w:hAnsiTheme="majorHAnsi"/>
                          <w:color w:val="0D0D0D" w:themeColor="text1" w:themeTint="F2"/>
                          <w:sz w:val="18"/>
                          <w:szCs w:val="22"/>
                        </w:rPr>
                        <w:t xml:space="preserve">lectronically by the Commission on </w:t>
                      </w:r>
                      <w:r>
                        <w:rPr>
                          <w:rFonts w:asciiTheme="majorHAnsi" w:hAnsiTheme="majorHAnsi"/>
                          <w:color w:val="0D0D0D" w:themeColor="text1" w:themeTint="F2"/>
                          <w:sz w:val="18"/>
                          <w:szCs w:val="22"/>
                        </w:rPr>
                        <w:t>November 27,</w:t>
                      </w:r>
                      <w:r w:rsidR="00DD3D86" w:rsidRPr="00890650">
                        <w:rPr>
                          <w:rFonts w:asciiTheme="majorHAnsi" w:hAnsiTheme="majorHAnsi"/>
                          <w:color w:val="0D0D0D" w:themeColor="text1" w:themeTint="F2"/>
                          <w:sz w:val="18"/>
                          <w:szCs w:val="22"/>
                        </w:rPr>
                        <w:t xml:space="preserve"> 2024</w:t>
                      </w:r>
                      <w:r>
                        <w:rPr>
                          <w:rFonts w:asciiTheme="majorHAnsi" w:hAnsiTheme="majorHAnsi"/>
                          <w:color w:val="0D0D0D" w:themeColor="text1" w:themeTint="F2"/>
                          <w:sz w:val="18"/>
                          <w:szCs w:val="22"/>
                        </w:rPr>
                        <w:t>.</w:t>
                      </w:r>
                    </w:p>
                    <w:p w14:paraId="27EB8538" w14:textId="77777777" w:rsidR="00DD3D86" w:rsidRPr="005564BF"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5564BF"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1382F" w14:textId="77777777" w:rsidR="007D0B8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7D0B86">
                              <w:rPr>
                                <w:rFonts w:asciiTheme="majorHAnsi" w:hAnsiTheme="majorHAnsi"/>
                                <w:color w:val="595959" w:themeColor="text1" w:themeTint="A6"/>
                                <w:sz w:val="18"/>
                                <w:szCs w:val="18"/>
                              </w:rPr>
                              <w:t>214</w:t>
                            </w:r>
                            <w:r w:rsidRPr="00890650">
                              <w:rPr>
                                <w:rFonts w:asciiTheme="majorHAnsi" w:hAnsiTheme="majorHAnsi"/>
                                <w:color w:val="595959" w:themeColor="text1" w:themeTint="A6"/>
                                <w:sz w:val="18"/>
                                <w:szCs w:val="18"/>
                              </w:rPr>
                              <w:t>/</w:t>
                            </w:r>
                            <w:r w:rsidR="007D0B86">
                              <w:rPr>
                                <w:rFonts w:asciiTheme="majorHAnsi" w:hAnsiTheme="majorHAnsi"/>
                                <w:color w:val="595959" w:themeColor="text1" w:themeTint="A6"/>
                                <w:sz w:val="18"/>
                                <w:szCs w:val="18"/>
                              </w:rPr>
                              <w:t>24</w:t>
                            </w:r>
                            <w:r w:rsidRPr="00890650">
                              <w:rPr>
                                <w:rFonts w:asciiTheme="majorHAnsi" w:hAnsiTheme="majorHAnsi"/>
                                <w:color w:val="595959" w:themeColor="text1" w:themeTint="A6"/>
                                <w:sz w:val="18"/>
                                <w:szCs w:val="18"/>
                              </w:rPr>
                              <w:t xml:space="preserve">. Petition 1717-18. Admissibility. L.J.S.H. and family. </w:t>
                            </w:r>
                          </w:p>
                          <w:p w14:paraId="7FD77785" w14:textId="64B239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color w:val="595959" w:themeColor="text1" w:themeTint="A6"/>
                                <w:sz w:val="18"/>
                                <w:szCs w:val="18"/>
                              </w:rPr>
                              <w:t xml:space="preserve">Colombia. </w:t>
                            </w:r>
                            <w:r w:rsidR="007D0B86">
                              <w:rPr>
                                <w:rFonts w:asciiTheme="majorHAnsi" w:hAnsiTheme="majorHAnsi"/>
                                <w:color w:val="595959" w:themeColor="text1" w:themeTint="A6"/>
                                <w:sz w:val="18"/>
                                <w:szCs w:val="18"/>
                              </w:rPr>
                              <w:t>November 27, 2024</w:t>
                            </w:r>
                            <w:r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28C1382F" w14:textId="77777777" w:rsidR="007D0B86"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rPr>
                        <w:t>Cite as:</w:t>
                      </w:r>
                      <w:r w:rsidRPr="00890650">
                        <w:rPr>
                          <w:rFonts w:asciiTheme="majorHAnsi" w:hAnsiTheme="majorHAnsi"/>
                          <w:color w:val="595959" w:themeColor="text1" w:themeTint="A6"/>
                          <w:sz w:val="18"/>
                          <w:szCs w:val="18"/>
                        </w:rPr>
                        <w:t xml:space="preserve"> IACHR, Report No. </w:t>
                      </w:r>
                      <w:r w:rsidR="007D0B86">
                        <w:rPr>
                          <w:rFonts w:asciiTheme="majorHAnsi" w:hAnsiTheme="majorHAnsi"/>
                          <w:color w:val="595959" w:themeColor="text1" w:themeTint="A6"/>
                          <w:sz w:val="18"/>
                          <w:szCs w:val="18"/>
                        </w:rPr>
                        <w:t>214</w:t>
                      </w:r>
                      <w:r w:rsidRPr="00890650">
                        <w:rPr>
                          <w:rFonts w:asciiTheme="majorHAnsi" w:hAnsiTheme="majorHAnsi"/>
                          <w:color w:val="595959" w:themeColor="text1" w:themeTint="A6"/>
                          <w:sz w:val="18"/>
                          <w:szCs w:val="18"/>
                        </w:rPr>
                        <w:t>/</w:t>
                      </w:r>
                      <w:r w:rsidR="007D0B86">
                        <w:rPr>
                          <w:rFonts w:asciiTheme="majorHAnsi" w:hAnsiTheme="majorHAnsi"/>
                          <w:color w:val="595959" w:themeColor="text1" w:themeTint="A6"/>
                          <w:sz w:val="18"/>
                          <w:szCs w:val="18"/>
                        </w:rPr>
                        <w:t>24</w:t>
                      </w:r>
                      <w:r w:rsidRPr="00890650">
                        <w:rPr>
                          <w:rFonts w:asciiTheme="majorHAnsi" w:hAnsiTheme="majorHAnsi"/>
                          <w:color w:val="595959" w:themeColor="text1" w:themeTint="A6"/>
                          <w:sz w:val="18"/>
                          <w:szCs w:val="18"/>
                        </w:rPr>
                        <w:t xml:space="preserve">. Petition 1717-18. Admissibility. L.J.S.H. and family. </w:t>
                      </w:r>
                    </w:p>
                    <w:p w14:paraId="7FD77785" w14:textId="64B239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color w:val="595959" w:themeColor="text1" w:themeTint="A6"/>
                          <w:sz w:val="18"/>
                          <w:szCs w:val="18"/>
                        </w:rPr>
                        <w:t xml:space="preserve">Colombia. </w:t>
                      </w:r>
                      <w:r w:rsidR="007D0B86">
                        <w:rPr>
                          <w:rFonts w:asciiTheme="majorHAnsi" w:hAnsiTheme="majorHAnsi"/>
                          <w:color w:val="595959" w:themeColor="text1" w:themeTint="A6"/>
                          <w:sz w:val="18"/>
                          <w:szCs w:val="18"/>
                        </w:rPr>
                        <w:t>November 27, 2024</w:t>
                      </w:r>
                      <w:r w:rsidRPr="00890650">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rPr>
        <w:lastRenderedPageBreak/>
        <w:t>I.</w:t>
      </w:r>
      <w:r w:rsidRPr="000419AD">
        <w:rPr>
          <w:rFonts w:asciiTheme="majorHAnsi" w:hAnsiTheme="majorHAnsi"/>
          <w:b/>
          <w:bCs/>
          <w:sz w:val="20"/>
          <w:szCs w:val="20"/>
        </w:rPr>
        <w:tab/>
        <w:t xml:space="preserve">PETITION DETAILS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4A43BB">
        <w:tc>
          <w:tcPr>
            <w:tcW w:w="3600" w:type="dxa"/>
            <w:tcBorders>
              <w:top w:val="single" w:sz="4" w:space="0" w:color="auto"/>
              <w:bottom w:val="single" w:sz="6" w:space="0" w:color="auto"/>
            </w:tcBorders>
            <w:shd w:val="clear" w:color="auto" w:fill="92D050"/>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Petitioner:</w:t>
            </w:r>
          </w:p>
        </w:tc>
        <w:tc>
          <w:tcPr>
            <w:tcW w:w="5647" w:type="dxa"/>
            <w:vAlign w:val="center"/>
          </w:tcPr>
          <w:p w14:paraId="07DAAE2E" w14:textId="3E8C69B6" w:rsidR="003239B8" w:rsidRPr="000D05CB" w:rsidRDefault="00AE0F80" w:rsidP="008D2290">
            <w:pPr>
              <w:jc w:val="both"/>
              <w:rPr>
                <w:rFonts w:ascii="Cambria" w:hAnsi="Cambria"/>
                <w:bCs/>
                <w:sz w:val="20"/>
                <w:szCs w:val="20"/>
              </w:rPr>
            </w:pPr>
            <w:r>
              <w:rPr>
                <w:rFonts w:ascii="Cambria" w:hAnsi="Cambria"/>
                <w:bCs/>
                <w:sz w:val="20"/>
                <w:szCs w:val="20"/>
              </w:rPr>
              <w:t>Óscar Humberto Gómez Gómez</w:t>
            </w:r>
          </w:p>
        </w:tc>
      </w:tr>
      <w:tr w:rsidR="003239B8" w:rsidRPr="005564BF" w14:paraId="0D7F9389" w14:textId="77777777" w:rsidTr="004A43BB">
        <w:tc>
          <w:tcPr>
            <w:tcW w:w="3600" w:type="dxa"/>
            <w:tcBorders>
              <w:top w:val="single" w:sz="6" w:space="0" w:color="auto"/>
              <w:bottom w:val="single" w:sz="6" w:space="0" w:color="auto"/>
            </w:tcBorders>
            <w:shd w:val="clear" w:color="auto" w:fill="92D050"/>
            <w:vAlign w:val="center"/>
          </w:tcPr>
          <w:p w14:paraId="481622AE" w14:textId="77777777" w:rsidR="003239B8" w:rsidRPr="000D05CB" w:rsidRDefault="00A6171F"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 xml:space="preserve">   Alleged victim </w:t>
                </w:r>
              </w:sdtContent>
            </w:sdt>
            <w:r w:rsidR="003239B8" w:rsidRPr="000D05CB">
              <w:rPr>
                <w:rFonts w:ascii="Cambria" w:hAnsi="Cambria"/>
                <w:b/>
                <w:bCs/>
                <w:color w:val="FFFFFF" w:themeColor="background1"/>
                <w:sz w:val="20"/>
                <w:szCs w:val="20"/>
              </w:rPr>
              <w:t>:</w:t>
            </w:r>
          </w:p>
        </w:tc>
        <w:tc>
          <w:tcPr>
            <w:tcW w:w="5647" w:type="dxa"/>
            <w:vAlign w:val="center"/>
          </w:tcPr>
          <w:p w14:paraId="143D44A8" w14:textId="46BF5754" w:rsidR="003239B8" w:rsidRPr="005564BF" w:rsidRDefault="00AE0F80" w:rsidP="008D2290">
            <w:pPr>
              <w:jc w:val="both"/>
              <w:rPr>
                <w:rFonts w:ascii="Cambria" w:hAnsi="Cambria"/>
                <w:bCs/>
                <w:sz w:val="20"/>
                <w:szCs w:val="20"/>
              </w:rPr>
            </w:pPr>
            <w:r w:rsidRPr="005564BF">
              <w:rPr>
                <w:rFonts w:ascii="Cambria" w:hAnsi="Cambria"/>
                <w:bCs/>
                <w:sz w:val="20"/>
                <w:szCs w:val="20"/>
              </w:rPr>
              <w:t>L.J.S.H</w:t>
            </w:r>
            <w:r w:rsidR="00986F46">
              <w:rPr>
                <w:rStyle w:val="FootnoteReference"/>
                <w:rFonts w:ascii="Cambria" w:hAnsi="Cambria"/>
                <w:bCs/>
                <w:sz w:val="20"/>
                <w:szCs w:val="20"/>
              </w:rPr>
              <w:footnoteReference w:id="2"/>
            </w:r>
            <w:r w:rsidRPr="005564BF">
              <w:rPr>
                <w:rFonts w:ascii="Cambria" w:hAnsi="Cambria"/>
                <w:bCs/>
                <w:sz w:val="20"/>
                <w:szCs w:val="20"/>
              </w:rPr>
              <w:t xml:space="preserve">. </w:t>
            </w:r>
            <w:r w:rsidR="005564BF" w:rsidRPr="005564BF">
              <w:rPr>
                <w:rFonts w:ascii="Cambria" w:hAnsi="Cambria"/>
                <w:bCs/>
                <w:sz w:val="20"/>
                <w:szCs w:val="20"/>
              </w:rPr>
              <w:t>and</w:t>
            </w:r>
            <w:r w:rsidRPr="005564BF">
              <w:rPr>
                <w:rFonts w:ascii="Cambria" w:hAnsi="Cambria"/>
                <w:bCs/>
                <w:sz w:val="20"/>
                <w:szCs w:val="20"/>
              </w:rPr>
              <w:t xml:space="preserve"> famil</w:t>
            </w:r>
            <w:r w:rsidR="005564BF" w:rsidRPr="005564BF">
              <w:rPr>
                <w:rFonts w:ascii="Cambria" w:hAnsi="Cambria"/>
                <w:bCs/>
                <w:sz w:val="20"/>
                <w:szCs w:val="20"/>
              </w:rPr>
              <w:t>y</w:t>
            </w:r>
            <w:r>
              <w:rPr>
                <w:rStyle w:val="FootnoteReference"/>
                <w:rFonts w:ascii="Cambria" w:hAnsi="Cambria"/>
                <w:bCs/>
                <w:sz w:val="20"/>
                <w:szCs w:val="20"/>
              </w:rPr>
              <w:footnoteReference w:id="3"/>
            </w:r>
          </w:p>
        </w:tc>
      </w:tr>
      <w:tr w:rsidR="003239B8" w14:paraId="19F69F82" w14:textId="77777777" w:rsidTr="004A43BB">
        <w:tc>
          <w:tcPr>
            <w:tcW w:w="3600" w:type="dxa"/>
            <w:tcBorders>
              <w:top w:val="single" w:sz="6" w:space="0" w:color="auto"/>
              <w:bottom w:val="single" w:sz="6" w:space="0" w:color="auto"/>
            </w:tcBorders>
            <w:shd w:val="clear" w:color="auto" w:fill="92D050"/>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Reported status:</w:t>
            </w:r>
          </w:p>
        </w:tc>
        <w:tc>
          <w:tcPr>
            <w:tcW w:w="5647" w:type="dxa"/>
            <w:vAlign w:val="center"/>
          </w:tcPr>
          <w:p w14:paraId="5D0EC05D" w14:textId="5003770E" w:rsidR="003239B8" w:rsidRPr="000D05CB" w:rsidRDefault="00A52A58"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4"/>
            </w:r>
          </w:p>
        </w:tc>
      </w:tr>
      <w:tr w:rsidR="00223A29" w:rsidRPr="00864D5F" w14:paraId="256E66EF" w14:textId="77777777" w:rsidTr="004A43BB">
        <w:tc>
          <w:tcPr>
            <w:tcW w:w="3600" w:type="dxa"/>
            <w:tcBorders>
              <w:top w:val="single" w:sz="6" w:space="0" w:color="auto"/>
              <w:bottom w:val="single" w:sz="6" w:space="0" w:color="auto"/>
            </w:tcBorders>
            <w:shd w:val="clear" w:color="auto" w:fill="92D050"/>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Rights invoked:</w:t>
            </w:r>
          </w:p>
        </w:tc>
        <w:tc>
          <w:tcPr>
            <w:tcW w:w="5647" w:type="dxa"/>
            <w:vAlign w:val="center"/>
          </w:tcPr>
          <w:p w14:paraId="52B28392" w14:textId="2E3496C3" w:rsidR="00223A29" w:rsidRPr="005564BF" w:rsidRDefault="00A52A58" w:rsidP="008D2290">
            <w:pPr>
              <w:jc w:val="both"/>
              <w:rPr>
                <w:rFonts w:ascii="Cambria" w:hAnsi="Cambria"/>
                <w:bCs/>
                <w:sz w:val="20"/>
                <w:szCs w:val="20"/>
              </w:rPr>
            </w:pPr>
            <w:r w:rsidRPr="00A52A58">
              <w:rPr>
                <w:rFonts w:ascii="Cambria" w:hAnsi="Cambria"/>
                <w:bCs/>
                <w:sz w:val="20"/>
                <w:szCs w:val="20"/>
              </w:rPr>
              <w:t>Articles 5 (humane treatment), 8 (right to a fair trial), 11 (protection of honor and dignity), 17 (protection of the family), 24 (equality before the law) and 25 (judicial protection) of the American Convention on Human Rights</w:t>
            </w:r>
            <w:r w:rsidR="005C0CD2" w:rsidRPr="007E054F">
              <w:rPr>
                <w:rFonts w:ascii="Cambria" w:hAnsi="Cambria"/>
                <w:bCs/>
                <w:sz w:val="20"/>
                <w:szCs w:val="20"/>
                <w:vertAlign w:val="superscript"/>
                <w:lang w:bidi="es-ES"/>
              </w:rPr>
              <w:footnoteReference w:id="5"/>
            </w:r>
          </w:p>
        </w:tc>
      </w:tr>
    </w:tbl>
    <w:p w14:paraId="176FB213" w14:textId="77777777" w:rsidR="003239B8" w:rsidRPr="005564BF" w:rsidRDefault="003239B8" w:rsidP="003239B8">
      <w:pPr>
        <w:spacing w:before="240" w:after="240"/>
        <w:ind w:firstLine="720"/>
        <w:jc w:val="both"/>
        <w:rPr>
          <w:rFonts w:asciiTheme="majorHAnsi" w:hAnsiTheme="majorHAnsi"/>
          <w:b/>
          <w:bCs/>
          <w:sz w:val="20"/>
          <w:szCs w:val="20"/>
        </w:rPr>
      </w:pPr>
      <w:r w:rsidRPr="004C2312">
        <w:rPr>
          <w:rFonts w:asciiTheme="majorHAnsi" w:hAnsiTheme="majorHAnsi"/>
          <w:b/>
          <w:bCs/>
          <w:sz w:val="20"/>
          <w:szCs w:val="20"/>
        </w:rPr>
        <w:t>II.</w:t>
      </w:r>
      <w:r w:rsidRPr="004C2312">
        <w:rPr>
          <w:rFonts w:asciiTheme="majorHAnsi" w:hAnsiTheme="majorHAnsi"/>
          <w:b/>
          <w:bCs/>
          <w:sz w:val="20"/>
          <w:szCs w:val="20"/>
        </w:rPr>
        <w:tab/>
        <w:t>PROCEEDINGS BEFORE THE IACHR</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4A43BB">
        <w:tc>
          <w:tcPr>
            <w:tcW w:w="3600" w:type="dxa"/>
            <w:tcBorders>
              <w:top w:val="single" w:sz="6" w:space="0" w:color="auto"/>
              <w:bottom w:val="single" w:sz="6" w:space="0" w:color="auto"/>
            </w:tcBorders>
            <w:shd w:val="clear" w:color="auto" w:fill="92D050"/>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Filing of the petition:</w:t>
            </w:r>
          </w:p>
        </w:tc>
        <w:tc>
          <w:tcPr>
            <w:tcW w:w="5647" w:type="dxa"/>
            <w:vAlign w:val="center"/>
          </w:tcPr>
          <w:p w14:paraId="6883A5F8" w14:textId="34C37942" w:rsidR="004C2312" w:rsidRPr="003239B8" w:rsidRDefault="00386014" w:rsidP="002625EA">
            <w:pPr>
              <w:jc w:val="both"/>
              <w:rPr>
                <w:rFonts w:ascii="Cambria" w:hAnsi="Cambria"/>
                <w:bCs/>
                <w:sz w:val="20"/>
                <w:szCs w:val="20"/>
                <w:lang w:val="es-ES"/>
              </w:rPr>
            </w:pPr>
            <w:r>
              <w:rPr>
                <w:rFonts w:ascii="Cambria" w:hAnsi="Cambria"/>
                <w:bCs/>
                <w:sz w:val="20"/>
                <w:szCs w:val="20"/>
              </w:rPr>
              <w:t>August 24, 2018</w:t>
            </w:r>
          </w:p>
        </w:tc>
      </w:tr>
      <w:tr w:rsidR="00131425" w:rsidRPr="00864D5F" w14:paraId="54F62341" w14:textId="77777777" w:rsidTr="004A43BB">
        <w:tc>
          <w:tcPr>
            <w:tcW w:w="3600" w:type="dxa"/>
            <w:tcBorders>
              <w:top w:val="single" w:sz="6" w:space="0" w:color="auto"/>
              <w:bottom w:val="single" w:sz="6" w:space="0" w:color="auto"/>
            </w:tcBorders>
            <w:shd w:val="clear" w:color="auto" w:fill="92D050"/>
            <w:vAlign w:val="center"/>
          </w:tcPr>
          <w:p w14:paraId="48CC6F04" w14:textId="77777777" w:rsidR="00131425" w:rsidRPr="005564BF" w:rsidRDefault="00131425"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Additional information received during the study stage:</w:t>
            </w:r>
          </w:p>
        </w:tc>
        <w:tc>
          <w:tcPr>
            <w:tcW w:w="5647" w:type="dxa"/>
            <w:vAlign w:val="center"/>
          </w:tcPr>
          <w:p w14:paraId="65CBC29E" w14:textId="4AA80A5B" w:rsidR="00131425" w:rsidRPr="003239B8" w:rsidRDefault="00297675" w:rsidP="002625EA">
            <w:pPr>
              <w:jc w:val="both"/>
              <w:rPr>
                <w:rFonts w:ascii="Cambria" w:hAnsi="Cambria"/>
                <w:bCs/>
                <w:sz w:val="20"/>
                <w:szCs w:val="20"/>
                <w:lang w:val="es-ES"/>
              </w:rPr>
            </w:pPr>
            <w:r>
              <w:rPr>
                <w:rFonts w:ascii="Cambria" w:hAnsi="Cambria"/>
                <w:bCs/>
                <w:sz w:val="20"/>
                <w:szCs w:val="20"/>
              </w:rPr>
              <w:t xml:space="preserve">February 26, </w:t>
            </w:r>
            <w:r w:rsidR="00340D71">
              <w:rPr>
                <w:rFonts w:ascii="Cambria" w:hAnsi="Cambria"/>
                <w:bCs/>
                <w:sz w:val="20"/>
                <w:szCs w:val="20"/>
              </w:rPr>
              <w:t>2020,</w:t>
            </w:r>
            <w:r>
              <w:rPr>
                <w:rFonts w:ascii="Cambria" w:hAnsi="Cambria"/>
                <w:bCs/>
                <w:sz w:val="20"/>
                <w:szCs w:val="20"/>
              </w:rPr>
              <w:t xml:space="preserve"> and March 18, 2020</w:t>
            </w:r>
          </w:p>
        </w:tc>
      </w:tr>
      <w:tr w:rsidR="004C2312" w:rsidRPr="001F0D2F" w14:paraId="6A9025D9" w14:textId="77777777" w:rsidTr="004A43BB">
        <w:tc>
          <w:tcPr>
            <w:tcW w:w="3600" w:type="dxa"/>
            <w:tcBorders>
              <w:top w:val="single" w:sz="6" w:space="0" w:color="auto"/>
              <w:bottom w:val="single" w:sz="6" w:space="0" w:color="auto"/>
            </w:tcBorders>
            <w:shd w:val="clear" w:color="auto" w:fill="92D050"/>
            <w:vAlign w:val="center"/>
          </w:tcPr>
          <w:p w14:paraId="01B3581F" w14:textId="77777777" w:rsidR="004C2312" w:rsidRPr="005564BF" w:rsidRDefault="004A6A54" w:rsidP="004A6A54">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 the State:</w:t>
            </w:r>
          </w:p>
        </w:tc>
        <w:tc>
          <w:tcPr>
            <w:tcW w:w="5647" w:type="dxa"/>
            <w:vAlign w:val="center"/>
          </w:tcPr>
          <w:p w14:paraId="58485921" w14:textId="5C1716E1" w:rsidR="004C2312" w:rsidRPr="003239B8" w:rsidRDefault="0006505E" w:rsidP="008D2290">
            <w:pPr>
              <w:jc w:val="both"/>
              <w:rPr>
                <w:rFonts w:ascii="Cambria" w:hAnsi="Cambria"/>
                <w:bCs/>
                <w:sz w:val="20"/>
                <w:szCs w:val="20"/>
                <w:lang w:val="es-ES"/>
              </w:rPr>
            </w:pPr>
            <w:r>
              <w:rPr>
                <w:rFonts w:ascii="Cambria" w:hAnsi="Cambria"/>
                <w:bCs/>
                <w:sz w:val="20"/>
                <w:szCs w:val="20"/>
              </w:rPr>
              <w:t>December 27, 2021</w:t>
            </w:r>
          </w:p>
        </w:tc>
      </w:tr>
      <w:tr w:rsidR="004C2312" w:rsidRPr="004A6A54" w14:paraId="1EC979C3" w14:textId="77777777" w:rsidTr="004A43BB">
        <w:tc>
          <w:tcPr>
            <w:tcW w:w="3600" w:type="dxa"/>
            <w:tcBorders>
              <w:top w:val="single" w:sz="6" w:space="0" w:color="auto"/>
              <w:bottom w:val="single" w:sz="6" w:space="0" w:color="auto"/>
            </w:tcBorders>
            <w:shd w:val="clear" w:color="auto" w:fill="92D050"/>
            <w:vAlign w:val="center"/>
          </w:tcPr>
          <w:p w14:paraId="3708E507" w14:textId="3D14D5A6" w:rsidR="004C2312" w:rsidRPr="003239B8" w:rsidRDefault="00E01721"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rPr>
              <w:t>The State's Response:</w:t>
            </w:r>
          </w:p>
        </w:tc>
        <w:tc>
          <w:tcPr>
            <w:tcW w:w="5647" w:type="dxa"/>
            <w:vAlign w:val="center"/>
          </w:tcPr>
          <w:p w14:paraId="6B47064C" w14:textId="7FD3752F" w:rsidR="004C2312" w:rsidRPr="003239B8" w:rsidRDefault="003C10E5" w:rsidP="008D2290">
            <w:pPr>
              <w:jc w:val="both"/>
              <w:rPr>
                <w:rFonts w:ascii="Cambria" w:hAnsi="Cambria"/>
                <w:bCs/>
                <w:sz w:val="20"/>
                <w:szCs w:val="20"/>
                <w:lang w:val="es-ES"/>
              </w:rPr>
            </w:pPr>
            <w:r>
              <w:rPr>
                <w:rFonts w:ascii="Cambria" w:hAnsi="Cambria"/>
                <w:bCs/>
                <w:sz w:val="20"/>
                <w:szCs w:val="20"/>
              </w:rPr>
              <w:t>May 18, 2022</w:t>
            </w:r>
          </w:p>
        </w:tc>
      </w:tr>
      <w:tr w:rsidR="001E49E7" w:rsidRPr="007B76D3" w14:paraId="0F2C6E3B" w14:textId="77777777" w:rsidTr="004A43BB">
        <w:tc>
          <w:tcPr>
            <w:tcW w:w="3600" w:type="dxa"/>
            <w:tcBorders>
              <w:top w:val="single" w:sz="6" w:space="0" w:color="auto"/>
              <w:bottom w:val="single" w:sz="6" w:space="0" w:color="auto"/>
            </w:tcBorders>
            <w:shd w:val="clear" w:color="auto" w:fill="92D050"/>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rPr>
              <w:t>Warning about possible archiving:</w:t>
            </w:r>
          </w:p>
        </w:tc>
        <w:tc>
          <w:tcPr>
            <w:tcW w:w="5647" w:type="dxa"/>
            <w:vAlign w:val="center"/>
          </w:tcPr>
          <w:p w14:paraId="48CA2CFB" w14:textId="39F17A4B" w:rsidR="001E49E7" w:rsidRPr="003239B8" w:rsidRDefault="007F7265" w:rsidP="002625EA">
            <w:pPr>
              <w:jc w:val="both"/>
              <w:rPr>
                <w:rFonts w:ascii="Cambria" w:hAnsi="Cambria"/>
                <w:bCs/>
                <w:sz w:val="20"/>
                <w:szCs w:val="20"/>
                <w:lang w:val="es-ES"/>
              </w:rPr>
            </w:pPr>
            <w:r>
              <w:rPr>
                <w:rFonts w:ascii="Cambria" w:hAnsi="Cambria"/>
                <w:bCs/>
                <w:sz w:val="20"/>
                <w:szCs w:val="20"/>
              </w:rPr>
              <w:t>June 20, 2023</w:t>
            </w:r>
          </w:p>
        </w:tc>
      </w:tr>
      <w:tr w:rsidR="001E49E7" w:rsidRPr="001F0D2F" w14:paraId="1EC61DBE" w14:textId="77777777" w:rsidTr="004A43BB">
        <w:tc>
          <w:tcPr>
            <w:tcW w:w="3600" w:type="dxa"/>
            <w:tcBorders>
              <w:top w:val="single" w:sz="6" w:space="0" w:color="auto"/>
              <w:bottom w:val="single" w:sz="6" w:space="0" w:color="auto"/>
            </w:tcBorders>
            <w:shd w:val="clear" w:color="auto" w:fill="92D050"/>
            <w:vAlign w:val="center"/>
          </w:tcPr>
          <w:p w14:paraId="368D8721" w14:textId="77777777" w:rsidR="001E49E7" w:rsidRPr="005564BF" w:rsidRDefault="004A6A54" w:rsidP="004A6A54">
            <w:pPr>
              <w:jc w:val="center"/>
              <w:rPr>
                <w:rFonts w:ascii="Cambria" w:hAnsi="Cambria"/>
                <w:b/>
                <w:bCs/>
                <w:color w:val="FFFFFF" w:themeColor="background1"/>
                <w:sz w:val="20"/>
                <w:szCs w:val="20"/>
              </w:rPr>
            </w:pPr>
            <w:r>
              <w:rPr>
                <w:rFonts w:ascii="Cambria" w:hAnsi="Cambria"/>
                <w:b/>
                <w:bCs/>
                <w:color w:val="FFFFFF" w:themeColor="background1"/>
                <w:sz w:val="20"/>
                <w:szCs w:val="20"/>
              </w:rPr>
              <w:t>Response of the petitioner to the warning of possible archiving:</w:t>
            </w:r>
          </w:p>
        </w:tc>
        <w:tc>
          <w:tcPr>
            <w:tcW w:w="5647" w:type="dxa"/>
            <w:vAlign w:val="center"/>
          </w:tcPr>
          <w:p w14:paraId="6E85D194" w14:textId="10E74A19" w:rsidR="001E49E7" w:rsidRPr="003239B8" w:rsidRDefault="007F7265" w:rsidP="002625EA">
            <w:pPr>
              <w:jc w:val="both"/>
              <w:rPr>
                <w:rFonts w:ascii="Cambria" w:hAnsi="Cambria"/>
                <w:bCs/>
                <w:sz w:val="20"/>
                <w:szCs w:val="20"/>
                <w:lang w:val="es-ES"/>
              </w:rPr>
            </w:pPr>
            <w:r>
              <w:rPr>
                <w:rFonts w:ascii="Cambria" w:hAnsi="Cambria"/>
                <w:bCs/>
                <w:sz w:val="20"/>
                <w:szCs w:val="20"/>
              </w:rPr>
              <w:t>July 19, 2023</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rPr>
        <w:t xml:space="preserve">III. </w:t>
      </w:r>
      <w:r w:rsidRPr="003239B8">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43BB">
        <w:trPr>
          <w:cantSplit/>
        </w:trPr>
        <w:tc>
          <w:tcPr>
            <w:tcW w:w="3600" w:type="dxa"/>
            <w:tcBorders>
              <w:top w:val="single" w:sz="4" w:space="0" w:color="auto"/>
              <w:bottom w:val="single" w:sz="6" w:space="0" w:color="auto"/>
            </w:tcBorders>
            <w:shd w:val="clear" w:color="auto" w:fill="92D050"/>
            <w:vAlign w:val="center"/>
          </w:tcPr>
          <w:p w14:paraId="5D0830E9" w14:textId="0CA40159" w:rsidR="003239B8" w:rsidRPr="00B3745F" w:rsidRDefault="00340D71"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Competence</w:t>
            </w:r>
            <w:r w:rsidR="003239B8" w:rsidRPr="00B3745F">
              <w:rPr>
                <w:rFonts w:ascii="Cambria" w:hAnsi="Cambria"/>
                <w:b/>
                <w:bCs/>
                <w:i/>
                <w:color w:val="FFFFFF" w:themeColor="background1"/>
                <w:sz w:val="20"/>
                <w:szCs w:val="20"/>
              </w:rPr>
              <w:t xml:space="preserve"> Ratione personae:</w:t>
            </w:r>
          </w:p>
        </w:tc>
        <w:tc>
          <w:tcPr>
            <w:tcW w:w="5760" w:type="dxa"/>
            <w:vAlign w:val="center"/>
          </w:tcPr>
          <w:p w14:paraId="1E494D5D" w14:textId="34E00848" w:rsidR="003239B8" w:rsidRPr="00B3745F" w:rsidRDefault="00203711" w:rsidP="008D2290">
            <w:pPr>
              <w:rPr>
                <w:rFonts w:ascii="Cambria" w:hAnsi="Cambria"/>
                <w:bCs/>
                <w:sz w:val="20"/>
                <w:szCs w:val="20"/>
              </w:rPr>
            </w:pPr>
            <w:r>
              <w:rPr>
                <w:rFonts w:ascii="Cambria" w:hAnsi="Cambria"/>
                <w:bCs/>
                <w:sz w:val="20"/>
                <w:szCs w:val="20"/>
              </w:rPr>
              <w:t>Yes</w:t>
            </w:r>
          </w:p>
        </w:tc>
      </w:tr>
      <w:tr w:rsidR="003239B8" w:rsidRPr="00540F17" w14:paraId="54503A4F" w14:textId="77777777" w:rsidTr="004A43BB">
        <w:trPr>
          <w:cantSplit/>
        </w:trPr>
        <w:tc>
          <w:tcPr>
            <w:tcW w:w="3600" w:type="dxa"/>
            <w:tcBorders>
              <w:top w:val="single" w:sz="6" w:space="0" w:color="auto"/>
              <w:bottom w:val="single" w:sz="6" w:space="0" w:color="auto"/>
            </w:tcBorders>
            <w:shd w:val="clear" w:color="auto" w:fill="92D050"/>
            <w:vAlign w:val="center"/>
          </w:tcPr>
          <w:p w14:paraId="40E3A1EF" w14:textId="10B56DAB" w:rsidR="003239B8" w:rsidRPr="00B3745F" w:rsidRDefault="00340D71"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003239B8" w:rsidRPr="00B3745F">
              <w:rPr>
                <w:rFonts w:ascii="Cambria" w:hAnsi="Cambria"/>
                <w:b/>
                <w:bCs/>
                <w:i/>
                <w:color w:val="FFFFFF" w:themeColor="background1"/>
                <w:sz w:val="20"/>
                <w:szCs w:val="20"/>
              </w:rPr>
              <w:t xml:space="preserve"> Ratione loci</w:t>
            </w:r>
            <w:r w:rsidR="003239B8" w:rsidRPr="00B3745F">
              <w:rPr>
                <w:rFonts w:ascii="Cambria" w:hAnsi="Cambria"/>
                <w:b/>
                <w:bCs/>
                <w:color w:val="FFFFFF" w:themeColor="background1"/>
                <w:sz w:val="20"/>
                <w:szCs w:val="20"/>
              </w:rPr>
              <w:t>:</w:t>
            </w:r>
          </w:p>
        </w:tc>
        <w:tc>
          <w:tcPr>
            <w:tcW w:w="5760" w:type="dxa"/>
            <w:vAlign w:val="center"/>
          </w:tcPr>
          <w:p w14:paraId="77C8256A" w14:textId="5271195B" w:rsidR="003239B8" w:rsidRPr="00B3745F" w:rsidRDefault="00203711" w:rsidP="008D2290">
            <w:pPr>
              <w:rPr>
                <w:rFonts w:ascii="Cambria" w:hAnsi="Cambria"/>
                <w:bCs/>
                <w:sz w:val="20"/>
                <w:szCs w:val="20"/>
              </w:rPr>
            </w:pPr>
            <w:r>
              <w:rPr>
                <w:rFonts w:ascii="Cambria" w:hAnsi="Cambria"/>
                <w:bCs/>
                <w:sz w:val="20"/>
                <w:szCs w:val="20"/>
              </w:rPr>
              <w:t>Yes</w:t>
            </w:r>
          </w:p>
        </w:tc>
      </w:tr>
      <w:tr w:rsidR="003239B8" w:rsidRPr="00540F17" w14:paraId="6618D96A" w14:textId="77777777" w:rsidTr="004A43BB">
        <w:trPr>
          <w:cantSplit/>
        </w:trPr>
        <w:tc>
          <w:tcPr>
            <w:tcW w:w="3600" w:type="dxa"/>
            <w:tcBorders>
              <w:top w:val="single" w:sz="6" w:space="0" w:color="auto"/>
              <w:bottom w:val="single" w:sz="6" w:space="0" w:color="auto"/>
            </w:tcBorders>
            <w:shd w:val="clear" w:color="auto" w:fill="92D050"/>
            <w:vAlign w:val="center"/>
          </w:tcPr>
          <w:p w14:paraId="24D9CAA2" w14:textId="0CFCA7DC" w:rsidR="003239B8" w:rsidRPr="00B3745F" w:rsidRDefault="00340D71"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003239B8" w:rsidRPr="00B3745F">
              <w:rPr>
                <w:rFonts w:ascii="Cambria" w:hAnsi="Cambria"/>
                <w:b/>
                <w:bCs/>
                <w:i/>
                <w:color w:val="FFFFFF" w:themeColor="background1"/>
                <w:sz w:val="20"/>
                <w:szCs w:val="20"/>
              </w:rPr>
              <w:t xml:space="preserve"> Ratione temporis</w:t>
            </w:r>
            <w:r w:rsidR="003239B8" w:rsidRPr="00B3745F">
              <w:rPr>
                <w:rFonts w:ascii="Cambria" w:hAnsi="Cambria"/>
                <w:b/>
                <w:bCs/>
                <w:color w:val="FFFFFF" w:themeColor="background1"/>
                <w:sz w:val="20"/>
                <w:szCs w:val="20"/>
              </w:rPr>
              <w:t>:</w:t>
            </w:r>
          </w:p>
        </w:tc>
        <w:tc>
          <w:tcPr>
            <w:tcW w:w="5760" w:type="dxa"/>
            <w:vAlign w:val="center"/>
          </w:tcPr>
          <w:p w14:paraId="523F6BD6" w14:textId="46B0F11C" w:rsidR="003239B8" w:rsidRPr="00B3745F" w:rsidRDefault="00203711" w:rsidP="008D2290">
            <w:pPr>
              <w:rPr>
                <w:rFonts w:ascii="Cambria" w:hAnsi="Cambria"/>
                <w:bCs/>
                <w:sz w:val="20"/>
                <w:szCs w:val="20"/>
              </w:rPr>
            </w:pPr>
            <w:r>
              <w:rPr>
                <w:rFonts w:ascii="Cambria" w:hAnsi="Cambria"/>
                <w:bCs/>
                <w:sz w:val="20"/>
                <w:szCs w:val="20"/>
              </w:rPr>
              <w:t>Yes</w:t>
            </w:r>
          </w:p>
        </w:tc>
      </w:tr>
      <w:tr w:rsidR="003239B8" w:rsidRPr="00864D5F" w14:paraId="34C2A0A9" w14:textId="77777777" w:rsidTr="004A43BB">
        <w:trPr>
          <w:cantSplit/>
        </w:trPr>
        <w:tc>
          <w:tcPr>
            <w:tcW w:w="3600" w:type="dxa"/>
            <w:tcBorders>
              <w:top w:val="single" w:sz="6" w:space="0" w:color="auto"/>
              <w:bottom w:val="single" w:sz="6" w:space="0" w:color="auto"/>
            </w:tcBorders>
            <w:shd w:val="clear" w:color="auto" w:fill="92D050"/>
            <w:vAlign w:val="center"/>
          </w:tcPr>
          <w:p w14:paraId="6259AE31" w14:textId="14076102" w:rsidR="003239B8" w:rsidRPr="00B3745F" w:rsidRDefault="00340D71"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Competence</w:t>
            </w:r>
            <w:r w:rsidR="003239B8" w:rsidRPr="00B3745F">
              <w:rPr>
                <w:rFonts w:ascii="Cambria" w:hAnsi="Cambria"/>
                <w:b/>
                <w:bCs/>
                <w:i/>
                <w:color w:val="FFFFFF" w:themeColor="background1"/>
                <w:sz w:val="20"/>
                <w:szCs w:val="20"/>
              </w:rPr>
              <w:t xml:space="preserve"> Ratione materiae</w:t>
            </w:r>
            <w:r w:rsidR="003239B8" w:rsidRPr="00B3745F">
              <w:rPr>
                <w:rFonts w:ascii="Cambria" w:hAnsi="Cambria"/>
                <w:b/>
                <w:bCs/>
                <w:color w:val="FFFFFF" w:themeColor="background1"/>
                <w:sz w:val="20"/>
                <w:szCs w:val="20"/>
              </w:rPr>
              <w:t>:</w:t>
            </w:r>
          </w:p>
        </w:tc>
        <w:tc>
          <w:tcPr>
            <w:tcW w:w="5760" w:type="dxa"/>
            <w:vAlign w:val="center"/>
          </w:tcPr>
          <w:p w14:paraId="257C8337" w14:textId="28939A2C" w:rsidR="003239B8" w:rsidRPr="005564BF" w:rsidRDefault="00203711" w:rsidP="008D2290">
            <w:pPr>
              <w:jc w:val="both"/>
              <w:rPr>
                <w:rFonts w:ascii="Cambria" w:hAnsi="Cambria"/>
                <w:bCs/>
                <w:sz w:val="20"/>
                <w:szCs w:val="20"/>
              </w:rPr>
            </w:pPr>
            <w:r w:rsidRPr="007E054F">
              <w:rPr>
                <w:rFonts w:ascii="Cambria" w:hAnsi="Cambria"/>
                <w:bCs/>
                <w:sz w:val="20"/>
                <w:szCs w:val="20"/>
                <w:lang w:bidi="es-ES"/>
              </w:rPr>
              <w:t>Yes, the American Convention (deposit of instrument made on July 31, 1973)</w:t>
            </w:r>
          </w:p>
        </w:tc>
      </w:tr>
    </w:tbl>
    <w:p w14:paraId="299A3868" w14:textId="53895A1B" w:rsidR="003239B8" w:rsidRPr="005564BF" w:rsidRDefault="003239B8" w:rsidP="003239B8">
      <w:pPr>
        <w:spacing w:before="240" w:after="240"/>
        <w:ind w:firstLine="720"/>
        <w:jc w:val="both"/>
        <w:rPr>
          <w:rFonts w:asciiTheme="majorHAnsi" w:hAnsiTheme="majorHAnsi"/>
          <w:b/>
          <w:bCs/>
          <w:sz w:val="20"/>
          <w:szCs w:val="20"/>
        </w:rPr>
      </w:pPr>
      <w:r w:rsidRPr="003239B8">
        <w:rPr>
          <w:rFonts w:asciiTheme="majorHAnsi" w:hAnsiTheme="majorHAnsi"/>
          <w:b/>
          <w:bCs/>
          <w:sz w:val="20"/>
          <w:szCs w:val="20"/>
        </w:rPr>
        <w:t>IV</w:t>
      </w:r>
      <w:r w:rsidR="005564BF" w:rsidRPr="003239B8">
        <w:rPr>
          <w:rFonts w:asciiTheme="majorHAnsi" w:hAnsiTheme="majorHAnsi"/>
          <w:b/>
          <w:bCs/>
          <w:sz w:val="20"/>
          <w:szCs w:val="20"/>
        </w:rPr>
        <w:t>.</w:t>
      </w:r>
      <w:r w:rsidR="005564BF">
        <w:rPr>
          <w:rFonts w:asciiTheme="majorHAnsi" w:hAnsiTheme="majorHAnsi"/>
          <w:b/>
          <w:bCs/>
          <w:sz w:val="20"/>
          <w:szCs w:val="20"/>
        </w:rPr>
        <w:tab/>
      </w:r>
      <w:r w:rsidR="005564BF" w:rsidRPr="003239B8">
        <w:rPr>
          <w:rFonts w:asciiTheme="majorHAnsi" w:hAnsiTheme="majorHAnsi"/>
          <w:b/>
          <w:bCs/>
          <w:sz w:val="20"/>
          <w:szCs w:val="20"/>
        </w:rPr>
        <w:t>DUPLICATION</w:t>
      </w:r>
      <w:r w:rsidR="00EE00E9" w:rsidRPr="003239B8">
        <w:rPr>
          <w:rFonts w:asciiTheme="majorHAnsi" w:hAnsiTheme="majorHAnsi"/>
          <w:b/>
          <w:bCs/>
          <w:sz w:val="20"/>
          <w:szCs w:val="20"/>
        </w:rPr>
        <w:t xml:space="preserve"> OF PROCEEDINGS AND INTERNATIONAL RES JUDICATA, C</w:t>
      </w:r>
      <w:r w:rsidR="005564BF">
        <w:rPr>
          <w:rFonts w:asciiTheme="majorHAnsi" w:hAnsiTheme="majorHAnsi"/>
          <w:b/>
          <w:bCs/>
          <w:sz w:val="20"/>
          <w:szCs w:val="20"/>
        </w:rPr>
        <w:t>OLORABLE CLAIM</w:t>
      </w:r>
      <w:r w:rsidR="00EE00E9" w:rsidRPr="003239B8">
        <w:rPr>
          <w:rFonts w:asciiTheme="majorHAnsi" w:hAnsiTheme="majorHAnsi"/>
          <w:b/>
          <w:bCs/>
          <w:sz w:val="20"/>
          <w:szCs w:val="20"/>
        </w:rPr>
        <w:t xml:space="preserve">, </w:t>
      </w:r>
      <w:r w:rsidRPr="003239B8">
        <w:rPr>
          <w:rFonts w:asciiTheme="majorHAnsi" w:hAnsiTheme="majorHAnsi"/>
          <w:b/>
          <w:sz w:val="20"/>
          <w:szCs w:val="20"/>
        </w:rPr>
        <w:t>EXHAUSTION OF DOMESTIC REMEDIES AND TIME LIMIT FOR SUBMISSION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1F0D2F" w14:paraId="161C8568" w14:textId="77777777" w:rsidTr="004A43BB">
        <w:trPr>
          <w:cantSplit/>
        </w:trPr>
        <w:tc>
          <w:tcPr>
            <w:tcW w:w="3600" w:type="dxa"/>
            <w:tcBorders>
              <w:top w:val="single" w:sz="4" w:space="0" w:color="auto"/>
              <w:bottom w:val="single" w:sz="6" w:space="0" w:color="auto"/>
            </w:tcBorders>
            <w:shd w:val="clear" w:color="auto" w:fill="92D050"/>
            <w:vAlign w:val="center"/>
          </w:tcPr>
          <w:p w14:paraId="1C72AC6C" w14:textId="77777777" w:rsidR="00EE00E9" w:rsidRPr="005564BF" w:rsidRDefault="00EE00E9"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Duplication of proceedings and international res judicata:</w:t>
            </w:r>
          </w:p>
        </w:tc>
        <w:tc>
          <w:tcPr>
            <w:tcW w:w="5760" w:type="dxa"/>
            <w:vAlign w:val="center"/>
          </w:tcPr>
          <w:p w14:paraId="764D7F60" w14:textId="4464B39B" w:rsidR="00EE00E9" w:rsidRPr="00DC24E3" w:rsidRDefault="00E01721" w:rsidP="008D2290">
            <w:pPr>
              <w:jc w:val="both"/>
              <w:rPr>
                <w:rFonts w:ascii="Cambria" w:hAnsi="Cambria"/>
                <w:bCs/>
                <w:sz w:val="20"/>
                <w:szCs w:val="20"/>
                <w:lang w:val="es-ES"/>
              </w:rPr>
            </w:pPr>
            <w:r>
              <w:rPr>
                <w:rFonts w:ascii="Cambria" w:hAnsi="Cambria"/>
                <w:bCs/>
                <w:sz w:val="20"/>
                <w:szCs w:val="20"/>
              </w:rPr>
              <w:t>No</w:t>
            </w:r>
          </w:p>
        </w:tc>
      </w:tr>
      <w:tr w:rsidR="003239B8" w:rsidRPr="00864D5F" w14:paraId="3ED57BF3" w14:textId="77777777" w:rsidTr="004A43BB">
        <w:trPr>
          <w:cantSplit/>
        </w:trPr>
        <w:tc>
          <w:tcPr>
            <w:tcW w:w="3600" w:type="dxa"/>
            <w:tcBorders>
              <w:top w:val="single" w:sz="4" w:space="0" w:color="auto"/>
              <w:bottom w:val="single" w:sz="6" w:space="0" w:color="auto"/>
            </w:tcBorders>
            <w:shd w:val="clear" w:color="auto" w:fill="92D050"/>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Rights declared admissible</w:t>
            </w:r>
            <w:r w:rsidRPr="00DC24E3">
              <w:rPr>
                <w:rFonts w:ascii="Cambria" w:hAnsi="Cambria"/>
                <w:b/>
                <w:bCs/>
                <w:i/>
                <w:color w:val="FFFFFF" w:themeColor="background1"/>
                <w:sz w:val="20"/>
                <w:szCs w:val="20"/>
              </w:rPr>
              <w:t>:</w:t>
            </w:r>
          </w:p>
        </w:tc>
        <w:tc>
          <w:tcPr>
            <w:tcW w:w="5760" w:type="dxa"/>
            <w:vAlign w:val="center"/>
          </w:tcPr>
          <w:p w14:paraId="4DAE9D4D" w14:textId="2E3C393B" w:rsidR="003239B8" w:rsidRPr="005564BF" w:rsidRDefault="00BF4EF8" w:rsidP="008D2290">
            <w:pPr>
              <w:jc w:val="both"/>
              <w:rPr>
                <w:rFonts w:ascii="Cambria" w:hAnsi="Cambria"/>
                <w:bCs/>
                <w:sz w:val="20"/>
                <w:szCs w:val="20"/>
              </w:rPr>
            </w:pPr>
            <w:r w:rsidRPr="00A52A58">
              <w:rPr>
                <w:rFonts w:ascii="Cambria" w:hAnsi="Cambria"/>
                <w:bCs/>
                <w:sz w:val="20"/>
                <w:szCs w:val="20"/>
              </w:rPr>
              <w:t>Articles 5 (humane treatment), 8 (right to a fair trial), 11 (protection of honor and dignity), 19 (rights of the child), 24 (equality before the law), and 25 (judicial protection) of the American Convention</w:t>
            </w:r>
          </w:p>
        </w:tc>
      </w:tr>
      <w:tr w:rsidR="003239B8" w:rsidRPr="00864D5F" w14:paraId="5702249F" w14:textId="77777777" w:rsidTr="004A43BB">
        <w:trPr>
          <w:cantSplit/>
        </w:trPr>
        <w:tc>
          <w:tcPr>
            <w:tcW w:w="3600" w:type="dxa"/>
            <w:tcBorders>
              <w:top w:val="single" w:sz="6" w:space="0" w:color="auto"/>
              <w:bottom w:val="single" w:sz="6" w:space="0" w:color="auto"/>
            </w:tcBorders>
            <w:shd w:val="clear" w:color="auto" w:fill="92D050"/>
            <w:vAlign w:val="center"/>
          </w:tcPr>
          <w:p w14:paraId="1F00DF1D" w14:textId="77777777" w:rsidR="003239B8" w:rsidRPr="005564BF"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Exhaustion of domestic remedies or admissibility of an exception:</w:t>
            </w:r>
          </w:p>
        </w:tc>
        <w:tc>
          <w:tcPr>
            <w:tcW w:w="5760" w:type="dxa"/>
            <w:vAlign w:val="center"/>
          </w:tcPr>
          <w:p w14:paraId="7F7C1A19" w14:textId="27703F60" w:rsidR="003239B8" w:rsidRPr="00DC24E3" w:rsidRDefault="00112E95" w:rsidP="008D2290">
            <w:pPr>
              <w:rPr>
                <w:rFonts w:ascii="Cambria" w:hAnsi="Cambria"/>
                <w:bCs/>
                <w:sz w:val="20"/>
                <w:szCs w:val="20"/>
                <w:lang w:val="es-ES"/>
              </w:rPr>
            </w:pPr>
            <w:r>
              <w:rPr>
                <w:rFonts w:ascii="Cambria" w:hAnsi="Cambria"/>
                <w:bCs/>
                <w:sz w:val="20"/>
                <w:szCs w:val="20"/>
              </w:rPr>
              <w:t>Yes, on February 27, 2018</w:t>
            </w:r>
          </w:p>
        </w:tc>
      </w:tr>
      <w:tr w:rsidR="003239B8" w:rsidRPr="00B2155F" w14:paraId="7A101B89" w14:textId="77777777" w:rsidTr="004A43BB">
        <w:trPr>
          <w:cantSplit/>
        </w:trPr>
        <w:tc>
          <w:tcPr>
            <w:tcW w:w="3600" w:type="dxa"/>
            <w:tcBorders>
              <w:top w:val="single" w:sz="6" w:space="0" w:color="auto"/>
              <w:bottom w:val="single" w:sz="6" w:space="0" w:color="auto"/>
            </w:tcBorders>
            <w:shd w:val="clear" w:color="auto" w:fill="92D050"/>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Submission within the deadline:</w:t>
            </w:r>
          </w:p>
        </w:tc>
        <w:tc>
          <w:tcPr>
            <w:tcW w:w="5760" w:type="dxa"/>
            <w:vAlign w:val="center"/>
          </w:tcPr>
          <w:p w14:paraId="2AF0FC69" w14:textId="5AAE78F3" w:rsidR="003239B8" w:rsidRPr="00DC24E3" w:rsidRDefault="00112E95" w:rsidP="008D2290">
            <w:pPr>
              <w:rPr>
                <w:rFonts w:ascii="Cambria" w:hAnsi="Cambria"/>
                <w:bCs/>
                <w:sz w:val="20"/>
                <w:szCs w:val="20"/>
              </w:rPr>
            </w:pPr>
            <w:r>
              <w:rPr>
                <w:rFonts w:ascii="Cambria" w:hAnsi="Cambria"/>
                <w:bCs/>
                <w:sz w:val="20"/>
                <w:szCs w:val="20"/>
              </w:rPr>
              <w:t>Yes</w:t>
            </w:r>
          </w:p>
        </w:tc>
      </w:tr>
    </w:tbl>
    <w:p w14:paraId="76C64CBF" w14:textId="77777777" w:rsidR="00487DE6" w:rsidRDefault="00487DE6" w:rsidP="003239B8">
      <w:pPr>
        <w:spacing w:before="240" w:after="240"/>
        <w:ind w:firstLine="720"/>
        <w:jc w:val="both"/>
        <w:rPr>
          <w:rFonts w:asciiTheme="majorHAnsi" w:hAnsiTheme="majorHAnsi"/>
          <w:b/>
          <w:sz w:val="20"/>
          <w:szCs w:val="20"/>
          <w:lang w:val="es-UY"/>
        </w:rPr>
      </w:pPr>
    </w:p>
    <w:p w14:paraId="0302FDAC" w14:textId="77777777" w:rsidR="00487DE6" w:rsidRDefault="00487DE6">
      <w:pPr>
        <w:rPr>
          <w:rFonts w:asciiTheme="majorHAnsi" w:hAnsiTheme="majorHAnsi"/>
          <w:b/>
          <w:sz w:val="20"/>
          <w:szCs w:val="20"/>
          <w:lang w:val="es-UY"/>
        </w:rPr>
      </w:pPr>
      <w:r>
        <w:rPr>
          <w:rFonts w:asciiTheme="majorHAnsi" w:hAnsiTheme="majorHAnsi"/>
          <w:b/>
          <w:sz w:val="20"/>
          <w:szCs w:val="20"/>
        </w:rPr>
        <w:br w:type="page"/>
      </w:r>
    </w:p>
    <w:p w14:paraId="56FD5D57" w14:textId="5E914751" w:rsidR="003239B8" w:rsidRDefault="009A76BC"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rPr>
        <w:lastRenderedPageBreak/>
        <w:t xml:space="preserve"> V. </w:t>
      </w:r>
      <w:r w:rsidR="00223A29">
        <w:rPr>
          <w:rFonts w:asciiTheme="majorHAnsi" w:hAnsiTheme="majorHAnsi"/>
          <w:b/>
          <w:sz w:val="20"/>
          <w:szCs w:val="20"/>
        </w:rPr>
        <w:tab/>
      </w:r>
      <w:r w:rsidR="004241A0">
        <w:rPr>
          <w:rFonts w:asciiTheme="majorHAnsi" w:hAnsiTheme="majorHAnsi"/>
          <w:b/>
          <w:sz w:val="20"/>
          <w:szCs w:val="20"/>
        </w:rPr>
        <w:t xml:space="preserve">POSITION OF THE PARTIES </w:t>
      </w:r>
    </w:p>
    <w:p w14:paraId="6901F992" w14:textId="2D795457" w:rsidR="0008158C" w:rsidRPr="00DB1358" w:rsidRDefault="00DB1358" w:rsidP="0008158C">
      <w:pPr>
        <w:pStyle w:val="ListParagraph"/>
        <w:spacing w:before="240" w:after="240"/>
        <w:jc w:val="both"/>
        <w:rPr>
          <w:rFonts w:asciiTheme="majorHAnsi" w:hAnsiTheme="majorHAnsi"/>
          <w:b/>
          <w:sz w:val="20"/>
          <w:szCs w:val="20"/>
          <w:lang w:val="es-UY"/>
        </w:rPr>
      </w:pPr>
      <w:r w:rsidRPr="00DB1358">
        <w:rPr>
          <w:rFonts w:asciiTheme="majorHAnsi" w:hAnsiTheme="majorHAnsi"/>
          <w:b/>
          <w:sz w:val="20"/>
          <w:szCs w:val="20"/>
        </w:rPr>
        <w:t xml:space="preserve">The petitioner </w:t>
      </w:r>
    </w:p>
    <w:p w14:paraId="53BD3EF6" w14:textId="3E5DFE10" w:rsidR="006E621A" w:rsidRPr="005564BF" w:rsidRDefault="00F26AC6"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The petitioner alleges </w:t>
      </w:r>
      <w:r w:rsidR="007324CA">
        <w:rPr>
          <w:sz w:val="20"/>
          <w:szCs w:val="20"/>
        </w:rPr>
        <w:t xml:space="preserve">the </w:t>
      </w:r>
      <w:r>
        <w:rPr>
          <w:sz w:val="20"/>
          <w:szCs w:val="20"/>
        </w:rPr>
        <w:t>violation of the rights to humane treatment, access to justice, equality, and protection of the family; due to the judicial refusal of the Colombian State to compensate L.J.S.H. and h</w:t>
      </w:r>
      <w:r w:rsidR="00824450">
        <w:rPr>
          <w:sz w:val="20"/>
          <w:szCs w:val="20"/>
        </w:rPr>
        <w:t>er</w:t>
      </w:r>
      <w:r>
        <w:rPr>
          <w:sz w:val="20"/>
          <w:szCs w:val="20"/>
        </w:rPr>
        <w:t xml:space="preserve"> family for the rape perpetrated against h</w:t>
      </w:r>
      <w:r w:rsidR="00707F6F">
        <w:rPr>
          <w:sz w:val="20"/>
          <w:szCs w:val="20"/>
        </w:rPr>
        <w:t>er</w:t>
      </w:r>
      <w:r>
        <w:rPr>
          <w:sz w:val="20"/>
          <w:szCs w:val="20"/>
        </w:rPr>
        <w:t xml:space="preserve"> </w:t>
      </w:r>
      <w:r w:rsidR="0029381E">
        <w:rPr>
          <w:sz w:val="20"/>
          <w:szCs w:val="20"/>
        </w:rPr>
        <w:t xml:space="preserve">by </w:t>
      </w:r>
      <w:r>
        <w:rPr>
          <w:sz w:val="20"/>
          <w:szCs w:val="20"/>
        </w:rPr>
        <w:t>an army non-commissioned officer.</w:t>
      </w:r>
    </w:p>
    <w:p w14:paraId="7CFB56BF" w14:textId="011C00BF" w:rsidR="006E621A" w:rsidRPr="005564BF" w:rsidRDefault="009D6032"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The petitioner relates that on September 9, 1995, an army sergeant raped the </w:t>
      </w:r>
      <w:r w:rsidR="0031020D">
        <w:rPr>
          <w:sz w:val="20"/>
          <w:szCs w:val="20"/>
        </w:rPr>
        <w:t>child</w:t>
      </w:r>
      <w:r>
        <w:rPr>
          <w:sz w:val="20"/>
          <w:szCs w:val="20"/>
        </w:rPr>
        <w:t xml:space="preserve"> L.J.S.H., who was then seven years old. </w:t>
      </w:r>
      <w:r w:rsidR="0031020D">
        <w:rPr>
          <w:sz w:val="20"/>
          <w:szCs w:val="20"/>
        </w:rPr>
        <w:t>H</w:t>
      </w:r>
      <w:r>
        <w:rPr>
          <w:sz w:val="20"/>
          <w:szCs w:val="20"/>
        </w:rPr>
        <w:t>e s</w:t>
      </w:r>
      <w:r w:rsidR="003E7E4B">
        <w:rPr>
          <w:sz w:val="20"/>
          <w:szCs w:val="20"/>
        </w:rPr>
        <w:t>tate</w:t>
      </w:r>
      <w:r>
        <w:rPr>
          <w:sz w:val="20"/>
          <w:szCs w:val="20"/>
        </w:rPr>
        <w:t xml:space="preserve">s that she and her parents sued the State before the contentious-administrative jurisdiction in order to obtain compensation for the damage caused. However, </w:t>
      </w:r>
      <w:r w:rsidR="001F0C77">
        <w:rPr>
          <w:sz w:val="20"/>
          <w:szCs w:val="20"/>
        </w:rPr>
        <w:t>he</w:t>
      </w:r>
      <w:r>
        <w:rPr>
          <w:sz w:val="20"/>
          <w:szCs w:val="20"/>
        </w:rPr>
        <w:t xml:space="preserve"> </w:t>
      </w:r>
      <w:r w:rsidR="001F0C77">
        <w:rPr>
          <w:sz w:val="20"/>
          <w:szCs w:val="20"/>
        </w:rPr>
        <w:t>contend</w:t>
      </w:r>
      <w:r>
        <w:rPr>
          <w:sz w:val="20"/>
          <w:szCs w:val="20"/>
        </w:rPr>
        <w:t xml:space="preserve">s that, both in the first instance in the Administrative Court of Santander and in the second instance before the Council of State, the domestic courts acquitted the defendant entity – the Ministry of National Defense – because they considered that the perpetrator committed the </w:t>
      </w:r>
      <w:r w:rsidR="001F0C77">
        <w:rPr>
          <w:sz w:val="20"/>
          <w:szCs w:val="20"/>
        </w:rPr>
        <w:t xml:space="preserve">rape </w:t>
      </w:r>
      <w:r>
        <w:rPr>
          <w:sz w:val="20"/>
          <w:szCs w:val="20"/>
        </w:rPr>
        <w:t>outside his hours of service, and, therefore, he was solely personally liable.</w:t>
      </w:r>
    </w:p>
    <w:p w14:paraId="55F21503" w14:textId="4624C317" w:rsidR="005F7F91" w:rsidRPr="005564BF" w:rsidRDefault="00B2163E"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The petitioner emphasizes that the </w:t>
      </w:r>
      <w:r w:rsidR="004B36DA">
        <w:rPr>
          <w:sz w:val="20"/>
          <w:szCs w:val="20"/>
        </w:rPr>
        <w:t xml:space="preserve">Ombuds </w:t>
      </w:r>
      <w:r>
        <w:rPr>
          <w:sz w:val="20"/>
          <w:szCs w:val="20"/>
        </w:rPr>
        <w:t xml:space="preserve">Office </w:t>
      </w:r>
      <w:r w:rsidR="009740D3">
        <w:rPr>
          <w:sz w:val="20"/>
          <w:szCs w:val="20"/>
        </w:rPr>
        <w:t>submit</w:t>
      </w:r>
      <w:r>
        <w:rPr>
          <w:sz w:val="20"/>
          <w:szCs w:val="20"/>
        </w:rPr>
        <w:t xml:space="preserve">ted </w:t>
      </w:r>
      <w:r w:rsidR="009740D3">
        <w:rPr>
          <w:sz w:val="20"/>
          <w:szCs w:val="20"/>
        </w:rPr>
        <w:t xml:space="preserve">an </w:t>
      </w:r>
      <w:r>
        <w:rPr>
          <w:sz w:val="20"/>
          <w:szCs w:val="20"/>
        </w:rPr>
        <w:t>opinion to the Council of State requesting that it revoke the acquittal of the defendant entity, since the aggressor was not "</w:t>
      </w:r>
      <w:r w:rsidR="00AA6D25" w:rsidRPr="00A73F71">
        <w:rPr>
          <w:i/>
          <w:iCs/>
          <w:sz w:val="20"/>
          <w:szCs w:val="20"/>
        </w:rPr>
        <w:t>on leave or vacations, events in which his actions are detached from the service</w:t>
      </w:r>
      <w:r w:rsidR="00AA6D25">
        <w:rPr>
          <w:sz w:val="20"/>
          <w:szCs w:val="20"/>
        </w:rPr>
        <w:t xml:space="preserve">," in addition to the fact that, upon studying his resume,  </w:t>
      </w:r>
      <w:r w:rsidR="00CF3AA3">
        <w:rPr>
          <w:sz w:val="20"/>
          <w:szCs w:val="20"/>
        </w:rPr>
        <w:t>i</w:t>
      </w:r>
      <w:r w:rsidR="00AA6D25">
        <w:rPr>
          <w:sz w:val="20"/>
          <w:szCs w:val="20"/>
        </w:rPr>
        <w:t>t observed that the perpetrator had committed offenses against the morale and prestige of the Military Forces on several occasions, without having been dismissed from service, "</w:t>
      </w:r>
      <w:r w:rsidR="00A73F71" w:rsidRPr="00A73F71">
        <w:rPr>
          <w:i/>
          <w:iCs/>
          <w:sz w:val="20"/>
          <w:szCs w:val="20"/>
        </w:rPr>
        <w:t xml:space="preserve">which highlights the lack </w:t>
      </w:r>
      <w:r w:rsidR="00A73F71" w:rsidRPr="00DF0E5F">
        <w:rPr>
          <w:i/>
          <w:iCs/>
          <w:sz w:val="20"/>
          <w:szCs w:val="20"/>
        </w:rPr>
        <w:t>of  vigilance</w:t>
      </w:r>
      <w:r w:rsidR="00A73F71">
        <w:rPr>
          <w:sz w:val="20"/>
          <w:szCs w:val="20"/>
        </w:rPr>
        <w:t xml:space="preserve"> </w:t>
      </w:r>
      <w:r w:rsidR="00A73F71" w:rsidRPr="00A73F71">
        <w:rPr>
          <w:i/>
          <w:iCs/>
          <w:sz w:val="20"/>
          <w:szCs w:val="20"/>
        </w:rPr>
        <w:t>of the public entity with respect to its officials</w:t>
      </w:r>
      <w:r w:rsidR="00A73F71">
        <w:rPr>
          <w:sz w:val="20"/>
          <w:szCs w:val="20"/>
        </w:rPr>
        <w:t>." However, the petitioner maintains that these arguments were not mentioned in the judgment of the second instance, nor were they considered as relevant evidentiary aspects.</w:t>
      </w:r>
    </w:p>
    <w:p w14:paraId="65F82F46" w14:textId="67074BBB" w:rsidR="00A73F71" w:rsidRPr="005564BF" w:rsidRDefault="00DB1358"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bCs/>
          <w:sz w:val="20"/>
          <w:szCs w:val="20"/>
        </w:rPr>
        <w:t xml:space="preserve">Faced with the rejection of the lawsuit in both instances, the family filed an extraordinary appeal for review on September 13, </w:t>
      </w:r>
      <w:r w:rsidR="00844F38">
        <w:rPr>
          <w:rFonts w:asciiTheme="majorHAnsi" w:hAnsiTheme="majorHAnsi"/>
          <w:bCs/>
          <w:sz w:val="20"/>
          <w:szCs w:val="20"/>
        </w:rPr>
        <w:t>2013,</w:t>
      </w:r>
      <w:r>
        <w:rPr>
          <w:rFonts w:asciiTheme="majorHAnsi" w:hAnsiTheme="majorHAnsi"/>
          <w:bCs/>
          <w:sz w:val="20"/>
          <w:szCs w:val="20"/>
        </w:rPr>
        <w:t xml:space="preserve"> before the Plenary Chamber of the Council of State. Th</w:t>
      </w:r>
      <w:r w:rsidR="00844F38">
        <w:rPr>
          <w:rFonts w:asciiTheme="majorHAnsi" w:hAnsiTheme="majorHAnsi"/>
          <w:bCs/>
          <w:sz w:val="20"/>
          <w:szCs w:val="20"/>
        </w:rPr>
        <w:t xml:space="preserve">e </w:t>
      </w:r>
      <w:r w:rsidR="00AE57DB">
        <w:rPr>
          <w:rFonts w:asciiTheme="majorHAnsi" w:hAnsiTheme="majorHAnsi"/>
          <w:bCs/>
          <w:sz w:val="20"/>
          <w:szCs w:val="20"/>
        </w:rPr>
        <w:t>appeal</w:t>
      </w:r>
      <w:r>
        <w:rPr>
          <w:rFonts w:asciiTheme="majorHAnsi" w:hAnsiTheme="majorHAnsi"/>
          <w:bCs/>
          <w:sz w:val="20"/>
          <w:szCs w:val="20"/>
        </w:rPr>
        <w:t xml:space="preserve"> was admitted, but denied on the merits by judgment of September 6, 2016, since, according to the petitioner, the Plenary Chamber considered that the avenue to challenge that decision was the tutela action</w:t>
      </w:r>
      <w:r w:rsidR="005B05E2">
        <w:rPr>
          <w:rFonts w:asciiTheme="majorHAnsi" w:hAnsiTheme="majorHAnsi"/>
          <w:bCs/>
          <w:sz w:val="20"/>
          <w:szCs w:val="20"/>
        </w:rPr>
        <w:t xml:space="preserve"> (a writ of constitutional protection)</w:t>
      </w:r>
      <w:r>
        <w:rPr>
          <w:rFonts w:asciiTheme="majorHAnsi" w:hAnsiTheme="majorHAnsi"/>
          <w:bCs/>
          <w:sz w:val="20"/>
          <w:szCs w:val="20"/>
        </w:rPr>
        <w:t>, through which the Corporation had already reversed a similar ruling.</w:t>
      </w:r>
    </w:p>
    <w:p w14:paraId="6E737A92" w14:textId="08CC43BF" w:rsidR="00B857BB" w:rsidRPr="005564BF" w:rsidRDefault="001C2D31" w:rsidP="006E621A">
      <w:pPr>
        <w:pStyle w:val="ListParagraph"/>
        <w:numPr>
          <w:ilvl w:val="0"/>
          <w:numId w:val="61"/>
        </w:numPr>
        <w:spacing w:before="240" w:after="240"/>
        <w:ind w:left="0" w:firstLine="720"/>
        <w:jc w:val="both"/>
        <w:rPr>
          <w:rFonts w:asciiTheme="majorHAnsi" w:hAnsiTheme="majorHAnsi"/>
          <w:bCs/>
          <w:sz w:val="20"/>
          <w:szCs w:val="20"/>
        </w:rPr>
      </w:pPr>
      <w:r>
        <w:rPr>
          <w:rFonts w:asciiTheme="majorHAnsi" w:hAnsiTheme="majorHAnsi"/>
          <w:bCs/>
          <w:sz w:val="20"/>
          <w:szCs w:val="20"/>
        </w:rPr>
        <w:t xml:space="preserve">The petitioner asserts that he had not previously filed a tutela action because the Council of State had a jurisprudential tendency to reject this type of action against judicial decisions. However, due to the rejection of the appeal for review, the petitioner indicates that he filed an action for protection on behalf of the child </w:t>
      </w:r>
      <w:r w:rsidR="000D2DAA">
        <w:rPr>
          <w:sz w:val="20"/>
          <w:szCs w:val="20"/>
        </w:rPr>
        <w:t>L.J.S.H. and her family, which was also denied in both instances.</w:t>
      </w:r>
    </w:p>
    <w:p w14:paraId="36C36C4E" w14:textId="3C6BAC5B" w:rsidR="00EE160C" w:rsidRPr="005564BF" w:rsidRDefault="00EE160C"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Thus, </w:t>
      </w:r>
      <w:r w:rsidR="006D0D54">
        <w:rPr>
          <w:sz w:val="20"/>
          <w:szCs w:val="20"/>
        </w:rPr>
        <w:t>he</w:t>
      </w:r>
      <w:r>
        <w:rPr>
          <w:sz w:val="20"/>
          <w:szCs w:val="20"/>
        </w:rPr>
        <w:t xml:space="preserve"> </w:t>
      </w:r>
      <w:r w:rsidR="008039E3">
        <w:rPr>
          <w:sz w:val="20"/>
          <w:szCs w:val="20"/>
        </w:rPr>
        <w:t>assert</w:t>
      </w:r>
      <w:r>
        <w:rPr>
          <w:sz w:val="20"/>
          <w:szCs w:val="20"/>
        </w:rPr>
        <w:t xml:space="preserve">s that </w:t>
      </w:r>
      <w:r w:rsidR="000409BB">
        <w:rPr>
          <w:sz w:val="20"/>
          <w:szCs w:val="20"/>
        </w:rPr>
        <w:t>the family</w:t>
      </w:r>
      <w:r>
        <w:rPr>
          <w:sz w:val="20"/>
          <w:szCs w:val="20"/>
        </w:rPr>
        <w:t xml:space="preserve"> requested the Constitutional Court to review the tutela judgments, since they are automatically sent to that Corporation, but by order of February 27, 2018, notified on March 13, </w:t>
      </w:r>
      <w:r w:rsidR="005B05E2">
        <w:rPr>
          <w:sz w:val="20"/>
          <w:szCs w:val="20"/>
        </w:rPr>
        <w:t>2018,</w:t>
      </w:r>
      <w:r>
        <w:rPr>
          <w:sz w:val="20"/>
          <w:szCs w:val="20"/>
        </w:rPr>
        <w:t xml:space="preserve"> to the petitioner, </w:t>
      </w:r>
      <w:r w:rsidR="00776F1C">
        <w:rPr>
          <w:sz w:val="20"/>
          <w:szCs w:val="20"/>
        </w:rPr>
        <w:t>he</w:t>
      </w:r>
      <w:r>
        <w:rPr>
          <w:sz w:val="20"/>
          <w:szCs w:val="20"/>
        </w:rPr>
        <w:t xml:space="preserve"> reports that the Constitutional Court decided not to select the tutela of L.J.S.H. for review. In doing so, </w:t>
      </w:r>
      <w:r w:rsidR="00885E4D">
        <w:rPr>
          <w:sz w:val="20"/>
          <w:szCs w:val="20"/>
        </w:rPr>
        <w:t>he</w:t>
      </w:r>
      <w:r>
        <w:rPr>
          <w:sz w:val="20"/>
          <w:szCs w:val="20"/>
        </w:rPr>
        <w:t xml:space="preserve"> maintains that </w:t>
      </w:r>
      <w:r w:rsidR="00885E4D">
        <w:rPr>
          <w:sz w:val="20"/>
          <w:szCs w:val="20"/>
        </w:rPr>
        <w:t>the alleged victims have</w:t>
      </w:r>
      <w:r>
        <w:rPr>
          <w:sz w:val="20"/>
          <w:szCs w:val="20"/>
        </w:rPr>
        <w:t xml:space="preserve"> exhausted domestic remedies.</w:t>
      </w:r>
    </w:p>
    <w:p w14:paraId="422D0E02" w14:textId="7BC99A79" w:rsidR="008153C4" w:rsidRPr="005564BF" w:rsidRDefault="00CA2E1F"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In subsequent communications, and in response to the State's observations, the petitioner states that L.J.S.H.'s family was not informed of the criminal proceedings against the perpetrator of the rape of the child, did not appear at the proceedings, and were not notified of the conviction of Sergeant Candia Lozano.</w:t>
      </w:r>
    </w:p>
    <w:p w14:paraId="142267EB" w14:textId="4FC1FB71" w:rsidR="00890DA0" w:rsidRPr="00E254F3" w:rsidRDefault="00E254F3" w:rsidP="00890DA0">
      <w:pPr>
        <w:pStyle w:val="ListParagraph"/>
        <w:spacing w:before="240" w:after="240"/>
        <w:jc w:val="both"/>
        <w:rPr>
          <w:rFonts w:asciiTheme="majorHAnsi" w:hAnsiTheme="majorHAnsi"/>
          <w:b/>
          <w:bCs/>
          <w:sz w:val="20"/>
          <w:szCs w:val="20"/>
          <w:lang w:val="es-UY"/>
        </w:rPr>
      </w:pPr>
      <w:r w:rsidRPr="00E254F3">
        <w:rPr>
          <w:b/>
          <w:bCs/>
          <w:sz w:val="20"/>
          <w:szCs w:val="20"/>
        </w:rPr>
        <w:t>The Colombian State</w:t>
      </w:r>
    </w:p>
    <w:p w14:paraId="68A417B2" w14:textId="415CA2E1" w:rsidR="00B93D7F" w:rsidRPr="005564BF" w:rsidRDefault="00040DCB"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The State, for its part, replies that th</w:t>
      </w:r>
      <w:r w:rsidR="00C44B2F">
        <w:rPr>
          <w:sz w:val="20"/>
          <w:szCs w:val="20"/>
        </w:rPr>
        <w:t>is</w:t>
      </w:r>
      <w:r>
        <w:rPr>
          <w:sz w:val="20"/>
          <w:szCs w:val="20"/>
        </w:rPr>
        <w:t xml:space="preserve"> petition is inadmissible, since the petitioner intends to use the IACHR as an international appellate court to review and revoke the decisions adopted by the domestic courts within the framework of their jurisdiction, and in full respect of judicial guarantees.</w:t>
      </w:r>
    </w:p>
    <w:p w14:paraId="61769A30" w14:textId="03B4F48B" w:rsidR="00040DCB" w:rsidRPr="005564BF" w:rsidRDefault="00040DCB"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As to the facts, Colombia indicates that on September 14, 1995, the 33rd Sectional Prosecutor's Office opened a criminal investigation on the occasion of the rape of the girl L.J.S.H., and linked an army sergeant through an investigation. On September 19, 1995, the entity issued a preventive detention measure against him and on January 30, 1996, it issued an indictment for the crime of violent sexual act on a </w:t>
      </w:r>
      <w:r>
        <w:rPr>
          <w:sz w:val="20"/>
          <w:szCs w:val="20"/>
        </w:rPr>
        <w:lastRenderedPageBreak/>
        <w:t xml:space="preserve">minor. </w:t>
      </w:r>
      <w:r w:rsidR="009625EF">
        <w:rPr>
          <w:sz w:val="20"/>
          <w:szCs w:val="20"/>
        </w:rPr>
        <w:t>It</w:t>
      </w:r>
      <w:r>
        <w:rPr>
          <w:sz w:val="20"/>
          <w:szCs w:val="20"/>
        </w:rPr>
        <w:t xml:space="preserve"> </w:t>
      </w:r>
      <w:r w:rsidR="009625EF">
        <w:rPr>
          <w:sz w:val="20"/>
          <w:szCs w:val="20"/>
        </w:rPr>
        <w:t>explain</w:t>
      </w:r>
      <w:r>
        <w:rPr>
          <w:sz w:val="20"/>
          <w:szCs w:val="20"/>
        </w:rPr>
        <w:t>s that the Promiscuous Court of the Chucurí Circuit issued a conviction against him, sentencing him to 22 months in prison. This decision was not appealed and became enforceable on August 23, 1996.</w:t>
      </w:r>
    </w:p>
    <w:p w14:paraId="330246F6" w14:textId="5755B995" w:rsidR="006E3DB8" w:rsidRPr="005564BF" w:rsidRDefault="00886446"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However, the State clarifies that the alleged victims filed a lawsuit against the Ministry of National Defense because they allege that they are entitled to full compensation from them because the acts were committed by a member of the National Army. In this way, it understands that the object of the petition is the rejection of the claim for reparation before the contentious-administrative jurisdiction.</w:t>
      </w:r>
    </w:p>
    <w:p w14:paraId="07B1D19B" w14:textId="25E9E87B" w:rsidR="00204879" w:rsidRPr="005564BF" w:rsidRDefault="00204879"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In this regard, on September 29, 2000, the Administrative Court of Santander issued a ruling </w:t>
      </w:r>
      <w:r w:rsidR="00C742D3">
        <w:rPr>
          <w:sz w:val="20"/>
          <w:szCs w:val="20"/>
        </w:rPr>
        <w:t>denying</w:t>
      </w:r>
      <w:r>
        <w:rPr>
          <w:sz w:val="20"/>
          <w:szCs w:val="20"/>
        </w:rPr>
        <w:t xml:space="preserve"> the claims of L.J.S.H.'s family for compensation on the grounds that the perpetrator did not commit the rape in the exercise of his duties as a non-commissioned officer in the army. The petitioner filed an </w:t>
      </w:r>
      <w:r w:rsidR="00DE34A8">
        <w:rPr>
          <w:sz w:val="20"/>
          <w:szCs w:val="20"/>
        </w:rPr>
        <w:t>appeal,</w:t>
      </w:r>
      <w:r>
        <w:rPr>
          <w:sz w:val="20"/>
          <w:szCs w:val="20"/>
        </w:rPr>
        <w:t xml:space="preserve"> and the Third Section of the Council of State upheld the decision on July 7, 2011, since it </w:t>
      </w:r>
      <w:r w:rsidR="00C742D3">
        <w:rPr>
          <w:sz w:val="20"/>
          <w:szCs w:val="20"/>
        </w:rPr>
        <w:t>considered</w:t>
      </w:r>
      <w:r>
        <w:rPr>
          <w:sz w:val="20"/>
          <w:szCs w:val="20"/>
        </w:rPr>
        <w:t xml:space="preserve"> that the act was not attributable to the Ministry of National Defense.</w:t>
      </w:r>
    </w:p>
    <w:p w14:paraId="6C01B078" w14:textId="058E61C5" w:rsidR="00C4674C" w:rsidRPr="005564BF" w:rsidRDefault="00C4674C"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It </w:t>
      </w:r>
      <w:r w:rsidR="00476C71">
        <w:rPr>
          <w:sz w:val="20"/>
          <w:szCs w:val="20"/>
        </w:rPr>
        <w:t>narrate</w:t>
      </w:r>
      <w:r>
        <w:rPr>
          <w:sz w:val="20"/>
          <w:szCs w:val="20"/>
        </w:rPr>
        <w:t xml:space="preserve">s that subsequently, on September 6, 2016, the same </w:t>
      </w:r>
      <w:r w:rsidR="00F568D1">
        <w:rPr>
          <w:sz w:val="20"/>
          <w:szCs w:val="20"/>
        </w:rPr>
        <w:t>tribunal</w:t>
      </w:r>
      <w:r>
        <w:rPr>
          <w:sz w:val="20"/>
          <w:szCs w:val="20"/>
        </w:rPr>
        <w:t xml:space="preserve"> </w:t>
      </w:r>
      <w:r w:rsidR="00613919">
        <w:rPr>
          <w:sz w:val="20"/>
          <w:szCs w:val="20"/>
        </w:rPr>
        <w:t>reject</w:t>
      </w:r>
      <w:r>
        <w:rPr>
          <w:sz w:val="20"/>
          <w:szCs w:val="20"/>
        </w:rPr>
        <w:t>ed the extraordinary appeal for review exercised by the petitioner against that judgment, in response to which the alleged victims filed a</w:t>
      </w:r>
      <w:r w:rsidR="009E5021">
        <w:rPr>
          <w:sz w:val="20"/>
          <w:szCs w:val="20"/>
        </w:rPr>
        <w:t xml:space="preserve"> tutela</w:t>
      </w:r>
      <w:r>
        <w:rPr>
          <w:sz w:val="20"/>
          <w:szCs w:val="20"/>
        </w:rPr>
        <w:t xml:space="preserve"> action. However, on September 27, 2017, the Fourth Section of the Council of State declared it inadmissible. This decision was the subject of an </w:t>
      </w:r>
      <w:r w:rsidR="005B05E2">
        <w:rPr>
          <w:sz w:val="20"/>
          <w:szCs w:val="20"/>
        </w:rPr>
        <w:t>appeal and</w:t>
      </w:r>
      <w:r>
        <w:rPr>
          <w:sz w:val="20"/>
          <w:szCs w:val="20"/>
        </w:rPr>
        <w:t xml:space="preserve"> was subsequently </w:t>
      </w:r>
      <w:r w:rsidR="00DE34A8">
        <w:rPr>
          <w:sz w:val="20"/>
          <w:szCs w:val="20"/>
        </w:rPr>
        <w:t>upheld</w:t>
      </w:r>
      <w:r>
        <w:rPr>
          <w:sz w:val="20"/>
          <w:szCs w:val="20"/>
        </w:rPr>
        <w:t xml:space="preserve"> on 18 December 2017 by the Fifth Section of the Council of State.</w:t>
      </w:r>
    </w:p>
    <w:p w14:paraId="62A9058D" w14:textId="7735B98A" w:rsidR="00386A0E" w:rsidRPr="005564BF" w:rsidRDefault="00554805"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With respect to the admissibility of the petition, the State argues that it falls under the so-called "formula of the fourth international instance," since the alleged victims go to the IACHR for a review of the decisions adopted in the contentious-administrative jurisdiction, despite the fact that the</w:t>
      </w:r>
      <w:r w:rsidR="00A736F3">
        <w:rPr>
          <w:sz w:val="20"/>
          <w:szCs w:val="20"/>
        </w:rPr>
        <w:t>se judgements</w:t>
      </w:r>
      <w:r>
        <w:rPr>
          <w:sz w:val="20"/>
          <w:szCs w:val="20"/>
        </w:rPr>
        <w:t xml:space="preserve"> respected the judicial guarantees of due process. Colombia recalls that, under the terms of Article 47(b) of the Convention, petitions that request a different evaluation of the evidence are inadmissible, or</w:t>
      </w:r>
      <w:r w:rsidR="00E62A34">
        <w:rPr>
          <w:sz w:val="20"/>
          <w:szCs w:val="20"/>
        </w:rPr>
        <w:t xml:space="preserve"> those that</w:t>
      </w:r>
      <w:r>
        <w:rPr>
          <w:sz w:val="20"/>
          <w:szCs w:val="20"/>
        </w:rPr>
        <w:t xml:space="preserve"> only express their disagreement with the outcome of domestic judicial proceedings </w:t>
      </w:r>
      <w:r w:rsidR="00DE4538">
        <w:rPr>
          <w:sz w:val="20"/>
          <w:szCs w:val="20"/>
        </w:rPr>
        <w:t xml:space="preserve">notwithstanding the compliance with </w:t>
      </w:r>
      <w:r>
        <w:rPr>
          <w:sz w:val="20"/>
          <w:szCs w:val="20"/>
        </w:rPr>
        <w:t xml:space="preserve">the </w:t>
      </w:r>
      <w:r w:rsidR="00DB2A0C">
        <w:rPr>
          <w:sz w:val="20"/>
          <w:szCs w:val="20"/>
        </w:rPr>
        <w:t>rights set forth in</w:t>
      </w:r>
      <w:r>
        <w:rPr>
          <w:sz w:val="20"/>
          <w:szCs w:val="20"/>
        </w:rPr>
        <w:t xml:space="preserve"> the Convention.</w:t>
      </w:r>
    </w:p>
    <w:p w14:paraId="7B66084F" w14:textId="18DA9A70" w:rsidR="00DB11FC" w:rsidRPr="005564BF" w:rsidRDefault="00DB11FC"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In this regard, it </w:t>
      </w:r>
      <w:r w:rsidR="000069B6">
        <w:rPr>
          <w:sz w:val="20"/>
          <w:szCs w:val="20"/>
        </w:rPr>
        <w:t>assert</w:t>
      </w:r>
      <w:r>
        <w:rPr>
          <w:sz w:val="20"/>
          <w:szCs w:val="20"/>
        </w:rPr>
        <w:t xml:space="preserve">s that the matter under study has already been analyzed at the domestic level and that the courts decided to deny the claims for compensation, since they considered that the facts could not be </w:t>
      </w:r>
      <w:r w:rsidR="009367EE">
        <w:rPr>
          <w:sz w:val="20"/>
          <w:szCs w:val="20"/>
        </w:rPr>
        <w:t>attribut</w:t>
      </w:r>
      <w:r>
        <w:rPr>
          <w:sz w:val="20"/>
          <w:szCs w:val="20"/>
        </w:rPr>
        <w:t xml:space="preserve">ed to the Ministry of Defense. Similarly, it explains that the tutela judgments declared the action inadmissible because it did not meet the requirement of immediacy, that is, having been filed within six months of the conclusion of the direct reparation process, since they rejected </w:t>
      </w:r>
      <w:r w:rsidR="0042145D">
        <w:rPr>
          <w:sz w:val="20"/>
          <w:szCs w:val="20"/>
        </w:rPr>
        <w:t>the petitioner’s</w:t>
      </w:r>
      <w:r>
        <w:rPr>
          <w:sz w:val="20"/>
          <w:szCs w:val="20"/>
        </w:rPr>
        <w:t xml:space="preserve"> argument that the term should be counted from the rejection of the extraordinary appeal for review.</w:t>
      </w:r>
    </w:p>
    <w:p w14:paraId="0EE2EC35" w14:textId="3E5EB507" w:rsidR="008100C2" w:rsidRPr="005564BF" w:rsidRDefault="008100C2" w:rsidP="006E621A">
      <w:pPr>
        <w:pStyle w:val="ListParagraph"/>
        <w:numPr>
          <w:ilvl w:val="0"/>
          <w:numId w:val="61"/>
        </w:numPr>
        <w:spacing w:before="240" w:after="240"/>
        <w:ind w:left="0" w:firstLine="720"/>
        <w:jc w:val="both"/>
        <w:rPr>
          <w:rFonts w:asciiTheme="majorHAnsi" w:hAnsiTheme="majorHAnsi"/>
          <w:bCs/>
          <w:sz w:val="20"/>
          <w:szCs w:val="20"/>
        </w:rPr>
      </w:pPr>
      <w:r>
        <w:rPr>
          <w:sz w:val="20"/>
          <w:szCs w:val="20"/>
        </w:rPr>
        <w:t xml:space="preserve">Thus, the State </w:t>
      </w:r>
      <w:r w:rsidR="0042145D">
        <w:rPr>
          <w:sz w:val="20"/>
          <w:szCs w:val="20"/>
        </w:rPr>
        <w:t>contend</w:t>
      </w:r>
      <w:r>
        <w:rPr>
          <w:sz w:val="20"/>
          <w:szCs w:val="20"/>
        </w:rPr>
        <w:t xml:space="preserve">s that there is no evidence of a violation of the guarantees of the Convention, but rather the petitioner's intention to make use of the IACHR as an international appellate court to modify the meaning of the decisions adopted by the contentious-administrative jurisdiction </w:t>
      </w:r>
      <w:r w:rsidR="009F1F73">
        <w:rPr>
          <w:sz w:val="20"/>
          <w:szCs w:val="20"/>
        </w:rPr>
        <w:t>become</w:t>
      </w:r>
      <w:r>
        <w:rPr>
          <w:sz w:val="20"/>
          <w:szCs w:val="20"/>
        </w:rPr>
        <w:t>s evident. Therefore, it asks the Commission to declare this petition inadmissible, in accordance with the provisions of Article 47(b) of the American Convention.</w:t>
      </w:r>
    </w:p>
    <w:p w14:paraId="51F68C92" w14:textId="712DBE3F" w:rsidR="003239B8" w:rsidRPr="005564BF" w:rsidRDefault="006944AB" w:rsidP="003239B8">
      <w:pPr>
        <w:spacing w:before="240" w:after="240"/>
        <w:ind w:firstLine="720"/>
        <w:jc w:val="both"/>
        <w:rPr>
          <w:rFonts w:ascii="Cambria" w:hAnsi="Cambria"/>
          <w:sz w:val="20"/>
          <w:szCs w:val="20"/>
        </w:rPr>
      </w:pPr>
      <w:r>
        <w:rPr>
          <w:rFonts w:asciiTheme="majorHAnsi" w:eastAsia="Cambria" w:hAnsiTheme="majorHAnsi" w:cs="Cambria"/>
          <w:b/>
          <w:bCs/>
          <w:color w:val="000000"/>
          <w:sz w:val="20"/>
          <w:szCs w:val="20"/>
          <w:u w:color="000000"/>
          <w:lang w:eastAsia="es-ES"/>
        </w:rPr>
        <w:t>VI</w:t>
      </w:r>
      <w:r w:rsidR="003239B8" w:rsidRPr="00E64C3D">
        <w:rPr>
          <w:rFonts w:asciiTheme="majorHAnsi" w:eastAsia="Cambria" w:hAnsiTheme="majorHAnsi" w:cs="Cambria"/>
          <w:b/>
          <w:bCs/>
          <w:color w:val="000000"/>
          <w:sz w:val="20"/>
          <w:szCs w:val="20"/>
          <w:u w:color="000000"/>
          <w:lang w:eastAsia="es-ES"/>
        </w:rPr>
        <w:t>.</w:t>
      </w:r>
      <w:r w:rsidR="003239B8" w:rsidRPr="00E64C3D">
        <w:rPr>
          <w:rFonts w:asciiTheme="majorHAnsi" w:eastAsia="Cambria" w:hAnsiTheme="majorHAnsi" w:cs="Cambria"/>
          <w:b/>
          <w:bCs/>
          <w:color w:val="000000"/>
          <w:sz w:val="20"/>
          <w:szCs w:val="20"/>
          <w:u w:color="000000"/>
          <w:lang w:eastAsia="es-ES"/>
        </w:rPr>
        <w:tab/>
      </w:r>
      <w:r w:rsidR="004A6A54" w:rsidRPr="00E64C3D">
        <w:rPr>
          <w:rFonts w:asciiTheme="majorHAnsi" w:hAnsiTheme="majorHAnsi"/>
          <w:b/>
          <w:bCs/>
          <w:sz w:val="20"/>
          <w:szCs w:val="20"/>
        </w:rPr>
        <w:t xml:space="preserve">ANALYSIS OF </w:t>
      </w:r>
      <w:r w:rsidR="00C21FEF" w:rsidRPr="00E64C3D">
        <w:rPr>
          <w:rFonts w:asciiTheme="majorHAnsi" w:hAnsiTheme="majorHAnsi"/>
          <w:b/>
          <w:sz w:val="20"/>
          <w:szCs w:val="20"/>
        </w:rPr>
        <w:t xml:space="preserve">EXHAUSTION OF DOMESTIC REMEDIES AND TIME LIMIT FOR SUBMISSION </w:t>
      </w:r>
    </w:p>
    <w:p w14:paraId="163E8B13" w14:textId="33220841" w:rsidR="002A7925" w:rsidRPr="005564BF" w:rsidRDefault="002A7925" w:rsidP="002A7925">
      <w:pPr>
        <w:pStyle w:val="parrafos"/>
        <w:numPr>
          <w:ilvl w:val="0"/>
          <w:numId w:val="61"/>
        </w:numPr>
        <w:spacing w:before="120" w:after="240"/>
        <w:ind w:left="0" w:firstLine="720"/>
        <w:rPr>
          <w:lang w:val="en-US"/>
        </w:rPr>
      </w:pPr>
      <w:r w:rsidRPr="005564BF">
        <w:rPr>
          <w:lang w:val="en-US"/>
        </w:rPr>
        <w:t xml:space="preserve">Article 46(1)(a) of the American Convention provides that in order for a petition to be admissible, it is necessary that the remedies under domestic law have been pursued and exhausted, in accordance with generally recognized principles of international law. </w:t>
      </w:r>
      <w:r w:rsidR="00650C83" w:rsidRPr="005564BF">
        <w:rPr>
          <w:rFonts w:ascii="Cambria" w:hAnsi="Cambria"/>
          <w:lang w:val="en-US"/>
        </w:rPr>
        <w:t>For</w:t>
      </w:r>
      <w:r w:rsidR="00CD790E">
        <w:rPr>
          <w:rFonts w:ascii="Cambria" w:hAnsi="Cambria"/>
          <w:lang w:val="en-US"/>
        </w:rPr>
        <w:t xml:space="preserve"> the</w:t>
      </w:r>
      <w:r w:rsidR="00650C83" w:rsidRPr="005564BF">
        <w:rPr>
          <w:rFonts w:ascii="Cambria" w:hAnsi="Cambria"/>
          <w:lang w:val="en-US"/>
        </w:rPr>
        <w:t xml:space="preserve"> purposes of evaluating the adequacy of the remedies available under domestic law, the Commission usually establishes the specific complaint that has been made, and then identifies the judicial remedies provided by the domestic legal system that were available and adequate to ventilate that particular complaint. This is precisely what the suitability and effectiveness of each remedy </w:t>
      </w:r>
      <w:r w:rsidR="00EA7621">
        <w:rPr>
          <w:rFonts w:ascii="Cambria" w:hAnsi="Cambria"/>
          <w:lang w:val="en-US"/>
        </w:rPr>
        <w:t xml:space="preserve">means, it </w:t>
      </w:r>
      <w:r w:rsidR="00650C83" w:rsidRPr="005564BF">
        <w:rPr>
          <w:rFonts w:ascii="Cambria" w:hAnsi="Cambria"/>
          <w:lang w:val="en-US"/>
        </w:rPr>
        <w:t xml:space="preserve">consists in providing a real opportunity for the alleged violation of </w:t>
      </w:r>
      <w:r w:rsidR="00650C83" w:rsidRPr="005564BF">
        <w:rPr>
          <w:rFonts w:ascii="Cambria" w:hAnsi="Cambria"/>
          <w:lang w:val="en-US"/>
        </w:rPr>
        <w:lastRenderedPageBreak/>
        <w:t>human rights to be remedied and resolved by the national authorities before re</w:t>
      </w:r>
      <w:r w:rsidR="00E32A32">
        <w:rPr>
          <w:rFonts w:ascii="Cambria" w:hAnsi="Cambria"/>
          <w:lang w:val="en-US"/>
        </w:rPr>
        <w:t>sort</w:t>
      </w:r>
      <w:r w:rsidR="00CE43B9">
        <w:rPr>
          <w:rFonts w:ascii="Cambria" w:hAnsi="Cambria"/>
          <w:lang w:val="en-US"/>
        </w:rPr>
        <w:t>ing</w:t>
      </w:r>
      <w:r w:rsidR="00650C83" w:rsidRPr="005564BF">
        <w:rPr>
          <w:rFonts w:ascii="Cambria" w:hAnsi="Cambria"/>
          <w:lang w:val="en-US"/>
        </w:rPr>
        <w:t xml:space="preserve"> to the Inter-American System of Protection</w:t>
      </w:r>
      <w:r w:rsidR="00E32A32">
        <w:rPr>
          <w:rFonts w:ascii="Cambria" w:hAnsi="Cambria"/>
          <w:lang w:val="en-US"/>
        </w:rPr>
        <w:t>.</w:t>
      </w:r>
      <w:r w:rsidRPr="00A218F6">
        <w:rPr>
          <w:rStyle w:val="FootnoteReference"/>
          <w:rFonts w:ascii="Cambria" w:hAnsi="Cambria"/>
        </w:rPr>
        <w:footnoteReference w:id="7"/>
      </w:r>
    </w:p>
    <w:p w14:paraId="1F416F23" w14:textId="474D759B" w:rsidR="009529FE" w:rsidRPr="005564BF" w:rsidRDefault="009E54C0" w:rsidP="00B02E6E">
      <w:pPr>
        <w:pStyle w:val="ListParagraph"/>
        <w:numPr>
          <w:ilvl w:val="0"/>
          <w:numId w:val="61"/>
        </w:numPr>
        <w:spacing w:after="240"/>
        <w:ind w:left="0" w:firstLine="720"/>
        <w:jc w:val="both"/>
        <w:rPr>
          <w:b/>
          <w:sz w:val="20"/>
          <w:szCs w:val="20"/>
        </w:rPr>
      </w:pPr>
      <w:r w:rsidRPr="00F3244A">
        <w:rPr>
          <w:bCs/>
          <w:sz w:val="20"/>
          <w:szCs w:val="20"/>
        </w:rPr>
        <w:t xml:space="preserve">In this understanding, the Commission understands that the main </w:t>
      </w:r>
      <w:r w:rsidR="00E32A32">
        <w:rPr>
          <w:bCs/>
          <w:sz w:val="20"/>
          <w:szCs w:val="20"/>
        </w:rPr>
        <w:t>claim</w:t>
      </w:r>
      <w:r w:rsidRPr="00F3244A">
        <w:rPr>
          <w:bCs/>
          <w:sz w:val="20"/>
          <w:szCs w:val="20"/>
        </w:rPr>
        <w:t xml:space="preserve"> of this petition is the judicial refusal to grant compensation for the rape perpetrated to the detriment of L.J.S.H., committed by an army non-commissioned officer. The petitioner alleges that it exhausted domestic remedies by means of the order of rejection of </w:t>
      </w:r>
      <w:r w:rsidR="008B3C07">
        <w:rPr>
          <w:sz w:val="20"/>
          <w:szCs w:val="20"/>
        </w:rPr>
        <w:t xml:space="preserve"> February 27, 2018</w:t>
      </w:r>
      <w:r w:rsidR="00F3244A">
        <w:rPr>
          <w:bCs/>
          <w:sz w:val="20"/>
          <w:szCs w:val="20"/>
        </w:rPr>
        <w:t>, of the review of the tutela action, requested from the Constitutional Court</w:t>
      </w:r>
      <w:r w:rsidR="00F3244A">
        <w:rPr>
          <w:sz w:val="20"/>
          <w:szCs w:val="20"/>
        </w:rPr>
        <w:t>.</w:t>
      </w:r>
      <w:r w:rsidR="009529FE" w:rsidRPr="00F3244A">
        <w:rPr>
          <w:bCs/>
          <w:sz w:val="20"/>
          <w:szCs w:val="20"/>
        </w:rPr>
        <w:t xml:space="preserve"> The State does not dispute the exhaustion of domestic remedies by the petitioner.</w:t>
      </w:r>
    </w:p>
    <w:p w14:paraId="76BAA8AD" w14:textId="18AE854B" w:rsidR="00F738F9" w:rsidRPr="005564BF" w:rsidRDefault="00F738F9" w:rsidP="00F738F9">
      <w:pPr>
        <w:pStyle w:val="parrafos"/>
        <w:numPr>
          <w:ilvl w:val="0"/>
          <w:numId w:val="61"/>
        </w:numPr>
        <w:spacing w:after="240"/>
        <w:ind w:left="0" w:firstLine="720"/>
        <w:rPr>
          <w:lang w:val="en-US"/>
        </w:rPr>
      </w:pPr>
      <w:r w:rsidRPr="005564BF">
        <w:rPr>
          <w:lang w:val="en-US"/>
        </w:rPr>
        <w:t>In the instant case, the petitioner chose to make use of the tutela action, which culminated in the decision issued by the Constitutional Court on February 27, 2018. The IACHR considers that this was the decision that exhausted domestic remedies, and taking into consideration that the petitioner indicates that it was notified on March 13, 2018, and that the petition was filed on August 24, 2018, it concludes that t</w:t>
      </w:r>
      <w:r w:rsidR="002C701F">
        <w:rPr>
          <w:lang w:val="en-US"/>
        </w:rPr>
        <w:t>he international complaint</w:t>
      </w:r>
      <w:r w:rsidRPr="005564BF">
        <w:rPr>
          <w:lang w:val="en-US"/>
        </w:rPr>
        <w:t xml:space="preserve"> meets the requirements set forth in Article 46(1)(a) and (b) of the American Convention.</w:t>
      </w:r>
    </w:p>
    <w:p w14:paraId="673598AF" w14:textId="4AD27E07" w:rsidR="003239B8" w:rsidRPr="005564BF" w:rsidRDefault="003239B8" w:rsidP="003239B8">
      <w:pPr>
        <w:pStyle w:val="ListParagraph"/>
        <w:spacing w:before="240" w:after="240"/>
        <w:jc w:val="both"/>
        <w:rPr>
          <w:rFonts w:asciiTheme="majorHAnsi" w:hAnsiTheme="majorHAnsi"/>
          <w:b/>
          <w:bCs/>
          <w:sz w:val="20"/>
          <w:szCs w:val="20"/>
        </w:rPr>
      </w:pPr>
      <w:r w:rsidRPr="00E64C3D">
        <w:rPr>
          <w:rFonts w:asciiTheme="majorHAnsi" w:hAnsiTheme="majorHAnsi"/>
          <w:b/>
          <w:bCs/>
          <w:sz w:val="20"/>
          <w:szCs w:val="20"/>
        </w:rPr>
        <w:t>VII.</w:t>
      </w:r>
      <w:r w:rsidRPr="00E64C3D">
        <w:rPr>
          <w:rFonts w:asciiTheme="majorHAnsi" w:hAnsiTheme="majorHAnsi"/>
          <w:b/>
          <w:bCs/>
          <w:sz w:val="20"/>
          <w:szCs w:val="20"/>
        </w:rPr>
        <w:tab/>
      </w:r>
      <w:r w:rsidR="00D9781B">
        <w:rPr>
          <w:rFonts w:asciiTheme="majorHAnsi" w:hAnsiTheme="majorHAnsi"/>
          <w:b/>
          <w:bCs/>
          <w:sz w:val="20"/>
          <w:szCs w:val="20"/>
        </w:rPr>
        <w:t>COLORABLE CLAIM</w:t>
      </w:r>
    </w:p>
    <w:p w14:paraId="2B532F8F" w14:textId="129584D8" w:rsidR="004D04E8" w:rsidRPr="005564BF" w:rsidRDefault="004D04E8" w:rsidP="004D04E8">
      <w:pPr>
        <w:pStyle w:val="ListParagraph"/>
        <w:numPr>
          <w:ilvl w:val="0"/>
          <w:numId w:val="61"/>
        </w:numPr>
        <w:spacing w:after="240"/>
        <w:ind w:left="0" w:firstLine="720"/>
        <w:jc w:val="both"/>
        <w:rPr>
          <w:sz w:val="20"/>
          <w:szCs w:val="20"/>
        </w:rPr>
      </w:pPr>
      <w:r w:rsidRPr="004D04E8">
        <w:rPr>
          <w:sz w:val="20"/>
          <w:szCs w:val="20"/>
        </w:rPr>
        <w:t>The Commission observes that the present petition includes allegations regarding the failure to recognize compensation in the contentious-administrative proceeding brought for the rape of the child L.J.S.H., on the grounds that the State did not comply with its obligation to make reparation for the harm caused by one of its agents</w:t>
      </w:r>
      <w:r w:rsidR="00FD3588">
        <w:rPr>
          <w:sz w:val="20"/>
          <w:szCs w:val="20"/>
        </w:rPr>
        <w:t>,</w:t>
      </w:r>
      <w:r w:rsidRPr="004D04E8">
        <w:rPr>
          <w:sz w:val="20"/>
          <w:szCs w:val="20"/>
        </w:rPr>
        <w:t xml:space="preserve"> and that the Council of State did not take into account the duty to prevent human rights violations by the National Army. Colombia states that the petitioner intends to use the IACHR as an international appellate court to review the decision adopted by the Council of State, despite the fact that it was adopted in observance of the judicial guarantees enshrined in the American Convention.</w:t>
      </w:r>
    </w:p>
    <w:p w14:paraId="3C65ED56" w14:textId="48594F32" w:rsidR="00F91378" w:rsidRPr="005564BF" w:rsidRDefault="00F91378" w:rsidP="00F91378">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6E621A">
        <w:rPr>
          <w:sz w:val="20"/>
          <w:szCs w:val="20"/>
        </w:rPr>
        <w:t xml:space="preserve">For </w:t>
      </w:r>
      <w:r w:rsidR="007919C6">
        <w:rPr>
          <w:sz w:val="20"/>
          <w:szCs w:val="20"/>
        </w:rPr>
        <w:t xml:space="preserve">the </w:t>
      </w:r>
      <w:r w:rsidRPr="006E621A">
        <w:rPr>
          <w:sz w:val="20"/>
          <w:szCs w:val="20"/>
        </w:rPr>
        <w:t>purposes of admissibility, the Commission must decide whether the alleged facts can establish a violation of rights, as stipulated in Article 47(b) of the American Convention, or whether the petition is "manifestly groundless" or "</w:t>
      </w:r>
      <w:r w:rsidR="00576810">
        <w:rPr>
          <w:sz w:val="20"/>
          <w:szCs w:val="20"/>
        </w:rPr>
        <w:t>obvious</w:t>
      </w:r>
      <w:r w:rsidRPr="006E621A">
        <w:rPr>
          <w:sz w:val="20"/>
          <w:szCs w:val="20"/>
        </w:rPr>
        <w:t xml:space="preserve">ly out of order," in accordance with Article 47(c) of the American Convention. In this regard, the Commission reiterates that the criterion for assessing </w:t>
      </w:r>
      <w:r w:rsidR="00D9781B">
        <w:rPr>
          <w:sz w:val="20"/>
          <w:szCs w:val="20"/>
        </w:rPr>
        <w:t xml:space="preserve">a colorable claim at </w:t>
      </w:r>
      <w:r w:rsidRPr="006E621A">
        <w:rPr>
          <w:sz w:val="20"/>
          <w:szCs w:val="20"/>
        </w:rPr>
        <w:t xml:space="preserve">the admissibility </w:t>
      </w:r>
      <w:r w:rsidR="00D9781B">
        <w:rPr>
          <w:sz w:val="20"/>
          <w:szCs w:val="20"/>
        </w:rPr>
        <w:t xml:space="preserve">stage </w:t>
      </w:r>
      <w:r w:rsidRPr="006E621A">
        <w:rPr>
          <w:sz w:val="20"/>
          <w:szCs w:val="20"/>
        </w:rPr>
        <w:t>differs from that used to rule on the merits of a petition</w:t>
      </w:r>
      <w:r w:rsidR="00FF5C6F">
        <w:rPr>
          <w:sz w:val="20"/>
          <w:szCs w:val="20"/>
        </w:rPr>
        <w:t>.</w:t>
      </w:r>
      <w:r w:rsidRPr="006E621A">
        <w:rPr>
          <w:sz w:val="20"/>
          <w:szCs w:val="20"/>
        </w:rPr>
        <w:t xml:space="preserve"> </w:t>
      </w:r>
      <w:r w:rsidR="00FF5C6F">
        <w:rPr>
          <w:sz w:val="20"/>
          <w:szCs w:val="20"/>
        </w:rPr>
        <w:t>T</w:t>
      </w:r>
      <w:r w:rsidRPr="006E621A">
        <w:rPr>
          <w:sz w:val="20"/>
          <w:szCs w:val="20"/>
        </w:rPr>
        <w:t xml:space="preserve">he IACHR must carry out a </w:t>
      </w:r>
      <w:r w:rsidRPr="006E621A">
        <w:rPr>
          <w:i/>
          <w:iCs/>
          <w:sz w:val="20"/>
          <w:szCs w:val="20"/>
        </w:rPr>
        <w:t>prima facie</w:t>
      </w:r>
      <w:r w:rsidRPr="006E621A">
        <w:rPr>
          <w:sz w:val="20"/>
          <w:szCs w:val="20"/>
        </w:rPr>
        <w:t xml:space="preserve"> </w:t>
      </w:r>
      <w:r w:rsidR="00F6161C" w:rsidRPr="006E621A">
        <w:rPr>
          <w:sz w:val="20"/>
          <w:szCs w:val="20"/>
        </w:rPr>
        <w:t>evaluation to</w:t>
      </w:r>
      <w:r w:rsidRPr="006E621A">
        <w:rPr>
          <w:sz w:val="20"/>
          <w:szCs w:val="20"/>
        </w:rPr>
        <w:t xml:space="preserve"> determine whether the petition establishes the basis for the possible or potential violation of a right guaranteed by the Convention, but not establish the existence of a violation of rights. This determination on the c</w:t>
      </w:r>
      <w:r w:rsidR="00F6161C">
        <w:rPr>
          <w:sz w:val="20"/>
          <w:szCs w:val="20"/>
        </w:rPr>
        <w:t>olorable claim</w:t>
      </w:r>
      <w:r w:rsidRPr="006E621A">
        <w:rPr>
          <w:sz w:val="20"/>
          <w:szCs w:val="20"/>
        </w:rPr>
        <w:t xml:space="preserve"> </w:t>
      </w:r>
      <w:r w:rsidR="00F6161C">
        <w:rPr>
          <w:sz w:val="20"/>
          <w:szCs w:val="20"/>
        </w:rPr>
        <w:t xml:space="preserve">regarding possible </w:t>
      </w:r>
      <w:r w:rsidRPr="006E621A">
        <w:rPr>
          <w:sz w:val="20"/>
          <w:szCs w:val="20"/>
        </w:rPr>
        <w:t xml:space="preserve">violations of the American Convention constitutes a primary analysis, which does not imply prejudging the merits of the case. </w:t>
      </w:r>
    </w:p>
    <w:p w14:paraId="5FB308DA" w14:textId="36A22179" w:rsidR="00C145BE" w:rsidRPr="005564BF" w:rsidRDefault="00AB32A8" w:rsidP="004D69BD">
      <w:pPr>
        <w:pStyle w:val="ListParagraph"/>
        <w:numPr>
          <w:ilvl w:val="0"/>
          <w:numId w:val="61"/>
        </w:numPr>
        <w:suppressAutoHyphens/>
        <w:spacing w:after="240"/>
        <w:ind w:left="0" w:firstLine="720"/>
        <w:jc w:val="both"/>
        <w:rPr>
          <w:sz w:val="20"/>
          <w:szCs w:val="20"/>
        </w:rPr>
      </w:pPr>
      <w:r>
        <w:rPr>
          <w:sz w:val="20"/>
          <w:szCs w:val="20"/>
        </w:rPr>
        <w:t>The Commission recalls that the Inter-American Court of Human Rights (hereinafter "the Inter-American Court," "the Court," or "the Inter-American Court") has recognized a broad content of the right of access to justice in the framework of the protection of the rights to a fair trial and judicial protection, enshrined in Articles 8(1) and 25(1) of the Convention</w:t>
      </w:r>
      <w:r w:rsidR="00010C7E">
        <w:rPr>
          <w:sz w:val="20"/>
          <w:szCs w:val="20"/>
        </w:rPr>
        <w:t>.</w:t>
      </w:r>
      <w:r w:rsidR="00C145BE" w:rsidRPr="00C145BE">
        <w:rPr>
          <w:sz w:val="20"/>
          <w:szCs w:val="20"/>
          <w:vertAlign w:val="superscript"/>
        </w:rPr>
        <w:footnoteReference w:id="8"/>
      </w:r>
      <w:r w:rsidR="00C145BE" w:rsidRPr="00C145BE">
        <w:rPr>
          <w:sz w:val="20"/>
          <w:szCs w:val="20"/>
        </w:rPr>
        <w:t xml:space="preserve"> Within this framework, the Court has studied the violation of this right in relation to the judicial remedies available in the States and has </w:t>
      </w:r>
      <w:r w:rsidR="008114E2">
        <w:rPr>
          <w:sz w:val="20"/>
          <w:szCs w:val="20"/>
        </w:rPr>
        <w:t>assess</w:t>
      </w:r>
      <w:r w:rsidR="00C145BE" w:rsidRPr="00C145BE">
        <w:rPr>
          <w:sz w:val="20"/>
          <w:szCs w:val="20"/>
        </w:rPr>
        <w:t>ed whether remedies of a pecuniary nature allow access to compensation under conditions of equality to those who claim to have been victims of human rights violations</w:t>
      </w:r>
      <w:r w:rsidR="00010C7E">
        <w:rPr>
          <w:sz w:val="20"/>
          <w:szCs w:val="20"/>
        </w:rPr>
        <w:t>.</w:t>
      </w:r>
      <w:r w:rsidR="00C145BE" w:rsidRPr="00C145BE">
        <w:rPr>
          <w:sz w:val="20"/>
          <w:szCs w:val="20"/>
          <w:vertAlign w:val="superscript"/>
        </w:rPr>
        <w:footnoteReference w:id="9"/>
      </w:r>
    </w:p>
    <w:p w14:paraId="66547853" w14:textId="76EAC28A" w:rsidR="00E66E39" w:rsidRPr="005564BF" w:rsidRDefault="00E66E39" w:rsidP="004D69BD">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240"/>
        <w:ind w:left="0" w:firstLine="720"/>
        <w:jc w:val="both"/>
        <w:rPr>
          <w:rFonts w:ascii="Cambria" w:hAnsi="Cambria"/>
          <w:sz w:val="20"/>
          <w:szCs w:val="20"/>
        </w:rPr>
      </w:pPr>
      <w:r w:rsidRPr="00497A9B">
        <w:rPr>
          <w:rFonts w:ascii="Cambria" w:hAnsi="Cambria"/>
          <w:sz w:val="20"/>
          <w:szCs w:val="20"/>
        </w:rPr>
        <w:t>For its part, this Commission has specified that the right of access to justice derived from the joint reading of Articles 8(1) and 25(1) of the American Convention "</w:t>
      </w:r>
      <w:r w:rsidRPr="0036417F">
        <w:rPr>
          <w:rFonts w:ascii="Cambria" w:hAnsi="Cambria"/>
          <w:i/>
          <w:iCs/>
          <w:sz w:val="20"/>
          <w:szCs w:val="20"/>
        </w:rPr>
        <w:t>confers on the relatives of the victims the right to reparation for the damages suffered by the death of their loved ones</w:t>
      </w:r>
      <w:r w:rsidRPr="00497A9B">
        <w:rPr>
          <w:rFonts w:ascii="Cambria" w:hAnsi="Cambria"/>
          <w:sz w:val="20"/>
          <w:szCs w:val="20"/>
        </w:rPr>
        <w:t>,"</w:t>
      </w:r>
      <w:r w:rsidRPr="00497A9B">
        <w:rPr>
          <w:rStyle w:val="FootnoteReference"/>
          <w:rFonts w:ascii="Cambria" w:hAnsi="Cambria"/>
          <w:sz w:val="20"/>
          <w:szCs w:val="20"/>
        </w:rPr>
        <w:footnoteReference w:id="10"/>
      </w:r>
      <w:r w:rsidR="009A4F80">
        <w:rPr>
          <w:rFonts w:ascii="Cambria" w:hAnsi="Cambria"/>
          <w:sz w:val="20"/>
          <w:szCs w:val="20"/>
        </w:rPr>
        <w:t xml:space="preserve"> which is also applicable to other </w:t>
      </w:r>
      <w:r w:rsidR="009A4F80">
        <w:rPr>
          <w:rFonts w:ascii="Cambria" w:hAnsi="Cambria"/>
          <w:sz w:val="20"/>
          <w:szCs w:val="20"/>
        </w:rPr>
        <w:lastRenderedPageBreak/>
        <w:t>serious human rights violations. However, the IACHR has limited the analysis of the right to access an effective judicial remedy to that it is not limited to determining a specific amount of compensation or to replacing the domestic courts when the alleged victims are dissatisfied with the amounts awarded at the domestic level</w:t>
      </w:r>
      <w:r w:rsidR="009E28B9">
        <w:rPr>
          <w:rFonts w:ascii="Cambria" w:hAnsi="Cambria"/>
          <w:sz w:val="20"/>
          <w:szCs w:val="20"/>
        </w:rPr>
        <w:t>.</w:t>
      </w:r>
      <w:r w:rsidRPr="00497A9B">
        <w:rPr>
          <w:rStyle w:val="FootnoteReference"/>
          <w:rFonts w:ascii="Cambria" w:hAnsi="Cambria"/>
          <w:sz w:val="20"/>
          <w:szCs w:val="20"/>
        </w:rPr>
        <w:footnoteReference w:id="11"/>
      </w:r>
    </w:p>
    <w:p w14:paraId="61216DFB" w14:textId="4BDA6178" w:rsidR="00D20354" w:rsidRPr="009E28B9" w:rsidRDefault="003E7098" w:rsidP="003E7098">
      <w:pPr>
        <w:pStyle w:val="parrafos"/>
        <w:numPr>
          <w:ilvl w:val="0"/>
          <w:numId w:val="61"/>
        </w:numPr>
        <w:spacing w:after="240"/>
        <w:ind w:left="0" w:firstLine="720"/>
        <w:rPr>
          <w:lang w:val="en-US"/>
        </w:rPr>
      </w:pPr>
      <w:r w:rsidRPr="005564BF">
        <w:rPr>
          <w:lang w:val="en-US"/>
        </w:rPr>
        <w:t xml:space="preserve">Thus, with regard to the so-called exception of the "fourth international instance," the Commission underscores the complementary nature of the Inter-American System and emphasizes that, as the Inter-American Court has indicated, in order for </w:t>
      </w:r>
      <w:r w:rsidR="00C85C1A">
        <w:rPr>
          <w:lang w:val="en-US"/>
        </w:rPr>
        <w:t>the exception</w:t>
      </w:r>
      <w:r w:rsidRPr="005564BF">
        <w:rPr>
          <w:lang w:val="en-US"/>
        </w:rPr>
        <w:t xml:space="preserve"> to proceed, it would be necessary to "</w:t>
      </w:r>
      <w:r w:rsidRPr="005564BF">
        <w:rPr>
          <w:i/>
          <w:iCs/>
          <w:lang w:val="en-US"/>
        </w:rPr>
        <w:t xml:space="preserve">seek that </w:t>
      </w:r>
      <w:r w:rsidRPr="005564BF">
        <w:rPr>
          <w:lang w:val="en-US"/>
        </w:rPr>
        <w:t>[...][se]</w:t>
      </w:r>
      <w:r w:rsidRPr="005564BF">
        <w:rPr>
          <w:i/>
          <w:iCs/>
          <w:lang w:val="en-US"/>
        </w:rPr>
        <w:t xml:space="preserve">  reviews the judgment of a domestic court by virtue of its incorrect assessment of the evidence, the facts or domestic law, without, at the same time, alleging that such judgment incurred in a violation of international treaties </w:t>
      </w:r>
      <w:r w:rsidRPr="005564BF">
        <w:rPr>
          <w:lang w:val="en-US"/>
        </w:rPr>
        <w:t>[ ...]</w:t>
      </w:r>
      <w:r w:rsidR="0051442E">
        <w:rPr>
          <w:lang w:val="en-US"/>
        </w:rPr>
        <w:t>”.</w:t>
      </w:r>
      <w:r w:rsidRPr="009218C6">
        <w:rPr>
          <w:rStyle w:val="FootnoteReference"/>
          <w:rFonts w:ascii="Cambria" w:hAnsi="Cambria"/>
        </w:rPr>
        <w:footnoteReference w:id="12"/>
      </w:r>
    </w:p>
    <w:p w14:paraId="0C8A7619" w14:textId="308B2AE3" w:rsidR="003E7098" w:rsidRPr="005564BF" w:rsidRDefault="003E7098" w:rsidP="003E7098">
      <w:pPr>
        <w:pStyle w:val="parrafos"/>
        <w:numPr>
          <w:ilvl w:val="0"/>
          <w:numId w:val="61"/>
        </w:numPr>
        <w:spacing w:after="240"/>
        <w:ind w:left="0" w:firstLine="720"/>
        <w:rPr>
          <w:lang w:val="en-US"/>
        </w:rPr>
      </w:pPr>
      <w:r w:rsidRPr="005564BF">
        <w:rPr>
          <w:lang w:val="en-US"/>
        </w:rPr>
        <w:t xml:space="preserve">In the instant case, the Commission notes that the petitioner alleges a violation of </w:t>
      </w:r>
      <w:r w:rsidR="0051442E">
        <w:rPr>
          <w:lang w:val="en-US"/>
        </w:rPr>
        <w:t>the</w:t>
      </w:r>
      <w:r w:rsidRPr="005564BF">
        <w:rPr>
          <w:lang w:val="en-US"/>
        </w:rPr>
        <w:t xml:space="preserve"> right of access to justice and </w:t>
      </w:r>
      <w:r w:rsidR="001E322F">
        <w:rPr>
          <w:lang w:val="en-US"/>
        </w:rPr>
        <w:t xml:space="preserve">an </w:t>
      </w:r>
      <w:r w:rsidRPr="005564BF">
        <w:rPr>
          <w:lang w:val="en-US"/>
        </w:rPr>
        <w:t xml:space="preserve">adequate reparation for the sexual violence suffered by L.J.S.H., as well as the failure to study the allegations of the </w:t>
      </w:r>
      <w:r w:rsidR="00C01D09">
        <w:rPr>
          <w:lang w:val="en-US"/>
        </w:rPr>
        <w:t>Ombud’s</w:t>
      </w:r>
      <w:r w:rsidRPr="005564BF">
        <w:rPr>
          <w:lang w:val="en-US"/>
        </w:rPr>
        <w:t xml:space="preserve"> Office to examine the facts in light of the State's duty to prevent human rights violations. Thus, the IACHR considers that it </w:t>
      </w:r>
      <w:r w:rsidR="00C01D09">
        <w:rPr>
          <w:lang w:val="en-US"/>
        </w:rPr>
        <w:t>must verify “</w:t>
      </w:r>
      <w:r w:rsidRPr="005564BF">
        <w:rPr>
          <w:i/>
          <w:iCs/>
          <w:lang w:val="en-US"/>
        </w:rPr>
        <w:t>whether or not the steps actually taken at the domestic level violated the State's international obligations derived from the inter-American instruments that grant it competence</w:t>
      </w:r>
      <w:r w:rsidR="00C01D09">
        <w:rPr>
          <w:i/>
          <w:iCs/>
          <w:lang w:val="en-US"/>
        </w:rPr>
        <w:t>”</w:t>
      </w:r>
      <w:r w:rsidRPr="005564BF">
        <w:rPr>
          <w:lang w:val="en-US"/>
        </w:rPr>
        <w:t>.</w:t>
      </w:r>
      <w:r w:rsidRPr="009218C6">
        <w:rPr>
          <w:vertAlign w:val="superscript"/>
        </w:rPr>
        <w:footnoteReference w:id="13"/>
      </w:r>
      <w:r w:rsidRPr="005564BF">
        <w:rPr>
          <w:lang w:val="en-US"/>
        </w:rPr>
        <w:t xml:space="preserve"> It is also responsible for examining "</w:t>
      </w:r>
      <w:r w:rsidRPr="005564BF">
        <w:rPr>
          <w:i/>
          <w:iCs/>
          <w:lang w:val="en-US"/>
        </w:rPr>
        <w:t>whether or not the actions of judicial bodies constitute a violation of the State's international obligations, [which] may lead to [...] should be concerned with examining the respective domestic proceedings to establish their compatibility with the American Convention</w:t>
      </w:r>
      <w:r w:rsidRPr="005564BF">
        <w:rPr>
          <w:lang w:val="en-US"/>
        </w:rPr>
        <w:t>."</w:t>
      </w:r>
      <w:r w:rsidRPr="009218C6">
        <w:rPr>
          <w:vertAlign w:val="superscript"/>
        </w:rPr>
        <w:footnoteReference w:id="14"/>
      </w:r>
    </w:p>
    <w:p w14:paraId="3ED6D0DE" w14:textId="1C8FA880" w:rsidR="006B39F7" w:rsidRPr="005564BF" w:rsidRDefault="008C5E2D" w:rsidP="006B39F7">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6E621A">
        <w:rPr>
          <w:sz w:val="20"/>
          <w:szCs w:val="20"/>
        </w:rPr>
        <w:t xml:space="preserve">In view of these considerations and after examining the elements of fact and law presented by the parties, the Commission considers that the petitioner's allegations are not manifestly </w:t>
      </w:r>
      <w:r w:rsidR="007708B4">
        <w:rPr>
          <w:sz w:val="20"/>
          <w:szCs w:val="20"/>
        </w:rPr>
        <w:t xml:space="preserve">groundless </w:t>
      </w:r>
      <w:r w:rsidRPr="006E621A">
        <w:rPr>
          <w:sz w:val="20"/>
          <w:szCs w:val="20"/>
        </w:rPr>
        <w:t xml:space="preserve">and require a study </w:t>
      </w:r>
      <w:r w:rsidR="007708B4">
        <w:rPr>
          <w:sz w:val="20"/>
          <w:szCs w:val="20"/>
        </w:rPr>
        <w:t>at</w:t>
      </w:r>
      <w:r w:rsidRPr="006E621A">
        <w:rPr>
          <w:sz w:val="20"/>
          <w:szCs w:val="20"/>
        </w:rPr>
        <w:t xml:space="preserve"> the merits</w:t>
      </w:r>
      <w:r w:rsidR="007708B4">
        <w:rPr>
          <w:sz w:val="20"/>
          <w:szCs w:val="20"/>
        </w:rPr>
        <w:t xml:space="preserve"> stage</w:t>
      </w:r>
      <w:r w:rsidRPr="006E621A">
        <w:rPr>
          <w:sz w:val="20"/>
          <w:szCs w:val="20"/>
        </w:rPr>
        <w:t>; since the facts alleged, if corroborated as true, could tend to establish violations of Articles 5 (humane treatment), 8 (</w:t>
      </w:r>
      <w:r w:rsidR="00DF5E00">
        <w:rPr>
          <w:sz w:val="20"/>
          <w:szCs w:val="20"/>
        </w:rPr>
        <w:t>right to a fair trial</w:t>
      </w:r>
      <w:r w:rsidRPr="006E621A">
        <w:rPr>
          <w:sz w:val="20"/>
          <w:szCs w:val="20"/>
        </w:rPr>
        <w:t>)</w:t>
      </w:r>
      <w:r w:rsidR="00EC686D">
        <w:rPr>
          <w:sz w:val="20"/>
          <w:szCs w:val="20"/>
        </w:rPr>
        <w:t>,</w:t>
      </w:r>
      <w:r w:rsidRPr="006E621A">
        <w:rPr>
          <w:sz w:val="20"/>
          <w:szCs w:val="20"/>
        </w:rPr>
        <w:t xml:space="preserve"> </w:t>
      </w:r>
      <w:r w:rsidR="007D1A99">
        <w:rPr>
          <w:bCs/>
          <w:sz w:val="20"/>
          <w:szCs w:val="20"/>
        </w:rPr>
        <w:t xml:space="preserve">11 (protection of honor and dignity), 19 (rights of the child), 24 (equality before the law), and 25 (judicial protection) of the American Convention </w:t>
      </w:r>
      <w:r w:rsidR="00394073" w:rsidRPr="007D1A99">
        <w:rPr>
          <w:sz w:val="20"/>
          <w:szCs w:val="20"/>
        </w:rPr>
        <w:t>to the detriment of L.J.S.H., and h</w:t>
      </w:r>
      <w:r w:rsidR="00EC686D">
        <w:rPr>
          <w:sz w:val="20"/>
          <w:szCs w:val="20"/>
        </w:rPr>
        <w:t>er</w:t>
      </w:r>
      <w:r w:rsidR="00394073" w:rsidRPr="007D1A99">
        <w:rPr>
          <w:sz w:val="20"/>
          <w:szCs w:val="20"/>
        </w:rPr>
        <w:t xml:space="preserve"> parents, all duly identified in this petition</w:t>
      </w:r>
      <w:r w:rsidR="00EC686D">
        <w:rPr>
          <w:sz w:val="20"/>
          <w:szCs w:val="20"/>
        </w:rPr>
        <w:t>’s file</w:t>
      </w:r>
      <w:r w:rsidR="00394073" w:rsidRPr="007D1A99">
        <w:rPr>
          <w:sz w:val="20"/>
          <w:szCs w:val="20"/>
        </w:rPr>
        <w:t>.</w:t>
      </w:r>
    </w:p>
    <w:p w14:paraId="091888D2" w14:textId="47975143" w:rsidR="008C5E2D" w:rsidRPr="005564BF" w:rsidRDefault="006B39F7" w:rsidP="00BE5242">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sidRPr="00242200">
        <w:rPr>
          <w:sz w:val="20"/>
          <w:szCs w:val="20"/>
        </w:rPr>
        <w:t xml:space="preserve">As for the claim regarding the alleged violation of Article 17 (protection of the family) of the American Convention, the Commission observes that the petitioners have not offered sufficient allegations or support to allow a </w:t>
      </w:r>
      <w:r w:rsidRPr="00242200">
        <w:rPr>
          <w:i/>
          <w:sz w:val="20"/>
          <w:szCs w:val="20"/>
        </w:rPr>
        <w:t>prima facie</w:t>
      </w:r>
      <w:r w:rsidRPr="00242200">
        <w:rPr>
          <w:sz w:val="20"/>
          <w:szCs w:val="20"/>
        </w:rPr>
        <w:t xml:space="preserve"> finding of a possible violation.</w:t>
      </w:r>
    </w:p>
    <w:p w14:paraId="445BF42E"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rPr>
        <w:t xml:space="preserve">VIII. </w:t>
      </w:r>
      <w:r>
        <w:rPr>
          <w:rFonts w:asciiTheme="majorHAnsi" w:hAnsiTheme="majorHAnsi"/>
          <w:b/>
          <w:bCs/>
          <w:sz w:val="20"/>
          <w:szCs w:val="20"/>
        </w:rPr>
        <w:tab/>
      </w:r>
      <w:r w:rsidRPr="0078770A">
        <w:rPr>
          <w:rFonts w:asciiTheme="majorHAnsi" w:hAnsiTheme="majorHAnsi"/>
          <w:b/>
          <w:bCs/>
          <w:sz w:val="20"/>
          <w:szCs w:val="20"/>
        </w:rPr>
        <w:t>DECISION</w:t>
      </w:r>
    </w:p>
    <w:p w14:paraId="16B36F97" w14:textId="60BAC180" w:rsidR="003239B8" w:rsidRPr="005564B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39B8">
        <w:rPr>
          <w:rFonts w:asciiTheme="majorHAnsi" w:hAnsiTheme="majorHAnsi"/>
          <w:sz w:val="20"/>
          <w:szCs w:val="20"/>
        </w:rPr>
        <w:t xml:space="preserve">To declare this petition admissible in relation to Articles 5, 8, 11, 19, 24, and 25 of the American Convention, in </w:t>
      </w:r>
      <w:r w:rsidR="00D13880">
        <w:rPr>
          <w:rFonts w:asciiTheme="majorHAnsi" w:hAnsiTheme="majorHAnsi"/>
          <w:sz w:val="20"/>
          <w:szCs w:val="20"/>
        </w:rPr>
        <w:t>rela</w:t>
      </w:r>
      <w:r w:rsidRPr="003239B8">
        <w:rPr>
          <w:rFonts w:asciiTheme="majorHAnsi" w:hAnsiTheme="majorHAnsi"/>
          <w:sz w:val="20"/>
          <w:szCs w:val="20"/>
        </w:rPr>
        <w:t>tion with Article 1(1) thereof</w:t>
      </w:r>
      <w:r w:rsidR="006944AB">
        <w:rPr>
          <w:rFonts w:asciiTheme="majorHAnsi" w:hAnsiTheme="majorHAnsi"/>
          <w:sz w:val="20"/>
          <w:szCs w:val="20"/>
        </w:rPr>
        <w:t>.</w:t>
      </w:r>
    </w:p>
    <w:p w14:paraId="7CCCB663" w14:textId="53BAEF6D" w:rsidR="000419AD" w:rsidRPr="005564BF" w:rsidRDefault="000419AD" w:rsidP="00711EF9">
      <w:pPr>
        <w:pStyle w:val="ListParagraph"/>
        <w:numPr>
          <w:ilvl w:val="0"/>
          <w:numId w:val="55"/>
        </w:numPr>
        <w:jc w:val="both"/>
        <w:rPr>
          <w:rFonts w:eastAsia="Arial Unicode MS" w:cs="Times New Roman"/>
          <w:color w:val="auto"/>
          <w:sz w:val="20"/>
          <w:szCs w:val="20"/>
          <w:lang w:eastAsia="en-US"/>
        </w:rPr>
      </w:pPr>
      <w:r w:rsidRPr="000419AD">
        <w:rPr>
          <w:rFonts w:eastAsia="Arial Unicode MS" w:cs="Times New Roman"/>
          <w:color w:val="auto"/>
          <w:sz w:val="20"/>
          <w:szCs w:val="20"/>
          <w:lang w:eastAsia="en-US"/>
        </w:rPr>
        <w:t xml:space="preserve">To declare this petition inadmissible </w:t>
      </w:r>
      <w:r w:rsidR="00FF4A8E">
        <w:rPr>
          <w:rFonts w:eastAsia="Arial Unicode MS" w:cs="Times New Roman"/>
          <w:color w:val="auto"/>
          <w:sz w:val="20"/>
          <w:szCs w:val="20"/>
          <w:lang w:eastAsia="en-US"/>
        </w:rPr>
        <w:t xml:space="preserve">concerning </w:t>
      </w:r>
      <w:r w:rsidRPr="000419AD">
        <w:rPr>
          <w:rFonts w:eastAsia="Arial Unicode MS" w:cs="Times New Roman"/>
          <w:color w:val="auto"/>
          <w:sz w:val="20"/>
          <w:szCs w:val="20"/>
          <w:lang w:eastAsia="en-US"/>
        </w:rPr>
        <w:t>Article 17 of the American Convention</w:t>
      </w:r>
      <w:r w:rsidR="006944AB">
        <w:rPr>
          <w:rFonts w:eastAsia="Arial Unicode MS" w:cs="Times New Roman"/>
          <w:color w:val="auto"/>
          <w:sz w:val="20"/>
          <w:szCs w:val="20"/>
          <w:lang w:eastAsia="en-US"/>
        </w:rPr>
        <w:t>.</w:t>
      </w:r>
    </w:p>
    <w:p w14:paraId="547DFF8E" w14:textId="77777777" w:rsidR="000419AD" w:rsidRPr="005564BF" w:rsidRDefault="000419AD" w:rsidP="000419AD">
      <w:pPr>
        <w:pStyle w:val="ListParagraph"/>
        <w:rPr>
          <w:rFonts w:eastAsia="Arial Unicode MS" w:cs="Times New Roman"/>
          <w:color w:val="auto"/>
          <w:sz w:val="20"/>
          <w:szCs w:val="20"/>
          <w:lang w:eastAsia="en-US"/>
        </w:rPr>
      </w:pPr>
    </w:p>
    <w:p w14:paraId="02C904B2" w14:textId="63F3554D" w:rsidR="009A56CE" w:rsidRDefault="004A6A54" w:rsidP="003A1A9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9B7794">
        <w:rPr>
          <w:rFonts w:asciiTheme="majorHAnsi" w:hAnsiTheme="majorHAnsi"/>
          <w:sz w:val="20"/>
          <w:szCs w:val="20"/>
        </w:rPr>
        <w:t xml:space="preserve">To notify the parties of this decision; to continue with the analysis of the merits of the matter; and </w:t>
      </w:r>
      <w:r w:rsidR="00682A17">
        <w:rPr>
          <w:rFonts w:asciiTheme="majorHAnsi" w:hAnsiTheme="majorHAnsi"/>
          <w:sz w:val="20"/>
          <w:szCs w:val="20"/>
        </w:rPr>
        <w:t xml:space="preserve">to </w:t>
      </w:r>
      <w:r w:rsidRPr="009B7794">
        <w:rPr>
          <w:rFonts w:asciiTheme="majorHAnsi" w:hAnsiTheme="majorHAnsi"/>
          <w:sz w:val="20"/>
          <w:szCs w:val="20"/>
        </w:rPr>
        <w:t>publish this decision and include it in its Annual Report to the General Assembly of the Organization of American States.</w:t>
      </w:r>
    </w:p>
    <w:p w14:paraId="5D9C3552" w14:textId="77777777" w:rsidR="006944AB" w:rsidRDefault="006944AB" w:rsidP="006944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2FE93927" w14:textId="77777777" w:rsidR="0039148C" w:rsidRDefault="0039148C" w:rsidP="00DF15D7">
      <w:pPr>
        <w:suppressAutoHyphens/>
        <w:ind w:firstLine="720"/>
        <w:jc w:val="both"/>
        <w:rPr>
          <w:rFonts w:ascii="Cambria" w:hAnsi="Cambria"/>
          <w:spacing w:val="-2"/>
          <w:sz w:val="20"/>
        </w:rPr>
      </w:pPr>
    </w:p>
    <w:p w14:paraId="1B9891BA" w14:textId="273ED11E" w:rsidR="00DF15D7" w:rsidRDefault="00DF15D7" w:rsidP="00DF15D7">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942C3B">
        <w:rPr>
          <w:rFonts w:ascii="Cambria" w:hAnsi="Cambria"/>
          <w:spacing w:val="-2"/>
          <w:sz w:val="20"/>
        </w:rPr>
        <w:t>27</w:t>
      </w:r>
      <w:r w:rsidR="00942C3B" w:rsidRPr="00942C3B">
        <w:rPr>
          <w:rFonts w:ascii="Cambria" w:hAnsi="Cambria"/>
          <w:spacing w:val="-2"/>
          <w:sz w:val="20"/>
          <w:vertAlign w:val="superscript"/>
        </w:rPr>
        <w:t>th</w:t>
      </w:r>
      <w:r w:rsidR="00942C3B">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942C3B">
        <w:rPr>
          <w:rFonts w:ascii="Cambria" w:hAnsi="Cambria"/>
          <w:spacing w:val="-2"/>
          <w:sz w:val="20"/>
        </w:rPr>
        <w:t>November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0039148C">
        <w:rPr>
          <w:rStyle w:val="normaltextrun"/>
          <w:rFonts w:ascii="Cambria" w:hAnsi="Cambria" w:cs="Segoe UI"/>
          <w:sz w:val="20"/>
          <w:szCs w:val="20"/>
        </w:rPr>
        <w:t>,</w:t>
      </w:r>
      <w:r>
        <w:rPr>
          <w:rStyle w:val="normaltextrun"/>
          <w:rFonts w:ascii="Cambria" w:hAnsi="Cambria" w:cs="Segoe UI"/>
          <w:sz w:val="20"/>
          <w:szCs w:val="20"/>
        </w:rPr>
        <w:t xml:space="preserve">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0D6FF874" w14:textId="77777777" w:rsidR="006944AB" w:rsidRPr="005564BF" w:rsidRDefault="006944AB" w:rsidP="006944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sectPr w:rsidR="006944AB" w:rsidRPr="005564B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361D" w14:textId="77777777" w:rsidR="00A81BC4" w:rsidRDefault="00A81BC4">
      <w:r>
        <w:separator/>
      </w:r>
    </w:p>
  </w:endnote>
  <w:endnote w:type="continuationSeparator" w:id="0">
    <w:p w14:paraId="2802460B" w14:textId="77777777" w:rsidR="00A81BC4" w:rsidRDefault="00A8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5A1C" w14:textId="77777777" w:rsidR="00A81BC4" w:rsidRPr="000F35ED" w:rsidRDefault="00A81B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A61A2ED" w14:textId="77777777" w:rsidR="00A81BC4" w:rsidRPr="000F35ED" w:rsidRDefault="00A81BC4" w:rsidP="000F35ED">
      <w:pPr>
        <w:rPr>
          <w:rFonts w:asciiTheme="majorHAnsi" w:hAnsiTheme="majorHAnsi"/>
          <w:sz w:val="16"/>
          <w:szCs w:val="16"/>
        </w:rPr>
      </w:pPr>
      <w:r w:rsidRPr="000F35ED">
        <w:rPr>
          <w:rFonts w:asciiTheme="majorHAnsi" w:hAnsiTheme="majorHAnsi"/>
          <w:sz w:val="16"/>
          <w:szCs w:val="16"/>
        </w:rPr>
        <w:separator/>
      </w:r>
    </w:p>
    <w:p w14:paraId="3EB45A8E" w14:textId="77777777" w:rsidR="00A81BC4" w:rsidRPr="000F35ED" w:rsidRDefault="00A81BC4" w:rsidP="000F35ED">
      <w:pPr>
        <w:pStyle w:val="Footer"/>
        <w:rPr>
          <w:rFonts w:asciiTheme="majorHAnsi" w:hAnsiTheme="majorHAnsi"/>
          <w:sz w:val="16"/>
          <w:szCs w:val="16"/>
        </w:rPr>
      </w:pPr>
      <w:r>
        <w:rPr>
          <w:rFonts w:asciiTheme="majorHAnsi" w:hAnsiTheme="majorHAnsi"/>
          <w:sz w:val="16"/>
          <w:szCs w:val="16"/>
        </w:rPr>
        <w:t>[… continued]</w:t>
      </w:r>
    </w:p>
  </w:footnote>
  <w:footnote w:type="continuationNotice" w:id="1">
    <w:p w14:paraId="0DC3C1CD" w14:textId="77777777" w:rsidR="00A81BC4" w:rsidRPr="000F35ED" w:rsidRDefault="00A81BC4" w:rsidP="000F35ED">
      <w:pPr>
        <w:jc w:val="right"/>
        <w:rPr>
          <w:rFonts w:asciiTheme="majorHAnsi" w:hAnsiTheme="majorHAnsi"/>
          <w:sz w:val="16"/>
          <w:szCs w:val="16"/>
          <w:lang w:val="es-ES"/>
        </w:rPr>
      </w:pPr>
      <w:r>
        <w:rPr>
          <w:rFonts w:asciiTheme="majorHAnsi" w:hAnsiTheme="majorHAnsi"/>
          <w:sz w:val="16"/>
          <w:szCs w:val="16"/>
        </w:rPr>
        <w:t>[continues...]</w:t>
      </w:r>
    </w:p>
  </w:footnote>
  <w:footnote w:id="2">
    <w:p w14:paraId="75F30A68" w14:textId="7A0840A0" w:rsidR="00986F46" w:rsidRPr="005564BF" w:rsidRDefault="00986F46" w:rsidP="007D0B86">
      <w:pPr>
        <w:pStyle w:val="FootnoteText"/>
        <w:ind w:firstLine="720"/>
        <w:jc w:val="both"/>
      </w:pPr>
      <w:r w:rsidRPr="00986F46">
        <w:rPr>
          <w:rStyle w:val="FootnoteReference"/>
          <w:rFonts w:asciiTheme="majorHAnsi" w:hAnsiTheme="majorHAnsi"/>
          <w:sz w:val="16"/>
          <w:szCs w:val="16"/>
        </w:rPr>
        <w:footnoteRef/>
      </w:r>
      <w:r w:rsidRPr="00986F46">
        <w:rPr>
          <w:rFonts w:asciiTheme="majorHAnsi" w:hAnsiTheme="majorHAnsi"/>
          <w:sz w:val="16"/>
          <w:szCs w:val="16"/>
        </w:rPr>
        <w:t xml:space="preserve"> </w:t>
      </w:r>
      <w:r w:rsidR="007324CA">
        <w:rPr>
          <w:rFonts w:asciiTheme="majorHAnsi" w:hAnsiTheme="majorHAnsi"/>
          <w:sz w:val="16"/>
          <w:szCs w:val="16"/>
        </w:rPr>
        <w:t>Since</w:t>
      </w:r>
      <w:r w:rsidR="005564BF">
        <w:rPr>
          <w:rFonts w:asciiTheme="majorHAnsi" w:hAnsiTheme="majorHAnsi"/>
          <w:sz w:val="16"/>
          <w:szCs w:val="16"/>
        </w:rPr>
        <w:t xml:space="preserve"> this</w:t>
      </w:r>
      <w:r w:rsidRPr="00986F46">
        <w:rPr>
          <w:rFonts w:asciiTheme="majorHAnsi" w:hAnsiTheme="majorHAnsi"/>
          <w:sz w:val="16"/>
          <w:szCs w:val="16"/>
        </w:rPr>
        <w:t xml:space="preserve"> was a complaint </w:t>
      </w:r>
      <w:r w:rsidR="005564BF">
        <w:rPr>
          <w:rFonts w:asciiTheme="majorHAnsi" w:hAnsiTheme="majorHAnsi"/>
          <w:sz w:val="16"/>
          <w:szCs w:val="16"/>
        </w:rPr>
        <w:t xml:space="preserve">regarding </w:t>
      </w:r>
      <w:r w:rsidRPr="00986F46">
        <w:rPr>
          <w:rFonts w:asciiTheme="majorHAnsi" w:hAnsiTheme="majorHAnsi"/>
          <w:sz w:val="16"/>
          <w:szCs w:val="16"/>
        </w:rPr>
        <w:t xml:space="preserve">acts of sexual violence against a girl, the Inter-American Commission decided to apply the restriction on the identity of the alleged victim to avoid her revictimization and </w:t>
      </w:r>
      <w:r w:rsidR="005564BF">
        <w:rPr>
          <w:rFonts w:asciiTheme="majorHAnsi" w:hAnsiTheme="majorHAnsi"/>
          <w:sz w:val="16"/>
          <w:szCs w:val="16"/>
        </w:rPr>
        <w:t>negative</w:t>
      </w:r>
      <w:r w:rsidRPr="00986F46">
        <w:rPr>
          <w:rFonts w:asciiTheme="majorHAnsi" w:hAnsiTheme="majorHAnsi"/>
          <w:sz w:val="16"/>
          <w:szCs w:val="16"/>
        </w:rPr>
        <w:t xml:space="preserve"> </w:t>
      </w:r>
      <w:r w:rsidR="005564BF">
        <w:rPr>
          <w:rFonts w:asciiTheme="majorHAnsi" w:hAnsiTheme="majorHAnsi"/>
          <w:sz w:val="16"/>
          <w:szCs w:val="16"/>
        </w:rPr>
        <w:t>impacts</w:t>
      </w:r>
      <w:r w:rsidRPr="00986F46">
        <w:rPr>
          <w:rFonts w:asciiTheme="majorHAnsi" w:hAnsiTheme="majorHAnsi"/>
          <w:sz w:val="16"/>
          <w:szCs w:val="16"/>
        </w:rPr>
        <w:t xml:space="preserve"> on her private life.</w:t>
      </w:r>
    </w:p>
  </w:footnote>
  <w:footnote w:id="3">
    <w:p w14:paraId="0F50799F" w14:textId="483E6D64" w:rsidR="00AE0F80" w:rsidRPr="005564BF" w:rsidRDefault="00AE0F80" w:rsidP="007D0B86">
      <w:pPr>
        <w:pStyle w:val="FootnoteText"/>
        <w:ind w:firstLine="720"/>
        <w:jc w:val="both"/>
        <w:rPr>
          <w:rFonts w:asciiTheme="majorHAnsi" w:hAnsiTheme="majorHAnsi"/>
          <w:sz w:val="16"/>
          <w:szCs w:val="16"/>
        </w:rPr>
      </w:pPr>
      <w:r w:rsidRPr="00AE0F80">
        <w:rPr>
          <w:rStyle w:val="FootnoteReference"/>
          <w:rFonts w:asciiTheme="majorHAnsi" w:hAnsiTheme="majorHAnsi"/>
          <w:sz w:val="16"/>
          <w:szCs w:val="16"/>
        </w:rPr>
        <w:footnoteRef/>
      </w:r>
      <w:r w:rsidRPr="00AE0F80">
        <w:rPr>
          <w:rFonts w:asciiTheme="majorHAnsi" w:hAnsiTheme="majorHAnsi"/>
          <w:sz w:val="16"/>
          <w:szCs w:val="16"/>
        </w:rPr>
        <w:t xml:space="preserve"> The petitioner identified as relatives of the child L.J.S.H. the following: L.M.H.A. (mother) and J.V.S.D. (father).</w:t>
      </w:r>
    </w:p>
  </w:footnote>
  <w:footnote w:id="4">
    <w:p w14:paraId="66E930B8" w14:textId="579EA7A5" w:rsidR="004A6A54" w:rsidRPr="005564BF" w:rsidRDefault="004A6A54" w:rsidP="007D0B86">
      <w:pPr>
        <w:pStyle w:val="FootnoteText"/>
        <w:ind w:firstLine="720"/>
        <w:jc w:val="both"/>
        <w:rPr>
          <w:rFonts w:asciiTheme="majorHAnsi" w:hAnsiTheme="majorHAnsi"/>
          <w:sz w:val="16"/>
          <w:szCs w:val="16"/>
        </w:rPr>
      </w:pPr>
      <w:r w:rsidRPr="00306F33">
        <w:rPr>
          <w:rStyle w:val="FootnoteReference"/>
          <w:rFonts w:asciiTheme="majorHAnsi" w:hAnsiTheme="majorHAnsi"/>
          <w:sz w:val="16"/>
          <w:szCs w:val="16"/>
        </w:rPr>
        <w:footnoteRef/>
      </w:r>
      <w:r w:rsidRPr="00306F33">
        <w:rPr>
          <w:rFonts w:asciiTheme="majorHAnsi" w:hAnsiTheme="majorHAnsi"/>
          <w:sz w:val="16"/>
          <w:szCs w:val="16"/>
        </w:rPr>
        <w:t xml:space="preserve"> In accordance with the provisions of Article 17(2)(a) of the Commission's Rules of Procedure, Commissioner Carlos Bernal Pulido, a Colombian national, did not participate in the debate or decision in this case.</w:t>
      </w:r>
    </w:p>
  </w:footnote>
  <w:footnote w:id="5">
    <w:p w14:paraId="32887BA0" w14:textId="77777777" w:rsidR="005C0CD2" w:rsidRPr="005564BF" w:rsidRDefault="005C0CD2" w:rsidP="007D0B86">
      <w:pPr>
        <w:pStyle w:val="FootnoteText"/>
        <w:ind w:firstLine="720"/>
        <w:jc w:val="both"/>
        <w:rPr>
          <w:rFonts w:asciiTheme="majorHAnsi" w:hAnsiTheme="majorHAnsi"/>
          <w:color w:val="auto"/>
          <w:sz w:val="16"/>
          <w:szCs w:val="16"/>
        </w:rPr>
      </w:pPr>
      <w:r w:rsidRPr="00343CD2">
        <w:rPr>
          <w:rStyle w:val="FootnoteReference"/>
          <w:rFonts w:asciiTheme="majorHAnsi" w:hAnsiTheme="majorHAnsi"/>
          <w:sz w:val="16"/>
          <w:szCs w:val="16"/>
        </w:rPr>
        <w:footnoteRef/>
      </w:r>
      <w:r w:rsidRPr="00343CD2">
        <w:rPr>
          <w:rFonts w:asciiTheme="majorHAnsi" w:hAnsiTheme="majorHAnsi"/>
          <w:sz w:val="16"/>
          <w:szCs w:val="16"/>
        </w:rPr>
        <w:t xml:space="preserve"> Hereinafter "the </w:t>
      </w:r>
      <w:r w:rsidRPr="00270D23">
        <w:rPr>
          <w:rFonts w:asciiTheme="majorHAnsi" w:hAnsiTheme="majorHAnsi"/>
          <w:color w:val="auto"/>
          <w:sz w:val="16"/>
          <w:szCs w:val="16"/>
        </w:rPr>
        <w:t>American Convention" or "the Convention."</w:t>
      </w:r>
    </w:p>
  </w:footnote>
  <w:footnote w:id="6">
    <w:p w14:paraId="1AFEF3B0" w14:textId="422A1281" w:rsidR="008E3BFE" w:rsidRPr="005564BF" w:rsidRDefault="008E3BFE" w:rsidP="007D0B86">
      <w:pPr>
        <w:pStyle w:val="FootnoteText"/>
        <w:ind w:firstLine="720"/>
        <w:jc w:val="both"/>
        <w:rPr>
          <w:rFonts w:asciiTheme="majorHAnsi" w:hAnsiTheme="majorHAnsi"/>
          <w:sz w:val="16"/>
          <w:szCs w:val="16"/>
        </w:rPr>
      </w:pPr>
      <w:r w:rsidRPr="005C0CD2">
        <w:rPr>
          <w:rStyle w:val="FootnoteReference"/>
          <w:rFonts w:asciiTheme="majorHAnsi" w:hAnsiTheme="majorHAnsi"/>
          <w:sz w:val="16"/>
          <w:szCs w:val="16"/>
        </w:rPr>
        <w:footnoteRef/>
      </w:r>
      <w:r w:rsidRPr="005C0CD2">
        <w:rPr>
          <w:rFonts w:asciiTheme="majorHAnsi" w:hAnsiTheme="majorHAnsi"/>
          <w:sz w:val="16"/>
          <w:szCs w:val="16"/>
        </w:rPr>
        <w:t xml:space="preserve"> The observations of each party were duly forwarded to the opposing party.</w:t>
      </w:r>
    </w:p>
  </w:footnote>
  <w:footnote w:id="7">
    <w:p w14:paraId="786A06BB" w14:textId="77777777" w:rsidR="002A7925" w:rsidRPr="005564BF" w:rsidRDefault="002A7925" w:rsidP="007D0B86">
      <w:pPr>
        <w:pStyle w:val="FootnoteText"/>
        <w:ind w:firstLine="720"/>
        <w:jc w:val="both"/>
        <w:rPr>
          <w:rFonts w:asciiTheme="majorHAnsi" w:hAnsiTheme="majorHAnsi"/>
          <w:sz w:val="16"/>
          <w:szCs w:val="16"/>
        </w:rPr>
      </w:pPr>
      <w:r w:rsidRPr="00650C83">
        <w:rPr>
          <w:rStyle w:val="FootnoteReference"/>
          <w:rFonts w:asciiTheme="majorHAnsi" w:hAnsiTheme="majorHAnsi"/>
          <w:sz w:val="16"/>
          <w:szCs w:val="16"/>
        </w:rPr>
        <w:footnoteRef/>
      </w:r>
      <w:r w:rsidRPr="00650C83">
        <w:rPr>
          <w:rFonts w:asciiTheme="majorHAnsi" w:hAnsiTheme="majorHAnsi"/>
          <w:sz w:val="16"/>
          <w:szCs w:val="16"/>
        </w:rPr>
        <w:t xml:space="preserve"> </w:t>
      </w:r>
      <w:r w:rsidRPr="00650C83">
        <w:rPr>
          <w:rFonts w:asciiTheme="majorHAnsi" w:hAnsiTheme="majorHAnsi"/>
          <w:i/>
          <w:iCs/>
          <w:sz w:val="16"/>
          <w:szCs w:val="16"/>
        </w:rPr>
        <w:t>Cf.</w:t>
      </w:r>
      <w:r w:rsidRPr="00650C83">
        <w:rPr>
          <w:rFonts w:asciiTheme="majorHAnsi" w:hAnsiTheme="majorHAnsi"/>
          <w:sz w:val="16"/>
          <w:szCs w:val="16"/>
        </w:rPr>
        <w:t xml:space="preserve"> IACHR, Report No. 279/21, Petition 2106-12, Admissibility, Huitosachi, Mogótavo, and Bacajípare Communities of the Rarámuri Indigenous People, Mexico, October 29, 2021, para. 29.</w:t>
      </w:r>
    </w:p>
  </w:footnote>
  <w:footnote w:id="8">
    <w:p w14:paraId="05DA17EB" w14:textId="77777777" w:rsidR="00C145BE" w:rsidRPr="005564BF" w:rsidRDefault="00C145BE" w:rsidP="007D0B86">
      <w:pPr>
        <w:pStyle w:val="FootnoteText"/>
        <w:ind w:firstLine="720"/>
        <w:jc w:val="both"/>
        <w:rPr>
          <w:rFonts w:ascii="Cambria" w:hAnsi="Cambria"/>
          <w:color w:val="auto"/>
          <w:sz w:val="16"/>
          <w:szCs w:val="16"/>
        </w:rPr>
      </w:pPr>
      <w:r w:rsidRPr="00E66E39">
        <w:rPr>
          <w:rStyle w:val="FootnoteReference"/>
          <w:rFonts w:ascii="Cambria" w:hAnsi="Cambria"/>
          <w:color w:val="auto"/>
          <w:sz w:val="16"/>
          <w:szCs w:val="16"/>
        </w:rPr>
        <w:footnoteRef/>
      </w:r>
      <w:r w:rsidRPr="00E66E39">
        <w:rPr>
          <w:rFonts w:ascii="Cambria" w:hAnsi="Cambria"/>
          <w:color w:val="auto"/>
          <w:sz w:val="16"/>
          <w:szCs w:val="16"/>
        </w:rPr>
        <w:t xml:space="preserve"> Inter-American Court of Human Rights. Case of Ordenes, Guerra et al. v. Chile. Merits, Reparations and Costs. Judgment of November 29, 2018. Series C No. 372, para. 76.</w:t>
      </w:r>
    </w:p>
  </w:footnote>
  <w:footnote w:id="9">
    <w:p w14:paraId="1AD445D9" w14:textId="77777777" w:rsidR="00C145BE" w:rsidRPr="005564BF" w:rsidRDefault="00C145BE" w:rsidP="007D0B86">
      <w:pPr>
        <w:pStyle w:val="FootnoteText"/>
        <w:ind w:firstLine="720"/>
        <w:jc w:val="both"/>
        <w:rPr>
          <w:rFonts w:ascii="Cambria" w:hAnsi="Cambria"/>
          <w:color w:val="auto"/>
        </w:rPr>
      </w:pPr>
      <w:r w:rsidRPr="00E66E39">
        <w:rPr>
          <w:rStyle w:val="FootnoteReference"/>
          <w:rFonts w:ascii="Cambria" w:hAnsi="Cambria"/>
          <w:color w:val="auto"/>
          <w:sz w:val="16"/>
          <w:szCs w:val="16"/>
        </w:rPr>
        <w:footnoteRef/>
      </w:r>
      <w:r w:rsidRPr="00E66E39">
        <w:rPr>
          <w:rFonts w:ascii="Cambria" w:hAnsi="Cambria"/>
          <w:color w:val="auto"/>
          <w:sz w:val="16"/>
          <w:szCs w:val="16"/>
        </w:rPr>
        <w:t xml:space="preserve"> </w:t>
      </w:r>
      <w:r w:rsidRPr="00E66E39">
        <w:rPr>
          <w:rFonts w:ascii="Cambria" w:hAnsi="Cambria"/>
          <w:i/>
          <w:iCs/>
          <w:color w:val="auto"/>
          <w:sz w:val="16"/>
          <w:szCs w:val="16"/>
        </w:rPr>
        <w:t>See</w:t>
      </w:r>
      <w:r w:rsidRPr="00E66E39">
        <w:rPr>
          <w:rFonts w:ascii="Cambria" w:hAnsi="Cambria"/>
          <w:color w:val="auto"/>
          <w:sz w:val="16"/>
          <w:szCs w:val="16"/>
        </w:rPr>
        <w:t xml:space="preserve"> Inter-American Court. Case of Ordenes, Guerra et al. v. Chile. Merits, Reparations and Costs. Judgment of November 29, 2018. Series C No. 372; and, Case of Almeida v. Argentina. Merits, Reparations and Costs. Judgment of November 17, 2020. Series C No. 416.</w:t>
      </w:r>
    </w:p>
  </w:footnote>
  <w:footnote w:id="10">
    <w:p w14:paraId="5198EDD4" w14:textId="77777777" w:rsidR="00E66E39" w:rsidRPr="005564BF" w:rsidRDefault="00E66E39" w:rsidP="007D0B86">
      <w:pPr>
        <w:pStyle w:val="FootnoteText"/>
        <w:ind w:firstLine="720"/>
        <w:jc w:val="both"/>
        <w:rPr>
          <w:rFonts w:ascii="Cambria" w:hAnsi="Cambria"/>
          <w:color w:val="auto"/>
          <w:sz w:val="16"/>
          <w:szCs w:val="16"/>
        </w:rPr>
      </w:pPr>
      <w:r w:rsidRPr="00E66E39">
        <w:rPr>
          <w:rStyle w:val="FootnoteReference"/>
          <w:rFonts w:ascii="Cambria" w:hAnsi="Cambria"/>
          <w:color w:val="auto"/>
          <w:sz w:val="16"/>
          <w:szCs w:val="16"/>
        </w:rPr>
        <w:footnoteRef/>
      </w:r>
      <w:r w:rsidRPr="00E66E39">
        <w:rPr>
          <w:rFonts w:ascii="Cambria" w:hAnsi="Cambria"/>
          <w:color w:val="auto"/>
          <w:sz w:val="16"/>
          <w:szCs w:val="16"/>
        </w:rPr>
        <w:t xml:space="preserve"> IACHR. Report No. 62/01, Case 11.564, Riofrío Massacre, Colombia, April 6, 2001, para. 44; and IACHR, Report No. 52/16, Case 12.521. Bottom. María Laura Ordenes Guerra and others. Chile. November 30, 2016, para. 105.</w:t>
      </w:r>
    </w:p>
  </w:footnote>
  <w:footnote w:id="11">
    <w:p w14:paraId="72E8CA82" w14:textId="77777777" w:rsidR="00E66E39" w:rsidRPr="005564BF" w:rsidRDefault="00E66E39" w:rsidP="007D0B86">
      <w:pPr>
        <w:pStyle w:val="FootnoteText"/>
        <w:ind w:firstLine="720"/>
        <w:jc w:val="both"/>
        <w:rPr>
          <w:rFonts w:ascii="Cambria" w:hAnsi="Cambria"/>
          <w:color w:val="auto"/>
          <w:sz w:val="16"/>
          <w:szCs w:val="16"/>
        </w:rPr>
      </w:pPr>
      <w:r w:rsidRPr="00E66E39">
        <w:rPr>
          <w:rStyle w:val="FootnoteReference"/>
          <w:rFonts w:ascii="Cambria" w:hAnsi="Cambria"/>
          <w:color w:val="auto"/>
          <w:sz w:val="16"/>
          <w:szCs w:val="16"/>
        </w:rPr>
        <w:footnoteRef/>
      </w:r>
      <w:r w:rsidRPr="00E66E39">
        <w:rPr>
          <w:rFonts w:ascii="Cambria" w:hAnsi="Cambria"/>
          <w:color w:val="auto"/>
          <w:sz w:val="16"/>
          <w:szCs w:val="16"/>
        </w:rPr>
        <w:t xml:space="preserve"> </w:t>
      </w:r>
      <w:r w:rsidRPr="00E66E39">
        <w:rPr>
          <w:rFonts w:ascii="Cambria" w:hAnsi="Cambria"/>
          <w:i/>
          <w:iCs/>
          <w:color w:val="auto"/>
          <w:sz w:val="16"/>
          <w:szCs w:val="16"/>
        </w:rPr>
        <w:t>See</w:t>
      </w:r>
      <w:r w:rsidRPr="00E66E39">
        <w:rPr>
          <w:rFonts w:ascii="Cambria" w:hAnsi="Cambria"/>
          <w:color w:val="auto"/>
          <w:sz w:val="16"/>
          <w:szCs w:val="16"/>
        </w:rPr>
        <w:t xml:space="preserve"> IACHR, Report No. 173/22. Petition 916-10. Inadmissibility. Hernando Martínez Novoa and others. Colombia. 22 July 2022, paras. 15 and 16; and IACHR, Report No. 12/22. Petition 1035-11. Admissibility. </w:t>
      </w:r>
      <w:r w:rsidRPr="005564BF">
        <w:rPr>
          <w:rFonts w:ascii="Cambria" w:hAnsi="Cambria"/>
          <w:color w:val="auto"/>
          <w:sz w:val="16"/>
          <w:szCs w:val="16"/>
          <w:lang w:val="es-CO"/>
        </w:rPr>
        <w:t xml:space="preserve">Blanca Ruth Sánchez de Franco y Familia. Colombia. February 9, 2022, para. </w:t>
      </w:r>
      <w:r w:rsidRPr="00E66E39">
        <w:rPr>
          <w:rFonts w:ascii="Cambria" w:hAnsi="Cambria"/>
          <w:color w:val="auto"/>
          <w:sz w:val="16"/>
          <w:szCs w:val="16"/>
        </w:rPr>
        <w:t>12.</w:t>
      </w:r>
    </w:p>
  </w:footnote>
  <w:footnote w:id="12">
    <w:p w14:paraId="36E15DBF" w14:textId="77777777" w:rsidR="003E7098" w:rsidRPr="005564BF" w:rsidRDefault="003E7098" w:rsidP="007D0B86">
      <w:pPr>
        <w:pStyle w:val="FootnoteText"/>
        <w:ind w:firstLine="720"/>
        <w:jc w:val="both"/>
        <w:rPr>
          <w:rFonts w:ascii="Cambria" w:hAnsi="Cambria"/>
          <w:sz w:val="16"/>
          <w:szCs w:val="16"/>
        </w:rPr>
      </w:pPr>
      <w:r w:rsidRPr="00983D6C">
        <w:rPr>
          <w:rStyle w:val="FootnoteReference"/>
          <w:rFonts w:ascii="Cambria" w:hAnsi="Cambria"/>
          <w:sz w:val="16"/>
          <w:szCs w:val="16"/>
        </w:rPr>
        <w:footnoteRef/>
      </w:r>
      <w:r w:rsidRPr="00983D6C">
        <w:rPr>
          <w:rFonts w:ascii="Cambria" w:hAnsi="Cambria"/>
          <w:sz w:val="16"/>
          <w:szCs w:val="16"/>
        </w:rPr>
        <w:t xml:space="preserve"> I/A Court H.R., Case of Cabrera García and Montiel Flores v. Mexico, Preliminary Objection, Merits, Reparations, and Costs, Judgment of November 26, 2010, Series C No. 220, para. 18.</w:t>
      </w:r>
    </w:p>
  </w:footnote>
  <w:footnote w:id="13">
    <w:p w14:paraId="7ED638DB" w14:textId="77777777" w:rsidR="003E7098" w:rsidRPr="005564BF" w:rsidRDefault="003E7098" w:rsidP="007D0B86">
      <w:pPr>
        <w:pStyle w:val="FootnoteText"/>
        <w:ind w:firstLine="720"/>
        <w:jc w:val="both"/>
        <w:rPr>
          <w:rFonts w:ascii="Cambria" w:hAnsi="Cambria"/>
          <w:sz w:val="16"/>
          <w:szCs w:val="16"/>
        </w:rPr>
      </w:pPr>
      <w:r w:rsidRPr="00983D6C">
        <w:rPr>
          <w:rStyle w:val="FootnoteReference"/>
          <w:rFonts w:ascii="Cambria" w:hAnsi="Cambria"/>
          <w:sz w:val="16"/>
          <w:szCs w:val="16"/>
        </w:rPr>
        <w:footnoteRef/>
      </w:r>
      <w:r w:rsidRPr="00983D6C">
        <w:rPr>
          <w:rFonts w:ascii="Cambria" w:hAnsi="Cambria"/>
          <w:sz w:val="16"/>
          <w:szCs w:val="16"/>
        </w:rPr>
        <w:t xml:space="preserve"> I/A Court H.R., Case of Cabrera García and Montiel Flores v. Mexico, Preliminary Objection, Merits, Reparations, and Costs, Judgment of November 26, 2010, Series C No. 220, para. 19.</w:t>
      </w:r>
    </w:p>
  </w:footnote>
  <w:footnote w:id="14">
    <w:p w14:paraId="7B502CE8" w14:textId="77777777" w:rsidR="003E7098" w:rsidRPr="00A11B3B" w:rsidRDefault="003E7098" w:rsidP="007D0B86">
      <w:pPr>
        <w:pStyle w:val="FootnoteText"/>
        <w:ind w:firstLine="720"/>
        <w:jc w:val="both"/>
        <w:rPr>
          <w:rFonts w:ascii="Cambria" w:hAnsi="Cambria"/>
          <w:lang w:val="es-ES_tradnl"/>
        </w:rPr>
      </w:pPr>
      <w:r w:rsidRPr="00983D6C">
        <w:rPr>
          <w:rStyle w:val="FootnoteReference"/>
          <w:rFonts w:ascii="Cambria" w:hAnsi="Cambria"/>
          <w:sz w:val="16"/>
          <w:szCs w:val="16"/>
        </w:rPr>
        <w:footnoteRef/>
      </w:r>
      <w:r w:rsidRPr="00983D6C">
        <w:rPr>
          <w:rFonts w:ascii="Cambria" w:hAnsi="Cambria"/>
          <w:sz w:val="16"/>
          <w:szCs w:val="16"/>
        </w:rPr>
        <w:t xml:space="preserve"> Inter-American Court of Human Rights. Case of Palma Mendoza et al. v. Ecuador. Preliminary Objection and Merits. Judgment of September 3, 2012. Series C No. 247, paragraph 18; Inter-American Court of Human Rights. Case of Rosadio Villavicencio v. Peru. Preliminary Objections, Merits, Reparations and Costs. Judgment of October 14, 2019. Series C No. 388., paragraph 24; Inter-American Court of Human Rights. Case of Cabrera García and Montiel Flores v. Mexico. Preliminary Objection, Merits, Reparations and Costs. Judgment of November 26, 2010. Series C No. 220, paragraph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letter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A6171F"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29807C44"/>
    <w:lvl w:ilvl="0" w:tplc="99D62BE0">
      <w:start w:val="1"/>
      <w:numFmt w:val="decimal"/>
      <w:lvlText w:val="%1."/>
      <w:lvlJc w:val="left"/>
      <w:pPr>
        <w:tabs>
          <w:tab w:val="num" w:pos="720"/>
        </w:tabs>
        <w:ind w:left="0" w:firstLine="720"/>
      </w:pPr>
      <w:rPr>
        <w:rFonts w:asciiTheme="majorHAnsi" w:hAnsiTheme="majorHAnsi" w:hint="default"/>
        <w:b w:val="0"/>
        <w:bCs/>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7D15EC1"/>
    <w:multiLevelType w:val="hybridMultilevel"/>
    <w:tmpl w:val="9E92B0D8"/>
    <w:lvl w:ilvl="0" w:tplc="4F6091C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7573314"/>
    <w:multiLevelType w:val="hybridMultilevel"/>
    <w:tmpl w:val="8F6A3E56"/>
    <w:lvl w:ilvl="0" w:tplc="4F6091C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80DED"/>
    <w:multiLevelType w:val="hybridMultilevel"/>
    <w:tmpl w:val="DF041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37368080"/>
    <w:lvl w:ilvl="0" w:tplc="36CA7246">
      <w:start w:val="1"/>
      <w:numFmt w:val="decimal"/>
      <w:pStyle w:val="parrafos"/>
      <w:lvlText w:val="%1."/>
      <w:lvlJc w:val="left"/>
      <w:pPr>
        <w:ind w:left="360" w:hanging="360"/>
      </w:pPr>
      <w:rPr>
        <w:rFonts w:ascii="Cambria" w:hAnsi="Cambria" w:hint="default"/>
        <w:b w:val="0"/>
        <w:color w:val="auto"/>
        <w:sz w:val="20"/>
        <w:szCs w:val="20"/>
        <w:lang w:val="es-MX"/>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ED81597"/>
    <w:multiLevelType w:val="hybridMultilevel"/>
    <w:tmpl w:val="BE3EF096"/>
    <w:lvl w:ilvl="0" w:tplc="3ACE3CBA">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4"/>
  </w:num>
  <w:num w:numId="2" w16cid:durableId="2119787510">
    <w:abstractNumId w:val="6"/>
  </w:num>
  <w:num w:numId="3" w16cid:durableId="1836843260">
    <w:abstractNumId w:val="58"/>
  </w:num>
  <w:num w:numId="4" w16cid:durableId="2018339747">
    <w:abstractNumId w:val="22"/>
  </w:num>
  <w:num w:numId="5" w16cid:durableId="368341374">
    <w:abstractNumId w:val="51"/>
  </w:num>
  <w:num w:numId="6" w16cid:durableId="1074009954">
    <w:abstractNumId w:val="29"/>
  </w:num>
  <w:num w:numId="7" w16cid:durableId="1545016965">
    <w:abstractNumId w:val="8"/>
  </w:num>
  <w:num w:numId="8" w16cid:durableId="1165165820">
    <w:abstractNumId w:val="18"/>
  </w:num>
  <w:num w:numId="9" w16cid:durableId="751703382">
    <w:abstractNumId w:val="44"/>
  </w:num>
  <w:num w:numId="10" w16cid:durableId="1010065578">
    <w:abstractNumId w:val="1"/>
  </w:num>
  <w:num w:numId="11" w16cid:durableId="599265313">
    <w:abstractNumId w:val="39"/>
  </w:num>
  <w:num w:numId="12" w16cid:durableId="1094203649">
    <w:abstractNumId w:val="40"/>
  </w:num>
  <w:num w:numId="13" w16cid:durableId="393090155">
    <w:abstractNumId w:val="47"/>
  </w:num>
  <w:num w:numId="14" w16cid:durableId="1198931784">
    <w:abstractNumId w:val="2"/>
  </w:num>
  <w:num w:numId="15" w16cid:durableId="2056192837">
    <w:abstractNumId w:val="3"/>
  </w:num>
  <w:num w:numId="16" w16cid:durableId="1680153077">
    <w:abstractNumId w:val="9"/>
  </w:num>
  <w:num w:numId="17" w16cid:durableId="1790273299">
    <w:abstractNumId w:val="10"/>
  </w:num>
  <w:num w:numId="18" w16cid:durableId="2128112662">
    <w:abstractNumId w:val="11"/>
  </w:num>
  <w:num w:numId="19" w16cid:durableId="7217114">
    <w:abstractNumId w:val="12"/>
  </w:num>
  <w:num w:numId="20" w16cid:durableId="1858302314">
    <w:abstractNumId w:val="13"/>
  </w:num>
  <w:num w:numId="21" w16cid:durableId="1702172520">
    <w:abstractNumId w:val="14"/>
  </w:num>
  <w:num w:numId="22" w16cid:durableId="1700861223">
    <w:abstractNumId w:val="15"/>
  </w:num>
  <w:num w:numId="23" w16cid:durableId="1025131478">
    <w:abstractNumId w:val="16"/>
  </w:num>
  <w:num w:numId="24" w16cid:durableId="477890311">
    <w:abstractNumId w:val="17"/>
  </w:num>
  <w:num w:numId="25" w16cid:durableId="1967855925">
    <w:abstractNumId w:val="19"/>
  </w:num>
  <w:num w:numId="26" w16cid:durableId="998537020">
    <w:abstractNumId w:val="20"/>
  </w:num>
  <w:num w:numId="27" w16cid:durableId="642350406">
    <w:abstractNumId w:val="23"/>
  </w:num>
  <w:num w:numId="28" w16cid:durableId="1616718871">
    <w:abstractNumId w:val="24"/>
  </w:num>
  <w:num w:numId="29" w16cid:durableId="1530486082">
    <w:abstractNumId w:val="25"/>
  </w:num>
  <w:num w:numId="30" w16cid:durableId="802582976">
    <w:abstractNumId w:val="27"/>
  </w:num>
  <w:num w:numId="31" w16cid:durableId="287396833">
    <w:abstractNumId w:val="30"/>
  </w:num>
  <w:num w:numId="32" w16cid:durableId="535119711">
    <w:abstractNumId w:val="31"/>
  </w:num>
  <w:num w:numId="33" w16cid:durableId="2078547275">
    <w:abstractNumId w:val="32"/>
  </w:num>
  <w:num w:numId="34" w16cid:durableId="1703632659">
    <w:abstractNumId w:val="33"/>
  </w:num>
  <w:num w:numId="35" w16cid:durableId="1264075887">
    <w:abstractNumId w:val="34"/>
  </w:num>
  <w:num w:numId="36" w16cid:durableId="1752315512">
    <w:abstractNumId w:val="35"/>
  </w:num>
  <w:num w:numId="37" w16cid:durableId="1536426887">
    <w:abstractNumId w:val="36"/>
  </w:num>
  <w:num w:numId="38" w16cid:durableId="949702590">
    <w:abstractNumId w:val="37"/>
  </w:num>
  <w:num w:numId="39" w16cid:durableId="115605940">
    <w:abstractNumId w:val="41"/>
  </w:num>
  <w:num w:numId="40" w16cid:durableId="2008750670">
    <w:abstractNumId w:val="42"/>
  </w:num>
  <w:num w:numId="41" w16cid:durableId="579801488">
    <w:abstractNumId w:val="50"/>
  </w:num>
  <w:num w:numId="42" w16cid:durableId="910309630">
    <w:abstractNumId w:val="52"/>
  </w:num>
  <w:num w:numId="43" w16cid:durableId="221603102">
    <w:abstractNumId w:val="53"/>
  </w:num>
  <w:num w:numId="44" w16cid:durableId="779104680">
    <w:abstractNumId w:val="56"/>
  </w:num>
  <w:num w:numId="45" w16cid:durableId="1713115894">
    <w:abstractNumId w:val="57"/>
  </w:num>
  <w:num w:numId="46" w16cid:durableId="1387951419">
    <w:abstractNumId w:val="59"/>
  </w:num>
  <w:num w:numId="47" w16cid:durableId="648510715">
    <w:abstractNumId w:val="60"/>
  </w:num>
  <w:num w:numId="48" w16cid:durableId="1806315575">
    <w:abstractNumId w:val="61"/>
  </w:num>
  <w:num w:numId="49" w16cid:durableId="1682586011">
    <w:abstractNumId w:val="62"/>
  </w:num>
  <w:num w:numId="50" w16cid:durableId="2025083079">
    <w:abstractNumId w:val="63"/>
  </w:num>
  <w:num w:numId="51" w16cid:durableId="530342504">
    <w:abstractNumId w:val="21"/>
  </w:num>
  <w:num w:numId="52" w16cid:durableId="955454438">
    <w:abstractNumId w:val="43"/>
  </w:num>
  <w:num w:numId="53" w16cid:durableId="586957926">
    <w:abstractNumId w:val="55"/>
  </w:num>
  <w:num w:numId="54" w16cid:durableId="1498381482">
    <w:abstractNumId w:val="48"/>
  </w:num>
  <w:num w:numId="55" w16cid:durableId="1930308158">
    <w:abstractNumId w:val="46"/>
  </w:num>
  <w:num w:numId="56" w16cid:durableId="71783945">
    <w:abstractNumId w:val="28"/>
  </w:num>
  <w:num w:numId="57" w16cid:durableId="327246300">
    <w:abstractNumId w:val="26"/>
  </w:num>
  <w:num w:numId="58" w16cid:durableId="823088829">
    <w:abstractNumId w:val="38"/>
  </w:num>
  <w:num w:numId="59" w16cid:durableId="219633537">
    <w:abstractNumId w:val="5"/>
  </w:num>
  <w:num w:numId="60" w16cid:durableId="364453791">
    <w:abstractNumId w:val="45"/>
  </w:num>
  <w:num w:numId="61" w16cid:durableId="319626255">
    <w:abstractNumId w:val="54"/>
  </w:num>
  <w:num w:numId="62" w16cid:durableId="362898492">
    <w:abstractNumId w:val="7"/>
  </w:num>
  <w:num w:numId="63" w16cid:durableId="1357580670">
    <w:abstractNumId w:val="0"/>
  </w:num>
  <w:num w:numId="64" w16cid:durableId="210963960">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74"/>
    <w:rsid w:val="00000CDA"/>
    <w:rsid w:val="000024F1"/>
    <w:rsid w:val="000069B6"/>
    <w:rsid w:val="00006E1F"/>
    <w:rsid w:val="000070D7"/>
    <w:rsid w:val="00007E49"/>
    <w:rsid w:val="00010C7E"/>
    <w:rsid w:val="0001788C"/>
    <w:rsid w:val="000337EF"/>
    <w:rsid w:val="000351FE"/>
    <w:rsid w:val="000409BB"/>
    <w:rsid w:val="00040C3A"/>
    <w:rsid w:val="00040DCB"/>
    <w:rsid w:val="000414A6"/>
    <w:rsid w:val="000419AD"/>
    <w:rsid w:val="000433C9"/>
    <w:rsid w:val="00043565"/>
    <w:rsid w:val="000564ED"/>
    <w:rsid w:val="0006505E"/>
    <w:rsid w:val="00067EED"/>
    <w:rsid w:val="00071174"/>
    <w:rsid w:val="000716C5"/>
    <w:rsid w:val="00075E23"/>
    <w:rsid w:val="0008158C"/>
    <w:rsid w:val="0009344A"/>
    <w:rsid w:val="000966A6"/>
    <w:rsid w:val="000A392E"/>
    <w:rsid w:val="000A575F"/>
    <w:rsid w:val="000B4337"/>
    <w:rsid w:val="000C6CFD"/>
    <w:rsid w:val="000D05CB"/>
    <w:rsid w:val="000D10DB"/>
    <w:rsid w:val="000D2DAA"/>
    <w:rsid w:val="000E11AA"/>
    <w:rsid w:val="000E36C9"/>
    <w:rsid w:val="000E58F3"/>
    <w:rsid w:val="000E5EB5"/>
    <w:rsid w:val="000F35ED"/>
    <w:rsid w:val="001004FE"/>
    <w:rsid w:val="00107131"/>
    <w:rsid w:val="0010736F"/>
    <w:rsid w:val="00112565"/>
    <w:rsid w:val="00112E95"/>
    <w:rsid w:val="00113F73"/>
    <w:rsid w:val="00121CC2"/>
    <w:rsid w:val="00131425"/>
    <w:rsid w:val="00131BAF"/>
    <w:rsid w:val="00133EE5"/>
    <w:rsid w:val="0013703C"/>
    <w:rsid w:val="00151892"/>
    <w:rsid w:val="00160590"/>
    <w:rsid w:val="00167A34"/>
    <w:rsid w:val="00183B0C"/>
    <w:rsid w:val="001900EE"/>
    <w:rsid w:val="001919F6"/>
    <w:rsid w:val="001A520D"/>
    <w:rsid w:val="001A7870"/>
    <w:rsid w:val="001B185E"/>
    <w:rsid w:val="001B1A4D"/>
    <w:rsid w:val="001B3A00"/>
    <w:rsid w:val="001B478B"/>
    <w:rsid w:val="001C1B41"/>
    <w:rsid w:val="001C2D31"/>
    <w:rsid w:val="001D65EF"/>
    <w:rsid w:val="001D7F96"/>
    <w:rsid w:val="001E2D79"/>
    <w:rsid w:val="001E322F"/>
    <w:rsid w:val="001E49E7"/>
    <w:rsid w:val="001F0C77"/>
    <w:rsid w:val="001F0D2F"/>
    <w:rsid w:val="001F7201"/>
    <w:rsid w:val="001F7470"/>
    <w:rsid w:val="00203711"/>
    <w:rsid w:val="00204879"/>
    <w:rsid w:val="00211475"/>
    <w:rsid w:val="00223A29"/>
    <w:rsid w:val="002250A3"/>
    <w:rsid w:val="0023303A"/>
    <w:rsid w:val="00235217"/>
    <w:rsid w:val="00237C1B"/>
    <w:rsid w:val="00242200"/>
    <w:rsid w:val="00246D1F"/>
    <w:rsid w:val="00247403"/>
    <w:rsid w:val="00247542"/>
    <w:rsid w:val="002503E8"/>
    <w:rsid w:val="0025606C"/>
    <w:rsid w:val="00263095"/>
    <w:rsid w:val="00265E7B"/>
    <w:rsid w:val="00266B61"/>
    <w:rsid w:val="0026712A"/>
    <w:rsid w:val="002704DB"/>
    <w:rsid w:val="0027275A"/>
    <w:rsid w:val="00282A57"/>
    <w:rsid w:val="0029381E"/>
    <w:rsid w:val="00297675"/>
    <w:rsid w:val="002A04B2"/>
    <w:rsid w:val="002A0AAE"/>
    <w:rsid w:val="002A1724"/>
    <w:rsid w:val="002A4398"/>
    <w:rsid w:val="002A5820"/>
    <w:rsid w:val="002A7925"/>
    <w:rsid w:val="002C701F"/>
    <w:rsid w:val="002D2B26"/>
    <w:rsid w:val="002D7EA2"/>
    <w:rsid w:val="002E187C"/>
    <w:rsid w:val="002E1FBF"/>
    <w:rsid w:val="00302733"/>
    <w:rsid w:val="00305835"/>
    <w:rsid w:val="00306F33"/>
    <w:rsid w:val="0031020D"/>
    <w:rsid w:val="003132FA"/>
    <w:rsid w:val="00314078"/>
    <w:rsid w:val="0031535D"/>
    <w:rsid w:val="003239B8"/>
    <w:rsid w:val="00323DD5"/>
    <w:rsid w:val="0032615E"/>
    <w:rsid w:val="0033169F"/>
    <w:rsid w:val="00332191"/>
    <w:rsid w:val="00332FD6"/>
    <w:rsid w:val="00334C53"/>
    <w:rsid w:val="00336113"/>
    <w:rsid w:val="00340D71"/>
    <w:rsid w:val="00343AA8"/>
    <w:rsid w:val="00344977"/>
    <w:rsid w:val="00346C95"/>
    <w:rsid w:val="00356185"/>
    <w:rsid w:val="00360380"/>
    <w:rsid w:val="0036417F"/>
    <w:rsid w:val="003654F2"/>
    <w:rsid w:val="0037519E"/>
    <w:rsid w:val="00386014"/>
    <w:rsid w:val="00386A0E"/>
    <w:rsid w:val="00386CF0"/>
    <w:rsid w:val="0039148C"/>
    <w:rsid w:val="00392F12"/>
    <w:rsid w:val="00394073"/>
    <w:rsid w:val="003A1A9E"/>
    <w:rsid w:val="003A73EF"/>
    <w:rsid w:val="003B70FB"/>
    <w:rsid w:val="003C10E5"/>
    <w:rsid w:val="003C676B"/>
    <w:rsid w:val="003D23D1"/>
    <w:rsid w:val="003D3566"/>
    <w:rsid w:val="003D3BC2"/>
    <w:rsid w:val="003E261F"/>
    <w:rsid w:val="003E4547"/>
    <w:rsid w:val="003E6CA1"/>
    <w:rsid w:val="003E7098"/>
    <w:rsid w:val="003E7E4B"/>
    <w:rsid w:val="003F27AE"/>
    <w:rsid w:val="003F5154"/>
    <w:rsid w:val="003F559C"/>
    <w:rsid w:val="00405F9C"/>
    <w:rsid w:val="004065A8"/>
    <w:rsid w:val="00406D71"/>
    <w:rsid w:val="004072DF"/>
    <w:rsid w:val="004078F7"/>
    <w:rsid w:val="004127CF"/>
    <w:rsid w:val="00414C6D"/>
    <w:rsid w:val="004165C2"/>
    <w:rsid w:val="00420DD9"/>
    <w:rsid w:val="0042145D"/>
    <w:rsid w:val="00423B85"/>
    <w:rsid w:val="004241A0"/>
    <w:rsid w:val="00433761"/>
    <w:rsid w:val="00437E70"/>
    <w:rsid w:val="00441ECB"/>
    <w:rsid w:val="004449FD"/>
    <w:rsid w:val="00445193"/>
    <w:rsid w:val="004456D0"/>
    <w:rsid w:val="00462C1B"/>
    <w:rsid w:val="00467B7E"/>
    <w:rsid w:val="00473BB4"/>
    <w:rsid w:val="004760DA"/>
    <w:rsid w:val="00476C71"/>
    <w:rsid w:val="00477592"/>
    <w:rsid w:val="00486F1C"/>
    <w:rsid w:val="00487DE6"/>
    <w:rsid w:val="0049419D"/>
    <w:rsid w:val="004A057B"/>
    <w:rsid w:val="004A43BB"/>
    <w:rsid w:val="004A526C"/>
    <w:rsid w:val="004A6A54"/>
    <w:rsid w:val="004B36DA"/>
    <w:rsid w:val="004B421C"/>
    <w:rsid w:val="004C20D2"/>
    <w:rsid w:val="004C2312"/>
    <w:rsid w:val="004C3853"/>
    <w:rsid w:val="004C4B62"/>
    <w:rsid w:val="004C54C9"/>
    <w:rsid w:val="004C69F1"/>
    <w:rsid w:val="004D04E8"/>
    <w:rsid w:val="004D4ABA"/>
    <w:rsid w:val="004D6025"/>
    <w:rsid w:val="004D69BD"/>
    <w:rsid w:val="004E1C36"/>
    <w:rsid w:val="004E2649"/>
    <w:rsid w:val="004F01F9"/>
    <w:rsid w:val="004F626F"/>
    <w:rsid w:val="00501399"/>
    <w:rsid w:val="005047ED"/>
    <w:rsid w:val="00504C0A"/>
    <w:rsid w:val="0050633D"/>
    <w:rsid w:val="00507BC4"/>
    <w:rsid w:val="00511C16"/>
    <w:rsid w:val="005128E4"/>
    <w:rsid w:val="00513160"/>
    <w:rsid w:val="005133DB"/>
    <w:rsid w:val="0051442E"/>
    <w:rsid w:val="00514504"/>
    <w:rsid w:val="00521E1F"/>
    <w:rsid w:val="00524F7D"/>
    <w:rsid w:val="00525560"/>
    <w:rsid w:val="00537E5D"/>
    <w:rsid w:val="00541F79"/>
    <w:rsid w:val="0054291A"/>
    <w:rsid w:val="00544C49"/>
    <w:rsid w:val="005516A1"/>
    <w:rsid w:val="00554805"/>
    <w:rsid w:val="005559EF"/>
    <w:rsid w:val="005564BF"/>
    <w:rsid w:val="00563557"/>
    <w:rsid w:val="005637FF"/>
    <w:rsid w:val="0057402A"/>
    <w:rsid w:val="0057534C"/>
    <w:rsid w:val="00576810"/>
    <w:rsid w:val="0057717B"/>
    <w:rsid w:val="005771D0"/>
    <w:rsid w:val="005851FF"/>
    <w:rsid w:val="0059191A"/>
    <w:rsid w:val="005921FF"/>
    <w:rsid w:val="005A24ED"/>
    <w:rsid w:val="005A6D0E"/>
    <w:rsid w:val="005B05E2"/>
    <w:rsid w:val="005B52B0"/>
    <w:rsid w:val="005B6806"/>
    <w:rsid w:val="005C0CD2"/>
    <w:rsid w:val="005C4225"/>
    <w:rsid w:val="005D4546"/>
    <w:rsid w:val="005F0DAD"/>
    <w:rsid w:val="005F0F33"/>
    <w:rsid w:val="005F7F91"/>
    <w:rsid w:val="00600DEB"/>
    <w:rsid w:val="006021C1"/>
    <w:rsid w:val="006033A3"/>
    <w:rsid w:val="00613919"/>
    <w:rsid w:val="0061481A"/>
    <w:rsid w:val="00627C9F"/>
    <w:rsid w:val="006311E9"/>
    <w:rsid w:val="00632354"/>
    <w:rsid w:val="00635421"/>
    <w:rsid w:val="00640D44"/>
    <w:rsid w:val="00642810"/>
    <w:rsid w:val="006461D4"/>
    <w:rsid w:val="00650C83"/>
    <w:rsid w:val="00652333"/>
    <w:rsid w:val="006763F4"/>
    <w:rsid w:val="0068009E"/>
    <w:rsid w:val="00682A17"/>
    <w:rsid w:val="006914AB"/>
    <w:rsid w:val="00692219"/>
    <w:rsid w:val="006944AB"/>
    <w:rsid w:val="006A0897"/>
    <w:rsid w:val="006A17D2"/>
    <w:rsid w:val="006A73E6"/>
    <w:rsid w:val="006B2A0C"/>
    <w:rsid w:val="006B2D5C"/>
    <w:rsid w:val="006B39F7"/>
    <w:rsid w:val="006C0ECF"/>
    <w:rsid w:val="006C4EB1"/>
    <w:rsid w:val="006D0225"/>
    <w:rsid w:val="006D0D54"/>
    <w:rsid w:val="006E0166"/>
    <w:rsid w:val="006E2FFB"/>
    <w:rsid w:val="006E3DB8"/>
    <w:rsid w:val="006E621A"/>
    <w:rsid w:val="006E7B34"/>
    <w:rsid w:val="0070697F"/>
    <w:rsid w:val="00707F6F"/>
    <w:rsid w:val="007103C4"/>
    <w:rsid w:val="00711EF9"/>
    <w:rsid w:val="007200BB"/>
    <w:rsid w:val="0072199C"/>
    <w:rsid w:val="00722C9F"/>
    <w:rsid w:val="00722DDF"/>
    <w:rsid w:val="007253B8"/>
    <w:rsid w:val="00727FCF"/>
    <w:rsid w:val="0073089A"/>
    <w:rsid w:val="00730DDA"/>
    <w:rsid w:val="007323CC"/>
    <w:rsid w:val="007324CA"/>
    <w:rsid w:val="0073741F"/>
    <w:rsid w:val="00737BAE"/>
    <w:rsid w:val="007442BB"/>
    <w:rsid w:val="0076133D"/>
    <w:rsid w:val="0076643F"/>
    <w:rsid w:val="007708B4"/>
    <w:rsid w:val="00772BE6"/>
    <w:rsid w:val="00774CCA"/>
    <w:rsid w:val="00776F1C"/>
    <w:rsid w:val="00777F63"/>
    <w:rsid w:val="0078201A"/>
    <w:rsid w:val="007919C6"/>
    <w:rsid w:val="007A5817"/>
    <w:rsid w:val="007A6C30"/>
    <w:rsid w:val="007A6FBD"/>
    <w:rsid w:val="007B05C4"/>
    <w:rsid w:val="007B60E9"/>
    <w:rsid w:val="007B6CC3"/>
    <w:rsid w:val="007B76D3"/>
    <w:rsid w:val="007C3334"/>
    <w:rsid w:val="007C613A"/>
    <w:rsid w:val="007C6A34"/>
    <w:rsid w:val="007D0B86"/>
    <w:rsid w:val="007D1A99"/>
    <w:rsid w:val="007D2B98"/>
    <w:rsid w:val="007D4110"/>
    <w:rsid w:val="007E21BC"/>
    <w:rsid w:val="007E6E6F"/>
    <w:rsid w:val="007E7C82"/>
    <w:rsid w:val="007F17A1"/>
    <w:rsid w:val="007F2AA1"/>
    <w:rsid w:val="007F588D"/>
    <w:rsid w:val="007F7265"/>
    <w:rsid w:val="008039E3"/>
    <w:rsid w:val="00803F1C"/>
    <w:rsid w:val="0080600E"/>
    <w:rsid w:val="00807BBA"/>
    <w:rsid w:val="008100C2"/>
    <w:rsid w:val="008114E2"/>
    <w:rsid w:val="0081316D"/>
    <w:rsid w:val="00814688"/>
    <w:rsid w:val="008153C4"/>
    <w:rsid w:val="00817612"/>
    <w:rsid w:val="008178AC"/>
    <w:rsid w:val="00824450"/>
    <w:rsid w:val="008338A4"/>
    <w:rsid w:val="00834D49"/>
    <w:rsid w:val="00837C45"/>
    <w:rsid w:val="00844730"/>
    <w:rsid w:val="00844F38"/>
    <w:rsid w:val="008457C2"/>
    <w:rsid w:val="00846402"/>
    <w:rsid w:val="0085280C"/>
    <w:rsid w:val="00857A82"/>
    <w:rsid w:val="00864D5F"/>
    <w:rsid w:val="00873836"/>
    <w:rsid w:val="00885737"/>
    <w:rsid w:val="00885972"/>
    <w:rsid w:val="00885E4D"/>
    <w:rsid w:val="00886446"/>
    <w:rsid w:val="00890650"/>
    <w:rsid w:val="00890DA0"/>
    <w:rsid w:val="008944DC"/>
    <w:rsid w:val="00897E12"/>
    <w:rsid w:val="008A55CE"/>
    <w:rsid w:val="008A6BD0"/>
    <w:rsid w:val="008A7E0F"/>
    <w:rsid w:val="008B1151"/>
    <w:rsid w:val="008B12F5"/>
    <w:rsid w:val="008B3C07"/>
    <w:rsid w:val="008C5E2D"/>
    <w:rsid w:val="008D768D"/>
    <w:rsid w:val="008E3759"/>
    <w:rsid w:val="008E3BFE"/>
    <w:rsid w:val="008F1912"/>
    <w:rsid w:val="0090270B"/>
    <w:rsid w:val="00903378"/>
    <w:rsid w:val="009041DC"/>
    <w:rsid w:val="00917B5A"/>
    <w:rsid w:val="00920A58"/>
    <w:rsid w:val="00920A8C"/>
    <w:rsid w:val="00933A7B"/>
    <w:rsid w:val="00934A2C"/>
    <w:rsid w:val="00934A58"/>
    <w:rsid w:val="00935605"/>
    <w:rsid w:val="009367EE"/>
    <w:rsid w:val="00942C3B"/>
    <w:rsid w:val="00944399"/>
    <w:rsid w:val="00945AC5"/>
    <w:rsid w:val="009529FE"/>
    <w:rsid w:val="00954628"/>
    <w:rsid w:val="009549E5"/>
    <w:rsid w:val="009625EF"/>
    <w:rsid w:val="0096403E"/>
    <w:rsid w:val="009654AA"/>
    <w:rsid w:val="0096706E"/>
    <w:rsid w:val="009740D3"/>
    <w:rsid w:val="00974276"/>
    <w:rsid w:val="00974491"/>
    <w:rsid w:val="00975AE3"/>
    <w:rsid w:val="00975C4E"/>
    <w:rsid w:val="00981FBA"/>
    <w:rsid w:val="00983D6C"/>
    <w:rsid w:val="00986F46"/>
    <w:rsid w:val="00994536"/>
    <w:rsid w:val="00997BC5"/>
    <w:rsid w:val="009A16C9"/>
    <w:rsid w:val="009A4F41"/>
    <w:rsid w:val="009A4F80"/>
    <w:rsid w:val="009A561B"/>
    <w:rsid w:val="009A56CE"/>
    <w:rsid w:val="009A76BC"/>
    <w:rsid w:val="009B381B"/>
    <w:rsid w:val="009D1753"/>
    <w:rsid w:val="009D6032"/>
    <w:rsid w:val="009D7611"/>
    <w:rsid w:val="009E0B61"/>
    <w:rsid w:val="009E28B9"/>
    <w:rsid w:val="009E4EBF"/>
    <w:rsid w:val="009E5021"/>
    <w:rsid w:val="009E53DE"/>
    <w:rsid w:val="009E54C0"/>
    <w:rsid w:val="009F1F73"/>
    <w:rsid w:val="009F6252"/>
    <w:rsid w:val="00A04EC0"/>
    <w:rsid w:val="00A11212"/>
    <w:rsid w:val="00A11E44"/>
    <w:rsid w:val="00A15562"/>
    <w:rsid w:val="00A30100"/>
    <w:rsid w:val="00A328B3"/>
    <w:rsid w:val="00A50FCF"/>
    <w:rsid w:val="00A511C5"/>
    <w:rsid w:val="00A528D1"/>
    <w:rsid w:val="00A52A58"/>
    <w:rsid w:val="00A5341B"/>
    <w:rsid w:val="00A610CD"/>
    <w:rsid w:val="00A6171F"/>
    <w:rsid w:val="00A72AD4"/>
    <w:rsid w:val="00A736F3"/>
    <w:rsid w:val="00A73F71"/>
    <w:rsid w:val="00A758AA"/>
    <w:rsid w:val="00A81BC4"/>
    <w:rsid w:val="00A86931"/>
    <w:rsid w:val="00AA09A2"/>
    <w:rsid w:val="00AA48D9"/>
    <w:rsid w:val="00AA6D25"/>
    <w:rsid w:val="00AA7996"/>
    <w:rsid w:val="00AB32A8"/>
    <w:rsid w:val="00AC19CB"/>
    <w:rsid w:val="00AC6EEC"/>
    <w:rsid w:val="00AE0F80"/>
    <w:rsid w:val="00AE4A9A"/>
    <w:rsid w:val="00AE5488"/>
    <w:rsid w:val="00AE57DB"/>
    <w:rsid w:val="00AE6F91"/>
    <w:rsid w:val="00AF5571"/>
    <w:rsid w:val="00B04818"/>
    <w:rsid w:val="00B07341"/>
    <w:rsid w:val="00B10C4A"/>
    <w:rsid w:val="00B1448E"/>
    <w:rsid w:val="00B2163E"/>
    <w:rsid w:val="00B30539"/>
    <w:rsid w:val="00B314DB"/>
    <w:rsid w:val="00B361F2"/>
    <w:rsid w:val="00B3718B"/>
    <w:rsid w:val="00B3745F"/>
    <w:rsid w:val="00B4632A"/>
    <w:rsid w:val="00B479E1"/>
    <w:rsid w:val="00B530F1"/>
    <w:rsid w:val="00B53248"/>
    <w:rsid w:val="00B53F9D"/>
    <w:rsid w:val="00B60E30"/>
    <w:rsid w:val="00B76BAC"/>
    <w:rsid w:val="00B77643"/>
    <w:rsid w:val="00B82D4F"/>
    <w:rsid w:val="00B857BB"/>
    <w:rsid w:val="00B93D7F"/>
    <w:rsid w:val="00BA276C"/>
    <w:rsid w:val="00BA727C"/>
    <w:rsid w:val="00BB019D"/>
    <w:rsid w:val="00BB122E"/>
    <w:rsid w:val="00BB306F"/>
    <w:rsid w:val="00BC00B0"/>
    <w:rsid w:val="00BD0FF5"/>
    <w:rsid w:val="00BD4B89"/>
    <w:rsid w:val="00BD5922"/>
    <w:rsid w:val="00BE25F0"/>
    <w:rsid w:val="00BF02CB"/>
    <w:rsid w:val="00BF4EF8"/>
    <w:rsid w:val="00BF6FD8"/>
    <w:rsid w:val="00C01D09"/>
    <w:rsid w:val="00C03680"/>
    <w:rsid w:val="00C054DF"/>
    <w:rsid w:val="00C145BE"/>
    <w:rsid w:val="00C21762"/>
    <w:rsid w:val="00C21FEF"/>
    <w:rsid w:val="00C23BA4"/>
    <w:rsid w:val="00C24543"/>
    <w:rsid w:val="00C256A2"/>
    <w:rsid w:val="00C25ADB"/>
    <w:rsid w:val="00C3587A"/>
    <w:rsid w:val="00C44B2F"/>
    <w:rsid w:val="00C4674C"/>
    <w:rsid w:val="00C47EA9"/>
    <w:rsid w:val="00C51515"/>
    <w:rsid w:val="00C5660B"/>
    <w:rsid w:val="00C60977"/>
    <w:rsid w:val="00C66B72"/>
    <w:rsid w:val="00C742D3"/>
    <w:rsid w:val="00C811EC"/>
    <w:rsid w:val="00C85C1A"/>
    <w:rsid w:val="00C87AC4"/>
    <w:rsid w:val="00C9567A"/>
    <w:rsid w:val="00C96C05"/>
    <w:rsid w:val="00C9716B"/>
    <w:rsid w:val="00CA2E1F"/>
    <w:rsid w:val="00CA65CE"/>
    <w:rsid w:val="00CA7574"/>
    <w:rsid w:val="00CB212D"/>
    <w:rsid w:val="00CB2660"/>
    <w:rsid w:val="00CC3399"/>
    <w:rsid w:val="00CC5E90"/>
    <w:rsid w:val="00CD046C"/>
    <w:rsid w:val="00CD5D0D"/>
    <w:rsid w:val="00CD790E"/>
    <w:rsid w:val="00CE076C"/>
    <w:rsid w:val="00CE43B9"/>
    <w:rsid w:val="00CE5199"/>
    <w:rsid w:val="00CE66D5"/>
    <w:rsid w:val="00CE7193"/>
    <w:rsid w:val="00CF3AA3"/>
    <w:rsid w:val="00CF637A"/>
    <w:rsid w:val="00D059DE"/>
    <w:rsid w:val="00D05ABD"/>
    <w:rsid w:val="00D061ED"/>
    <w:rsid w:val="00D13880"/>
    <w:rsid w:val="00D13FCE"/>
    <w:rsid w:val="00D20354"/>
    <w:rsid w:val="00D306D1"/>
    <w:rsid w:val="00D30800"/>
    <w:rsid w:val="00D3135B"/>
    <w:rsid w:val="00D34786"/>
    <w:rsid w:val="00D374FF"/>
    <w:rsid w:val="00D37BFC"/>
    <w:rsid w:val="00D4293B"/>
    <w:rsid w:val="00D47A8E"/>
    <w:rsid w:val="00D52D14"/>
    <w:rsid w:val="00D712D3"/>
    <w:rsid w:val="00D71422"/>
    <w:rsid w:val="00D72DC6"/>
    <w:rsid w:val="00D7558D"/>
    <w:rsid w:val="00D81D92"/>
    <w:rsid w:val="00D82C2C"/>
    <w:rsid w:val="00D876F9"/>
    <w:rsid w:val="00D92448"/>
    <w:rsid w:val="00D9781B"/>
    <w:rsid w:val="00DA7B5F"/>
    <w:rsid w:val="00DB11FC"/>
    <w:rsid w:val="00DB1358"/>
    <w:rsid w:val="00DB1BE1"/>
    <w:rsid w:val="00DB2A0C"/>
    <w:rsid w:val="00DC11E7"/>
    <w:rsid w:val="00DC24E3"/>
    <w:rsid w:val="00DC7023"/>
    <w:rsid w:val="00DC769A"/>
    <w:rsid w:val="00DD1814"/>
    <w:rsid w:val="00DD373B"/>
    <w:rsid w:val="00DD3D86"/>
    <w:rsid w:val="00DD4AD2"/>
    <w:rsid w:val="00DE2862"/>
    <w:rsid w:val="00DE34A8"/>
    <w:rsid w:val="00DE4538"/>
    <w:rsid w:val="00DE757D"/>
    <w:rsid w:val="00DF0E5F"/>
    <w:rsid w:val="00DF15D7"/>
    <w:rsid w:val="00DF1EC4"/>
    <w:rsid w:val="00DF5E00"/>
    <w:rsid w:val="00E01721"/>
    <w:rsid w:val="00E0340B"/>
    <w:rsid w:val="00E03570"/>
    <w:rsid w:val="00E04A90"/>
    <w:rsid w:val="00E0551F"/>
    <w:rsid w:val="00E15A22"/>
    <w:rsid w:val="00E20B30"/>
    <w:rsid w:val="00E219C7"/>
    <w:rsid w:val="00E254F3"/>
    <w:rsid w:val="00E31749"/>
    <w:rsid w:val="00E32A32"/>
    <w:rsid w:val="00E4118C"/>
    <w:rsid w:val="00E43157"/>
    <w:rsid w:val="00E461CE"/>
    <w:rsid w:val="00E4729B"/>
    <w:rsid w:val="00E57162"/>
    <w:rsid w:val="00E573E4"/>
    <w:rsid w:val="00E57B36"/>
    <w:rsid w:val="00E60F04"/>
    <w:rsid w:val="00E62A34"/>
    <w:rsid w:val="00E64C3D"/>
    <w:rsid w:val="00E66E39"/>
    <w:rsid w:val="00E720CA"/>
    <w:rsid w:val="00E72831"/>
    <w:rsid w:val="00E84EB5"/>
    <w:rsid w:val="00E85662"/>
    <w:rsid w:val="00E86FE9"/>
    <w:rsid w:val="00E8789F"/>
    <w:rsid w:val="00E97B71"/>
    <w:rsid w:val="00EA3D34"/>
    <w:rsid w:val="00EA7621"/>
    <w:rsid w:val="00EB37B2"/>
    <w:rsid w:val="00EB454D"/>
    <w:rsid w:val="00EC57A4"/>
    <w:rsid w:val="00EC686D"/>
    <w:rsid w:val="00ED181F"/>
    <w:rsid w:val="00ED549D"/>
    <w:rsid w:val="00ED5E10"/>
    <w:rsid w:val="00ED76BE"/>
    <w:rsid w:val="00EE00E9"/>
    <w:rsid w:val="00EE0CC5"/>
    <w:rsid w:val="00EE160C"/>
    <w:rsid w:val="00EE1CDD"/>
    <w:rsid w:val="00EF1AAA"/>
    <w:rsid w:val="00EF2AE0"/>
    <w:rsid w:val="00EF619B"/>
    <w:rsid w:val="00F00B55"/>
    <w:rsid w:val="00F02AD1"/>
    <w:rsid w:val="00F253CC"/>
    <w:rsid w:val="00F26AC6"/>
    <w:rsid w:val="00F274E1"/>
    <w:rsid w:val="00F27BD6"/>
    <w:rsid w:val="00F3244A"/>
    <w:rsid w:val="00F37106"/>
    <w:rsid w:val="00F415D4"/>
    <w:rsid w:val="00F44E25"/>
    <w:rsid w:val="00F4639C"/>
    <w:rsid w:val="00F50FD1"/>
    <w:rsid w:val="00F519CF"/>
    <w:rsid w:val="00F568D1"/>
    <w:rsid w:val="00F56BA5"/>
    <w:rsid w:val="00F56ECB"/>
    <w:rsid w:val="00F56F8E"/>
    <w:rsid w:val="00F60E22"/>
    <w:rsid w:val="00F6161C"/>
    <w:rsid w:val="00F64A78"/>
    <w:rsid w:val="00F738F9"/>
    <w:rsid w:val="00F81395"/>
    <w:rsid w:val="00F81BB8"/>
    <w:rsid w:val="00F821C1"/>
    <w:rsid w:val="00F90C64"/>
    <w:rsid w:val="00F91378"/>
    <w:rsid w:val="00F917D1"/>
    <w:rsid w:val="00F91EF0"/>
    <w:rsid w:val="00F956C4"/>
    <w:rsid w:val="00F9653B"/>
    <w:rsid w:val="00FB62CF"/>
    <w:rsid w:val="00FC1D5D"/>
    <w:rsid w:val="00FD3588"/>
    <w:rsid w:val="00FD3699"/>
    <w:rsid w:val="00FD3C3B"/>
    <w:rsid w:val="00FE07DD"/>
    <w:rsid w:val="00FE6B45"/>
    <w:rsid w:val="00FF4A8E"/>
    <w:rsid w:val="00FF55F3"/>
    <w:rsid w:val="00FF5851"/>
    <w:rsid w:val="00FF5C6F"/>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3566"/>
    <w:rPr>
      <w:sz w:val="16"/>
      <w:szCs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C0CD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qFormat/>
    <w:rsid w:val="002A792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rafos">
    <w:name w:val="parrafos"/>
    <w:basedOn w:val="Normal"/>
    <w:link w:val="parrafosChar"/>
    <w:qFormat/>
    <w:rsid w:val="002A7925"/>
    <w:pPr>
      <w:numPr>
        <w:numId w:val="6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character" w:customStyle="1" w:styleId="parrafosChar">
    <w:name w:val="parrafos Char"/>
    <w:basedOn w:val="DefaultParagraphFont"/>
    <w:link w:val="parrafos"/>
    <w:rsid w:val="002A7925"/>
    <w:rPr>
      <w:rFonts w:asciiTheme="majorHAnsi" w:hAnsiTheme="majorHAnsi"/>
      <w:color w:val="000000" w:themeColor="text1"/>
      <w:lang w:val="es-VE" w:eastAsia="en-US"/>
    </w:rPr>
  </w:style>
  <w:style w:type="character" w:styleId="PlaceholderText">
    <w:name w:val="Placeholder Text"/>
    <w:basedOn w:val="DefaultParagraphFont"/>
    <w:uiPriority w:val="99"/>
    <w:semiHidden/>
    <w:rsid w:val="005564BF"/>
    <w:rPr>
      <w:color w:val="666666"/>
    </w:rPr>
  </w:style>
  <w:style w:type="character" w:customStyle="1" w:styleId="normaltextrun">
    <w:name w:val="normaltextrun"/>
    <w:basedOn w:val="DefaultParagraphFont"/>
    <w:rsid w:val="00DF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E36C9"/>
    <w:rsid w:val="00200821"/>
    <w:rsid w:val="00211475"/>
    <w:rsid w:val="0025245B"/>
    <w:rsid w:val="002A3923"/>
    <w:rsid w:val="00323DD5"/>
    <w:rsid w:val="00394049"/>
    <w:rsid w:val="003B0C71"/>
    <w:rsid w:val="003E2DD8"/>
    <w:rsid w:val="00444E0E"/>
    <w:rsid w:val="004B5BBB"/>
    <w:rsid w:val="004F2DF8"/>
    <w:rsid w:val="00517E2A"/>
    <w:rsid w:val="006D3128"/>
    <w:rsid w:val="006F24A1"/>
    <w:rsid w:val="00875B8A"/>
    <w:rsid w:val="008953BC"/>
    <w:rsid w:val="009A261B"/>
    <w:rsid w:val="009D5DB9"/>
    <w:rsid w:val="009E4EBF"/>
    <w:rsid w:val="00AA2E17"/>
    <w:rsid w:val="00AC15A4"/>
    <w:rsid w:val="00B0336C"/>
    <w:rsid w:val="00B10C4A"/>
    <w:rsid w:val="00D241E9"/>
    <w:rsid w:val="00D374FF"/>
    <w:rsid w:val="00D43730"/>
    <w:rsid w:val="00D7750D"/>
    <w:rsid w:val="00EB0E18"/>
    <w:rsid w:val="00F00D2F"/>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DB9"/>
    <w:rPr>
      <w:color w:val="666666"/>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2572</Words>
  <Characters>14666</Characters>
  <Application>Microsoft Office Word</Application>
  <DocSecurity>0</DocSecurity>
  <Lines>122</Lines>
  <Paragraphs>34</Paragraphs>
  <ScaleCrop>false</ScaleCrop>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