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1991E611" w:rsidR="00040C3A" w:rsidRPr="00D247B2" w:rsidRDefault="003F6D10"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0D33DA8B" wp14:editId="7727DFFC">
                <wp:simplePos x="0" y="0"/>
                <wp:positionH relativeFrom="column">
                  <wp:posOffset>-335280</wp:posOffset>
                </wp:positionH>
                <wp:positionV relativeFrom="paragraph">
                  <wp:posOffset>-331470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5DE514" id="Rectangle 1" o:spid="_x0000_s1026" style="position:absolute;margin-left:-26.4pt;margin-top:-26.1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" fillcolor="#67ae3c" stroked="f" strokeweight="2pt"/>
            </w:pict>
          </mc:Fallback>
        </mc:AlternateContent>
      </w:r>
      <w:r w:rsidR="00D306D1">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7A92621B" wp14:editId="7CB07BF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50720D28" w:rsidR="00CB2660" w:rsidRDefault="003F6D10" w:rsidP="00AE5488">
                            <w:r>
                              <w:rPr>
                                <w:noProof/>
                              </w:rPr>
                              <w:drawing>
                                <wp:inline distT="0" distB="0" distL="0" distR="0" wp14:anchorId="426F8C6D" wp14:editId="4C6B03B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50720D28" w:rsidR="00CB2660" w:rsidRDefault="003F6D10" w:rsidP="00AE5488">
                      <w:r>
                        <w:rPr>
                          <w:noProof/>
                        </w:rPr>
                        <w:drawing>
                          <wp:inline distT="0" distB="0" distL="0" distR="0" wp14:anchorId="426F8C6D" wp14:editId="4C6B03B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v:textbox>
              </v:shape>
            </w:pict>
          </mc:Fallback>
        </mc:AlternateContent>
      </w:r>
      <w:r w:rsidR="00D306D1">
        <w:rPr>
          <w:rFonts w:asciiTheme="majorHAnsi" w:hAnsiTheme="majorHAnsi"/>
          <w:b/>
          <w:bCs/>
          <w:sz w:val="22"/>
          <w:szCs w:val="22"/>
          <w:lang w:val="en"/>
        </w:rPr>
        <w:t xml:space="preserve"> </w:t>
      </w:r>
    </w:p>
    <w:p w14:paraId="751BC92D" w14:textId="77777777" w:rsidR="00040C3A" w:rsidRPr="00D247B2" w:rsidRDefault="00040C3A" w:rsidP="00040C3A">
      <w:pPr>
        <w:tabs>
          <w:tab w:val="center" w:pos="5400"/>
        </w:tabs>
        <w:suppressAutoHyphens/>
        <w:jc w:val="both"/>
        <w:rPr>
          <w:rFonts w:asciiTheme="majorHAnsi" w:hAnsiTheme="majorHAnsi"/>
          <w:sz w:val="22"/>
          <w:szCs w:val="22"/>
        </w:rPr>
      </w:pPr>
    </w:p>
    <w:p w14:paraId="4601B0E5" w14:textId="77777777" w:rsidR="00040C3A" w:rsidRPr="00D247B2" w:rsidRDefault="00040C3A" w:rsidP="00040C3A">
      <w:pPr>
        <w:tabs>
          <w:tab w:val="center" w:pos="5400"/>
        </w:tabs>
        <w:suppressAutoHyphens/>
        <w:jc w:val="both"/>
        <w:rPr>
          <w:rFonts w:asciiTheme="majorHAnsi" w:hAnsiTheme="majorHAnsi"/>
          <w:sz w:val="22"/>
          <w:szCs w:val="22"/>
        </w:rPr>
      </w:pPr>
    </w:p>
    <w:p w14:paraId="49EC0A3F" w14:textId="77777777" w:rsidR="005128E4" w:rsidRPr="00D247B2" w:rsidRDefault="005128E4" w:rsidP="00040C3A">
      <w:pPr>
        <w:tabs>
          <w:tab w:val="center" w:pos="5400"/>
        </w:tabs>
        <w:suppressAutoHyphens/>
        <w:rPr>
          <w:rFonts w:asciiTheme="majorHAnsi" w:hAnsiTheme="majorHAnsi"/>
          <w:sz w:val="22"/>
          <w:szCs w:val="22"/>
        </w:rPr>
      </w:pPr>
    </w:p>
    <w:p w14:paraId="7F51F08B" w14:textId="77777777" w:rsidR="005128E4" w:rsidRPr="00D247B2" w:rsidRDefault="005128E4" w:rsidP="00040C3A">
      <w:pPr>
        <w:tabs>
          <w:tab w:val="center" w:pos="5400"/>
        </w:tabs>
        <w:suppressAutoHyphens/>
        <w:rPr>
          <w:rFonts w:asciiTheme="majorHAnsi" w:hAnsiTheme="majorHAnsi"/>
          <w:sz w:val="22"/>
          <w:szCs w:val="22"/>
        </w:rPr>
      </w:pPr>
    </w:p>
    <w:p w14:paraId="058606A7" w14:textId="77777777" w:rsidR="005128E4" w:rsidRPr="00D247B2" w:rsidRDefault="005128E4" w:rsidP="00040C3A">
      <w:pPr>
        <w:tabs>
          <w:tab w:val="center" w:pos="5400"/>
        </w:tabs>
        <w:suppressAutoHyphens/>
        <w:rPr>
          <w:rFonts w:asciiTheme="majorHAnsi" w:hAnsiTheme="majorHAnsi"/>
          <w:sz w:val="22"/>
          <w:szCs w:val="22"/>
        </w:rPr>
      </w:pPr>
    </w:p>
    <w:p w14:paraId="01B9D56A" w14:textId="77777777" w:rsidR="00040C3A" w:rsidRPr="00D247B2" w:rsidRDefault="00040C3A" w:rsidP="005128E4">
      <w:pPr>
        <w:tabs>
          <w:tab w:val="center" w:pos="5400"/>
        </w:tabs>
        <w:suppressAutoHyphens/>
        <w:jc w:val="center"/>
        <w:rPr>
          <w:rFonts w:asciiTheme="majorHAnsi" w:hAnsiTheme="majorHAnsi"/>
          <w:sz w:val="22"/>
          <w:szCs w:val="22"/>
        </w:rPr>
      </w:pPr>
    </w:p>
    <w:p w14:paraId="513D0572" w14:textId="77777777" w:rsidR="00040C3A" w:rsidRPr="00D247B2" w:rsidRDefault="00040C3A" w:rsidP="005128E4">
      <w:pPr>
        <w:tabs>
          <w:tab w:val="center" w:pos="5400"/>
        </w:tabs>
        <w:suppressAutoHyphens/>
        <w:jc w:val="center"/>
        <w:rPr>
          <w:rFonts w:asciiTheme="majorHAnsi" w:hAnsiTheme="majorHAnsi"/>
          <w:sz w:val="22"/>
          <w:szCs w:val="22"/>
        </w:rPr>
      </w:pPr>
    </w:p>
    <w:p w14:paraId="2D06BA43" w14:textId="77777777" w:rsidR="005B52B0" w:rsidRPr="00D247B2" w:rsidRDefault="005B52B0" w:rsidP="005128E4">
      <w:pPr>
        <w:tabs>
          <w:tab w:val="center" w:pos="5400"/>
        </w:tabs>
        <w:suppressAutoHyphens/>
        <w:jc w:val="center"/>
        <w:rPr>
          <w:rFonts w:asciiTheme="majorHAnsi" w:hAnsiTheme="majorHAnsi"/>
          <w:sz w:val="22"/>
          <w:szCs w:val="22"/>
        </w:rPr>
      </w:pPr>
    </w:p>
    <w:p w14:paraId="762470A2" w14:textId="77777777" w:rsidR="005B52B0" w:rsidRPr="00D247B2" w:rsidRDefault="005B52B0" w:rsidP="005128E4">
      <w:pPr>
        <w:tabs>
          <w:tab w:val="center" w:pos="5400"/>
        </w:tabs>
        <w:suppressAutoHyphens/>
        <w:jc w:val="center"/>
        <w:rPr>
          <w:rFonts w:asciiTheme="majorHAnsi" w:hAnsiTheme="majorHAnsi"/>
          <w:sz w:val="22"/>
          <w:szCs w:val="22"/>
        </w:rPr>
      </w:pPr>
    </w:p>
    <w:p w14:paraId="6F01DDF3" w14:textId="77777777" w:rsidR="005B52B0" w:rsidRPr="00D247B2" w:rsidRDefault="005B52B0" w:rsidP="005128E4">
      <w:pPr>
        <w:tabs>
          <w:tab w:val="center" w:pos="5400"/>
        </w:tabs>
        <w:suppressAutoHyphens/>
        <w:jc w:val="center"/>
        <w:rPr>
          <w:rFonts w:asciiTheme="majorHAnsi" w:hAnsiTheme="majorHAnsi"/>
          <w:sz w:val="22"/>
          <w:szCs w:val="22"/>
        </w:rPr>
      </w:pPr>
    </w:p>
    <w:p w14:paraId="35ACB115" w14:textId="77777777" w:rsidR="00040C3A" w:rsidRPr="00D247B2" w:rsidRDefault="00040C3A" w:rsidP="00040C3A">
      <w:pPr>
        <w:tabs>
          <w:tab w:val="center" w:pos="5400"/>
        </w:tabs>
        <w:suppressAutoHyphens/>
        <w:jc w:val="center"/>
        <w:rPr>
          <w:rFonts w:asciiTheme="majorHAnsi" w:hAnsiTheme="majorHAnsi"/>
          <w:sz w:val="22"/>
          <w:szCs w:val="22"/>
        </w:rPr>
      </w:pPr>
    </w:p>
    <w:p w14:paraId="3D124B92" w14:textId="77777777" w:rsidR="00040C3A" w:rsidRPr="00D247B2" w:rsidRDefault="00040C3A" w:rsidP="00040C3A">
      <w:pPr>
        <w:tabs>
          <w:tab w:val="center" w:pos="5400"/>
        </w:tabs>
        <w:suppressAutoHyphens/>
        <w:jc w:val="center"/>
        <w:rPr>
          <w:rFonts w:asciiTheme="majorHAnsi" w:hAnsiTheme="majorHAnsi"/>
          <w:sz w:val="22"/>
          <w:szCs w:val="22"/>
        </w:rPr>
      </w:pPr>
    </w:p>
    <w:p w14:paraId="01E9EAD2" w14:textId="77777777" w:rsidR="00040C3A" w:rsidRPr="00D247B2"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65C56D75" wp14:editId="1BA1BE84">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2E3F69B"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w:t>
                            </w:r>
                            <w:r w:rsidRPr="00097024">
                              <w:rPr>
                                <w:rFonts w:asciiTheme="majorHAnsi" w:hAnsiTheme="majorHAnsi" w:cs="Arial"/>
                                <w:b/>
                                <w:bCs/>
                                <w:color w:val="0D0D0D" w:themeColor="text1" w:themeTint="F2"/>
                                <w:sz w:val="36"/>
                                <w:szCs w:val="40"/>
                                <w:lang w:val="en"/>
                              </w:rPr>
                              <w:t>o.</w:t>
                            </w:r>
                            <w:r w:rsidRPr="00097024">
                              <w:rPr>
                                <w:rFonts w:asciiTheme="majorHAnsi" w:hAnsiTheme="majorHAnsi" w:cs="Arial"/>
                                <w:b/>
                                <w:bCs/>
                                <w:color w:val="0D0D0D" w:themeColor="text1" w:themeTint="F2"/>
                                <w:sz w:val="36"/>
                                <w:szCs w:val="22"/>
                                <w:lang w:val="en"/>
                              </w:rPr>
                              <w:t xml:space="preserve"> </w:t>
                            </w:r>
                            <w:r w:rsidR="00C05BEF">
                              <w:rPr>
                                <w:rFonts w:asciiTheme="majorHAnsi" w:hAnsiTheme="majorHAnsi" w:cs="Arial"/>
                                <w:b/>
                                <w:bCs/>
                                <w:color w:val="0D0D0D" w:themeColor="text1" w:themeTint="F2"/>
                                <w:sz w:val="36"/>
                                <w:szCs w:val="22"/>
                                <w:lang w:val="en"/>
                              </w:rPr>
                              <w:t>122</w:t>
                            </w:r>
                            <w:r w:rsidRPr="00097024">
                              <w:rPr>
                                <w:rFonts w:asciiTheme="majorHAnsi" w:hAnsiTheme="majorHAnsi" w:cs="Arial"/>
                                <w:b/>
                                <w:bCs/>
                                <w:color w:val="0D0D0D" w:themeColor="text1" w:themeTint="F2"/>
                                <w:sz w:val="36"/>
                                <w:szCs w:val="22"/>
                                <w:lang w:val="en"/>
                              </w:rPr>
                              <w:t>/24</w:t>
                            </w:r>
                          </w:p>
                          <w:p w14:paraId="45F30ECA" w14:textId="23FAE9D5"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639-14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ADMISSIBILITY</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7D5B42A" w14:textId="6B7EB005" w:rsidR="00B72EE8" w:rsidRPr="00FB4AE8" w:rsidRDefault="00DA2DE1" w:rsidP="00F56ECB">
                            <w:pPr>
                              <w:spacing w:line="276" w:lineRule="auto"/>
                              <w:rPr>
                                <w:rFonts w:asciiTheme="majorHAnsi" w:hAnsiTheme="majorHAnsi" w:cs="Arial"/>
                                <w:bCs/>
                                <w:color w:val="0D0D0D" w:themeColor="text1" w:themeTint="F2"/>
                                <w:szCs w:val="22"/>
                              </w:rPr>
                            </w:pPr>
                            <w:r>
                              <w:rPr>
                                <w:rFonts w:asciiTheme="majorHAnsi" w:hAnsiTheme="majorHAnsi" w:cs="Arial"/>
                                <w:color w:val="0D0D0D" w:themeColor="text1" w:themeTint="F2"/>
                                <w:szCs w:val="22"/>
                                <w:lang w:val="en"/>
                              </w:rPr>
                              <w:t>HERNAN</w:t>
                            </w:r>
                            <w:r w:rsidR="00EA43ED">
                              <w:rPr>
                                <w:rFonts w:asciiTheme="majorHAnsi" w:hAnsiTheme="majorHAnsi" w:cs="Arial"/>
                                <w:color w:val="0D0D0D" w:themeColor="text1" w:themeTint="F2"/>
                                <w:szCs w:val="22"/>
                                <w:lang w:val="en"/>
                              </w:rPr>
                              <w:t xml:space="preserve"> </w:t>
                            </w:r>
                            <w:r>
                              <w:rPr>
                                <w:rFonts w:asciiTheme="majorHAnsi" w:hAnsiTheme="majorHAnsi" w:cs="Arial"/>
                                <w:color w:val="0D0D0D" w:themeColor="text1" w:themeTint="F2"/>
                                <w:szCs w:val="22"/>
                                <w:lang w:val="en"/>
                              </w:rPr>
                              <w:t>ELIAS</w:t>
                            </w:r>
                            <w:r w:rsidR="00EA43ED">
                              <w:rPr>
                                <w:rFonts w:asciiTheme="majorHAnsi" w:hAnsiTheme="majorHAnsi" w:cs="Arial"/>
                                <w:color w:val="0D0D0D" w:themeColor="text1" w:themeTint="F2"/>
                                <w:szCs w:val="22"/>
                                <w:lang w:val="en"/>
                              </w:rPr>
                              <w:t xml:space="preserve"> SALAZAR RESTREPO</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72E3F69B"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w:t>
                      </w:r>
                      <w:r w:rsidRPr="00097024">
                        <w:rPr>
                          <w:rFonts w:asciiTheme="majorHAnsi" w:hAnsiTheme="majorHAnsi" w:cs="Arial"/>
                          <w:b/>
                          <w:bCs/>
                          <w:color w:val="0D0D0D" w:themeColor="text1" w:themeTint="F2"/>
                          <w:sz w:val="36"/>
                          <w:szCs w:val="40"/>
                          <w:lang w:val="en"/>
                        </w:rPr>
                        <w:t>o.</w:t>
                      </w:r>
                      <w:r w:rsidRPr="00097024">
                        <w:rPr>
                          <w:rFonts w:asciiTheme="majorHAnsi" w:hAnsiTheme="majorHAnsi" w:cs="Arial"/>
                          <w:b/>
                          <w:bCs/>
                          <w:color w:val="0D0D0D" w:themeColor="text1" w:themeTint="F2"/>
                          <w:sz w:val="36"/>
                          <w:szCs w:val="22"/>
                          <w:lang w:val="en"/>
                        </w:rPr>
                        <w:t xml:space="preserve"> </w:t>
                      </w:r>
                      <w:r w:rsidR="00C05BEF">
                        <w:rPr>
                          <w:rFonts w:asciiTheme="majorHAnsi" w:hAnsiTheme="majorHAnsi" w:cs="Arial"/>
                          <w:b/>
                          <w:bCs/>
                          <w:color w:val="0D0D0D" w:themeColor="text1" w:themeTint="F2"/>
                          <w:sz w:val="36"/>
                          <w:szCs w:val="22"/>
                          <w:lang w:val="en"/>
                        </w:rPr>
                        <w:t>122</w:t>
                      </w:r>
                      <w:r w:rsidRPr="00097024">
                        <w:rPr>
                          <w:rFonts w:asciiTheme="majorHAnsi" w:hAnsiTheme="majorHAnsi" w:cs="Arial"/>
                          <w:b/>
                          <w:bCs/>
                          <w:color w:val="0D0D0D" w:themeColor="text1" w:themeTint="F2"/>
                          <w:sz w:val="36"/>
                          <w:szCs w:val="22"/>
                          <w:lang w:val="en"/>
                        </w:rPr>
                        <w:t>/24</w:t>
                      </w:r>
                    </w:p>
                    <w:p w14:paraId="45F30ECA" w14:textId="23FAE9D5"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639-14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ADMISSIBILITY</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7D5B42A" w14:textId="6B7EB005" w:rsidR="00B72EE8" w:rsidRPr="00FB4AE8" w:rsidRDefault="00DA2DE1" w:rsidP="00F56ECB">
                      <w:pPr>
                        <w:spacing w:line="276" w:lineRule="auto"/>
                        <w:rPr>
                          <w:rFonts w:asciiTheme="majorHAnsi" w:hAnsiTheme="majorHAnsi" w:cs="Arial"/>
                          <w:bCs/>
                          <w:color w:val="0D0D0D" w:themeColor="text1" w:themeTint="F2"/>
                          <w:szCs w:val="22"/>
                        </w:rPr>
                      </w:pPr>
                      <w:r>
                        <w:rPr>
                          <w:rFonts w:asciiTheme="majorHAnsi" w:hAnsiTheme="majorHAnsi" w:cs="Arial"/>
                          <w:color w:val="0D0D0D" w:themeColor="text1" w:themeTint="F2"/>
                          <w:szCs w:val="22"/>
                          <w:lang w:val="en"/>
                        </w:rPr>
                        <w:t>HERNAN</w:t>
                      </w:r>
                      <w:r w:rsidR="00EA43ED">
                        <w:rPr>
                          <w:rFonts w:asciiTheme="majorHAnsi" w:hAnsiTheme="majorHAnsi" w:cs="Arial"/>
                          <w:color w:val="0D0D0D" w:themeColor="text1" w:themeTint="F2"/>
                          <w:szCs w:val="22"/>
                          <w:lang w:val="en"/>
                        </w:rPr>
                        <w:t xml:space="preserve"> </w:t>
                      </w:r>
                      <w:r>
                        <w:rPr>
                          <w:rFonts w:asciiTheme="majorHAnsi" w:hAnsiTheme="majorHAnsi" w:cs="Arial"/>
                          <w:color w:val="0D0D0D" w:themeColor="text1" w:themeTint="F2"/>
                          <w:szCs w:val="22"/>
                          <w:lang w:val="en"/>
                        </w:rPr>
                        <w:t>ELIAS</w:t>
                      </w:r>
                      <w:r w:rsidR="00EA43ED">
                        <w:rPr>
                          <w:rFonts w:asciiTheme="majorHAnsi" w:hAnsiTheme="majorHAnsi" w:cs="Arial"/>
                          <w:color w:val="0D0D0D" w:themeColor="text1" w:themeTint="F2"/>
                          <w:szCs w:val="22"/>
                          <w:lang w:val="en"/>
                        </w:rPr>
                        <w:t xml:space="preserve"> SALAZAR RESTREPO</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COLOMBIA</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E788DDF" w:rsidR="00627C9F" w:rsidRPr="00097024" w:rsidRDefault="00834D49" w:rsidP="007A5817">
                            <w:pPr>
                              <w:spacing w:line="276" w:lineRule="auto"/>
                              <w:jc w:val="right"/>
                              <w:rPr>
                                <w:rFonts w:asciiTheme="minorHAnsi" w:hAnsiTheme="minorHAnsi"/>
                                <w:color w:val="FFFFFF" w:themeColor="background1"/>
                                <w:sz w:val="22"/>
                                <w:lang w:val="pt-BR"/>
                              </w:rPr>
                            </w:pPr>
                            <w:r w:rsidRPr="006735F8">
                              <w:rPr>
                                <w:rFonts w:asciiTheme="minorHAnsi" w:hAnsiTheme="minorHAnsi"/>
                                <w:color w:val="FFFFFF" w:themeColor="background1"/>
                                <w:sz w:val="22"/>
                                <w:lang w:val="pt-BR"/>
                              </w:rPr>
                              <w:t>OEA</w:t>
                            </w:r>
                            <w:r w:rsidRPr="00097024">
                              <w:rPr>
                                <w:rFonts w:asciiTheme="minorHAnsi" w:hAnsiTheme="minorHAnsi"/>
                                <w:color w:val="FFFFFF" w:themeColor="background1"/>
                                <w:sz w:val="22"/>
                                <w:lang w:val="pt-BR"/>
                              </w:rPr>
                              <w:t>/SER.L/V/II</w:t>
                            </w:r>
                          </w:p>
                          <w:p w14:paraId="71D2D5D2" w14:textId="3CF314F0" w:rsidR="00627C9F" w:rsidRPr="00097024" w:rsidRDefault="00627C9F" w:rsidP="007A5817">
                            <w:pPr>
                              <w:spacing w:line="276" w:lineRule="auto"/>
                              <w:jc w:val="right"/>
                              <w:rPr>
                                <w:rFonts w:asciiTheme="minorHAnsi" w:hAnsiTheme="minorHAnsi"/>
                                <w:color w:val="FFFFFF" w:themeColor="background1"/>
                                <w:sz w:val="22"/>
                                <w:lang w:val="pt-BR"/>
                              </w:rPr>
                            </w:pPr>
                            <w:r w:rsidRPr="00097024">
                              <w:rPr>
                                <w:rFonts w:asciiTheme="minorHAnsi" w:hAnsiTheme="minorHAnsi"/>
                                <w:color w:val="FFFFFF" w:themeColor="background1"/>
                                <w:sz w:val="22"/>
                                <w:lang w:val="pt-BR"/>
                              </w:rPr>
                              <w:t xml:space="preserve">Doc. </w:t>
                            </w:r>
                            <w:r w:rsidR="00C05BEF">
                              <w:rPr>
                                <w:rFonts w:asciiTheme="minorHAnsi" w:hAnsiTheme="minorHAnsi"/>
                                <w:color w:val="FFFFFF" w:themeColor="background1"/>
                                <w:sz w:val="22"/>
                                <w:lang w:val="pt-BR"/>
                              </w:rPr>
                              <w:t>130</w:t>
                            </w:r>
                          </w:p>
                          <w:p w14:paraId="4061DBBD" w14:textId="3E8C27B8" w:rsidR="00627C9F" w:rsidRPr="00223A4B" w:rsidRDefault="00C05BEF" w:rsidP="007A5817">
                            <w:pPr>
                              <w:spacing w:line="276" w:lineRule="auto"/>
                              <w:jc w:val="right"/>
                              <w:rPr>
                                <w:rFonts w:asciiTheme="minorHAnsi" w:hAnsiTheme="minorHAnsi"/>
                                <w:color w:val="FFFFFF" w:themeColor="background1"/>
                                <w:sz w:val="22"/>
                                <w:lang w:val="pt-BR"/>
                              </w:rPr>
                            </w:pPr>
                            <w:r w:rsidRPr="00223A4B">
                              <w:rPr>
                                <w:rFonts w:asciiTheme="minorHAnsi" w:hAnsiTheme="minorHAnsi"/>
                                <w:color w:val="FFFFFF" w:themeColor="background1"/>
                                <w:sz w:val="22"/>
                                <w:lang w:val="pt-BR"/>
                              </w:rPr>
                              <w:t>29 agosto</w:t>
                            </w:r>
                            <w:r w:rsidR="00627C9F" w:rsidRPr="00223A4B">
                              <w:rPr>
                                <w:rFonts w:asciiTheme="minorHAnsi" w:hAnsiTheme="minorHAnsi"/>
                                <w:color w:val="FFFFFF" w:themeColor="background1"/>
                                <w:sz w:val="22"/>
                                <w:lang w:val="pt-BR"/>
                              </w:rPr>
                              <w:t xml:space="preserve"> 2024</w:t>
                            </w:r>
                          </w:p>
                          <w:p w14:paraId="0537C4A5" w14:textId="62669241" w:rsidR="00627C9F" w:rsidRPr="00C25ADB" w:rsidRDefault="00E0340B" w:rsidP="003C0E1F">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E788DDF" w:rsidR="00627C9F" w:rsidRPr="00097024" w:rsidRDefault="00834D49" w:rsidP="007A5817">
                      <w:pPr>
                        <w:spacing w:line="276" w:lineRule="auto"/>
                        <w:jc w:val="right"/>
                        <w:rPr>
                          <w:rFonts w:asciiTheme="minorHAnsi" w:hAnsiTheme="minorHAnsi"/>
                          <w:color w:val="FFFFFF" w:themeColor="background1"/>
                          <w:sz w:val="22"/>
                          <w:lang w:val="pt-BR"/>
                        </w:rPr>
                      </w:pPr>
                      <w:r w:rsidRPr="006735F8">
                        <w:rPr>
                          <w:rFonts w:asciiTheme="minorHAnsi" w:hAnsiTheme="minorHAnsi"/>
                          <w:color w:val="FFFFFF" w:themeColor="background1"/>
                          <w:sz w:val="22"/>
                          <w:lang w:val="pt-BR"/>
                        </w:rPr>
                        <w:t>OEA</w:t>
                      </w:r>
                      <w:r w:rsidRPr="00097024">
                        <w:rPr>
                          <w:rFonts w:asciiTheme="minorHAnsi" w:hAnsiTheme="minorHAnsi"/>
                          <w:color w:val="FFFFFF" w:themeColor="background1"/>
                          <w:sz w:val="22"/>
                          <w:lang w:val="pt-BR"/>
                        </w:rPr>
                        <w:t>/SER.L/V/II</w:t>
                      </w:r>
                    </w:p>
                    <w:p w14:paraId="71D2D5D2" w14:textId="3CF314F0" w:rsidR="00627C9F" w:rsidRPr="00097024" w:rsidRDefault="00627C9F" w:rsidP="007A5817">
                      <w:pPr>
                        <w:spacing w:line="276" w:lineRule="auto"/>
                        <w:jc w:val="right"/>
                        <w:rPr>
                          <w:rFonts w:asciiTheme="minorHAnsi" w:hAnsiTheme="minorHAnsi"/>
                          <w:color w:val="FFFFFF" w:themeColor="background1"/>
                          <w:sz w:val="22"/>
                          <w:lang w:val="pt-BR"/>
                        </w:rPr>
                      </w:pPr>
                      <w:r w:rsidRPr="00097024">
                        <w:rPr>
                          <w:rFonts w:asciiTheme="minorHAnsi" w:hAnsiTheme="minorHAnsi"/>
                          <w:color w:val="FFFFFF" w:themeColor="background1"/>
                          <w:sz w:val="22"/>
                          <w:lang w:val="pt-BR"/>
                        </w:rPr>
                        <w:t xml:space="preserve">Doc. </w:t>
                      </w:r>
                      <w:r w:rsidR="00C05BEF">
                        <w:rPr>
                          <w:rFonts w:asciiTheme="minorHAnsi" w:hAnsiTheme="minorHAnsi"/>
                          <w:color w:val="FFFFFF" w:themeColor="background1"/>
                          <w:sz w:val="22"/>
                          <w:lang w:val="pt-BR"/>
                        </w:rPr>
                        <w:t>130</w:t>
                      </w:r>
                    </w:p>
                    <w:p w14:paraId="4061DBBD" w14:textId="3E8C27B8" w:rsidR="00627C9F" w:rsidRPr="00223A4B" w:rsidRDefault="00C05BEF" w:rsidP="007A5817">
                      <w:pPr>
                        <w:spacing w:line="276" w:lineRule="auto"/>
                        <w:jc w:val="right"/>
                        <w:rPr>
                          <w:rFonts w:asciiTheme="minorHAnsi" w:hAnsiTheme="minorHAnsi"/>
                          <w:color w:val="FFFFFF" w:themeColor="background1"/>
                          <w:sz w:val="22"/>
                          <w:lang w:val="pt-BR"/>
                        </w:rPr>
                      </w:pPr>
                      <w:r w:rsidRPr="00223A4B">
                        <w:rPr>
                          <w:rFonts w:asciiTheme="minorHAnsi" w:hAnsiTheme="minorHAnsi"/>
                          <w:color w:val="FFFFFF" w:themeColor="background1"/>
                          <w:sz w:val="22"/>
                          <w:lang w:val="pt-BR"/>
                        </w:rPr>
                        <w:t>29 agosto</w:t>
                      </w:r>
                      <w:r w:rsidR="00627C9F" w:rsidRPr="00223A4B">
                        <w:rPr>
                          <w:rFonts w:asciiTheme="minorHAnsi" w:hAnsiTheme="minorHAnsi"/>
                          <w:color w:val="FFFFFF" w:themeColor="background1"/>
                          <w:sz w:val="22"/>
                          <w:lang w:val="pt-BR"/>
                        </w:rPr>
                        <w:t xml:space="preserve"> 2024</w:t>
                      </w:r>
                    </w:p>
                    <w:p w14:paraId="0537C4A5" w14:textId="62669241" w:rsidR="00627C9F" w:rsidRPr="00C25ADB" w:rsidRDefault="00E0340B" w:rsidP="003C0E1F">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05E23869" w14:textId="77777777" w:rsidR="00040C3A" w:rsidRPr="00D247B2" w:rsidRDefault="00040C3A" w:rsidP="00040C3A">
      <w:pPr>
        <w:tabs>
          <w:tab w:val="center" w:pos="5400"/>
        </w:tabs>
        <w:suppressAutoHyphens/>
        <w:jc w:val="center"/>
        <w:rPr>
          <w:rFonts w:asciiTheme="majorHAnsi" w:hAnsiTheme="majorHAnsi"/>
          <w:sz w:val="22"/>
          <w:szCs w:val="22"/>
        </w:rPr>
      </w:pPr>
    </w:p>
    <w:p w14:paraId="529AB783" w14:textId="77777777" w:rsidR="00040C3A" w:rsidRPr="00D247B2" w:rsidRDefault="00040C3A" w:rsidP="00040C3A">
      <w:pPr>
        <w:tabs>
          <w:tab w:val="center" w:pos="5400"/>
        </w:tabs>
        <w:suppressAutoHyphens/>
        <w:jc w:val="center"/>
        <w:rPr>
          <w:rFonts w:asciiTheme="majorHAnsi" w:hAnsiTheme="majorHAnsi"/>
          <w:sz w:val="22"/>
          <w:szCs w:val="22"/>
        </w:rPr>
      </w:pPr>
    </w:p>
    <w:p w14:paraId="147F033C" w14:textId="77777777" w:rsidR="00040C3A" w:rsidRPr="00D247B2"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D247B2" w:rsidRDefault="00040C3A" w:rsidP="00040C3A">
      <w:pPr>
        <w:tabs>
          <w:tab w:val="center" w:pos="5400"/>
        </w:tabs>
        <w:suppressAutoHyphens/>
        <w:jc w:val="center"/>
        <w:rPr>
          <w:rFonts w:asciiTheme="majorHAnsi" w:hAnsiTheme="majorHAnsi"/>
          <w:sz w:val="22"/>
          <w:szCs w:val="22"/>
        </w:rPr>
      </w:pPr>
    </w:p>
    <w:p w14:paraId="46C4195B" w14:textId="77777777" w:rsidR="00040C3A" w:rsidRPr="00D247B2" w:rsidRDefault="00040C3A" w:rsidP="00040C3A">
      <w:pPr>
        <w:tabs>
          <w:tab w:val="center" w:pos="5400"/>
        </w:tabs>
        <w:suppressAutoHyphens/>
        <w:jc w:val="center"/>
        <w:rPr>
          <w:rFonts w:asciiTheme="majorHAnsi" w:hAnsiTheme="majorHAnsi"/>
          <w:sz w:val="22"/>
          <w:szCs w:val="22"/>
        </w:rPr>
      </w:pPr>
    </w:p>
    <w:p w14:paraId="6C0D9CAF" w14:textId="77777777" w:rsidR="00040C3A" w:rsidRPr="00D247B2" w:rsidRDefault="00040C3A" w:rsidP="00040C3A">
      <w:pPr>
        <w:tabs>
          <w:tab w:val="center" w:pos="5400"/>
        </w:tabs>
        <w:suppressAutoHyphens/>
        <w:jc w:val="center"/>
        <w:rPr>
          <w:rFonts w:asciiTheme="majorHAnsi" w:hAnsiTheme="majorHAnsi"/>
          <w:sz w:val="22"/>
          <w:szCs w:val="22"/>
        </w:rPr>
      </w:pPr>
    </w:p>
    <w:p w14:paraId="6140E39A" w14:textId="77777777" w:rsidR="00040C3A" w:rsidRPr="00D247B2" w:rsidRDefault="00040C3A" w:rsidP="00040C3A">
      <w:pPr>
        <w:tabs>
          <w:tab w:val="center" w:pos="5400"/>
        </w:tabs>
        <w:suppressAutoHyphens/>
        <w:jc w:val="center"/>
        <w:rPr>
          <w:rFonts w:asciiTheme="majorHAnsi" w:hAnsiTheme="majorHAnsi"/>
          <w:sz w:val="22"/>
          <w:szCs w:val="22"/>
        </w:rPr>
      </w:pPr>
    </w:p>
    <w:p w14:paraId="116878DE" w14:textId="77777777" w:rsidR="005128E4" w:rsidRPr="00D247B2" w:rsidRDefault="005128E4" w:rsidP="00040C3A">
      <w:pPr>
        <w:tabs>
          <w:tab w:val="center" w:pos="5400"/>
        </w:tabs>
        <w:suppressAutoHyphens/>
        <w:jc w:val="center"/>
        <w:rPr>
          <w:rFonts w:asciiTheme="majorHAnsi" w:hAnsiTheme="majorHAnsi"/>
          <w:sz w:val="22"/>
          <w:szCs w:val="22"/>
        </w:rPr>
      </w:pPr>
    </w:p>
    <w:p w14:paraId="6FF1A208" w14:textId="77777777" w:rsidR="00040C3A" w:rsidRPr="00D247B2" w:rsidRDefault="00040C3A" w:rsidP="00040C3A">
      <w:pPr>
        <w:tabs>
          <w:tab w:val="center" w:pos="5400"/>
        </w:tabs>
        <w:suppressAutoHyphens/>
        <w:jc w:val="center"/>
        <w:rPr>
          <w:rFonts w:asciiTheme="majorHAnsi" w:hAnsiTheme="majorHAnsi"/>
          <w:sz w:val="22"/>
          <w:szCs w:val="22"/>
        </w:rPr>
      </w:pPr>
    </w:p>
    <w:p w14:paraId="23E1EE64" w14:textId="77777777" w:rsidR="005128E4" w:rsidRPr="00D247B2" w:rsidRDefault="005128E4" w:rsidP="00040C3A">
      <w:pPr>
        <w:tabs>
          <w:tab w:val="center" w:pos="5400"/>
        </w:tabs>
        <w:suppressAutoHyphens/>
        <w:jc w:val="center"/>
        <w:rPr>
          <w:rFonts w:asciiTheme="majorHAnsi" w:hAnsiTheme="majorHAnsi"/>
          <w:sz w:val="22"/>
          <w:szCs w:val="22"/>
        </w:rPr>
      </w:pPr>
    </w:p>
    <w:p w14:paraId="2D8331F2" w14:textId="77777777" w:rsidR="005128E4" w:rsidRPr="00D247B2" w:rsidRDefault="005128E4" w:rsidP="00040C3A">
      <w:pPr>
        <w:tabs>
          <w:tab w:val="center" w:pos="5400"/>
        </w:tabs>
        <w:suppressAutoHyphens/>
        <w:jc w:val="center"/>
        <w:rPr>
          <w:rFonts w:asciiTheme="majorHAnsi" w:hAnsiTheme="majorHAnsi"/>
          <w:sz w:val="22"/>
          <w:szCs w:val="22"/>
        </w:rPr>
      </w:pPr>
    </w:p>
    <w:p w14:paraId="1D1FCC8F" w14:textId="77777777" w:rsidR="005128E4" w:rsidRPr="00D247B2" w:rsidRDefault="005128E4" w:rsidP="00040C3A">
      <w:pPr>
        <w:tabs>
          <w:tab w:val="center" w:pos="5400"/>
        </w:tabs>
        <w:suppressAutoHyphens/>
        <w:jc w:val="center"/>
        <w:rPr>
          <w:rFonts w:asciiTheme="majorHAnsi" w:hAnsiTheme="majorHAnsi"/>
          <w:sz w:val="22"/>
          <w:szCs w:val="22"/>
        </w:rPr>
      </w:pPr>
    </w:p>
    <w:p w14:paraId="67F753E7" w14:textId="77777777" w:rsidR="00040C3A" w:rsidRPr="00D247B2" w:rsidRDefault="00040C3A" w:rsidP="00040C3A">
      <w:pPr>
        <w:tabs>
          <w:tab w:val="center" w:pos="5400"/>
        </w:tabs>
        <w:suppressAutoHyphens/>
        <w:jc w:val="center"/>
        <w:rPr>
          <w:rFonts w:asciiTheme="majorHAnsi" w:hAnsiTheme="majorHAnsi"/>
          <w:sz w:val="22"/>
          <w:szCs w:val="22"/>
        </w:rPr>
      </w:pPr>
    </w:p>
    <w:p w14:paraId="165AA979" w14:textId="77777777" w:rsidR="00040C3A" w:rsidRPr="00D247B2" w:rsidRDefault="00040C3A" w:rsidP="00040C3A">
      <w:pPr>
        <w:tabs>
          <w:tab w:val="center" w:pos="5400"/>
        </w:tabs>
        <w:suppressAutoHyphens/>
        <w:jc w:val="center"/>
        <w:rPr>
          <w:rFonts w:asciiTheme="majorHAnsi" w:hAnsiTheme="majorHAnsi"/>
          <w:sz w:val="22"/>
          <w:szCs w:val="22"/>
        </w:rPr>
      </w:pPr>
    </w:p>
    <w:p w14:paraId="2F2457A8" w14:textId="77777777" w:rsidR="00A50FCF" w:rsidRPr="00D247B2" w:rsidRDefault="00A50FCF" w:rsidP="00040C3A">
      <w:pPr>
        <w:tabs>
          <w:tab w:val="center" w:pos="5400"/>
        </w:tabs>
        <w:suppressAutoHyphens/>
        <w:jc w:val="center"/>
        <w:rPr>
          <w:rFonts w:asciiTheme="majorHAnsi" w:hAnsiTheme="majorHAnsi"/>
          <w:sz w:val="18"/>
          <w:szCs w:val="22"/>
        </w:rPr>
      </w:pPr>
    </w:p>
    <w:p w14:paraId="20439390" w14:textId="77777777" w:rsidR="00A50FCF" w:rsidRPr="00D247B2" w:rsidRDefault="00A50FCF" w:rsidP="00040C3A">
      <w:pPr>
        <w:tabs>
          <w:tab w:val="center" w:pos="5400"/>
        </w:tabs>
        <w:suppressAutoHyphens/>
        <w:jc w:val="center"/>
        <w:rPr>
          <w:rFonts w:asciiTheme="majorHAnsi" w:hAnsiTheme="majorHAnsi"/>
          <w:sz w:val="18"/>
          <w:szCs w:val="22"/>
        </w:rPr>
      </w:pPr>
    </w:p>
    <w:p w14:paraId="5B80B262" w14:textId="77777777" w:rsidR="00A50FCF" w:rsidRPr="00D247B2" w:rsidRDefault="00A50FCF" w:rsidP="00040C3A">
      <w:pPr>
        <w:tabs>
          <w:tab w:val="center" w:pos="5400"/>
        </w:tabs>
        <w:suppressAutoHyphens/>
        <w:jc w:val="center"/>
        <w:rPr>
          <w:rFonts w:asciiTheme="majorHAnsi" w:hAnsiTheme="majorHAnsi"/>
          <w:sz w:val="18"/>
          <w:szCs w:val="22"/>
        </w:rPr>
      </w:pPr>
    </w:p>
    <w:p w14:paraId="734846D8" w14:textId="77777777" w:rsidR="00A50FCF" w:rsidRPr="00D247B2" w:rsidRDefault="00A50FCF" w:rsidP="00040C3A">
      <w:pPr>
        <w:tabs>
          <w:tab w:val="center" w:pos="5400"/>
        </w:tabs>
        <w:suppressAutoHyphens/>
        <w:jc w:val="center"/>
        <w:rPr>
          <w:rFonts w:asciiTheme="majorHAnsi" w:hAnsiTheme="majorHAnsi"/>
          <w:sz w:val="18"/>
          <w:szCs w:val="22"/>
        </w:rPr>
      </w:pPr>
    </w:p>
    <w:p w14:paraId="36D2C63A" w14:textId="77777777" w:rsidR="00A50FCF" w:rsidRPr="00D247B2" w:rsidRDefault="00A50FCF" w:rsidP="00040C3A">
      <w:pPr>
        <w:tabs>
          <w:tab w:val="center" w:pos="5400"/>
        </w:tabs>
        <w:suppressAutoHyphens/>
        <w:jc w:val="center"/>
        <w:rPr>
          <w:rFonts w:asciiTheme="majorHAnsi" w:hAnsiTheme="majorHAnsi"/>
          <w:sz w:val="18"/>
          <w:szCs w:val="22"/>
        </w:rPr>
      </w:pPr>
    </w:p>
    <w:p w14:paraId="4F0B7F5A" w14:textId="77777777" w:rsidR="00A50FCF" w:rsidRPr="00D247B2" w:rsidRDefault="00A50FCF" w:rsidP="00040C3A">
      <w:pPr>
        <w:tabs>
          <w:tab w:val="center" w:pos="5400"/>
        </w:tabs>
        <w:suppressAutoHyphens/>
        <w:jc w:val="center"/>
        <w:rPr>
          <w:rFonts w:asciiTheme="majorHAnsi" w:hAnsiTheme="majorHAnsi"/>
          <w:sz w:val="18"/>
          <w:szCs w:val="22"/>
        </w:rPr>
      </w:pPr>
    </w:p>
    <w:p w14:paraId="07218933" w14:textId="77777777" w:rsidR="00A50FCF" w:rsidRPr="00D247B2" w:rsidRDefault="00A50FCF" w:rsidP="00040C3A">
      <w:pPr>
        <w:tabs>
          <w:tab w:val="center" w:pos="5400"/>
        </w:tabs>
        <w:suppressAutoHyphens/>
        <w:jc w:val="center"/>
        <w:rPr>
          <w:rFonts w:asciiTheme="majorHAnsi" w:hAnsiTheme="majorHAnsi"/>
          <w:sz w:val="18"/>
          <w:szCs w:val="22"/>
        </w:rPr>
      </w:pPr>
    </w:p>
    <w:p w14:paraId="2C99136A" w14:textId="77777777" w:rsidR="00A50FCF" w:rsidRPr="00D247B2" w:rsidRDefault="00A50FCF" w:rsidP="00040C3A">
      <w:pPr>
        <w:tabs>
          <w:tab w:val="center" w:pos="5400"/>
        </w:tabs>
        <w:suppressAutoHyphens/>
        <w:jc w:val="center"/>
        <w:rPr>
          <w:rFonts w:asciiTheme="majorHAnsi" w:hAnsiTheme="majorHAnsi"/>
          <w:sz w:val="18"/>
          <w:szCs w:val="22"/>
        </w:rPr>
      </w:pPr>
    </w:p>
    <w:p w14:paraId="078A9198" w14:textId="77777777" w:rsidR="00A50FCF" w:rsidRPr="00D247B2" w:rsidRDefault="00A50FCF" w:rsidP="00040C3A">
      <w:pPr>
        <w:tabs>
          <w:tab w:val="center" w:pos="5400"/>
        </w:tabs>
        <w:suppressAutoHyphens/>
        <w:jc w:val="center"/>
        <w:rPr>
          <w:rFonts w:asciiTheme="majorHAnsi" w:hAnsiTheme="majorHAnsi"/>
          <w:sz w:val="18"/>
          <w:szCs w:val="22"/>
        </w:rPr>
      </w:pPr>
    </w:p>
    <w:p w14:paraId="6A001DA7" w14:textId="77777777" w:rsidR="00A50FCF" w:rsidRPr="00D247B2" w:rsidRDefault="00A50FCF" w:rsidP="00040C3A">
      <w:pPr>
        <w:tabs>
          <w:tab w:val="center" w:pos="5400"/>
        </w:tabs>
        <w:suppressAutoHyphens/>
        <w:jc w:val="center"/>
        <w:rPr>
          <w:rFonts w:asciiTheme="majorHAnsi" w:hAnsiTheme="majorHAnsi"/>
          <w:sz w:val="18"/>
          <w:szCs w:val="22"/>
        </w:rPr>
      </w:pPr>
    </w:p>
    <w:p w14:paraId="217E7AAB" w14:textId="77777777" w:rsidR="00A50FCF" w:rsidRPr="00D247B2" w:rsidRDefault="00A50FCF" w:rsidP="00040C3A">
      <w:pPr>
        <w:tabs>
          <w:tab w:val="center" w:pos="5400"/>
        </w:tabs>
        <w:suppressAutoHyphens/>
        <w:jc w:val="center"/>
        <w:rPr>
          <w:rFonts w:asciiTheme="majorHAnsi" w:hAnsiTheme="majorHAnsi"/>
          <w:sz w:val="18"/>
          <w:szCs w:val="22"/>
        </w:rPr>
      </w:pPr>
    </w:p>
    <w:p w14:paraId="0C34B449" w14:textId="77777777" w:rsidR="00A50FCF" w:rsidRPr="00D247B2" w:rsidRDefault="00A50FCF" w:rsidP="00040C3A">
      <w:pPr>
        <w:tabs>
          <w:tab w:val="center" w:pos="5400"/>
        </w:tabs>
        <w:suppressAutoHyphens/>
        <w:jc w:val="center"/>
        <w:rPr>
          <w:rFonts w:asciiTheme="majorHAnsi" w:hAnsiTheme="majorHAnsi"/>
          <w:sz w:val="18"/>
          <w:szCs w:val="22"/>
        </w:rPr>
      </w:pPr>
    </w:p>
    <w:p w14:paraId="5CF516E8" w14:textId="77777777" w:rsidR="00A50FCF" w:rsidRPr="00D247B2" w:rsidRDefault="00A50FCF" w:rsidP="00040C3A">
      <w:pPr>
        <w:tabs>
          <w:tab w:val="center" w:pos="5400"/>
        </w:tabs>
        <w:suppressAutoHyphens/>
        <w:jc w:val="center"/>
        <w:rPr>
          <w:rFonts w:asciiTheme="majorHAnsi" w:hAnsiTheme="majorHAnsi"/>
          <w:sz w:val="18"/>
          <w:szCs w:val="22"/>
        </w:rPr>
      </w:pPr>
    </w:p>
    <w:p w14:paraId="417C9993" w14:textId="77777777" w:rsidR="00A50FCF" w:rsidRPr="00D247B2" w:rsidRDefault="00A50FCF" w:rsidP="00040C3A">
      <w:pPr>
        <w:tabs>
          <w:tab w:val="center" w:pos="5400"/>
        </w:tabs>
        <w:suppressAutoHyphens/>
        <w:jc w:val="center"/>
        <w:rPr>
          <w:rFonts w:asciiTheme="majorHAnsi" w:hAnsiTheme="majorHAnsi"/>
          <w:sz w:val="18"/>
          <w:szCs w:val="22"/>
        </w:rPr>
      </w:pPr>
    </w:p>
    <w:p w14:paraId="641C6754" w14:textId="77777777" w:rsidR="00A50FCF" w:rsidRPr="00D247B2"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9F62920" w:rsidR="00DD3D86" w:rsidRPr="00663F10" w:rsidRDefault="00F5664E"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August 29,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9F62920" w:rsidR="00DD3D86" w:rsidRPr="00663F10" w:rsidRDefault="00F5664E"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August 29,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D247B2" w:rsidRDefault="00A50FCF" w:rsidP="00040C3A">
      <w:pPr>
        <w:tabs>
          <w:tab w:val="center" w:pos="5400"/>
        </w:tabs>
        <w:suppressAutoHyphens/>
        <w:jc w:val="center"/>
        <w:rPr>
          <w:rFonts w:asciiTheme="majorHAnsi" w:hAnsiTheme="majorHAnsi"/>
          <w:sz w:val="18"/>
          <w:szCs w:val="22"/>
        </w:rPr>
      </w:pPr>
    </w:p>
    <w:p w14:paraId="28FED950" w14:textId="77777777" w:rsidR="00A50FCF" w:rsidRPr="00D247B2" w:rsidRDefault="00A50FCF" w:rsidP="00040C3A">
      <w:pPr>
        <w:tabs>
          <w:tab w:val="center" w:pos="5400"/>
        </w:tabs>
        <w:suppressAutoHyphens/>
        <w:jc w:val="center"/>
        <w:rPr>
          <w:rFonts w:asciiTheme="majorHAnsi" w:hAnsiTheme="majorHAnsi"/>
          <w:sz w:val="18"/>
          <w:szCs w:val="22"/>
        </w:rPr>
      </w:pPr>
    </w:p>
    <w:p w14:paraId="53E3A276" w14:textId="77777777" w:rsidR="00A50FCF" w:rsidRPr="00D247B2" w:rsidRDefault="00A50FCF" w:rsidP="00040C3A">
      <w:pPr>
        <w:tabs>
          <w:tab w:val="center" w:pos="5400"/>
        </w:tabs>
        <w:suppressAutoHyphens/>
        <w:jc w:val="center"/>
        <w:rPr>
          <w:rFonts w:asciiTheme="majorHAnsi" w:hAnsiTheme="majorHAnsi"/>
          <w:sz w:val="18"/>
          <w:szCs w:val="22"/>
        </w:rPr>
      </w:pPr>
    </w:p>
    <w:p w14:paraId="5EDC5EE2" w14:textId="0AFEAE96" w:rsidR="00A50FCF" w:rsidRPr="00D247B2" w:rsidRDefault="0030729D"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DCF59" w14:textId="77777777" w:rsidR="00F5664E" w:rsidRDefault="00113F73" w:rsidP="00113F73">
                            <w:pPr>
                              <w:spacing w:line="276" w:lineRule="auto"/>
                              <w:rPr>
                                <w:rFonts w:asciiTheme="majorHAnsi" w:hAnsiTheme="majorHAnsi"/>
                                <w:color w:val="595959" w:themeColor="text1" w:themeTint="A6"/>
                                <w:sz w:val="18"/>
                                <w:szCs w:val="18"/>
                                <w:lang w:val="en"/>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w:t>
                            </w:r>
                            <w:r w:rsidRPr="00F5664E">
                              <w:rPr>
                                <w:rFonts w:asciiTheme="majorHAnsi" w:hAnsiTheme="majorHAnsi"/>
                                <w:color w:val="595959" w:themeColor="text1" w:themeTint="A6"/>
                                <w:sz w:val="18"/>
                                <w:szCs w:val="18"/>
                                <w:lang w:val="en"/>
                              </w:rPr>
                              <w:t xml:space="preserve">No. </w:t>
                            </w:r>
                            <w:r w:rsidR="00F5664E">
                              <w:rPr>
                                <w:rFonts w:asciiTheme="majorHAnsi" w:hAnsiTheme="majorHAnsi"/>
                                <w:color w:val="595959" w:themeColor="text1" w:themeTint="A6"/>
                                <w:sz w:val="18"/>
                                <w:szCs w:val="18"/>
                                <w:lang w:val="en"/>
                              </w:rPr>
                              <w:t>122</w:t>
                            </w:r>
                            <w:r w:rsidRPr="00F5664E">
                              <w:rPr>
                                <w:rFonts w:asciiTheme="majorHAnsi" w:hAnsiTheme="majorHAnsi"/>
                                <w:color w:val="595959" w:themeColor="text1" w:themeTint="A6"/>
                                <w:sz w:val="18"/>
                                <w:szCs w:val="18"/>
                                <w:lang w:val="en"/>
                              </w:rPr>
                              <w:t xml:space="preserve">/24. Petition 639-14. Admissibility. </w:t>
                            </w:r>
                          </w:p>
                          <w:p w14:paraId="7FD77785" w14:textId="28C4CD3D" w:rsidR="00113F73" w:rsidRPr="00665D45" w:rsidRDefault="00DA2DE1" w:rsidP="00113F73">
                            <w:pPr>
                              <w:spacing w:line="276" w:lineRule="auto"/>
                              <w:rPr>
                                <w:rFonts w:asciiTheme="majorHAnsi" w:hAnsiTheme="majorHAnsi"/>
                                <w:bCs/>
                                <w:color w:val="595959" w:themeColor="text1" w:themeTint="A6"/>
                                <w:sz w:val="18"/>
                                <w:szCs w:val="18"/>
                              </w:rPr>
                            </w:pPr>
                            <w:r w:rsidRPr="00F5664E">
                              <w:rPr>
                                <w:rFonts w:asciiTheme="majorHAnsi" w:hAnsiTheme="majorHAnsi"/>
                                <w:color w:val="595959" w:themeColor="text1" w:themeTint="A6"/>
                                <w:sz w:val="18"/>
                                <w:szCs w:val="18"/>
                                <w:lang w:val="en"/>
                              </w:rPr>
                              <w:t>Hernan</w:t>
                            </w:r>
                            <w:r w:rsidR="00113F73" w:rsidRPr="00F5664E">
                              <w:rPr>
                                <w:rFonts w:asciiTheme="majorHAnsi" w:hAnsiTheme="majorHAnsi"/>
                                <w:color w:val="595959" w:themeColor="text1" w:themeTint="A6"/>
                                <w:sz w:val="18"/>
                                <w:szCs w:val="18"/>
                                <w:lang w:val="en"/>
                              </w:rPr>
                              <w:t xml:space="preserve"> </w:t>
                            </w:r>
                            <w:r w:rsidRPr="00F5664E">
                              <w:rPr>
                                <w:rFonts w:asciiTheme="majorHAnsi" w:hAnsiTheme="majorHAnsi"/>
                                <w:color w:val="595959" w:themeColor="text1" w:themeTint="A6"/>
                                <w:sz w:val="18"/>
                                <w:szCs w:val="18"/>
                                <w:lang w:val="en"/>
                              </w:rPr>
                              <w:t>Elias</w:t>
                            </w:r>
                            <w:r w:rsidR="00113F73" w:rsidRPr="00F5664E">
                              <w:rPr>
                                <w:rFonts w:asciiTheme="majorHAnsi" w:hAnsiTheme="majorHAnsi"/>
                                <w:color w:val="595959" w:themeColor="text1" w:themeTint="A6"/>
                                <w:sz w:val="18"/>
                                <w:szCs w:val="18"/>
                                <w:lang w:val="en"/>
                              </w:rPr>
                              <w:t xml:space="preserve"> Salazar Restrepo. Colombia. </w:t>
                            </w:r>
                            <w:r w:rsidR="00F5664E">
                              <w:rPr>
                                <w:rFonts w:asciiTheme="majorHAnsi" w:hAnsiTheme="majorHAnsi"/>
                                <w:color w:val="595959" w:themeColor="text1" w:themeTint="A6"/>
                                <w:sz w:val="18"/>
                                <w:szCs w:val="18"/>
                                <w:lang w:val="en"/>
                              </w:rPr>
                              <w:t>August 29, 2024</w:t>
                            </w:r>
                            <w:r w:rsidR="00113F73" w:rsidRPr="00F5664E">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4C7DCF59" w14:textId="77777777" w:rsidR="00F5664E" w:rsidRDefault="00113F73" w:rsidP="00113F73">
                      <w:pPr>
                        <w:spacing w:line="276" w:lineRule="auto"/>
                        <w:rPr>
                          <w:rFonts w:asciiTheme="majorHAnsi" w:hAnsiTheme="majorHAnsi"/>
                          <w:color w:val="595959" w:themeColor="text1" w:themeTint="A6"/>
                          <w:sz w:val="18"/>
                          <w:szCs w:val="18"/>
                          <w:lang w:val="en"/>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w:t>
                      </w:r>
                      <w:r w:rsidRPr="00F5664E">
                        <w:rPr>
                          <w:rFonts w:asciiTheme="majorHAnsi" w:hAnsiTheme="majorHAnsi"/>
                          <w:color w:val="595959" w:themeColor="text1" w:themeTint="A6"/>
                          <w:sz w:val="18"/>
                          <w:szCs w:val="18"/>
                          <w:lang w:val="en"/>
                        </w:rPr>
                        <w:t xml:space="preserve">No. </w:t>
                      </w:r>
                      <w:r w:rsidR="00F5664E">
                        <w:rPr>
                          <w:rFonts w:asciiTheme="majorHAnsi" w:hAnsiTheme="majorHAnsi"/>
                          <w:color w:val="595959" w:themeColor="text1" w:themeTint="A6"/>
                          <w:sz w:val="18"/>
                          <w:szCs w:val="18"/>
                          <w:lang w:val="en"/>
                        </w:rPr>
                        <w:t>122</w:t>
                      </w:r>
                      <w:r w:rsidRPr="00F5664E">
                        <w:rPr>
                          <w:rFonts w:asciiTheme="majorHAnsi" w:hAnsiTheme="majorHAnsi"/>
                          <w:color w:val="595959" w:themeColor="text1" w:themeTint="A6"/>
                          <w:sz w:val="18"/>
                          <w:szCs w:val="18"/>
                          <w:lang w:val="en"/>
                        </w:rPr>
                        <w:t xml:space="preserve">/24. Petition 639-14. Admissibility. </w:t>
                      </w:r>
                    </w:p>
                    <w:p w14:paraId="7FD77785" w14:textId="28C4CD3D" w:rsidR="00113F73" w:rsidRPr="00665D45" w:rsidRDefault="00DA2DE1" w:rsidP="00113F73">
                      <w:pPr>
                        <w:spacing w:line="276" w:lineRule="auto"/>
                        <w:rPr>
                          <w:rFonts w:asciiTheme="majorHAnsi" w:hAnsiTheme="majorHAnsi"/>
                          <w:bCs/>
                          <w:color w:val="595959" w:themeColor="text1" w:themeTint="A6"/>
                          <w:sz w:val="18"/>
                          <w:szCs w:val="18"/>
                        </w:rPr>
                      </w:pPr>
                      <w:r w:rsidRPr="00F5664E">
                        <w:rPr>
                          <w:rFonts w:asciiTheme="majorHAnsi" w:hAnsiTheme="majorHAnsi"/>
                          <w:color w:val="595959" w:themeColor="text1" w:themeTint="A6"/>
                          <w:sz w:val="18"/>
                          <w:szCs w:val="18"/>
                          <w:lang w:val="en"/>
                        </w:rPr>
                        <w:t>Hernan</w:t>
                      </w:r>
                      <w:r w:rsidR="00113F73" w:rsidRPr="00F5664E">
                        <w:rPr>
                          <w:rFonts w:asciiTheme="majorHAnsi" w:hAnsiTheme="majorHAnsi"/>
                          <w:color w:val="595959" w:themeColor="text1" w:themeTint="A6"/>
                          <w:sz w:val="18"/>
                          <w:szCs w:val="18"/>
                          <w:lang w:val="en"/>
                        </w:rPr>
                        <w:t xml:space="preserve"> </w:t>
                      </w:r>
                      <w:r w:rsidRPr="00F5664E">
                        <w:rPr>
                          <w:rFonts w:asciiTheme="majorHAnsi" w:hAnsiTheme="majorHAnsi"/>
                          <w:color w:val="595959" w:themeColor="text1" w:themeTint="A6"/>
                          <w:sz w:val="18"/>
                          <w:szCs w:val="18"/>
                          <w:lang w:val="en"/>
                        </w:rPr>
                        <w:t>Elias</w:t>
                      </w:r>
                      <w:r w:rsidR="00113F73" w:rsidRPr="00F5664E">
                        <w:rPr>
                          <w:rFonts w:asciiTheme="majorHAnsi" w:hAnsiTheme="majorHAnsi"/>
                          <w:color w:val="595959" w:themeColor="text1" w:themeTint="A6"/>
                          <w:sz w:val="18"/>
                          <w:szCs w:val="18"/>
                          <w:lang w:val="en"/>
                        </w:rPr>
                        <w:t xml:space="preserve"> Salazar Restrepo. Colombia. </w:t>
                      </w:r>
                      <w:r w:rsidR="00F5664E">
                        <w:rPr>
                          <w:rFonts w:asciiTheme="majorHAnsi" w:hAnsiTheme="majorHAnsi"/>
                          <w:color w:val="595959" w:themeColor="text1" w:themeTint="A6"/>
                          <w:sz w:val="18"/>
                          <w:szCs w:val="18"/>
                          <w:lang w:val="en"/>
                        </w:rPr>
                        <w:t>August 29, 2024</w:t>
                      </w:r>
                      <w:r w:rsidR="00113F73" w:rsidRPr="00F5664E">
                        <w:rPr>
                          <w:rFonts w:asciiTheme="majorHAnsi" w:hAnsiTheme="majorHAnsi"/>
                          <w:color w:val="595959" w:themeColor="text1" w:themeTint="A6"/>
                          <w:sz w:val="18"/>
                          <w:szCs w:val="18"/>
                          <w:lang w:val="en"/>
                        </w:rPr>
                        <w:t>.</w:t>
                      </w:r>
                    </w:p>
                  </w:txbxContent>
                </v:textbox>
              </v:shape>
            </w:pict>
          </mc:Fallback>
        </mc:AlternateContent>
      </w:r>
    </w:p>
    <w:p w14:paraId="4730F205" w14:textId="43AE2643" w:rsidR="00A50FCF" w:rsidRPr="00D247B2" w:rsidRDefault="00A50FCF" w:rsidP="00040C3A">
      <w:pPr>
        <w:tabs>
          <w:tab w:val="center" w:pos="5400"/>
        </w:tabs>
        <w:suppressAutoHyphens/>
        <w:jc w:val="center"/>
        <w:rPr>
          <w:rFonts w:asciiTheme="majorHAnsi" w:hAnsiTheme="majorHAnsi"/>
          <w:sz w:val="18"/>
          <w:szCs w:val="22"/>
        </w:rPr>
      </w:pPr>
    </w:p>
    <w:p w14:paraId="3BC19590" w14:textId="77777777" w:rsidR="00A50FCF" w:rsidRPr="00D247B2" w:rsidRDefault="00A50FCF" w:rsidP="00040C3A">
      <w:pPr>
        <w:tabs>
          <w:tab w:val="center" w:pos="5400"/>
        </w:tabs>
        <w:suppressAutoHyphens/>
        <w:jc w:val="center"/>
        <w:rPr>
          <w:rFonts w:asciiTheme="majorHAnsi" w:hAnsiTheme="majorHAnsi"/>
          <w:sz w:val="18"/>
          <w:szCs w:val="22"/>
        </w:rPr>
      </w:pPr>
    </w:p>
    <w:p w14:paraId="0C9396CC" w14:textId="4FCB8578" w:rsidR="0090270B" w:rsidRPr="00D247B2" w:rsidRDefault="00D306D1" w:rsidP="005516A1">
      <w:pPr>
        <w:tabs>
          <w:tab w:val="center" w:pos="5400"/>
        </w:tabs>
        <w:suppressAutoHyphens/>
        <w:jc w:val="center"/>
        <w:rPr>
          <w:rFonts w:asciiTheme="majorHAnsi" w:hAnsiTheme="majorHAnsi"/>
          <w:b/>
          <w:sz w:val="20"/>
        </w:rPr>
      </w:pPr>
      <w:r>
        <w:rPr>
          <w:rFonts w:asciiTheme="majorHAnsi" w:hAnsiTheme="majorHAnsi"/>
          <w:noProof/>
          <w:sz w:val="22"/>
          <w:szCs w:val="22"/>
          <w:lang w:val="en"/>
        </w:rPr>
        <mc:AlternateContent>
          <mc:Choice Requires="wps">
            <w:drawing>
              <wp:anchor distT="0" distB="0" distL="114300" distR="114300" simplePos="0" relativeHeight="251682816" behindDoc="0" locked="0" layoutInCell="1" allowOverlap="1" wp14:anchorId="4BBB9917" wp14:editId="2D2A53A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48FED256"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F5664E">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48FED256"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F5664E">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v:textbox>
              </v:shape>
            </w:pict>
          </mc:Fallback>
        </mc:AlternateContent>
      </w:r>
    </w:p>
    <w:p w14:paraId="150CCFA7" w14:textId="4DCC2EC0" w:rsidR="0070697F" w:rsidRPr="00D247B2" w:rsidRDefault="00F5664E" w:rsidP="005516A1">
      <w:pPr>
        <w:tabs>
          <w:tab w:val="center" w:pos="5400"/>
        </w:tabs>
        <w:suppressAutoHyphens/>
        <w:jc w:val="center"/>
        <w:rPr>
          <w:rFonts w:asciiTheme="majorHAnsi" w:hAnsiTheme="majorHAnsi"/>
          <w:b/>
          <w:sz w:val="20"/>
        </w:rPr>
        <w:sectPr w:rsidR="0070697F" w:rsidRPr="00D247B2"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n"/>
        </w:rPr>
        <mc:AlternateContent>
          <mc:Choice Requires="wps">
            <w:drawing>
              <wp:anchor distT="0" distB="0" distL="114300" distR="114300" simplePos="0" relativeHeight="251680768" behindDoc="0" locked="0" layoutInCell="1" allowOverlap="1" wp14:anchorId="5D37EBA2" wp14:editId="36F97B5C">
                <wp:simplePos x="0" y="0"/>
                <wp:positionH relativeFrom="column">
                  <wp:posOffset>1320165</wp:posOffset>
                </wp:positionH>
                <wp:positionV relativeFrom="paragraph">
                  <wp:posOffset>515783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41B8AA4" w:rsidR="00D72DC6" w:rsidRPr="00D72DC6" w:rsidRDefault="003F6D10" w:rsidP="00F02AD1">
                            <w:pPr>
                              <w:rPr>
                                <w:color w:val="FFFFFF" w:themeColor="background1"/>
                                <w14:textFill>
                                  <w14:noFill/>
                                </w14:textFill>
                              </w:rPr>
                            </w:pPr>
                            <w:r>
                              <w:rPr>
                                <w:noProof/>
                              </w:rPr>
                              <w:drawing>
                                <wp:inline distT="0" distB="0" distL="0" distR="0" wp14:anchorId="0FA298DD" wp14:editId="768B1013">
                                  <wp:extent cx="1824917" cy="461726"/>
                                  <wp:effectExtent l="0" t="0" r="444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9763" cy="4629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0.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CT5u1OEA&#10;AAAKAQAADwAAAAAAAAAAAAAAAADUBAAAZHJzL2Rvd25yZXYueG1sUEsFBgAAAAAEAAQA8wAAAOIF&#10;AAAAAA==&#10;" fillcolor="white [3201]" stroked="f" strokeweight=".5pt">
                <v:textbox>
                  <w:txbxContent>
                    <w:p w14:paraId="16E85441" w14:textId="641B8AA4" w:rsidR="00D72DC6" w:rsidRPr="00D72DC6" w:rsidRDefault="003F6D10" w:rsidP="00F02AD1">
                      <w:pPr>
                        <w:rPr>
                          <w:color w:val="FFFFFF" w:themeColor="background1"/>
                          <w14:textFill>
                            <w14:noFill/>
                          </w14:textFill>
                        </w:rPr>
                      </w:pPr>
                      <w:r>
                        <w:rPr>
                          <w:noProof/>
                        </w:rPr>
                        <w:drawing>
                          <wp:inline distT="0" distB="0" distL="0" distR="0" wp14:anchorId="0FA298DD" wp14:editId="768B1013">
                            <wp:extent cx="1824917" cy="461726"/>
                            <wp:effectExtent l="0" t="0" r="444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9763" cy="462952"/>
                                    </a:xfrm>
                                    <a:prstGeom prst="rect">
                                      <a:avLst/>
                                    </a:prstGeom>
                                    <a:noFill/>
                                    <a:ln>
                                      <a:noFill/>
                                    </a:ln>
                                  </pic:spPr>
                                </pic:pic>
                              </a:graphicData>
                            </a:graphic>
                          </wp:inline>
                        </w:drawing>
                      </w:r>
                    </w:p>
                  </w:txbxContent>
                </v:textbox>
              </v:shape>
            </w:pict>
          </mc:Fallback>
        </mc:AlternateContent>
      </w:r>
      <w:r w:rsidR="004A6A54">
        <w:rPr>
          <w:b/>
          <w:bCs/>
          <w:lang w:val="en"/>
        </w:rPr>
        <w:tab/>
      </w:r>
    </w:p>
    <w:p w14:paraId="2786EE58" w14:textId="77777777" w:rsidR="003239B8" w:rsidRPr="00D247B2"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F29C4" w14:paraId="6B58C8A4" w14:textId="77777777" w:rsidTr="003F6D10">
        <w:tc>
          <w:tcPr>
            <w:tcW w:w="3600" w:type="dxa"/>
            <w:tcBorders>
              <w:top w:val="single" w:sz="4" w:space="0" w:color="auto"/>
              <w:bottom w:val="single" w:sz="6" w:space="0" w:color="auto"/>
            </w:tcBorders>
            <w:shd w:val="clear" w:color="auto" w:fill="67AE3C"/>
            <w:vAlign w:val="center"/>
          </w:tcPr>
          <w:p w14:paraId="7E72740A" w14:textId="77777777" w:rsidR="003239B8" w:rsidRPr="00D247B2"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647" w:type="dxa"/>
            <w:vAlign w:val="center"/>
          </w:tcPr>
          <w:p w14:paraId="07DAAE2E" w14:textId="4EB7AE62" w:rsidR="003239B8" w:rsidRPr="00D247B2" w:rsidRDefault="00DA2DE1" w:rsidP="00F04238">
            <w:pPr>
              <w:jc w:val="both"/>
              <w:rPr>
                <w:rFonts w:ascii="Cambria" w:hAnsi="Cambria"/>
                <w:bCs/>
                <w:sz w:val="20"/>
                <w:szCs w:val="20"/>
              </w:rPr>
            </w:pPr>
            <w:r>
              <w:rPr>
                <w:rFonts w:ascii="Cambria" w:hAnsi="Cambria"/>
                <w:sz w:val="20"/>
                <w:szCs w:val="20"/>
                <w:lang w:val="en"/>
              </w:rPr>
              <w:t>Hernan</w:t>
            </w:r>
            <w:r w:rsidR="00CE1880">
              <w:rPr>
                <w:rFonts w:ascii="Cambria" w:hAnsi="Cambria"/>
                <w:sz w:val="20"/>
                <w:szCs w:val="20"/>
                <w:lang w:val="en"/>
              </w:rPr>
              <w:t xml:space="preserve"> </w:t>
            </w:r>
            <w:r>
              <w:rPr>
                <w:rFonts w:ascii="Cambria" w:hAnsi="Cambria"/>
                <w:sz w:val="20"/>
                <w:szCs w:val="20"/>
                <w:lang w:val="en"/>
              </w:rPr>
              <w:t>Elias</w:t>
            </w:r>
            <w:r w:rsidR="00CE1880">
              <w:rPr>
                <w:rFonts w:ascii="Cambria" w:hAnsi="Cambria"/>
                <w:sz w:val="20"/>
                <w:szCs w:val="20"/>
                <w:lang w:val="en"/>
              </w:rPr>
              <w:t xml:space="preserve"> Salazar Restrepo</w:t>
            </w:r>
          </w:p>
        </w:tc>
      </w:tr>
      <w:tr w:rsidR="00CE1880" w:rsidRPr="00EA43ED" w14:paraId="0D7F9389" w14:textId="77777777" w:rsidTr="003F6D10">
        <w:tc>
          <w:tcPr>
            <w:tcW w:w="3600" w:type="dxa"/>
            <w:tcBorders>
              <w:top w:val="single" w:sz="6" w:space="0" w:color="auto"/>
              <w:bottom w:val="single" w:sz="6" w:space="0" w:color="auto"/>
            </w:tcBorders>
            <w:shd w:val="clear" w:color="auto" w:fill="67AE3C"/>
            <w:vAlign w:val="center"/>
          </w:tcPr>
          <w:p w14:paraId="481622AE" w14:textId="67429B65" w:rsidR="00CE1880" w:rsidRPr="00D247B2" w:rsidRDefault="005E27F7" w:rsidP="00CE188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6735F8">
                  <w:rPr>
                    <w:rFonts w:ascii="Cambria" w:hAnsi="Cambria"/>
                    <w:b/>
                    <w:bCs/>
                    <w:color w:val="FFFFFF" w:themeColor="background1"/>
                    <w:sz w:val="20"/>
                    <w:szCs w:val="20"/>
                    <w:lang w:val="en"/>
                  </w:rPr>
                  <w:t>Alleged victims</w:t>
                </w:r>
              </w:sdtContent>
            </w:sdt>
            <w:r w:rsidR="006735F8">
              <w:rPr>
                <w:rFonts w:ascii="Cambria" w:hAnsi="Cambria"/>
                <w:b/>
                <w:bCs/>
                <w:color w:val="FFFFFF" w:themeColor="background1"/>
                <w:sz w:val="20"/>
                <w:szCs w:val="20"/>
                <w:lang w:val="en"/>
              </w:rPr>
              <w:t>:</w:t>
            </w:r>
          </w:p>
        </w:tc>
        <w:tc>
          <w:tcPr>
            <w:tcW w:w="5647" w:type="dxa"/>
            <w:vAlign w:val="center"/>
          </w:tcPr>
          <w:p w14:paraId="143D44A8" w14:textId="2144D87C" w:rsidR="00CE1880" w:rsidRPr="00D247B2" w:rsidRDefault="00DA2DE1" w:rsidP="00CE1880">
            <w:pPr>
              <w:jc w:val="both"/>
              <w:rPr>
                <w:rFonts w:ascii="Cambria" w:hAnsi="Cambria"/>
                <w:bCs/>
                <w:sz w:val="20"/>
                <w:szCs w:val="20"/>
              </w:rPr>
            </w:pPr>
            <w:r>
              <w:rPr>
                <w:rFonts w:ascii="Cambria" w:hAnsi="Cambria"/>
                <w:sz w:val="20"/>
                <w:szCs w:val="20"/>
                <w:lang w:val="en"/>
              </w:rPr>
              <w:t>Hernan</w:t>
            </w:r>
            <w:r w:rsidR="00CE1880">
              <w:rPr>
                <w:rFonts w:ascii="Cambria" w:hAnsi="Cambria"/>
                <w:sz w:val="20"/>
                <w:szCs w:val="20"/>
                <w:lang w:val="en"/>
              </w:rPr>
              <w:t xml:space="preserve"> </w:t>
            </w:r>
            <w:r>
              <w:rPr>
                <w:rFonts w:ascii="Cambria" w:hAnsi="Cambria"/>
                <w:sz w:val="20"/>
                <w:szCs w:val="20"/>
                <w:lang w:val="en"/>
              </w:rPr>
              <w:t>Elias</w:t>
            </w:r>
            <w:r w:rsidR="00CE1880">
              <w:rPr>
                <w:rFonts w:ascii="Cambria" w:hAnsi="Cambria"/>
                <w:sz w:val="20"/>
                <w:szCs w:val="20"/>
                <w:lang w:val="en"/>
              </w:rPr>
              <w:t xml:space="preserve"> Salazar Restrepo</w:t>
            </w:r>
          </w:p>
        </w:tc>
      </w:tr>
      <w:tr w:rsidR="003239B8" w:rsidRPr="00D247B2" w14:paraId="19F69F82" w14:textId="77777777" w:rsidTr="003F6D10">
        <w:tc>
          <w:tcPr>
            <w:tcW w:w="3600" w:type="dxa"/>
            <w:tcBorders>
              <w:top w:val="single" w:sz="6" w:space="0" w:color="auto"/>
              <w:bottom w:val="single" w:sz="6" w:space="0" w:color="auto"/>
            </w:tcBorders>
            <w:shd w:val="clear" w:color="auto" w:fill="67AE3C"/>
            <w:vAlign w:val="center"/>
          </w:tcPr>
          <w:p w14:paraId="724BB294" w14:textId="77777777" w:rsidR="003239B8" w:rsidRPr="00D247B2"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647" w:type="dxa"/>
            <w:vAlign w:val="center"/>
          </w:tcPr>
          <w:p w14:paraId="5D0EC05D" w14:textId="6C8270C4" w:rsidR="003239B8" w:rsidRPr="00D247B2" w:rsidRDefault="00263908" w:rsidP="008D2290">
            <w:pPr>
              <w:jc w:val="both"/>
              <w:rPr>
                <w:rFonts w:ascii="Cambria" w:hAnsi="Cambria"/>
                <w:bCs/>
                <w:sz w:val="20"/>
                <w:szCs w:val="20"/>
              </w:rPr>
            </w:pPr>
            <w:r>
              <w:rPr>
                <w:rFonts w:ascii="Cambria" w:hAnsi="Cambria"/>
                <w:sz w:val="20"/>
                <w:szCs w:val="20"/>
                <w:lang w:val="en"/>
              </w:rPr>
              <w:t>Colombia</w:t>
            </w:r>
            <w:r w:rsidR="00A912AE">
              <w:rPr>
                <w:rStyle w:val="FootnoteReference"/>
                <w:rFonts w:ascii="Cambria" w:hAnsi="Cambria"/>
                <w:sz w:val="20"/>
                <w:szCs w:val="20"/>
                <w:lang w:val="en"/>
              </w:rPr>
              <w:footnoteReference w:id="2"/>
            </w:r>
          </w:p>
        </w:tc>
      </w:tr>
      <w:tr w:rsidR="00223A29" w:rsidRPr="006C46CC" w14:paraId="256E66EF" w14:textId="77777777" w:rsidTr="003F6D10">
        <w:tc>
          <w:tcPr>
            <w:tcW w:w="3600" w:type="dxa"/>
            <w:tcBorders>
              <w:top w:val="single" w:sz="6" w:space="0" w:color="auto"/>
              <w:bottom w:val="single" w:sz="6" w:space="0" w:color="auto"/>
            </w:tcBorders>
            <w:shd w:val="clear" w:color="auto" w:fill="67AE3C"/>
            <w:vAlign w:val="center"/>
          </w:tcPr>
          <w:p w14:paraId="2551EB09" w14:textId="77777777" w:rsidR="00223A29" w:rsidRPr="00D247B2"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647" w:type="dxa"/>
            <w:vAlign w:val="center"/>
          </w:tcPr>
          <w:p w14:paraId="52B28392" w14:textId="0B3538EA" w:rsidR="00223A29" w:rsidRPr="00D247B2" w:rsidRDefault="002B7DF4" w:rsidP="008D2290">
            <w:pPr>
              <w:jc w:val="both"/>
              <w:rPr>
                <w:rFonts w:ascii="Cambria" w:hAnsi="Cambria"/>
                <w:bCs/>
                <w:sz w:val="20"/>
                <w:szCs w:val="20"/>
              </w:rPr>
            </w:pPr>
            <w:r>
              <w:rPr>
                <w:rFonts w:ascii="Cambria" w:hAnsi="Cambria"/>
                <w:sz w:val="20"/>
                <w:szCs w:val="20"/>
                <w:lang w:val="en"/>
              </w:rPr>
              <w:t>Articles 24 (equal protection) and 25 (judicial protection) of the American Convention on Human Rights,</w:t>
            </w:r>
            <w:r w:rsidR="00BA0538">
              <w:rPr>
                <w:rStyle w:val="FootnoteReference"/>
                <w:rFonts w:ascii="Cambria" w:hAnsi="Cambria"/>
                <w:sz w:val="20"/>
                <w:szCs w:val="20"/>
                <w:lang w:val="en"/>
              </w:rPr>
              <w:footnoteReference w:id="3"/>
            </w:r>
            <w:r>
              <w:rPr>
                <w:rFonts w:ascii="Cambria" w:hAnsi="Cambria"/>
                <w:sz w:val="20"/>
                <w:szCs w:val="20"/>
                <w:lang w:val="en"/>
              </w:rPr>
              <w:t xml:space="preserve"> read in conjunction with its articles 1(1) (obligation to respect rights) and 2 (duty to adopt domestic legal effects)</w:t>
            </w:r>
          </w:p>
        </w:tc>
      </w:tr>
    </w:tbl>
    <w:p w14:paraId="176FB213" w14:textId="021B8432" w:rsidR="003239B8" w:rsidRPr="00D247B2"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sidR="001D7083">
        <w:rPr>
          <w:rStyle w:val="FootnoteReference"/>
          <w:rFonts w:asciiTheme="majorHAnsi" w:hAnsiTheme="majorHAnsi"/>
          <w:b/>
          <w:bCs/>
          <w:sz w:val="20"/>
          <w:szCs w:val="20"/>
          <w:lang w:val="en"/>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D247B2" w14:paraId="1D831514" w14:textId="77777777" w:rsidTr="003F6D10">
        <w:tc>
          <w:tcPr>
            <w:tcW w:w="3600" w:type="dxa"/>
            <w:tcBorders>
              <w:top w:val="single" w:sz="6" w:space="0" w:color="auto"/>
              <w:bottom w:val="single" w:sz="6" w:space="0" w:color="auto"/>
            </w:tcBorders>
            <w:shd w:val="clear" w:color="auto" w:fill="67AE3C"/>
            <w:vAlign w:val="center"/>
          </w:tcPr>
          <w:p w14:paraId="330F2ED0" w14:textId="77777777" w:rsidR="0013241C" w:rsidRPr="00D247B2" w:rsidRDefault="0013241C" w:rsidP="0013241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Filing of the petition:</w:t>
            </w:r>
          </w:p>
        </w:tc>
        <w:tc>
          <w:tcPr>
            <w:tcW w:w="5647" w:type="dxa"/>
            <w:vAlign w:val="center"/>
          </w:tcPr>
          <w:p w14:paraId="6883A5F8" w14:textId="2B8A2486" w:rsidR="0013241C" w:rsidRPr="00D247B2" w:rsidRDefault="00AA09FD" w:rsidP="0013241C">
            <w:pPr>
              <w:jc w:val="both"/>
              <w:rPr>
                <w:rFonts w:ascii="Cambria" w:hAnsi="Cambria"/>
                <w:bCs/>
                <w:sz w:val="20"/>
                <w:szCs w:val="20"/>
              </w:rPr>
            </w:pPr>
            <w:r>
              <w:rPr>
                <w:rFonts w:ascii="Cambria" w:hAnsi="Cambria"/>
                <w:sz w:val="20"/>
                <w:szCs w:val="20"/>
                <w:lang w:val="en"/>
              </w:rPr>
              <w:t>April 28, 2014.</w:t>
            </w:r>
          </w:p>
        </w:tc>
      </w:tr>
      <w:tr w:rsidR="00537F5E" w:rsidRPr="00537F5E" w14:paraId="6A9025D9" w14:textId="77777777" w:rsidTr="003F6D10">
        <w:tc>
          <w:tcPr>
            <w:tcW w:w="3600" w:type="dxa"/>
            <w:tcBorders>
              <w:top w:val="single" w:sz="6" w:space="0" w:color="auto"/>
              <w:bottom w:val="single" w:sz="6" w:space="0" w:color="auto"/>
            </w:tcBorders>
            <w:shd w:val="clear" w:color="auto" w:fill="67AE3C"/>
            <w:vAlign w:val="center"/>
          </w:tcPr>
          <w:p w14:paraId="01B3581F" w14:textId="77777777" w:rsidR="00537F5E" w:rsidRPr="00D247B2" w:rsidRDefault="00537F5E" w:rsidP="00537F5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petition to the State:</w:t>
            </w:r>
          </w:p>
        </w:tc>
        <w:tc>
          <w:tcPr>
            <w:tcW w:w="5647" w:type="dxa"/>
            <w:vAlign w:val="center"/>
          </w:tcPr>
          <w:p w14:paraId="58485921" w14:textId="60339176" w:rsidR="00537F5E" w:rsidRPr="00BF79C9" w:rsidRDefault="004315A6" w:rsidP="00537F5E">
            <w:pPr>
              <w:jc w:val="both"/>
              <w:rPr>
                <w:rFonts w:ascii="Cambria" w:hAnsi="Cambria"/>
                <w:bCs/>
                <w:sz w:val="20"/>
                <w:szCs w:val="20"/>
              </w:rPr>
            </w:pPr>
            <w:r>
              <w:rPr>
                <w:rFonts w:ascii="Cambria" w:hAnsi="Cambria"/>
                <w:sz w:val="20"/>
                <w:szCs w:val="20"/>
                <w:lang w:val="en"/>
              </w:rPr>
              <w:t>October 15, 2019</w:t>
            </w:r>
          </w:p>
        </w:tc>
      </w:tr>
      <w:tr w:rsidR="00537F5E" w:rsidRPr="00D247B2" w14:paraId="6266A45B" w14:textId="77777777" w:rsidTr="003F6D10">
        <w:tc>
          <w:tcPr>
            <w:tcW w:w="3600" w:type="dxa"/>
            <w:tcBorders>
              <w:top w:val="single" w:sz="6" w:space="0" w:color="auto"/>
              <w:bottom w:val="single" w:sz="6" w:space="0" w:color="auto"/>
            </w:tcBorders>
            <w:shd w:val="clear" w:color="auto" w:fill="67AE3C"/>
            <w:vAlign w:val="center"/>
          </w:tcPr>
          <w:p w14:paraId="6B5AE69D" w14:textId="1ADECC27" w:rsidR="00537F5E" w:rsidRPr="00D247B2" w:rsidRDefault="00537F5E" w:rsidP="00537F5E">
            <w:pPr>
              <w:jc w:val="center"/>
              <w:rPr>
                <w:rFonts w:ascii="Cambria" w:hAnsi="Cambria"/>
                <w:b/>
                <w:color w:val="FFFFFF" w:themeColor="background1"/>
                <w:sz w:val="20"/>
                <w:szCs w:val="20"/>
              </w:rPr>
            </w:pPr>
            <w:r>
              <w:rPr>
                <w:rFonts w:ascii="Cambria" w:hAnsi="Cambria"/>
                <w:b/>
                <w:bCs/>
                <w:color w:val="FFFFFF" w:themeColor="background1"/>
                <w:sz w:val="20"/>
                <w:szCs w:val="20"/>
                <w:lang w:val="en"/>
              </w:rPr>
              <w:t>State’s first response:</w:t>
            </w:r>
          </w:p>
        </w:tc>
        <w:tc>
          <w:tcPr>
            <w:tcW w:w="5647" w:type="dxa"/>
            <w:vAlign w:val="center"/>
          </w:tcPr>
          <w:p w14:paraId="194E0D73" w14:textId="7CB418A6" w:rsidR="00537F5E" w:rsidRPr="00D247B2" w:rsidRDefault="004315A6" w:rsidP="00537F5E">
            <w:pPr>
              <w:jc w:val="both"/>
              <w:rPr>
                <w:rFonts w:ascii="Cambria" w:hAnsi="Cambria"/>
                <w:bCs/>
                <w:sz w:val="20"/>
                <w:szCs w:val="20"/>
              </w:rPr>
            </w:pPr>
            <w:r>
              <w:rPr>
                <w:rFonts w:ascii="Cambria" w:hAnsi="Cambria"/>
                <w:sz w:val="20"/>
                <w:szCs w:val="20"/>
                <w:lang w:val="en"/>
              </w:rPr>
              <w:t>September 18, 2020.</w:t>
            </w:r>
          </w:p>
        </w:tc>
      </w:tr>
      <w:tr w:rsidR="00537F5E" w:rsidRPr="006C46CC" w14:paraId="79F72BD3" w14:textId="77777777" w:rsidTr="003F6D10">
        <w:tc>
          <w:tcPr>
            <w:tcW w:w="3600" w:type="dxa"/>
            <w:tcBorders>
              <w:top w:val="single" w:sz="6" w:space="0" w:color="auto"/>
              <w:bottom w:val="single" w:sz="6" w:space="0" w:color="auto"/>
            </w:tcBorders>
            <w:shd w:val="clear" w:color="auto" w:fill="67AE3C"/>
            <w:vAlign w:val="center"/>
          </w:tcPr>
          <w:p w14:paraId="60AE8C81" w14:textId="457246D5" w:rsidR="00537F5E" w:rsidRPr="00D247B2" w:rsidRDefault="004315A6" w:rsidP="00537F5E">
            <w:pPr>
              <w:jc w:val="center"/>
              <w:rPr>
                <w:rFonts w:ascii="Cambria" w:hAnsi="Cambria"/>
                <w:b/>
                <w:color w:val="FFFFFF" w:themeColor="background1"/>
                <w:sz w:val="20"/>
                <w:szCs w:val="20"/>
              </w:rPr>
            </w:pPr>
            <w:r>
              <w:rPr>
                <w:rFonts w:ascii="Cambria" w:hAnsi="Cambria"/>
                <w:b/>
                <w:bCs/>
                <w:color w:val="FFFFFF" w:themeColor="background1"/>
                <w:sz w:val="20"/>
                <w:szCs w:val="20"/>
                <w:lang w:val="en"/>
              </w:rPr>
              <w:t xml:space="preserve">Additional comments from the petitioner: </w:t>
            </w:r>
          </w:p>
        </w:tc>
        <w:tc>
          <w:tcPr>
            <w:tcW w:w="5647" w:type="dxa"/>
            <w:vAlign w:val="center"/>
          </w:tcPr>
          <w:p w14:paraId="23511DF6" w14:textId="29D9009A" w:rsidR="00537F5E" w:rsidRPr="00D247B2" w:rsidRDefault="004315A6" w:rsidP="00537F5E">
            <w:pPr>
              <w:jc w:val="both"/>
              <w:rPr>
                <w:rFonts w:ascii="Cambria" w:hAnsi="Cambria"/>
                <w:bCs/>
                <w:sz w:val="20"/>
                <w:szCs w:val="20"/>
              </w:rPr>
            </w:pPr>
            <w:r>
              <w:rPr>
                <w:rFonts w:ascii="Cambria" w:hAnsi="Cambria"/>
                <w:sz w:val="20"/>
                <w:szCs w:val="20"/>
                <w:lang w:val="en"/>
              </w:rPr>
              <w:t>January 13, October 21 and 22, and December 8, 2020; February 9, April 28, and May 3, 2021</w:t>
            </w:r>
          </w:p>
        </w:tc>
      </w:tr>
      <w:tr w:rsidR="00537F5E" w:rsidRPr="00BF79C9" w14:paraId="4461743C" w14:textId="77777777" w:rsidTr="003F6D10">
        <w:tc>
          <w:tcPr>
            <w:tcW w:w="3600" w:type="dxa"/>
            <w:tcBorders>
              <w:top w:val="single" w:sz="6" w:space="0" w:color="auto"/>
              <w:bottom w:val="single" w:sz="6" w:space="0" w:color="auto"/>
            </w:tcBorders>
            <w:shd w:val="clear" w:color="auto" w:fill="67AE3C"/>
            <w:vAlign w:val="center"/>
          </w:tcPr>
          <w:p w14:paraId="43725DA3" w14:textId="3BC5EE87" w:rsidR="00537F5E" w:rsidRPr="00D247B2" w:rsidRDefault="004315A6" w:rsidP="00537F5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observations from the State:</w:t>
            </w:r>
          </w:p>
        </w:tc>
        <w:tc>
          <w:tcPr>
            <w:tcW w:w="5647" w:type="dxa"/>
            <w:vAlign w:val="center"/>
          </w:tcPr>
          <w:p w14:paraId="157F014C" w14:textId="434C30DD" w:rsidR="00537F5E" w:rsidRPr="00D247B2" w:rsidRDefault="004315A6" w:rsidP="00537F5E">
            <w:pPr>
              <w:jc w:val="both"/>
              <w:rPr>
                <w:rFonts w:ascii="Cambria" w:hAnsi="Cambria"/>
                <w:bCs/>
                <w:sz w:val="20"/>
                <w:szCs w:val="20"/>
              </w:rPr>
            </w:pPr>
            <w:r>
              <w:rPr>
                <w:rFonts w:ascii="Cambria" w:hAnsi="Cambria"/>
                <w:sz w:val="20"/>
                <w:szCs w:val="20"/>
                <w:lang w:val="en"/>
              </w:rPr>
              <w:t>November 24, 2020.</w:t>
            </w:r>
          </w:p>
        </w:tc>
      </w:tr>
    </w:tbl>
    <w:p w14:paraId="0FC6E9E8" w14:textId="77777777" w:rsidR="003239B8" w:rsidRPr="00D247B2"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247B2" w14:paraId="7D299FC7" w14:textId="77777777" w:rsidTr="003F6D10">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D247B2"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760" w:type="dxa"/>
            <w:vAlign w:val="center"/>
          </w:tcPr>
          <w:p w14:paraId="1E494D5D" w14:textId="58526B09" w:rsidR="003239B8" w:rsidRPr="00D247B2" w:rsidRDefault="003F7558" w:rsidP="008D2290">
            <w:pPr>
              <w:rPr>
                <w:rFonts w:ascii="Cambria" w:hAnsi="Cambria"/>
                <w:bCs/>
                <w:sz w:val="20"/>
                <w:szCs w:val="20"/>
              </w:rPr>
            </w:pPr>
            <w:r>
              <w:rPr>
                <w:rFonts w:ascii="Cambria" w:hAnsi="Cambria"/>
                <w:sz w:val="20"/>
                <w:szCs w:val="20"/>
                <w:lang w:val="en"/>
              </w:rPr>
              <w:t>Yes</w:t>
            </w:r>
          </w:p>
        </w:tc>
      </w:tr>
      <w:tr w:rsidR="003239B8" w:rsidRPr="00D247B2" w14:paraId="54503A4F" w14:textId="77777777" w:rsidTr="003F6D10">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D247B2"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760" w:type="dxa"/>
            <w:vAlign w:val="center"/>
          </w:tcPr>
          <w:p w14:paraId="77C8256A" w14:textId="1C5BA74B" w:rsidR="003239B8" w:rsidRPr="00D247B2" w:rsidRDefault="003F7558" w:rsidP="008D2290">
            <w:pPr>
              <w:rPr>
                <w:rFonts w:ascii="Cambria" w:hAnsi="Cambria"/>
                <w:bCs/>
                <w:sz w:val="20"/>
                <w:szCs w:val="20"/>
              </w:rPr>
            </w:pPr>
            <w:r>
              <w:rPr>
                <w:rFonts w:ascii="Cambria" w:hAnsi="Cambria"/>
                <w:sz w:val="20"/>
                <w:szCs w:val="20"/>
                <w:lang w:val="en"/>
              </w:rPr>
              <w:t>Yes</w:t>
            </w:r>
          </w:p>
        </w:tc>
      </w:tr>
      <w:tr w:rsidR="003239B8" w:rsidRPr="00D247B2" w14:paraId="6618D96A" w14:textId="77777777" w:rsidTr="003F6D10">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D247B2"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5760" w:type="dxa"/>
            <w:vAlign w:val="center"/>
          </w:tcPr>
          <w:p w14:paraId="523F6BD6" w14:textId="07E41812" w:rsidR="003239B8" w:rsidRPr="00D247B2" w:rsidRDefault="003F7558" w:rsidP="008D2290">
            <w:pPr>
              <w:rPr>
                <w:rFonts w:ascii="Cambria" w:hAnsi="Cambria"/>
                <w:bCs/>
                <w:sz w:val="20"/>
                <w:szCs w:val="20"/>
              </w:rPr>
            </w:pPr>
            <w:r>
              <w:rPr>
                <w:rFonts w:ascii="Cambria" w:hAnsi="Cambria"/>
                <w:sz w:val="20"/>
                <w:szCs w:val="20"/>
                <w:lang w:val="en"/>
              </w:rPr>
              <w:t>Yes</w:t>
            </w:r>
          </w:p>
        </w:tc>
      </w:tr>
      <w:tr w:rsidR="003239B8" w:rsidRPr="006C46CC" w14:paraId="34C2A0A9" w14:textId="77777777" w:rsidTr="003F6D10">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D247B2"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5760" w:type="dxa"/>
            <w:vAlign w:val="center"/>
          </w:tcPr>
          <w:p w14:paraId="257C8337" w14:textId="3384A0E3" w:rsidR="003239B8" w:rsidRPr="00D247B2" w:rsidRDefault="003F7558" w:rsidP="008D2290">
            <w:pPr>
              <w:jc w:val="both"/>
              <w:rPr>
                <w:rFonts w:ascii="Cambria" w:hAnsi="Cambria"/>
                <w:bCs/>
                <w:sz w:val="20"/>
                <w:szCs w:val="20"/>
              </w:rPr>
            </w:pPr>
            <w:r>
              <w:rPr>
                <w:rFonts w:ascii="Cambria" w:hAnsi="Cambria"/>
                <w:sz w:val="20"/>
                <w:szCs w:val="20"/>
                <w:lang w:val="en"/>
              </w:rPr>
              <w:t xml:space="preserve">Yes, American Convention (ratification instrument deposited on July 31, 1973) </w:t>
            </w:r>
          </w:p>
        </w:tc>
      </w:tr>
    </w:tbl>
    <w:p w14:paraId="299A3868" w14:textId="6EF36770" w:rsidR="003239B8" w:rsidRPr="00D247B2" w:rsidRDefault="003239B8" w:rsidP="00DD131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247B2" w14:paraId="161C8568" w14:textId="77777777" w:rsidTr="003F6D10">
        <w:trPr>
          <w:cantSplit/>
        </w:trPr>
        <w:tc>
          <w:tcPr>
            <w:tcW w:w="3565" w:type="dxa"/>
            <w:tcBorders>
              <w:top w:val="single" w:sz="4" w:space="0" w:color="auto"/>
              <w:bottom w:val="single" w:sz="6" w:space="0" w:color="auto"/>
            </w:tcBorders>
            <w:shd w:val="clear" w:color="auto" w:fill="67AE3C"/>
            <w:vAlign w:val="center"/>
          </w:tcPr>
          <w:p w14:paraId="1C72AC6C" w14:textId="77777777" w:rsidR="00EE00E9" w:rsidRPr="00D247B2" w:rsidRDefault="00EE00E9"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677" w:type="dxa"/>
            <w:vAlign w:val="center"/>
          </w:tcPr>
          <w:p w14:paraId="764D7F60" w14:textId="05828C6E" w:rsidR="00EE00E9" w:rsidRPr="00D247B2" w:rsidRDefault="003A5C21" w:rsidP="008D2290">
            <w:pPr>
              <w:jc w:val="both"/>
              <w:rPr>
                <w:rFonts w:ascii="Cambria" w:hAnsi="Cambria"/>
                <w:bCs/>
                <w:sz w:val="20"/>
                <w:szCs w:val="20"/>
              </w:rPr>
            </w:pPr>
            <w:r>
              <w:rPr>
                <w:rFonts w:ascii="Cambria" w:hAnsi="Cambria"/>
                <w:sz w:val="20"/>
                <w:szCs w:val="20"/>
                <w:lang w:val="en"/>
              </w:rPr>
              <w:t>No</w:t>
            </w:r>
          </w:p>
        </w:tc>
      </w:tr>
      <w:tr w:rsidR="00F866C0" w:rsidRPr="006C46CC" w14:paraId="3ED57BF3" w14:textId="77777777" w:rsidTr="003F6D10">
        <w:trPr>
          <w:cantSplit/>
        </w:trPr>
        <w:tc>
          <w:tcPr>
            <w:tcW w:w="3565" w:type="dxa"/>
            <w:tcBorders>
              <w:top w:val="single" w:sz="4" w:space="0" w:color="auto"/>
              <w:bottom w:val="single" w:sz="6" w:space="0" w:color="auto"/>
            </w:tcBorders>
            <w:shd w:val="clear" w:color="auto" w:fill="67AE3C"/>
            <w:vAlign w:val="center"/>
          </w:tcPr>
          <w:p w14:paraId="5F36A040" w14:textId="77777777" w:rsidR="00F866C0" w:rsidRPr="00D247B2" w:rsidRDefault="00F866C0" w:rsidP="00F866C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5677" w:type="dxa"/>
            <w:shd w:val="clear" w:color="auto" w:fill="auto"/>
            <w:vAlign w:val="center"/>
          </w:tcPr>
          <w:p w14:paraId="4DAE9D4D" w14:textId="4FE9A782" w:rsidR="000B55D2" w:rsidRPr="00C8633A" w:rsidRDefault="00C8633A" w:rsidP="00F866C0">
            <w:pPr>
              <w:jc w:val="both"/>
              <w:rPr>
                <w:rFonts w:asciiTheme="majorHAnsi" w:hAnsiTheme="majorHAnsi"/>
                <w:bCs/>
                <w:sz w:val="20"/>
                <w:szCs w:val="20"/>
              </w:rPr>
            </w:pPr>
            <w:r>
              <w:rPr>
                <w:rFonts w:asciiTheme="majorHAnsi" w:hAnsiTheme="majorHAnsi"/>
                <w:sz w:val="20"/>
                <w:szCs w:val="20"/>
                <w:lang w:val="en"/>
              </w:rPr>
              <w:t>Articles 8 (judicial guarantees), 23 (right to participate in government), 24 (judicial protection), 25 (judicial protection) and 26 (economic, social and cultural rights) of the American Convention, read in conjunction with articles 1(1) (obligation to respect rights) and 2 (duty to adopt domestic legal effects)</w:t>
            </w:r>
          </w:p>
        </w:tc>
      </w:tr>
      <w:tr w:rsidR="00F866C0" w:rsidRPr="006C46CC" w14:paraId="5702249F" w14:textId="77777777" w:rsidTr="003F6D10">
        <w:trPr>
          <w:cantSplit/>
        </w:trPr>
        <w:tc>
          <w:tcPr>
            <w:tcW w:w="3565" w:type="dxa"/>
            <w:tcBorders>
              <w:top w:val="single" w:sz="6" w:space="0" w:color="auto"/>
              <w:bottom w:val="single" w:sz="6" w:space="0" w:color="auto"/>
            </w:tcBorders>
            <w:shd w:val="clear" w:color="auto" w:fill="67AE3C"/>
            <w:vAlign w:val="center"/>
          </w:tcPr>
          <w:p w14:paraId="1F00DF1D" w14:textId="77777777" w:rsidR="00F866C0" w:rsidRPr="00D247B2" w:rsidRDefault="00F866C0" w:rsidP="00F866C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applicability of an exception to the rule:</w:t>
            </w:r>
          </w:p>
        </w:tc>
        <w:tc>
          <w:tcPr>
            <w:tcW w:w="5677" w:type="dxa"/>
            <w:vAlign w:val="center"/>
          </w:tcPr>
          <w:p w14:paraId="7F7C1A19" w14:textId="3C43E809" w:rsidR="00F866C0" w:rsidRPr="00D247B2" w:rsidRDefault="006C6B92" w:rsidP="00F866C0">
            <w:pPr>
              <w:rPr>
                <w:rFonts w:ascii="Cambria" w:hAnsi="Cambria"/>
                <w:bCs/>
                <w:sz w:val="20"/>
                <w:szCs w:val="20"/>
              </w:rPr>
            </w:pPr>
            <w:r>
              <w:rPr>
                <w:rFonts w:ascii="Cambria" w:hAnsi="Cambria"/>
                <w:sz w:val="20"/>
                <w:szCs w:val="20"/>
                <w:lang w:val="en"/>
              </w:rPr>
              <w:t>Yes, October 31, 2013</w:t>
            </w:r>
          </w:p>
        </w:tc>
      </w:tr>
      <w:tr w:rsidR="00F866C0" w:rsidRPr="006C46CC" w14:paraId="7A101B89" w14:textId="77777777" w:rsidTr="003F6D10">
        <w:trPr>
          <w:cantSplit/>
        </w:trPr>
        <w:tc>
          <w:tcPr>
            <w:tcW w:w="3565" w:type="dxa"/>
            <w:tcBorders>
              <w:top w:val="single" w:sz="6" w:space="0" w:color="auto"/>
              <w:bottom w:val="single" w:sz="6" w:space="0" w:color="auto"/>
            </w:tcBorders>
            <w:shd w:val="clear" w:color="auto" w:fill="67AE3C"/>
            <w:vAlign w:val="center"/>
          </w:tcPr>
          <w:p w14:paraId="0843C533" w14:textId="77777777" w:rsidR="00F866C0" w:rsidRPr="00D247B2" w:rsidRDefault="00F866C0" w:rsidP="00F866C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677" w:type="dxa"/>
            <w:vAlign w:val="center"/>
          </w:tcPr>
          <w:p w14:paraId="2AF0FC69" w14:textId="66BBF857" w:rsidR="00F866C0" w:rsidRPr="00D247B2" w:rsidRDefault="006C6B92" w:rsidP="00F866C0">
            <w:pPr>
              <w:rPr>
                <w:rFonts w:ascii="Cambria" w:hAnsi="Cambria"/>
                <w:bCs/>
                <w:sz w:val="20"/>
                <w:szCs w:val="20"/>
              </w:rPr>
            </w:pPr>
            <w:r>
              <w:rPr>
                <w:rFonts w:ascii="Cambria" w:hAnsi="Cambria"/>
                <w:sz w:val="20"/>
                <w:szCs w:val="20"/>
                <w:lang w:val="en"/>
              </w:rPr>
              <w:t>Yes, April 28, 2014</w:t>
            </w:r>
          </w:p>
        </w:tc>
      </w:tr>
    </w:tbl>
    <w:p w14:paraId="0906792D" w14:textId="77777777" w:rsidR="00FA28D0" w:rsidRDefault="00152ECD" w:rsidP="00152ECD">
      <w:pPr>
        <w:ind w:firstLine="720"/>
        <w:rPr>
          <w:rFonts w:asciiTheme="majorHAnsi" w:hAnsiTheme="majorHAnsi"/>
          <w:sz w:val="20"/>
          <w:szCs w:val="20"/>
          <w:lang w:val="en"/>
        </w:rPr>
      </w:pPr>
      <w:r>
        <w:rPr>
          <w:rFonts w:asciiTheme="majorHAnsi" w:hAnsiTheme="majorHAnsi"/>
          <w:sz w:val="20"/>
          <w:szCs w:val="20"/>
          <w:lang w:val="en"/>
        </w:rPr>
        <w:br w:type="page"/>
      </w:r>
    </w:p>
    <w:p w14:paraId="78723E10" w14:textId="77777777" w:rsidR="00FA28D0" w:rsidRDefault="00FA28D0" w:rsidP="00152ECD">
      <w:pPr>
        <w:ind w:firstLine="720"/>
        <w:rPr>
          <w:rFonts w:asciiTheme="majorHAnsi" w:hAnsiTheme="majorHAnsi"/>
          <w:sz w:val="20"/>
          <w:szCs w:val="20"/>
          <w:lang w:val="en"/>
        </w:rPr>
      </w:pPr>
    </w:p>
    <w:p w14:paraId="4EB49952" w14:textId="77777777" w:rsidR="00166F21" w:rsidRDefault="00166F21" w:rsidP="00152ECD">
      <w:pPr>
        <w:ind w:firstLine="720"/>
        <w:rPr>
          <w:rFonts w:asciiTheme="majorHAnsi" w:hAnsiTheme="majorHAnsi"/>
          <w:sz w:val="20"/>
          <w:szCs w:val="20"/>
          <w:lang w:val="en"/>
        </w:rPr>
      </w:pPr>
    </w:p>
    <w:p w14:paraId="4A80A008" w14:textId="586366F9" w:rsidR="009F3EDF" w:rsidRPr="001C105E" w:rsidRDefault="00152ECD" w:rsidP="00152ECD">
      <w:pPr>
        <w:ind w:firstLine="720"/>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 xml:space="preserve">FACTS ALLEGED </w:t>
      </w:r>
    </w:p>
    <w:p w14:paraId="4544E172" w14:textId="454821EC" w:rsidR="001C0A13" w:rsidRPr="001C105E" w:rsidRDefault="001870B3" w:rsidP="001C0A13">
      <w:pPr>
        <w:pStyle w:val="ListParagraph"/>
        <w:spacing w:before="240" w:after="240"/>
        <w:ind w:left="709"/>
        <w:jc w:val="both"/>
        <w:rPr>
          <w:rFonts w:asciiTheme="majorHAnsi" w:hAnsiTheme="majorHAnsi"/>
          <w:bCs/>
          <w:i/>
          <w:iCs/>
          <w:sz w:val="20"/>
          <w:szCs w:val="20"/>
        </w:rPr>
      </w:pPr>
      <w:r>
        <w:rPr>
          <w:rFonts w:asciiTheme="majorHAnsi" w:hAnsiTheme="majorHAnsi"/>
          <w:i/>
          <w:iCs/>
          <w:sz w:val="20"/>
          <w:szCs w:val="20"/>
          <w:lang w:val="en"/>
        </w:rPr>
        <w:t>The petitioner</w:t>
      </w:r>
    </w:p>
    <w:p w14:paraId="279F5FEE" w14:textId="389079DD" w:rsidR="006016D9" w:rsidRPr="001C105E" w:rsidRDefault="00DA2DE1" w:rsidP="00867B29">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sz w:val="20"/>
          <w:szCs w:val="20"/>
          <w:lang w:val="en"/>
        </w:rPr>
        <w:t>Hernan</w:t>
      </w:r>
      <w:r w:rsidR="006016D9">
        <w:rPr>
          <w:rFonts w:asciiTheme="majorHAnsi" w:hAnsiTheme="majorHAnsi"/>
          <w:sz w:val="20"/>
          <w:szCs w:val="20"/>
          <w:lang w:val="en"/>
        </w:rPr>
        <w:t xml:space="preserve"> </w:t>
      </w:r>
      <w:r>
        <w:rPr>
          <w:rFonts w:asciiTheme="majorHAnsi" w:hAnsiTheme="majorHAnsi"/>
          <w:sz w:val="20"/>
          <w:szCs w:val="20"/>
          <w:lang w:val="en"/>
        </w:rPr>
        <w:t>Elias</w:t>
      </w:r>
      <w:r w:rsidR="006016D9">
        <w:rPr>
          <w:rFonts w:asciiTheme="majorHAnsi" w:hAnsiTheme="majorHAnsi"/>
          <w:sz w:val="20"/>
          <w:szCs w:val="20"/>
          <w:lang w:val="en"/>
        </w:rPr>
        <w:t xml:space="preserve"> Salazar Restrepo (hereinafter, "Mr. Salazar" or the "petitioner") alleges that the State is internationally responsible for his arbitrary dismissal as an investigator of the Technical Investigation Corps of the Office of the Attorney General of the Nation, arguing that the decision was not duly grounded and based solely on the provisional nature of the position. The subsequent appeals filed by the petitioner were rejected in the ordinary and constitutional jurisdictions.</w:t>
      </w:r>
    </w:p>
    <w:p w14:paraId="36EE9839" w14:textId="57DAB226" w:rsidR="006C7E0F" w:rsidRPr="001C105E" w:rsidRDefault="006C7E0F" w:rsidP="006C7E0F">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hAnsiTheme="majorHAnsi"/>
          <w:sz w:val="20"/>
          <w:szCs w:val="20"/>
          <w:lang w:val="en"/>
        </w:rPr>
        <w:t xml:space="preserve">The petitioner states that on June 30, 1992, he joined the Office of the Attorney General of the Nation (FGN) on a provisional basis in the position of grade seven clerk. Subsequently, via Order 0-0935 of April 17, 1996, he was provisionally appointed as Judicial Investigator 1, assigned to the Sectional Directorate of the Technical Investigation Corps of the FGN, a position which he began on May 7, 1996. Six years later, through Order 0-0031 of January 15, 2003, the Attorney General's Office vacated his appointment as Judicial Investigator 1. </w:t>
      </w:r>
    </w:p>
    <w:p w14:paraId="1CA8FAAF" w14:textId="596A91EE" w:rsidR="002D3829" w:rsidRPr="001C105E" w:rsidRDefault="006C7E0F" w:rsidP="00D90F13">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eastAsia="Arial Unicode MS" w:hAnsiTheme="majorHAnsi"/>
          <w:sz w:val="20"/>
          <w:szCs w:val="20"/>
          <w:lang w:val="en"/>
        </w:rPr>
        <w:t>In response to this institutional decision, on January 31, 2003, Mr. Salazar asked the Attorney General of the Nation to reconsider the aforementioned order. However, through an official letter dated February 7, 2003, the General Secretariat of that entity determined that due to his provisional status, Mr. Salazar could be freely appointed and removed in accordance with the provisions of article 251 of the Constitution.</w:t>
      </w:r>
      <w:r w:rsidR="001C65EC">
        <w:rPr>
          <w:rStyle w:val="FootnoteReference"/>
          <w:rFonts w:asciiTheme="majorHAnsi" w:eastAsia="Arial Unicode MS" w:hAnsiTheme="majorHAnsi"/>
          <w:sz w:val="20"/>
          <w:szCs w:val="20"/>
          <w:lang w:val="en"/>
        </w:rPr>
        <w:footnoteReference w:id="5"/>
      </w:r>
      <w:r>
        <w:rPr>
          <w:rFonts w:asciiTheme="majorHAnsi" w:eastAsia="Arial Unicode MS" w:hAnsiTheme="majorHAnsi"/>
          <w:sz w:val="20"/>
          <w:szCs w:val="20"/>
          <w:lang w:val="en"/>
        </w:rPr>
        <w:t xml:space="preserve"> </w:t>
      </w:r>
    </w:p>
    <w:p w14:paraId="47D96C8C" w14:textId="062DB0DF" w:rsidR="00921CDB" w:rsidRPr="001C105E" w:rsidRDefault="00921CDB" w:rsidP="00D90F13">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eastAsia="Arial Unicode MS" w:hAnsiTheme="majorHAnsi"/>
          <w:sz w:val="20"/>
          <w:szCs w:val="20"/>
          <w:lang w:val="en"/>
        </w:rPr>
        <w:t>As he disagreed with this, on June 18, 2003, Mr. Salazar filed an action for annulment and reestablishment of rights. However, in a judgment of December 4, 2009, the 29th Administrative Court of the Medellín Circuit denied his claims, finding that he did not demonstrate that an alleged abuse of office had been committed in dismissing him from his position. Mr. Salazar appealed this decision before the Administrative Court of Antioquia. However, in a decision of its Decongestion Chamber (Labor Subsection), issued on June 21, 2012, the court fully upheld the appealed decision.</w:t>
      </w:r>
    </w:p>
    <w:p w14:paraId="1A9EC7CA" w14:textId="63CF2583" w:rsidR="00856DC6" w:rsidRPr="001C105E" w:rsidRDefault="00FE318C" w:rsidP="00FD4FB9">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eastAsia="Arial Unicode MS" w:hAnsiTheme="majorHAnsi"/>
          <w:sz w:val="20"/>
          <w:szCs w:val="20"/>
          <w:lang w:val="en"/>
        </w:rPr>
        <w:t>ubsequently, on January 16, 2013, the petitioner filed suit for constitutional protection before the Council of State, alleging violation of his fundamental rights inasmuch as the trial and appeals court rulings did not apply the case law established by the Constitutional Court recognizing that the fundamental rights of other former officials of the Attorney General's Office had been violated when they were removed from service without justification.</w:t>
      </w:r>
    </w:p>
    <w:p w14:paraId="7D577429" w14:textId="78C98B87" w:rsidR="00856DC6" w:rsidRPr="00166F21" w:rsidRDefault="00A9011A" w:rsidP="00856DC6">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hAnsiTheme="majorHAnsi"/>
          <w:sz w:val="20"/>
          <w:szCs w:val="20"/>
          <w:lang w:val="en"/>
        </w:rPr>
        <w:t xml:space="preserve">However, in a judgment of March 7, 2013, the Adversarial Administrative Chamber, Second Section, Subsection B of the Council of State rejected the suit for constitutional protection, stating, among things, the following: "[...] Upon reviewing the rulings under appeal, it is observed that the trial and appeals court judges issued their rulings in full observance of the vertical precedent set by the high court of the Administrative Disputes Jurisdiction, upon finding that acts to remove the individual from a position held on a provisional basis, pursuant to Law 443 of 1998, did not require grounds [...]." </w:t>
      </w:r>
    </w:p>
    <w:p w14:paraId="6CD97602" w14:textId="77777777" w:rsidR="00166F21" w:rsidRDefault="00166F21" w:rsidP="00166F21">
      <w:pPr>
        <w:spacing w:before="240" w:after="240"/>
        <w:jc w:val="both"/>
        <w:rPr>
          <w:rFonts w:asciiTheme="majorHAnsi" w:hAnsiTheme="majorHAnsi"/>
          <w:sz w:val="20"/>
          <w:szCs w:val="20"/>
        </w:rPr>
      </w:pPr>
    </w:p>
    <w:p w14:paraId="7A7E63AA" w14:textId="77777777" w:rsidR="00166F21" w:rsidRDefault="00166F21" w:rsidP="00166F21">
      <w:pPr>
        <w:spacing w:before="240" w:after="240"/>
        <w:jc w:val="both"/>
        <w:rPr>
          <w:rFonts w:asciiTheme="majorHAnsi" w:hAnsiTheme="majorHAnsi"/>
          <w:sz w:val="20"/>
          <w:szCs w:val="20"/>
        </w:rPr>
      </w:pPr>
    </w:p>
    <w:p w14:paraId="088292F6" w14:textId="77777777" w:rsidR="00166F21" w:rsidRDefault="00166F21" w:rsidP="00166F21">
      <w:pPr>
        <w:spacing w:before="240" w:after="240"/>
        <w:jc w:val="both"/>
        <w:rPr>
          <w:rFonts w:asciiTheme="majorHAnsi" w:hAnsiTheme="majorHAnsi"/>
          <w:sz w:val="20"/>
          <w:szCs w:val="20"/>
        </w:rPr>
      </w:pPr>
    </w:p>
    <w:p w14:paraId="09AD0B58" w14:textId="28CB85A1" w:rsidR="007A7496" w:rsidRPr="001C105E" w:rsidRDefault="00856DC6" w:rsidP="007A7496">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hAnsiTheme="majorHAnsi"/>
          <w:sz w:val="20"/>
          <w:szCs w:val="20"/>
          <w:lang w:val="en"/>
        </w:rPr>
        <w:lastRenderedPageBreak/>
        <w:t xml:space="preserve">Mr. Salazar appealed this denial of constitutional protection before the Council of State, but on June 13, 2013, the Fourth Section of the court’s Adversarial Administrative Chamber upheld the judgment and determined that the suit failed to meet the immediacy requirement, considering that the appeal court judgment in question, issued within the adversarial-administrative process, was issued on June 21, 2012, and notified by edict on July 14, 2012; however, the suit for constitutional protection was filed on January 16, 2013, that is to say, almost seven months after receiving notification. Regarding immediacy, the Council of State found as follows: </w:t>
      </w:r>
    </w:p>
    <w:p w14:paraId="383D46B2" w14:textId="6CBE8D9E" w:rsidR="007A7496" w:rsidRPr="001C105E" w:rsidRDefault="00834F63" w:rsidP="007A74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Pr>
          <w:rFonts w:ascii="Cambria" w:hAnsi="Cambria"/>
          <w:sz w:val="18"/>
          <w:szCs w:val="18"/>
          <w:lang w:val="en"/>
        </w:rPr>
        <w:t xml:space="preserve">[...] Consequently, although the constitutional protection action does not have a statute of limitations, it must be taken into account that "the immediacy with which the action is exercised is a determining factor in the judgment, because although there is no deadline for filing the action, in any case, due to its nature, the purpose of the protection, and the aim of the judicial defense mechanism, any suit for political protection must be filed within a reasonable period of time, which makes it possible to immediately protect the fundamental right indicated in article 86 of the Political Constitution.” Therefore, the requirement of immediacy is a prerequisite for a suit for constitutional protection to be granted, since it prevents “this constitutional mechanism from being used as a tool that permits actors to be negligent or indifferent, or foster legal uncertainty.” - Quote from judgment T-123 of 2007, issued by the Colombian Constitutional Court. </w:t>
      </w:r>
    </w:p>
    <w:p w14:paraId="5C8648D7" w14:textId="1799D7CD" w:rsidR="007A7496" w:rsidRPr="001C105E" w:rsidRDefault="007A7496" w:rsidP="007A74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Pr>
          <w:rFonts w:ascii="Cambria" w:hAnsi="Cambria"/>
          <w:sz w:val="18"/>
          <w:szCs w:val="18"/>
          <w:lang w:val="en"/>
        </w:rPr>
        <w:t>Therefore, anyone interested in seeking constitutional protection for fundamental rights must file suit for protection upon learning of consolidation of the fact, act, or omission constituting the violation or threat, as that moment marks the starting point for analyzing whether the suit was filed in a timely manner. An unjustified delay in filing suit undermines the purpose of the constitutional protection, rendering it inadmissible.</w:t>
      </w:r>
    </w:p>
    <w:p w14:paraId="29CC5579" w14:textId="6E977270" w:rsidR="00537F5E" w:rsidRPr="001C105E" w:rsidRDefault="00506DE8" w:rsidP="00FD4FB9">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hAnsiTheme="majorHAnsi"/>
          <w:sz w:val="20"/>
          <w:szCs w:val="20"/>
          <w:lang w:val="en"/>
        </w:rPr>
        <w:t>In the aforementioned judgment, the Council of State referred the constitutional protection case file to the Constitutional Court for review; however, in an order of October 31, 2013, the court issued notification that the suit for constitutional protection had not been selected for review.</w:t>
      </w:r>
    </w:p>
    <w:p w14:paraId="573B15EA" w14:textId="1A022FBC" w:rsidR="00141D91" w:rsidRPr="001C105E" w:rsidRDefault="00C6741E" w:rsidP="00EE413A">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hAnsiTheme="majorHAnsi"/>
          <w:sz w:val="20"/>
          <w:szCs w:val="20"/>
          <w:lang w:val="en"/>
        </w:rPr>
        <w:t xml:space="preserve">In sum, the petitioner alleges that the decision that terminated his appointment as an investigator of the Sectional Directorate of the Technical Investigation Corps of the Office of the Attorney General of the Nation was not duly grounded. In addition, he argues that in the framework of both the adversarial-administrative process and in the constitutional protection process, domestic courts did not adhere to the standards set by the Constitutional Court in similar cases, where it determined that the power to freely appoint and remove does not supersede the obligation to duly ground decisions to remove officials appointed on a provisional basis, specifically citing judgment T-456A of 2011 handed down by the Constitutional Court. He therefore alleges a violation of his rights to judicial guarantees, equal protection, and judicial protection enshrined in articles 24 and 25 of the American Convention. </w:t>
      </w:r>
    </w:p>
    <w:p w14:paraId="396E9FDB" w14:textId="3A822247" w:rsidR="003C4B30" w:rsidRPr="001C105E" w:rsidRDefault="00A63EC6" w:rsidP="00F800C9">
      <w:pPr>
        <w:pStyle w:val="ListParagraph"/>
        <w:spacing w:before="240" w:after="240"/>
        <w:ind w:left="709"/>
        <w:jc w:val="both"/>
        <w:rPr>
          <w:rFonts w:asciiTheme="majorHAnsi" w:hAnsiTheme="majorHAnsi"/>
          <w:sz w:val="20"/>
          <w:szCs w:val="20"/>
        </w:rPr>
      </w:pPr>
      <w:r>
        <w:rPr>
          <w:rFonts w:asciiTheme="majorHAnsi" w:hAnsiTheme="majorHAnsi"/>
          <w:i/>
          <w:iCs/>
          <w:sz w:val="20"/>
          <w:szCs w:val="20"/>
          <w:lang w:val="en"/>
        </w:rPr>
        <w:t>The Colombian State</w:t>
      </w:r>
    </w:p>
    <w:p w14:paraId="778ADC99" w14:textId="1381FF3F" w:rsidR="00ED4601" w:rsidRPr="001C105E" w:rsidRDefault="00981311" w:rsidP="00762F9A">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Colombia asks that this petition be declared inadmissible because, in its opinion, the petitioner is seeking for the Commission to act as a court of appeal or “international fourth instance.”</w:t>
      </w:r>
    </w:p>
    <w:p w14:paraId="449C9E53" w14:textId="2A19D7CB" w:rsidR="00E235A8" w:rsidRPr="001C105E" w:rsidRDefault="00884DCE" w:rsidP="00E235A8">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Closely in line with this, the State argues that, in ruling on the motion for annulment and reestablishment of rights, the 29th Administrative Court of the Circuit of Medellín based its denial on an analysis of the substantive issues raised by the petitioner. In addition, it notes that the second instance decision issued by the Administrative Court of Antioquia states its rationale for departing from the criterion issued by the Constitutional Court in its decision T-456A of May 27, 2011. It adds that the aforementioned court, in resolving the appeal, considered the following case law of the Constitutional Court in the specific case: </w:t>
      </w:r>
    </w:p>
    <w:p w14:paraId="57231C38" w14:textId="3E01D1D4" w:rsidR="00BA156A" w:rsidRPr="001C105E" w:rsidRDefault="00BA156A" w:rsidP="00BA15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Pr>
          <w:rFonts w:ascii="Cambria" w:hAnsi="Cambria"/>
          <w:sz w:val="18"/>
          <w:szCs w:val="18"/>
          <w:lang w:val="en"/>
        </w:rPr>
        <w:t xml:space="preserve">[...] In the past, there was a marked difference between the jurisprudence of the Constitutional Court and the Council of State with respect to the requirement to include proper grounds when issuing an administrative act dismissing employees appointed on a provisional basis to a staff position. The Constitutional Court held that regardless of whether the employees were appointed on a provisional basis, an administrative act dismissing them must provide grounds, as failing to do so would place the </w:t>
      </w:r>
      <w:r>
        <w:rPr>
          <w:rFonts w:ascii="Cambria" w:hAnsi="Cambria"/>
          <w:sz w:val="18"/>
          <w:szCs w:val="18"/>
          <w:lang w:val="en"/>
        </w:rPr>
        <w:lastRenderedPageBreak/>
        <w:t>employee in a situation of defenselessness, as they would not be able to know the entity’s grounds for dismissing them.</w:t>
      </w:r>
    </w:p>
    <w:p w14:paraId="0AA7DFBA" w14:textId="2BE30A4B" w:rsidR="00BA156A" w:rsidRPr="001C105E" w:rsidRDefault="00BA156A" w:rsidP="00BA15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Pr>
          <w:rFonts w:ascii="Cambria" w:hAnsi="Cambria"/>
          <w:sz w:val="18"/>
          <w:szCs w:val="18"/>
          <w:lang w:val="en"/>
        </w:rPr>
        <w:t>The Council of State, meanwhile, drew a distinction between employees appointed on a provisional basis and those appointed permanently, in contrast to equating provisional employees with employees in a role where they can be hired and fired at will.</w:t>
      </w:r>
    </w:p>
    <w:p w14:paraId="0FDC72CC" w14:textId="0BCF6C3B" w:rsidR="00BA156A" w:rsidRPr="001C105E" w:rsidRDefault="00BA156A" w:rsidP="00BA156A">
      <w:pPr>
        <w:pStyle w:val="ListParagraph"/>
        <w:numPr>
          <w:ilvl w:val="0"/>
          <w:numId w:val="56"/>
        </w:numPr>
        <w:spacing w:before="240" w:after="240"/>
        <w:ind w:left="0" w:firstLine="709"/>
        <w:jc w:val="both"/>
        <w:rPr>
          <w:sz w:val="20"/>
          <w:szCs w:val="20"/>
        </w:rPr>
      </w:pPr>
      <w:r>
        <w:rPr>
          <w:sz w:val="20"/>
          <w:szCs w:val="20"/>
          <w:lang w:val="en"/>
        </w:rPr>
        <w:t xml:space="preserve">Additionally, with respect to the suit for constitutional protection, Colombia indicates that upon issuance of its trial court decision, the Second Section of the Council of State analyzed whether the decisions issued in the adversarial-administrative jurisdiction violated Mr. Salazar's fundamental rights to due process, equal protection, and defense, concluding that they did not. With respect to the appeals court judgment handed down by the Fourth Section of the Council of State, which upheld the rejection of the constitutional protection suit, it indicates that the court did not examine the merits of the petitioner’s claims because the suit did not comply with the requirement of timeliness. </w:t>
      </w:r>
    </w:p>
    <w:p w14:paraId="02288461" w14:textId="278C73F9" w:rsidR="0050549D" w:rsidRPr="001C105E" w:rsidRDefault="0050549D" w:rsidP="00BA156A">
      <w:pPr>
        <w:pStyle w:val="ListParagraph"/>
        <w:numPr>
          <w:ilvl w:val="0"/>
          <w:numId w:val="56"/>
        </w:numPr>
        <w:spacing w:before="240" w:after="240"/>
        <w:ind w:left="0" w:firstLine="709"/>
        <w:jc w:val="both"/>
        <w:rPr>
          <w:sz w:val="20"/>
          <w:szCs w:val="20"/>
        </w:rPr>
      </w:pPr>
      <w:r>
        <w:rPr>
          <w:sz w:val="20"/>
          <w:szCs w:val="20"/>
          <w:lang w:val="en"/>
        </w:rPr>
        <w:t xml:space="preserve">In this regard, the State argues that "The court rulings analyzing the constitutionality and legality of the administrative acts whereby </w:t>
      </w:r>
      <w:r w:rsidR="00DA2DE1">
        <w:rPr>
          <w:sz w:val="20"/>
          <w:szCs w:val="20"/>
          <w:lang w:val="en"/>
        </w:rPr>
        <w:t>Hernan</w:t>
      </w:r>
      <w:r>
        <w:rPr>
          <w:sz w:val="20"/>
          <w:szCs w:val="20"/>
          <w:lang w:val="en"/>
        </w:rPr>
        <w:t xml:space="preserve"> </w:t>
      </w:r>
      <w:r w:rsidR="00DA2DE1">
        <w:rPr>
          <w:sz w:val="20"/>
          <w:szCs w:val="20"/>
          <w:lang w:val="en"/>
        </w:rPr>
        <w:t>Elias</w:t>
      </w:r>
      <w:r>
        <w:rPr>
          <w:sz w:val="20"/>
          <w:szCs w:val="20"/>
          <w:lang w:val="en"/>
        </w:rPr>
        <w:t xml:space="preserve"> Salazar Restrepo was dismissed from his position complied with standards set forth in the Convention.</w:t>
      </w:r>
      <w:r>
        <w:rPr>
          <w:i/>
          <w:iCs/>
          <w:sz w:val="20"/>
          <w:szCs w:val="20"/>
          <w:lang w:val="en"/>
        </w:rPr>
        <w:t xml:space="preserve"> </w:t>
      </w:r>
      <w:r>
        <w:rPr>
          <w:sz w:val="20"/>
          <w:szCs w:val="20"/>
          <w:lang w:val="en"/>
        </w:rPr>
        <w:t xml:space="preserve">Consequently, review thereof by the bodies of the inter-American human rights system would amount to it acting as a court of appeals.” </w:t>
      </w:r>
    </w:p>
    <w:p w14:paraId="715F4717" w14:textId="47C4CDAB" w:rsidR="002818FC" w:rsidRPr="001C105E" w:rsidRDefault="002818FC" w:rsidP="002818FC">
      <w:pPr>
        <w:pStyle w:val="ListParagraph"/>
        <w:spacing w:before="240" w:after="240"/>
        <w:ind w:left="709"/>
        <w:jc w:val="both"/>
        <w:rPr>
          <w:sz w:val="20"/>
          <w:szCs w:val="20"/>
        </w:rPr>
      </w:pPr>
      <w:r>
        <w:rPr>
          <w:i/>
          <w:iCs/>
          <w:sz w:val="20"/>
          <w:szCs w:val="20"/>
          <w:lang w:val="en"/>
        </w:rPr>
        <w:t>Reply of the petitioner</w:t>
      </w:r>
      <w:r>
        <w:rPr>
          <w:sz w:val="20"/>
          <w:szCs w:val="20"/>
          <w:lang w:val="en"/>
        </w:rPr>
        <w:t xml:space="preserve"> </w:t>
      </w:r>
    </w:p>
    <w:p w14:paraId="7F1353DD" w14:textId="7DFE0BDB" w:rsidR="00D21131" w:rsidRPr="001C105E" w:rsidRDefault="002818FC" w:rsidP="002818FC">
      <w:pPr>
        <w:pStyle w:val="ListParagraph"/>
        <w:numPr>
          <w:ilvl w:val="0"/>
          <w:numId w:val="56"/>
        </w:numPr>
        <w:spacing w:before="240" w:after="240"/>
        <w:ind w:left="0" w:firstLine="709"/>
        <w:jc w:val="both"/>
        <w:rPr>
          <w:sz w:val="20"/>
          <w:szCs w:val="20"/>
        </w:rPr>
      </w:pPr>
      <w:r>
        <w:rPr>
          <w:sz w:val="20"/>
          <w:szCs w:val="20"/>
          <w:lang w:val="en"/>
        </w:rPr>
        <w:t xml:space="preserve">In response to the State's argument regarding the lack of timeliness of the suit for constitutional protection, the petitioner maintains as follows: </w:t>
      </w:r>
    </w:p>
    <w:p w14:paraId="32F975B7" w14:textId="329143FA" w:rsidR="002818FC" w:rsidRPr="001C105E" w:rsidRDefault="002818FC" w:rsidP="00D21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Pr>
          <w:rFonts w:ascii="Cambria" w:hAnsi="Cambria"/>
          <w:sz w:val="18"/>
          <w:szCs w:val="18"/>
          <w:lang w:val="en"/>
        </w:rPr>
        <w:t xml:space="preserve">[...] the Constitutional Court indicates in Decision T-730 of 2003 that there are cases in which more than one year has elapsed from the time of the violation of the alleged right, yet it was determined that the timeliness requirement for hearing the constitutional protection suit was met. Therefore, from that year and through to the present day, in each specific case, the Constitutional Protection Judge must analyze whether or not there has been a delay or too much time has passed for filing the action. This is in spite of the legal gap in Colombian law and the decrees regulating constitutional protection suits, as no procedural or legal deadline or time period has been determined or ordered in writing based on which the time passed could be calculated and it could thereby be established from that moment whether a constitutional protection suit is late or time-barred. </w:t>
      </w:r>
    </w:p>
    <w:p w14:paraId="408CC84A" w14:textId="727EE930" w:rsidR="00C06D85" w:rsidRPr="001C105E" w:rsidRDefault="003239B8" w:rsidP="00C06D85">
      <w:pPr>
        <w:spacing w:before="240" w:after="240"/>
        <w:ind w:firstLine="720"/>
        <w:jc w:val="both"/>
        <w:rPr>
          <w:rFonts w:asciiTheme="majorHAnsi" w:hAnsiTheme="majorHAnsi"/>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759491B2" w14:textId="0ABAA7CE" w:rsidR="00D21131" w:rsidRPr="001C105E" w:rsidRDefault="00D21131" w:rsidP="005479F9">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This petition deals with the dismissal of Mr. Salazar Restrepo from the position of investigator of the Technical Investigation Corps of the Attorney General's Office by means of a dismissal declaration that he alleges was not properly grounded. The petitioner argues that he exhausted domestic remedies with the Constitutional Court's decision, adopted on October 31, 2013, not to review the suit for constitutional protection. For its part, the State does not question the exhaustion of domestic remedies by the petitioner, declining to mount a defense in this regard.</w:t>
      </w:r>
      <w:r w:rsidR="001838F3">
        <w:rPr>
          <w:rStyle w:val="FootnoteReference"/>
          <w:rFonts w:asciiTheme="majorHAnsi" w:hAnsiTheme="majorHAnsi"/>
          <w:sz w:val="20"/>
          <w:szCs w:val="20"/>
          <w:lang w:val="en"/>
        </w:rPr>
        <w:footnoteReference w:id="6"/>
      </w:r>
    </w:p>
    <w:p w14:paraId="5DDDF074" w14:textId="7560211D" w:rsidR="009C4E5F" w:rsidRPr="001C105E" w:rsidRDefault="009C4E5F" w:rsidP="005479F9">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In this regard, as it has found in previous decisions,</w:t>
      </w:r>
      <w:r w:rsidR="001838F3">
        <w:rPr>
          <w:rStyle w:val="FootnoteReference"/>
          <w:rFonts w:asciiTheme="majorHAnsi" w:hAnsiTheme="majorHAnsi"/>
          <w:sz w:val="20"/>
          <w:szCs w:val="20"/>
          <w:lang w:val="en"/>
        </w:rPr>
        <w:footnoteReference w:id="7"/>
      </w:r>
      <w:r>
        <w:rPr>
          <w:rFonts w:asciiTheme="majorHAnsi" w:hAnsiTheme="majorHAnsi"/>
          <w:sz w:val="20"/>
          <w:szCs w:val="20"/>
          <w:lang w:val="en"/>
        </w:rPr>
        <w:t xml:space="preserve"> the IACHR concludes that the appropriate remedies to exhaust in cases in which violations of due process and other human rights are alleged in the course of criminal proceedings are generally the ones provided for under national procedural law that allow for observance, in the course of the proceeding in question, of the actions and decisions taken over the course of </w:t>
      </w:r>
      <w:r>
        <w:rPr>
          <w:rFonts w:asciiTheme="majorHAnsi" w:hAnsiTheme="majorHAnsi"/>
          <w:sz w:val="20"/>
          <w:szCs w:val="20"/>
          <w:lang w:val="en"/>
        </w:rPr>
        <w:lastRenderedPageBreak/>
        <w:t>the proceeding, particularly the ordinary judicial remedies available, as well as an extraordinary ones filed by the alleged victims to assert their rights.</w:t>
      </w:r>
    </w:p>
    <w:p w14:paraId="11F09330" w14:textId="155DC4DC" w:rsidR="007A22F0" w:rsidRPr="001C105E" w:rsidRDefault="00D21131" w:rsidP="007A22F0">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hAnsiTheme="majorHAnsi"/>
          <w:sz w:val="20"/>
          <w:szCs w:val="20"/>
          <w:lang w:val="en"/>
        </w:rPr>
        <w:t>The Commission notes that Mr. Salazar filed an action for annulment and reestablishment of rights against the resolution of the Prosecutor General's Office terminating his appointment to the position he was holding; however, this action was denied on December 4, 2009, by the 29th Administrative Court of the Medellín Circuit. He appealed this; however, on June 21, 2012, the Decongestion Chamber (Labor Subsection) of the Administrative Court of Antioquia upheld the decision. He subsequently filed a suit for constitutional protection before the Council of State, which was denied on March 7, 2013, by its Adversarial Administrative Chamber, Second Section, Subsection B. In response to a challenge of this denial, on June 13, 2013, the Fourth Section of the court’s Adversarial Administrative Chamber upheld the lower court and found that the suit for constitutional protection failed to meet the immediacy requirement. Lastly, the suit for constitutional protection was sent for review before the Constitutional Court, which, in a decision dated October 31, 2013, issued by its Selection Chamber, issued notification that the suit was not selected for review.</w:t>
      </w:r>
    </w:p>
    <w:p w14:paraId="0611C9FA" w14:textId="44859562" w:rsidR="00886A64" w:rsidRPr="001C105E" w:rsidRDefault="00F70797" w:rsidP="00F70797">
      <w:pPr>
        <w:pStyle w:val="ListParagraph"/>
        <w:numPr>
          <w:ilvl w:val="0"/>
          <w:numId w:val="56"/>
        </w:numPr>
        <w:spacing w:before="240" w:after="240"/>
        <w:ind w:left="0" w:firstLine="709"/>
        <w:jc w:val="both"/>
        <w:rPr>
          <w:sz w:val="20"/>
          <w:szCs w:val="20"/>
        </w:rPr>
      </w:pPr>
      <w:r>
        <w:rPr>
          <w:sz w:val="20"/>
          <w:szCs w:val="20"/>
          <w:lang w:val="en"/>
        </w:rPr>
        <w:t xml:space="preserve">Likewise, the Commission notes that although the judicial instances that heard both the suit for nullification and the suit for constitutional protection dismissed his arguments on the merits, they affirmed their competence to </w:t>
      </w:r>
      <w:r>
        <w:rPr>
          <w:rFonts w:asciiTheme="majorHAnsi" w:hAnsiTheme="majorHAnsi"/>
          <w:sz w:val="20"/>
          <w:szCs w:val="20"/>
          <w:lang w:val="en"/>
        </w:rPr>
        <w:t>hear</w:t>
      </w:r>
      <w:r>
        <w:rPr>
          <w:sz w:val="20"/>
          <w:szCs w:val="20"/>
          <w:lang w:val="en"/>
        </w:rPr>
        <w:t xml:space="preserve"> the claims and declared that the requirements for both actions to proceed were met. In this regard, although </w:t>
      </w:r>
      <w:r>
        <w:rPr>
          <w:rFonts w:asciiTheme="majorHAnsi" w:hAnsiTheme="majorHAnsi"/>
          <w:sz w:val="20"/>
          <w:szCs w:val="20"/>
          <w:lang w:val="en"/>
        </w:rPr>
        <w:t>the Fourth Section of the Adversarial Administrative Chamber, acting as a court of appeal to review the suit for constitutional protection filed by the petitioner, included among its grounds that the suit was time-barred, the Commission observers that this is an argument after the fact— that is to say, it is not the reason for which the Adversarial Administrative Chamber, Second Section, Subsection B of the Council of State rejected the suit as the trial court. Rather, it processed the claim and decided on the merits, and it did not reject it for being time-barred. Therefore, for the purposes of this analysis of the admissibility of the petition, it is not relevant that the appeals court concluded that the suit was filed out of time.</w:t>
      </w:r>
    </w:p>
    <w:p w14:paraId="7D79BDA4" w14:textId="447AB787" w:rsidR="00F70797" w:rsidRPr="001C105E" w:rsidRDefault="00D0092B" w:rsidP="00B7581B">
      <w:pPr>
        <w:pStyle w:val="ListParagraph"/>
        <w:numPr>
          <w:ilvl w:val="0"/>
          <w:numId w:val="56"/>
        </w:numPr>
        <w:spacing w:before="240" w:after="240"/>
        <w:ind w:left="0" w:firstLine="709"/>
        <w:jc w:val="both"/>
        <w:rPr>
          <w:sz w:val="20"/>
          <w:szCs w:val="20"/>
        </w:rPr>
      </w:pPr>
      <w:r>
        <w:rPr>
          <w:sz w:val="20"/>
          <w:szCs w:val="20"/>
          <w:lang w:val="en"/>
        </w:rPr>
        <w:t xml:space="preserve">Thus, taking into account that the decision by the Constitutional Court to not select the suit for constitutional protection for review was notified on </w:t>
      </w:r>
      <w:r>
        <w:rPr>
          <w:rFonts w:asciiTheme="majorHAnsi" w:hAnsiTheme="majorHAnsi"/>
          <w:sz w:val="20"/>
          <w:szCs w:val="20"/>
          <w:lang w:val="en"/>
        </w:rPr>
        <w:t>October 31, 2013</w:t>
      </w:r>
      <w:r>
        <w:rPr>
          <w:sz w:val="20"/>
          <w:szCs w:val="20"/>
          <w:lang w:val="en"/>
        </w:rPr>
        <w:t>; that this petition was lodged on April 28, 2014; and that the State has not disputed the deadline for lodging the petition, the Commission also finds that it complies with the provisions of Article 46(1)(b) of the Convention.</w:t>
      </w:r>
    </w:p>
    <w:p w14:paraId="50CEFEA8" w14:textId="45D30421" w:rsidR="006A0FCC" w:rsidRPr="001C105E"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sz w:val="20"/>
          <w:szCs w:val="20"/>
          <w:lang w:val="en"/>
        </w:rPr>
        <w:tab/>
      </w:r>
      <w:r>
        <w:rPr>
          <w:rFonts w:asciiTheme="majorHAnsi" w:hAnsiTheme="majorHAnsi"/>
          <w:b/>
          <w:bCs/>
          <w:sz w:val="20"/>
          <w:szCs w:val="20"/>
          <w:lang w:val="en"/>
        </w:rPr>
        <w:t>ANALYSIS OF COLORABLE CLAIM</w:t>
      </w:r>
    </w:p>
    <w:p w14:paraId="33F14E9C" w14:textId="5E36FEE7" w:rsidR="00B7581B" w:rsidRPr="001C105E" w:rsidRDefault="00B7581B" w:rsidP="00C12F0E">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The Commission observes that this petition involves allegations that Mr. Salazar Restrepo was dismissed from a position he held on a provisional basis without any grounds being given, as well as allegations that domestic courts violated his right to due process when they failed to take the case law of the Constitutional Court into account that found that decisions to remove officials appointed to positions on a provisional basis must be duly justified. </w:t>
      </w:r>
    </w:p>
    <w:p w14:paraId="19494778" w14:textId="0D5A08D5" w:rsidR="00E45991" w:rsidRPr="001C105E" w:rsidRDefault="00B7581B" w:rsidP="00E45991">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With regard to the State’s arguments regarding the so-called “fourth instance” formula, The Commission reiterates that, for purposes of admissibility, it must decide whether the facts alleged tend to establish a violation of rights, as provided for in Article 47(b) of the American Convention, or whether the petition is “manifestly groundless” or “obviously out of order,” as per Article 47(c). The criterion for the evaluation of these requirements differs from those used to issue an opinion on the merits of a case. Likewise, within the framework of its mandate, it is competent to declare a petition admissible when it refers to domestic proceedings that could violate rights guaranteed by the American Convention.</w:t>
      </w:r>
      <w:r w:rsidR="00D44303">
        <w:rPr>
          <w:rStyle w:val="FootnoteReference"/>
          <w:rFonts w:asciiTheme="majorHAnsi" w:hAnsiTheme="majorHAnsi"/>
          <w:sz w:val="20"/>
          <w:szCs w:val="20"/>
          <w:lang w:val="en"/>
        </w:rPr>
        <w:footnoteReference w:id="8"/>
      </w:r>
      <w:r>
        <w:rPr>
          <w:rFonts w:asciiTheme="majorHAnsi" w:hAnsiTheme="majorHAnsi"/>
          <w:sz w:val="20"/>
          <w:szCs w:val="20"/>
          <w:lang w:val="en"/>
        </w:rPr>
        <w:t xml:space="preserve"> In other words, in accordance with the aforementioned norms under the Convention, as well as with Article 34 of its Rules of Procedure, the admissibility analysis focuses on the verification of such requirements, which refer to the existence of elements.</w:t>
      </w:r>
      <w:r w:rsidR="00A60A23">
        <w:rPr>
          <w:rStyle w:val="FootnoteReference"/>
          <w:rFonts w:asciiTheme="majorHAnsi" w:hAnsiTheme="majorHAnsi"/>
          <w:sz w:val="20"/>
          <w:szCs w:val="20"/>
          <w:lang w:val="en"/>
        </w:rPr>
        <w:footnoteReference w:id="9"/>
      </w:r>
    </w:p>
    <w:p w14:paraId="75BDFA7F" w14:textId="4B499AFA" w:rsidR="00F03781" w:rsidRPr="001C105E" w:rsidRDefault="0022397C" w:rsidP="005A65F8">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lastRenderedPageBreak/>
        <w:t>In view of the subject matter of the petition, the IACHR considers it pertinent to note that the Inter-American Court has found as follows:</w:t>
      </w:r>
      <w:r w:rsidR="00A60A23">
        <w:rPr>
          <w:rStyle w:val="FootnoteReference"/>
          <w:rFonts w:asciiTheme="majorHAnsi" w:hAnsiTheme="majorHAnsi"/>
          <w:sz w:val="20"/>
          <w:szCs w:val="20"/>
          <w:lang w:val="en"/>
        </w:rPr>
        <w:footnoteReference w:id="10"/>
      </w:r>
    </w:p>
    <w:p w14:paraId="1B45053D" w14:textId="7221807B" w:rsidR="00B7581B" w:rsidRPr="001C105E" w:rsidRDefault="00E45991" w:rsidP="00F03781">
      <w:pPr>
        <w:spacing w:before="240" w:after="240"/>
        <w:ind w:left="720" w:right="720"/>
        <w:jc w:val="both"/>
        <w:rPr>
          <w:rFonts w:asciiTheme="majorHAnsi" w:hAnsiTheme="majorHAnsi"/>
          <w:sz w:val="18"/>
          <w:szCs w:val="18"/>
        </w:rPr>
      </w:pPr>
      <w:r>
        <w:rPr>
          <w:rFonts w:asciiTheme="majorHAnsi" w:hAnsiTheme="majorHAnsi"/>
          <w:sz w:val="18"/>
          <w:szCs w:val="18"/>
          <w:lang w:val="en"/>
        </w:rPr>
        <w:t xml:space="preserve">job security does not mean remaining in the position with no limitations, but rather, refers to respect of this right, among other measures, by granting due guarantees of protection to the worker so that if he or she is dismissed, it be with justification, which means that the employer must provide sufficient reasons to impose this sanction with the due guarantees, and that the worker may appeal this decision before the domestic authorities, who must verify that the justification given is not arbitrary or unlawful. Likewise, the Court has indicated in the </w:t>
      </w:r>
      <w:r>
        <w:rPr>
          <w:rFonts w:asciiTheme="majorHAnsi" w:hAnsiTheme="majorHAnsi"/>
          <w:i/>
          <w:iCs/>
          <w:sz w:val="18"/>
          <w:szCs w:val="18"/>
          <w:lang w:val="en"/>
        </w:rPr>
        <w:t xml:space="preserve">Case of San Miguel Sosa et al. v. Venezuela </w:t>
      </w:r>
      <w:r>
        <w:rPr>
          <w:rFonts w:asciiTheme="majorHAnsi" w:hAnsiTheme="majorHAnsi"/>
          <w:sz w:val="18"/>
          <w:szCs w:val="18"/>
          <w:lang w:val="en"/>
        </w:rPr>
        <w:t>that the State fails to fulfill its obligation to guarantee the right to work and, consequently, job security, when it does not protect its state officials from arbitrary terminations of their employment relationships</w:t>
      </w:r>
    </w:p>
    <w:p w14:paraId="2E6C0C20" w14:textId="744B80DF" w:rsidR="00B7581B" w:rsidRPr="001C105E" w:rsidRDefault="00B7581B" w:rsidP="005479F9">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In view of these considerations and upon examination of the elements of fact and law set forth by the parties, the Commission concludes that the petitioner’s allegations are not manifestly groundless and must be examined on their merits, as should the facts alleged be found to be true, they could represent violations of articles 8 (judicial guarantees) 23 (right to participate in government), 24 (equal protection), 25 (judicial protection), and 26 (economic, social, and cultural rights) of the American Convention read in conjunction with its articles 1(1) (obligation to respect rights) and 2 (duty to adopt domestic legal effects), to the detriment of </w:t>
      </w:r>
      <w:r w:rsidR="00DA2DE1">
        <w:rPr>
          <w:rFonts w:asciiTheme="majorHAnsi" w:hAnsiTheme="majorHAnsi"/>
          <w:sz w:val="20"/>
          <w:szCs w:val="20"/>
          <w:lang w:val="en"/>
        </w:rPr>
        <w:t>Hernan</w:t>
      </w:r>
      <w:r>
        <w:rPr>
          <w:rFonts w:asciiTheme="majorHAnsi" w:hAnsiTheme="majorHAnsi"/>
          <w:sz w:val="20"/>
          <w:szCs w:val="20"/>
          <w:lang w:val="en"/>
        </w:rPr>
        <w:t xml:space="preserve"> </w:t>
      </w:r>
      <w:r w:rsidR="00DA2DE1">
        <w:rPr>
          <w:rFonts w:asciiTheme="majorHAnsi" w:hAnsiTheme="majorHAnsi"/>
          <w:sz w:val="20"/>
          <w:szCs w:val="20"/>
          <w:lang w:val="en"/>
        </w:rPr>
        <w:t>Elias</w:t>
      </w:r>
      <w:r>
        <w:rPr>
          <w:rFonts w:asciiTheme="majorHAnsi" w:hAnsiTheme="majorHAnsi"/>
          <w:sz w:val="20"/>
          <w:szCs w:val="20"/>
          <w:lang w:val="en"/>
        </w:rPr>
        <w:t xml:space="preserve"> Salazar Restrepo. </w:t>
      </w:r>
    </w:p>
    <w:p w14:paraId="445BF42E" w14:textId="45337317" w:rsidR="003239B8" w:rsidRPr="001C105E"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Pr>
          <w:rFonts w:asciiTheme="majorHAnsi" w:hAnsiTheme="majorHAnsi"/>
          <w:b/>
          <w:bCs/>
          <w:sz w:val="20"/>
          <w:szCs w:val="20"/>
          <w:lang w:val="en"/>
        </w:rPr>
        <w:t>VI</w:t>
      </w:r>
      <w:r w:rsidR="00070C82">
        <w:rPr>
          <w:rFonts w:asciiTheme="majorHAnsi" w:hAnsiTheme="majorHAnsi"/>
          <w:b/>
          <w:bCs/>
          <w:sz w:val="20"/>
          <w:szCs w:val="20"/>
          <w:lang w:val="en"/>
        </w:rPr>
        <w:t>I</w:t>
      </w:r>
      <w:r>
        <w:rPr>
          <w:rFonts w:asciiTheme="majorHAnsi" w:hAnsiTheme="majorHAnsi"/>
          <w:b/>
          <w:bCs/>
          <w:sz w:val="20"/>
          <w:szCs w:val="20"/>
          <w:lang w:val="en"/>
        </w:rPr>
        <w:t xml:space="preserve">I. </w:t>
      </w:r>
      <w:r>
        <w:rPr>
          <w:rFonts w:asciiTheme="majorHAnsi" w:hAnsiTheme="majorHAnsi"/>
          <w:sz w:val="20"/>
          <w:szCs w:val="20"/>
          <w:lang w:val="en"/>
        </w:rPr>
        <w:tab/>
      </w:r>
      <w:r>
        <w:rPr>
          <w:rFonts w:asciiTheme="majorHAnsi" w:hAnsiTheme="majorHAnsi"/>
          <w:b/>
          <w:bCs/>
          <w:sz w:val="20"/>
          <w:szCs w:val="20"/>
          <w:lang w:val="en"/>
        </w:rPr>
        <w:t>DECISION</w:t>
      </w:r>
    </w:p>
    <w:p w14:paraId="68531861" w14:textId="70C5CB0E" w:rsidR="005479F9" w:rsidRPr="001C105E" w:rsidRDefault="00C8633A"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declare this petition admissible with respect to articles 8, 23, 24, 25, and 26 of the American Convention read in conjunction with Articles 1(1) and 2 thereof</w:t>
      </w:r>
      <w:r w:rsidR="00223A4B">
        <w:rPr>
          <w:rFonts w:asciiTheme="majorHAnsi" w:hAnsiTheme="majorHAnsi"/>
          <w:sz w:val="20"/>
          <w:szCs w:val="20"/>
          <w:lang w:val="en"/>
        </w:rPr>
        <w:t>.</w:t>
      </w:r>
    </w:p>
    <w:p w14:paraId="7766BE86" w14:textId="16D4CE71" w:rsidR="006014B5" w:rsidRPr="00B5546D"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Pr>
          <w:rFonts w:asciiTheme="majorHAnsi" w:hAnsiTheme="majorHAnsi"/>
          <w:sz w:val="20"/>
          <w:szCs w:val="20"/>
          <w:lang w:val="en"/>
        </w:rPr>
        <w:t>To notify the parties of this decision;</w:t>
      </w:r>
      <w:r w:rsidR="00DA2DE1">
        <w:rPr>
          <w:rFonts w:asciiTheme="majorHAnsi" w:hAnsiTheme="majorHAnsi"/>
          <w:sz w:val="20"/>
          <w:szCs w:val="20"/>
          <w:lang w:val="en"/>
        </w:rPr>
        <w:t xml:space="preserve"> procceed to the analysis of mertis;</w:t>
      </w:r>
      <w:r>
        <w:rPr>
          <w:rFonts w:asciiTheme="majorHAnsi" w:hAnsiTheme="majorHAnsi"/>
          <w:sz w:val="20"/>
          <w:szCs w:val="20"/>
          <w:lang w:val="en"/>
        </w:rPr>
        <w:t xml:space="preserve"> and to publish this decision and include it in its Annual Report to the General Assembly of the Organization of American States.</w:t>
      </w:r>
    </w:p>
    <w:p w14:paraId="36F3CD69" w14:textId="1438DEDD" w:rsidR="009D5243" w:rsidRDefault="009D5243" w:rsidP="009D5243">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890D35">
        <w:rPr>
          <w:rFonts w:ascii="Cambria" w:hAnsi="Cambria"/>
          <w:spacing w:val="-2"/>
          <w:sz w:val="20"/>
        </w:rPr>
        <w:t>29</w:t>
      </w:r>
      <w:r w:rsidR="00890D35" w:rsidRPr="00890D35">
        <w:rPr>
          <w:rFonts w:ascii="Cambria" w:hAnsi="Cambria"/>
          <w:spacing w:val="-2"/>
          <w:sz w:val="20"/>
          <w:vertAlign w:val="superscript"/>
        </w:rPr>
        <w:t>th</w:t>
      </w:r>
      <w:r w:rsidR="00890D35">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890D35">
        <w:rPr>
          <w:rFonts w:ascii="Cambria" w:hAnsi="Cambria"/>
          <w:spacing w:val="-2"/>
          <w:sz w:val="20"/>
        </w:rPr>
        <w:t>August</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6F1B6098" w14:textId="77777777" w:rsidR="00B5546D" w:rsidRPr="00D247B2" w:rsidRDefault="00B5546D" w:rsidP="00B554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rPr>
      </w:pPr>
    </w:p>
    <w:sectPr w:rsidR="00B5546D" w:rsidRPr="00D247B2"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E8B8" w14:textId="77777777" w:rsidR="005B434D" w:rsidRDefault="005B434D">
      <w:r>
        <w:separator/>
      </w:r>
    </w:p>
  </w:endnote>
  <w:endnote w:type="continuationSeparator" w:id="0">
    <w:p w14:paraId="7FEAAE5B" w14:textId="77777777" w:rsidR="005B434D" w:rsidRDefault="005B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9214" w14:textId="77777777" w:rsidR="005B434D" w:rsidRPr="000F35ED" w:rsidRDefault="005B434D">
      <w:pPr>
        <w:rPr>
          <w:rFonts w:asciiTheme="majorHAnsi" w:hAnsiTheme="majorHAnsi"/>
          <w:sz w:val="16"/>
          <w:szCs w:val="16"/>
        </w:rPr>
      </w:pPr>
      <w:r>
        <w:rPr>
          <w:rFonts w:asciiTheme="majorHAnsi" w:hAnsiTheme="majorHAnsi"/>
          <w:sz w:val="16"/>
          <w:szCs w:val="16"/>
        </w:rPr>
        <w:separator/>
      </w:r>
    </w:p>
  </w:footnote>
  <w:footnote w:type="continuationSeparator" w:id="0">
    <w:p w14:paraId="4CD6ECCB" w14:textId="77777777" w:rsidR="005B434D" w:rsidRPr="000F35ED" w:rsidRDefault="005B434D" w:rsidP="000F35ED">
      <w:pPr>
        <w:rPr>
          <w:rFonts w:asciiTheme="majorHAnsi" w:hAnsiTheme="majorHAnsi"/>
          <w:sz w:val="16"/>
          <w:szCs w:val="16"/>
        </w:rPr>
      </w:pPr>
      <w:r>
        <w:rPr>
          <w:rFonts w:asciiTheme="majorHAnsi" w:hAnsiTheme="majorHAnsi"/>
          <w:sz w:val="16"/>
          <w:szCs w:val="16"/>
        </w:rPr>
        <w:separator/>
      </w:r>
    </w:p>
    <w:p w14:paraId="6C4708A0" w14:textId="77777777" w:rsidR="005B434D" w:rsidRPr="000F35ED" w:rsidRDefault="005B434D"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60856B5E" w14:textId="77777777" w:rsidR="005B434D" w:rsidRPr="000F35ED" w:rsidRDefault="005B434D" w:rsidP="000F35ED">
      <w:pPr>
        <w:jc w:val="right"/>
        <w:rPr>
          <w:rFonts w:asciiTheme="majorHAnsi" w:hAnsiTheme="majorHAnsi"/>
          <w:sz w:val="16"/>
          <w:szCs w:val="16"/>
        </w:rPr>
      </w:pPr>
      <w:r>
        <w:rPr>
          <w:rFonts w:asciiTheme="majorHAnsi" w:hAnsiTheme="majorHAnsi"/>
          <w:sz w:val="16"/>
          <w:szCs w:val="16"/>
        </w:rPr>
        <w:t>[continúa…]</w:t>
      </w:r>
    </w:p>
  </w:footnote>
  <w:footnote w:id="2">
    <w:p w14:paraId="632D0F1B" w14:textId="20406FC8" w:rsidR="00A912AE" w:rsidRDefault="00A912AE" w:rsidP="00B5546D">
      <w:pPr>
        <w:pStyle w:val="FootnoteText"/>
        <w:ind w:firstLine="360"/>
        <w:jc w:val="both"/>
      </w:pPr>
      <w:r>
        <w:rPr>
          <w:rStyle w:val="FootnoteReference"/>
        </w:rPr>
        <w:footnoteRef/>
      </w:r>
      <w:r>
        <w:t xml:space="preserve"> </w:t>
      </w:r>
      <w:r w:rsidR="00BA0538" w:rsidRPr="006735F8">
        <w:rPr>
          <w:rFonts w:asciiTheme="majorHAnsi" w:hAnsiTheme="majorHAnsi"/>
          <w:sz w:val="16"/>
          <w:szCs w:val="16"/>
          <w:lang w:val="en"/>
        </w:rPr>
        <w:t>Commissioner Carlos Bernal Pulido, of Colombian nationality, did not participate in the deliberations nor in the decision in this matter, in keeping with the provisions of Article 17(2)(a) of the Rules of Procedure of the Commission.</w:t>
      </w:r>
      <w:r>
        <w:t xml:space="preserve"> </w:t>
      </w:r>
    </w:p>
  </w:footnote>
  <w:footnote w:id="3">
    <w:p w14:paraId="13D51957" w14:textId="68A99A44" w:rsidR="00BA0538" w:rsidRDefault="00BA0538" w:rsidP="00B5546D">
      <w:pPr>
        <w:pStyle w:val="FootnoteText"/>
        <w:ind w:firstLine="360"/>
        <w:jc w:val="both"/>
      </w:pPr>
      <w:r>
        <w:rPr>
          <w:rStyle w:val="FootnoteReference"/>
        </w:rPr>
        <w:footnoteRef/>
      </w:r>
      <w:r>
        <w:t xml:space="preserve"> </w:t>
      </w:r>
      <w:r w:rsidR="00E53EC1" w:rsidRPr="006735F8">
        <w:rPr>
          <w:rFonts w:asciiTheme="majorHAnsi" w:hAnsiTheme="majorHAnsi"/>
          <w:sz w:val="16"/>
          <w:szCs w:val="16"/>
          <w:lang w:val="en"/>
        </w:rPr>
        <w:t>Hereinafter "the American Convention" or "the Convention."</w:t>
      </w:r>
      <w:r>
        <w:t xml:space="preserve"> </w:t>
      </w:r>
    </w:p>
  </w:footnote>
  <w:footnote w:id="4">
    <w:p w14:paraId="74AB1AFF" w14:textId="2232F584" w:rsidR="001D7083" w:rsidRDefault="001D7083" w:rsidP="00B5546D">
      <w:pPr>
        <w:pStyle w:val="FootnoteText"/>
        <w:ind w:firstLine="360"/>
        <w:jc w:val="both"/>
      </w:pPr>
      <w:r>
        <w:rPr>
          <w:rStyle w:val="FootnoteReference"/>
        </w:rPr>
        <w:footnoteRef/>
      </w:r>
      <w:r>
        <w:t xml:space="preserve"> </w:t>
      </w:r>
      <w:r w:rsidRPr="006735F8">
        <w:rPr>
          <w:rFonts w:asciiTheme="majorHAnsi" w:hAnsiTheme="majorHAnsi"/>
          <w:sz w:val="16"/>
          <w:szCs w:val="16"/>
          <w:lang w:val="en"/>
        </w:rPr>
        <w:t>The observations presented by each party were duly transmitted to the opposing party. In a communication dated January 30, 2019, the petitioner expressed his interest in the processing of the petition.</w:t>
      </w:r>
      <w:r>
        <w:t xml:space="preserve"> </w:t>
      </w:r>
    </w:p>
  </w:footnote>
  <w:footnote w:id="5">
    <w:p w14:paraId="686D37BE" w14:textId="1277E34C" w:rsidR="001C65EC" w:rsidRDefault="001C65EC" w:rsidP="00B5546D">
      <w:pPr>
        <w:pStyle w:val="FootnoteText"/>
        <w:ind w:firstLine="360"/>
        <w:jc w:val="both"/>
      </w:pPr>
      <w:r>
        <w:rPr>
          <w:rStyle w:val="FootnoteReference"/>
        </w:rPr>
        <w:footnoteRef/>
      </w:r>
      <w:r>
        <w:t xml:space="preserve"> </w:t>
      </w:r>
      <w:r w:rsidRPr="006735F8">
        <w:rPr>
          <w:rFonts w:asciiTheme="majorHAnsi" w:hAnsiTheme="majorHAnsi"/>
          <w:sz w:val="16"/>
          <w:szCs w:val="16"/>
          <w:lang w:val="en"/>
        </w:rPr>
        <w:t xml:space="preserve">Article 251.- The following are special functions of the Attorney General of the Nation: [...] 2. Appoint and remove, in accordance with the law, the employees under its authority. </w:t>
      </w:r>
      <w:r>
        <w:t xml:space="preserve"> </w:t>
      </w:r>
    </w:p>
  </w:footnote>
  <w:footnote w:id="6">
    <w:p w14:paraId="35C436CB" w14:textId="0B8C5BE9" w:rsidR="001838F3" w:rsidRPr="001A1619" w:rsidRDefault="001838F3" w:rsidP="00B5546D">
      <w:pPr>
        <w:pStyle w:val="FootnoteText"/>
        <w:ind w:firstLine="360"/>
        <w:jc w:val="both"/>
        <w:rPr>
          <w:sz w:val="16"/>
          <w:szCs w:val="16"/>
        </w:rPr>
      </w:pPr>
      <w:r w:rsidRPr="001A1619">
        <w:rPr>
          <w:rStyle w:val="FootnoteReference"/>
          <w:sz w:val="16"/>
          <w:szCs w:val="16"/>
        </w:rPr>
        <w:footnoteRef/>
      </w:r>
      <w:r w:rsidRPr="001A1619">
        <w:rPr>
          <w:sz w:val="16"/>
          <w:szCs w:val="16"/>
        </w:rPr>
        <w:t xml:space="preserve"> </w:t>
      </w:r>
      <w:r w:rsidRPr="001A1619">
        <w:rPr>
          <w:rFonts w:asciiTheme="majorHAnsi" w:hAnsiTheme="majorHAnsi"/>
          <w:sz w:val="16"/>
          <w:szCs w:val="16"/>
          <w:lang w:val="en"/>
        </w:rPr>
        <w:t>IACHR Report No. IACHR, Report No. 88/17, Petition 1286-06. Admissibility. Rivas Family. El Salvador. July 7, 2017, para. 13.</w:t>
      </w:r>
      <w:r w:rsidRPr="001A1619">
        <w:rPr>
          <w:sz w:val="16"/>
          <w:szCs w:val="16"/>
        </w:rPr>
        <w:t xml:space="preserve"> </w:t>
      </w:r>
    </w:p>
  </w:footnote>
  <w:footnote w:id="7">
    <w:p w14:paraId="03E33D51" w14:textId="250666FC" w:rsidR="001838F3" w:rsidRDefault="001838F3" w:rsidP="00B5546D">
      <w:pPr>
        <w:pStyle w:val="FootnoteText"/>
        <w:ind w:firstLine="360"/>
        <w:jc w:val="both"/>
      </w:pPr>
      <w:r w:rsidRPr="001A1619">
        <w:rPr>
          <w:rStyle w:val="FootnoteReference"/>
          <w:sz w:val="16"/>
          <w:szCs w:val="16"/>
        </w:rPr>
        <w:footnoteRef/>
      </w:r>
      <w:r w:rsidRPr="001A1619">
        <w:rPr>
          <w:sz w:val="16"/>
          <w:szCs w:val="16"/>
        </w:rPr>
        <w:t xml:space="preserve"> </w:t>
      </w:r>
      <w:r w:rsidRPr="001A1619">
        <w:rPr>
          <w:rFonts w:asciiTheme="majorHAnsi" w:hAnsiTheme="majorHAnsi"/>
          <w:sz w:val="16"/>
          <w:szCs w:val="16"/>
          <w:lang w:val="en"/>
        </w:rPr>
        <w:t>See, among other examples: IACHR, Report 92/14, Petition P-1196-03. Admissibility. Daniel Omar Camusso and son. Argentina</w:t>
      </w:r>
      <w:r w:rsidRPr="001A1619">
        <w:rPr>
          <w:rFonts w:asciiTheme="majorHAnsi" w:hAnsiTheme="majorHAnsi"/>
          <w:i/>
          <w:iCs/>
          <w:sz w:val="16"/>
          <w:szCs w:val="16"/>
          <w:lang w:val="en"/>
        </w:rPr>
        <w:t>.</w:t>
      </w:r>
      <w:r w:rsidRPr="001A1619">
        <w:rPr>
          <w:rFonts w:asciiTheme="majorHAnsi" w:hAnsiTheme="majorHAnsi"/>
          <w:sz w:val="16"/>
          <w:szCs w:val="16"/>
          <w:lang w:val="en"/>
        </w:rPr>
        <w:t xml:space="preserve"> November 4, 2014, paras. 68 </w:t>
      </w:r>
      <w:r w:rsidRPr="001A1619">
        <w:rPr>
          <w:rFonts w:asciiTheme="majorHAnsi" w:hAnsiTheme="majorHAnsi"/>
          <w:i/>
          <w:iCs/>
          <w:sz w:val="16"/>
          <w:szCs w:val="16"/>
          <w:lang w:val="en"/>
        </w:rPr>
        <w:t>et seq</w:t>
      </w:r>
      <w:r w:rsidRPr="001A1619">
        <w:rPr>
          <w:rFonts w:asciiTheme="majorHAnsi" w:hAnsiTheme="majorHAnsi"/>
          <w:sz w:val="16"/>
          <w:szCs w:val="16"/>
          <w:lang w:val="en"/>
        </w:rPr>
        <w:t>.; IACHR, Admissibility Report 104/13, Petition 643-00. Admissibility. Hebe Sánchez de Améndola and daughters. Argentina</w:t>
      </w:r>
      <w:r w:rsidRPr="001A1619">
        <w:rPr>
          <w:rFonts w:asciiTheme="majorHAnsi" w:hAnsiTheme="majorHAnsi"/>
          <w:i/>
          <w:iCs/>
          <w:sz w:val="16"/>
          <w:szCs w:val="16"/>
          <w:lang w:val="en"/>
        </w:rPr>
        <w:t>.</w:t>
      </w:r>
      <w:r w:rsidRPr="001A1619">
        <w:rPr>
          <w:rFonts w:asciiTheme="majorHAnsi" w:hAnsiTheme="majorHAnsi"/>
          <w:sz w:val="16"/>
          <w:szCs w:val="16"/>
          <w:lang w:val="en"/>
        </w:rPr>
        <w:t xml:space="preserve"> November 5, 2013, paras. 24 and following; and IACHR Report IACHR, Report No. 85/12, Petition 381-03. Admissibility. S. et al., Ecuador. November 8, 2012, paras. 23 and following.</w:t>
      </w:r>
      <w:r w:rsidRPr="001A1619">
        <w:rPr>
          <w:sz w:val="16"/>
          <w:szCs w:val="16"/>
        </w:rPr>
        <w:t xml:space="preserve"> </w:t>
      </w:r>
    </w:p>
  </w:footnote>
  <w:footnote w:id="8">
    <w:p w14:paraId="4C6C195E" w14:textId="32E20708" w:rsidR="00D44303" w:rsidRPr="001A1619" w:rsidRDefault="00D44303" w:rsidP="00B5546D">
      <w:pPr>
        <w:pStyle w:val="FootnoteText"/>
        <w:ind w:firstLine="360"/>
        <w:jc w:val="both"/>
        <w:rPr>
          <w:sz w:val="16"/>
          <w:szCs w:val="16"/>
        </w:rPr>
      </w:pPr>
      <w:r w:rsidRPr="001A1619">
        <w:rPr>
          <w:rStyle w:val="FootnoteReference"/>
          <w:sz w:val="16"/>
          <w:szCs w:val="16"/>
        </w:rPr>
        <w:footnoteRef/>
      </w:r>
      <w:r w:rsidRPr="001A1619">
        <w:rPr>
          <w:sz w:val="16"/>
          <w:szCs w:val="16"/>
        </w:rPr>
        <w:t xml:space="preserve"> </w:t>
      </w:r>
      <w:r w:rsidRPr="001A1619">
        <w:rPr>
          <w:rFonts w:asciiTheme="majorHAnsi" w:hAnsiTheme="majorHAnsi"/>
          <w:sz w:val="16"/>
          <w:szCs w:val="16"/>
          <w:lang w:val="en"/>
        </w:rPr>
        <w:t>IACHR Report No. IACHR, Report No. 72/11, Petition 1164-05. Admissibility. William Gómez Vargas. Costa Rica. March 31, 2011, para. 52.</w:t>
      </w:r>
      <w:r w:rsidRPr="001A1619">
        <w:rPr>
          <w:sz w:val="16"/>
          <w:szCs w:val="16"/>
        </w:rPr>
        <w:t xml:space="preserve"> </w:t>
      </w:r>
    </w:p>
  </w:footnote>
  <w:footnote w:id="9">
    <w:p w14:paraId="52117DB6" w14:textId="561EE179" w:rsidR="00A60A23" w:rsidRPr="00713467" w:rsidRDefault="00A60A23" w:rsidP="00B5546D">
      <w:pPr>
        <w:pStyle w:val="FootnoteText"/>
        <w:ind w:firstLine="360"/>
        <w:jc w:val="both"/>
        <w:rPr>
          <w:sz w:val="16"/>
          <w:szCs w:val="16"/>
          <w:lang w:val="es-AR"/>
        </w:rPr>
      </w:pPr>
      <w:r w:rsidRPr="001A1619">
        <w:rPr>
          <w:rStyle w:val="FootnoteReference"/>
          <w:sz w:val="16"/>
          <w:szCs w:val="16"/>
        </w:rPr>
        <w:footnoteRef/>
      </w:r>
      <w:r w:rsidRPr="001A1619">
        <w:rPr>
          <w:sz w:val="16"/>
          <w:szCs w:val="16"/>
        </w:rPr>
        <w:t xml:space="preserve"> </w:t>
      </w:r>
      <w:r w:rsidRPr="001A1619">
        <w:rPr>
          <w:rFonts w:asciiTheme="majorHAnsi" w:hAnsiTheme="majorHAnsi"/>
          <w:sz w:val="16"/>
          <w:szCs w:val="16"/>
          <w:lang w:val="en"/>
        </w:rPr>
        <w:t xml:space="preserve">IACHR Report No. 143/18, Petition 940-08, Admissibility. </w:t>
      </w:r>
      <w:r w:rsidRPr="001A1619">
        <w:rPr>
          <w:rFonts w:asciiTheme="majorHAnsi" w:hAnsiTheme="majorHAnsi"/>
          <w:sz w:val="16"/>
          <w:szCs w:val="16"/>
          <w:lang w:val="es-US"/>
        </w:rPr>
        <w:t xml:space="preserve">Luis Américo Ayala Gonzales. Peru. </w:t>
      </w:r>
      <w:r w:rsidRPr="001A1619">
        <w:rPr>
          <w:rFonts w:asciiTheme="majorHAnsi" w:hAnsiTheme="majorHAnsi"/>
          <w:sz w:val="16"/>
          <w:szCs w:val="16"/>
          <w:lang w:val="en"/>
        </w:rPr>
        <w:t xml:space="preserve">December 4, 2018, para. 12; and IACHR Report No. 293/20, Petition 434-09, Admissibility, Gabriel Ulises Valdez Larqué and family members. </w:t>
      </w:r>
      <w:r w:rsidRPr="00713467">
        <w:rPr>
          <w:rFonts w:asciiTheme="majorHAnsi" w:hAnsiTheme="majorHAnsi"/>
          <w:sz w:val="16"/>
          <w:szCs w:val="16"/>
          <w:lang w:val="es-AR"/>
        </w:rPr>
        <w:t>Mexico. October 13, 2020, para. 22.</w:t>
      </w:r>
      <w:r w:rsidRPr="00713467">
        <w:rPr>
          <w:sz w:val="16"/>
          <w:szCs w:val="16"/>
          <w:lang w:val="es-AR"/>
        </w:rPr>
        <w:t xml:space="preserve"> </w:t>
      </w:r>
    </w:p>
  </w:footnote>
  <w:footnote w:id="10">
    <w:p w14:paraId="61CB53D1" w14:textId="2E98612C" w:rsidR="00A60A23" w:rsidRDefault="00A60A23" w:rsidP="00B5546D">
      <w:pPr>
        <w:pStyle w:val="FootnoteText"/>
        <w:ind w:firstLine="360"/>
        <w:jc w:val="both"/>
      </w:pPr>
      <w:r w:rsidRPr="001A1619">
        <w:rPr>
          <w:rStyle w:val="FootnoteReference"/>
          <w:sz w:val="16"/>
          <w:szCs w:val="16"/>
        </w:rPr>
        <w:footnoteRef/>
      </w:r>
      <w:r w:rsidRPr="00713467">
        <w:rPr>
          <w:sz w:val="16"/>
          <w:szCs w:val="16"/>
          <w:lang w:val="es-AR"/>
        </w:rPr>
        <w:t xml:space="preserve"> </w:t>
      </w:r>
      <w:r w:rsidRPr="00713467">
        <w:rPr>
          <w:rFonts w:asciiTheme="majorHAnsi" w:hAnsiTheme="majorHAnsi"/>
          <w:sz w:val="16"/>
          <w:szCs w:val="16"/>
          <w:lang w:val="es-AR"/>
        </w:rPr>
        <w:t xml:space="preserve">IACHR Report No. 143/18, Petition 940-08, Admissibility. </w:t>
      </w:r>
      <w:r w:rsidRPr="001A1619">
        <w:rPr>
          <w:rFonts w:asciiTheme="majorHAnsi" w:hAnsiTheme="majorHAnsi"/>
          <w:sz w:val="16"/>
          <w:szCs w:val="16"/>
          <w:lang w:val="es-US"/>
        </w:rPr>
        <w:t xml:space="preserve">Luis Américo Ayala Gonzales. </w:t>
      </w:r>
      <w:r w:rsidRPr="00713467">
        <w:rPr>
          <w:rFonts w:asciiTheme="majorHAnsi" w:hAnsiTheme="majorHAnsi"/>
          <w:sz w:val="16"/>
          <w:szCs w:val="16"/>
        </w:rPr>
        <w:t xml:space="preserve">Peru. </w:t>
      </w:r>
      <w:r w:rsidRPr="001A1619">
        <w:rPr>
          <w:rFonts w:asciiTheme="majorHAnsi" w:hAnsiTheme="majorHAnsi"/>
          <w:sz w:val="16"/>
          <w:szCs w:val="16"/>
          <w:lang w:val="en"/>
        </w:rPr>
        <w:t>December 4, 2018, para. 12; and IACHR Report No. 293/20, Petition 434-09, Admissibility, Gabriel Ulises Valdez Larqué and family members. Mexico. October 13, 2020, para. 22.</w:t>
      </w:r>
      <w:r w:rsidRPr="001A1619">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2CD23DEB" w:rsidR="00A50FCF" w:rsidRDefault="003F6D10" w:rsidP="00A50FCF">
    <w:pPr>
      <w:pStyle w:val="Header"/>
      <w:tabs>
        <w:tab w:val="clear" w:pos="4320"/>
        <w:tab w:val="clear" w:pos="8640"/>
      </w:tabs>
      <w:jc w:val="center"/>
      <w:rPr>
        <w:sz w:val="22"/>
        <w:szCs w:val="22"/>
      </w:rPr>
    </w:pPr>
    <w:r>
      <w:rPr>
        <w:noProof/>
        <w:sz w:val="22"/>
        <w:szCs w:val="22"/>
      </w:rPr>
      <w:drawing>
        <wp:inline distT="0" distB="0" distL="0" distR="0" wp14:anchorId="189E2F6C" wp14:editId="078E0DE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5E27F7" w:rsidP="00A50FCF">
    <w:pPr>
      <w:pStyle w:val="Header"/>
      <w:tabs>
        <w:tab w:val="clear" w:pos="4320"/>
        <w:tab w:val="clear" w:pos="8640"/>
      </w:tabs>
      <w:jc w:val="center"/>
      <w:rPr>
        <w:sz w:val="22"/>
        <w:szCs w:val="22"/>
      </w:rPr>
    </w:pPr>
    <w:r>
      <w:rPr>
        <w:noProof/>
        <w:sz w:val="22"/>
        <w:szCs w:val="22"/>
        <w:bdr w:val="nil"/>
        <w:lang w:val="en"/>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50DA"/>
    <w:rsid w:val="0000539E"/>
    <w:rsid w:val="000057EF"/>
    <w:rsid w:val="00005CEE"/>
    <w:rsid w:val="00006DB3"/>
    <w:rsid w:val="00006E1F"/>
    <w:rsid w:val="000070D7"/>
    <w:rsid w:val="0000774F"/>
    <w:rsid w:val="0000780D"/>
    <w:rsid w:val="00007B76"/>
    <w:rsid w:val="00010323"/>
    <w:rsid w:val="00011113"/>
    <w:rsid w:val="000116AA"/>
    <w:rsid w:val="000119EC"/>
    <w:rsid w:val="00011AA6"/>
    <w:rsid w:val="000127D2"/>
    <w:rsid w:val="000128EE"/>
    <w:rsid w:val="00013C5B"/>
    <w:rsid w:val="00014600"/>
    <w:rsid w:val="00014AF0"/>
    <w:rsid w:val="00015803"/>
    <w:rsid w:val="0001598E"/>
    <w:rsid w:val="00015EAE"/>
    <w:rsid w:val="00015F3F"/>
    <w:rsid w:val="00016183"/>
    <w:rsid w:val="000176D1"/>
    <w:rsid w:val="0001788C"/>
    <w:rsid w:val="00017DDC"/>
    <w:rsid w:val="00017DDF"/>
    <w:rsid w:val="000200E6"/>
    <w:rsid w:val="00020CF7"/>
    <w:rsid w:val="00021350"/>
    <w:rsid w:val="00022A5E"/>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6490"/>
    <w:rsid w:val="00037320"/>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5342"/>
    <w:rsid w:val="00045DF3"/>
    <w:rsid w:val="000462A6"/>
    <w:rsid w:val="00046402"/>
    <w:rsid w:val="00047212"/>
    <w:rsid w:val="0004752D"/>
    <w:rsid w:val="00050080"/>
    <w:rsid w:val="00050D61"/>
    <w:rsid w:val="00051651"/>
    <w:rsid w:val="000524FA"/>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0C82"/>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171C"/>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6AB"/>
    <w:rsid w:val="00090BA0"/>
    <w:rsid w:val="00090C85"/>
    <w:rsid w:val="00090D47"/>
    <w:rsid w:val="00091750"/>
    <w:rsid w:val="00091C85"/>
    <w:rsid w:val="00091DE5"/>
    <w:rsid w:val="0009262C"/>
    <w:rsid w:val="00092BA6"/>
    <w:rsid w:val="00092BE8"/>
    <w:rsid w:val="0009344A"/>
    <w:rsid w:val="00093525"/>
    <w:rsid w:val="00093A30"/>
    <w:rsid w:val="000940B2"/>
    <w:rsid w:val="00094853"/>
    <w:rsid w:val="0009493F"/>
    <w:rsid w:val="00095015"/>
    <w:rsid w:val="000951B9"/>
    <w:rsid w:val="00097024"/>
    <w:rsid w:val="00097302"/>
    <w:rsid w:val="000977FE"/>
    <w:rsid w:val="000A0257"/>
    <w:rsid w:val="000A05AE"/>
    <w:rsid w:val="000A05F3"/>
    <w:rsid w:val="000A1743"/>
    <w:rsid w:val="000A20B0"/>
    <w:rsid w:val="000A21D4"/>
    <w:rsid w:val="000A236E"/>
    <w:rsid w:val="000A25E9"/>
    <w:rsid w:val="000A2EB1"/>
    <w:rsid w:val="000A392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21C4"/>
    <w:rsid w:val="000F35ED"/>
    <w:rsid w:val="000F3C7D"/>
    <w:rsid w:val="000F4964"/>
    <w:rsid w:val="000F506A"/>
    <w:rsid w:val="000F6292"/>
    <w:rsid w:val="00100410"/>
    <w:rsid w:val="001004FE"/>
    <w:rsid w:val="00100BB3"/>
    <w:rsid w:val="00100F9E"/>
    <w:rsid w:val="00101CCE"/>
    <w:rsid w:val="001021F1"/>
    <w:rsid w:val="00102ABF"/>
    <w:rsid w:val="00102B87"/>
    <w:rsid w:val="00102C60"/>
    <w:rsid w:val="001032BC"/>
    <w:rsid w:val="00103A66"/>
    <w:rsid w:val="00103EC9"/>
    <w:rsid w:val="001044C0"/>
    <w:rsid w:val="00104758"/>
    <w:rsid w:val="00105D19"/>
    <w:rsid w:val="00106DBD"/>
    <w:rsid w:val="00106F74"/>
    <w:rsid w:val="00107131"/>
    <w:rsid w:val="0010736F"/>
    <w:rsid w:val="0010763C"/>
    <w:rsid w:val="00107717"/>
    <w:rsid w:val="00110B5E"/>
    <w:rsid w:val="001114DE"/>
    <w:rsid w:val="001127CC"/>
    <w:rsid w:val="001128AE"/>
    <w:rsid w:val="00112CB4"/>
    <w:rsid w:val="00113F73"/>
    <w:rsid w:val="00114D7F"/>
    <w:rsid w:val="0011508E"/>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B6F"/>
    <w:rsid w:val="00135119"/>
    <w:rsid w:val="00135560"/>
    <w:rsid w:val="00135B4B"/>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B78"/>
    <w:rsid w:val="001513D3"/>
    <w:rsid w:val="00151D17"/>
    <w:rsid w:val="0015248B"/>
    <w:rsid w:val="001525D8"/>
    <w:rsid w:val="00152CBE"/>
    <w:rsid w:val="00152ECD"/>
    <w:rsid w:val="00152F46"/>
    <w:rsid w:val="0015673A"/>
    <w:rsid w:val="00156B4A"/>
    <w:rsid w:val="00157209"/>
    <w:rsid w:val="00157257"/>
    <w:rsid w:val="001575DC"/>
    <w:rsid w:val="0015783D"/>
    <w:rsid w:val="00157A6E"/>
    <w:rsid w:val="001601B8"/>
    <w:rsid w:val="001609B3"/>
    <w:rsid w:val="001616AA"/>
    <w:rsid w:val="00162F0B"/>
    <w:rsid w:val="0016332D"/>
    <w:rsid w:val="00163E18"/>
    <w:rsid w:val="0016439C"/>
    <w:rsid w:val="00165617"/>
    <w:rsid w:val="0016575F"/>
    <w:rsid w:val="00166360"/>
    <w:rsid w:val="00166F21"/>
    <w:rsid w:val="0016726C"/>
    <w:rsid w:val="0016740F"/>
    <w:rsid w:val="00167A34"/>
    <w:rsid w:val="00170A4A"/>
    <w:rsid w:val="00170B55"/>
    <w:rsid w:val="00170BFA"/>
    <w:rsid w:val="00171525"/>
    <w:rsid w:val="00171812"/>
    <w:rsid w:val="00173E89"/>
    <w:rsid w:val="00174DA2"/>
    <w:rsid w:val="001757ED"/>
    <w:rsid w:val="00175809"/>
    <w:rsid w:val="00175E7D"/>
    <w:rsid w:val="0017604E"/>
    <w:rsid w:val="00176376"/>
    <w:rsid w:val="00177246"/>
    <w:rsid w:val="00177843"/>
    <w:rsid w:val="00177F55"/>
    <w:rsid w:val="00181A97"/>
    <w:rsid w:val="00182141"/>
    <w:rsid w:val="00182B1B"/>
    <w:rsid w:val="00182B32"/>
    <w:rsid w:val="00182BC1"/>
    <w:rsid w:val="00183274"/>
    <w:rsid w:val="001838F3"/>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19"/>
    <w:rsid w:val="001A166D"/>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6F8"/>
    <w:rsid w:val="001B478B"/>
    <w:rsid w:val="001B507F"/>
    <w:rsid w:val="001B5657"/>
    <w:rsid w:val="001B5858"/>
    <w:rsid w:val="001B5E21"/>
    <w:rsid w:val="001B6100"/>
    <w:rsid w:val="001B6442"/>
    <w:rsid w:val="001B69EA"/>
    <w:rsid w:val="001B6F91"/>
    <w:rsid w:val="001B717D"/>
    <w:rsid w:val="001B742E"/>
    <w:rsid w:val="001B7534"/>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65EC"/>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5CA3"/>
    <w:rsid w:val="001D62CF"/>
    <w:rsid w:val="001D65EF"/>
    <w:rsid w:val="001D6B01"/>
    <w:rsid w:val="001D7083"/>
    <w:rsid w:val="001D7C7E"/>
    <w:rsid w:val="001D7F96"/>
    <w:rsid w:val="001E03E0"/>
    <w:rsid w:val="001E070E"/>
    <w:rsid w:val="001E0AFD"/>
    <w:rsid w:val="001E0E04"/>
    <w:rsid w:val="001E1233"/>
    <w:rsid w:val="001E21E8"/>
    <w:rsid w:val="001E284C"/>
    <w:rsid w:val="001E29E7"/>
    <w:rsid w:val="001E2F2C"/>
    <w:rsid w:val="001E49E7"/>
    <w:rsid w:val="001E5DE5"/>
    <w:rsid w:val="001E6403"/>
    <w:rsid w:val="001E6759"/>
    <w:rsid w:val="001E6B64"/>
    <w:rsid w:val="001E6F19"/>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303F"/>
    <w:rsid w:val="00203367"/>
    <w:rsid w:val="002036B4"/>
    <w:rsid w:val="0020373C"/>
    <w:rsid w:val="00203F46"/>
    <w:rsid w:val="002053E9"/>
    <w:rsid w:val="002073E4"/>
    <w:rsid w:val="00207A17"/>
    <w:rsid w:val="00207A7E"/>
    <w:rsid w:val="002109CF"/>
    <w:rsid w:val="00210BBD"/>
    <w:rsid w:val="00211DAA"/>
    <w:rsid w:val="00212EC7"/>
    <w:rsid w:val="002139DE"/>
    <w:rsid w:val="002156D4"/>
    <w:rsid w:val="00215D0A"/>
    <w:rsid w:val="0021636B"/>
    <w:rsid w:val="0021674A"/>
    <w:rsid w:val="002168EA"/>
    <w:rsid w:val="002174D6"/>
    <w:rsid w:val="00220521"/>
    <w:rsid w:val="00221D38"/>
    <w:rsid w:val="0022247C"/>
    <w:rsid w:val="002227F5"/>
    <w:rsid w:val="00222CBB"/>
    <w:rsid w:val="002231FB"/>
    <w:rsid w:val="0022380B"/>
    <w:rsid w:val="0022397C"/>
    <w:rsid w:val="00223A29"/>
    <w:rsid w:val="00223A4B"/>
    <w:rsid w:val="00224C56"/>
    <w:rsid w:val="002250A3"/>
    <w:rsid w:val="002264A3"/>
    <w:rsid w:val="002268D3"/>
    <w:rsid w:val="00226D5D"/>
    <w:rsid w:val="00227BBA"/>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3A70"/>
    <w:rsid w:val="00243F78"/>
    <w:rsid w:val="00244241"/>
    <w:rsid w:val="00245139"/>
    <w:rsid w:val="00246110"/>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5294"/>
    <w:rsid w:val="0025713A"/>
    <w:rsid w:val="002571C3"/>
    <w:rsid w:val="00257C23"/>
    <w:rsid w:val="00257C74"/>
    <w:rsid w:val="00260601"/>
    <w:rsid w:val="00260F64"/>
    <w:rsid w:val="00261076"/>
    <w:rsid w:val="0026214D"/>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5528"/>
    <w:rsid w:val="00275DC8"/>
    <w:rsid w:val="00276008"/>
    <w:rsid w:val="0027618C"/>
    <w:rsid w:val="0027693D"/>
    <w:rsid w:val="00276DB8"/>
    <w:rsid w:val="0028103A"/>
    <w:rsid w:val="00281623"/>
    <w:rsid w:val="00281698"/>
    <w:rsid w:val="00281738"/>
    <w:rsid w:val="00281765"/>
    <w:rsid w:val="002818FC"/>
    <w:rsid w:val="00282134"/>
    <w:rsid w:val="002822CC"/>
    <w:rsid w:val="00282414"/>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BBD"/>
    <w:rsid w:val="00291F27"/>
    <w:rsid w:val="002932FC"/>
    <w:rsid w:val="00293A6F"/>
    <w:rsid w:val="00294188"/>
    <w:rsid w:val="00294950"/>
    <w:rsid w:val="00295129"/>
    <w:rsid w:val="0029521F"/>
    <w:rsid w:val="002959DE"/>
    <w:rsid w:val="00296315"/>
    <w:rsid w:val="002965C1"/>
    <w:rsid w:val="002971DA"/>
    <w:rsid w:val="00297E1E"/>
    <w:rsid w:val="00297F6D"/>
    <w:rsid w:val="002A0AAE"/>
    <w:rsid w:val="002A0E63"/>
    <w:rsid w:val="002A0E9B"/>
    <w:rsid w:val="002A2860"/>
    <w:rsid w:val="002A3458"/>
    <w:rsid w:val="002A3FF3"/>
    <w:rsid w:val="002A49D6"/>
    <w:rsid w:val="002A4ECD"/>
    <w:rsid w:val="002A55D4"/>
    <w:rsid w:val="002A5664"/>
    <w:rsid w:val="002A5820"/>
    <w:rsid w:val="002A61AD"/>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C44"/>
    <w:rsid w:val="002B4D6C"/>
    <w:rsid w:val="002B6423"/>
    <w:rsid w:val="002B749C"/>
    <w:rsid w:val="002B7DF4"/>
    <w:rsid w:val="002B7E83"/>
    <w:rsid w:val="002B7F8A"/>
    <w:rsid w:val="002C00AF"/>
    <w:rsid w:val="002C08AF"/>
    <w:rsid w:val="002C1447"/>
    <w:rsid w:val="002C3549"/>
    <w:rsid w:val="002C3B8E"/>
    <w:rsid w:val="002C500E"/>
    <w:rsid w:val="002C5172"/>
    <w:rsid w:val="002C5600"/>
    <w:rsid w:val="002C5C2E"/>
    <w:rsid w:val="002C678F"/>
    <w:rsid w:val="002C6BD4"/>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889"/>
    <w:rsid w:val="002E5C75"/>
    <w:rsid w:val="002E5F96"/>
    <w:rsid w:val="002E654A"/>
    <w:rsid w:val="002E711B"/>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4F"/>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E9D"/>
    <w:rsid w:val="00340031"/>
    <w:rsid w:val="003406E0"/>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7322"/>
    <w:rsid w:val="003778E2"/>
    <w:rsid w:val="00377F09"/>
    <w:rsid w:val="003808C2"/>
    <w:rsid w:val="003819A5"/>
    <w:rsid w:val="00381BDB"/>
    <w:rsid w:val="00382997"/>
    <w:rsid w:val="00383260"/>
    <w:rsid w:val="00384756"/>
    <w:rsid w:val="00385516"/>
    <w:rsid w:val="003856F3"/>
    <w:rsid w:val="00385FA4"/>
    <w:rsid w:val="00386CF0"/>
    <w:rsid w:val="00387165"/>
    <w:rsid w:val="00387B58"/>
    <w:rsid w:val="0039114A"/>
    <w:rsid w:val="00391474"/>
    <w:rsid w:val="003914D3"/>
    <w:rsid w:val="003915F9"/>
    <w:rsid w:val="00391865"/>
    <w:rsid w:val="003918D1"/>
    <w:rsid w:val="003919AC"/>
    <w:rsid w:val="00391C4F"/>
    <w:rsid w:val="00392EB9"/>
    <w:rsid w:val="00393515"/>
    <w:rsid w:val="00394073"/>
    <w:rsid w:val="003948B0"/>
    <w:rsid w:val="00395979"/>
    <w:rsid w:val="00396C0E"/>
    <w:rsid w:val="00397131"/>
    <w:rsid w:val="003978A9"/>
    <w:rsid w:val="00397BD4"/>
    <w:rsid w:val="003A04D6"/>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6FF2"/>
    <w:rsid w:val="003B70FB"/>
    <w:rsid w:val="003B7148"/>
    <w:rsid w:val="003C04FD"/>
    <w:rsid w:val="003C0B67"/>
    <w:rsid w:val="003C0CC3"/>
    <w:rsid w:val="003C0E1F"/>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60D"/>
    <w:rsid w:val="003C7AD6"/>
    <w:rsid w:val="003D12C0"/>
    <w:rsid w:val="003D2446"/>
    <w:rsid w:val="003D3BC2"/>
    <w:rsid w:val="003D4FE6"/>
    <w:rsid w:val="003D51D6"/>
    <w:rsid w:val="003D5D63"/>
    <w:rsid w:val="003D6023"/>
    <w:rsid w:val="003D6E2C"/>
    <w:rsid w:val="003E037A"/>
    <w:rsid w:val="003E156A"/>
    <w:rsid w:val="003E1931"/>
    <w:rsid w:val="003E2BB9"/>
    <w:rsid w:val="003E37EE"/>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6D10"/>
    <w:rsid w:val="003F7558"/>
    <w:rsid w:val="003F7660"/>
    <w:rsid w:val="00400C96"/>
    <w:rsid w:val="0040250F"/>
    <w:rsid w:val="004027C8"/>
    <w:rsid w:val="00402966"/>
    <w:rsid w:val="00402CA8"/>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40"/>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08B"/>
    <w:rsid w:val="004313A9"/>
    <w:rsid w:val="004315A6"/>
    <w:rsid w:val="004324A8"/>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D55"/>
    <w:rsid w:val="00441ECB"/>
    <w:rsid w:val="0044218F"/>
    <w:rsid w:val="004423ED"/>
    <w:rsid w:val="00442B0B"/>
    <w:rsid w:val="00442F2E"/>
    <w:rsid w:val="0044379D"/>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62D"/>
    <w:rsid w:val="00466D56"/>
    <w:rsid w:val="004672A7"/>
    <w:rsid w:val="00467989"/>
    <w:rsid w:val="00467B7E"/>
    <w:rsid w:val="004703C2"/>
    <w:rsid w:val="004719F8"/>
    <w:rsid w:val="00471B1D"/>
    <w:rsid w:val="00471D11"/>
    <w:rsid w:val="004729B2"/>
    <w:rsid w:val="00473BB4"/>
    <w:rsid w:val="00474165"/>
    <w:rsid w:val="00474ACD"/>
    <w:rsid w:val="004762F3"/>
    <w:rsid w:val="00477018"/>
    <w:rsid w:val="00477592"/>
    <w:rsid w:val="004801F9"/>
    <w:rsid w:val="00480C2D"/>
    <w:rsid w:val="004817B6"/>
    <w:rsid w:val="004818B0"/>
    <w:rsid w:val="00482A2C"/>
    <w:rsid w:val="004834E7"/>
    <w:rsid w:val="00483C17"/>
    <w:rsid w:val="0048476D"/>
    <w:rsid w:val="00486E78"/>
    <w:rsid w:val="00486F1C"/>
    <w:rsid w:val="00487518"/>
    <w:rsid w:val="004877B5"/>
    <w:rsid w:val="00487B11"/>
    <w:rsid w:val="00487B59"/>
    <w:rsid w:val="00487F2B"/>
    <w:rsid w:val="00490FC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4F4"/>
    <w:rsid w:val="004A36CD"/>
    <w:rsid w:val="004A3A0B"/>
    <w:rsid w:val="004A3B4C"/>
    <w:rsid w:val="004A4748"/>
    <w:rsid w:val="004A483E"/>
    <w:rsid w:val="004A4D82"/>
    <w:rsid w:val="004A531E"/>
    <w:rsid w:val="004A5A50"/>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6FE7"/>
    <w:rsid w:val="004C797B"/>
    <w:rsid w:val="004D0440"/>
    <w:rsid w:val="004D08BD"/>
    <w:rsid w:val="004D0B82"/>
    <w:rsid w:val="004D0BCD"/>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43C4"/>
    <w:rsid w:val="004E46FF"/>
    <w:rsid w:val="004E4C99"/>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C6C"/>
    <w:rsid w:val="004F5E6A"/>
    <w:rsid w:val="004F626F"/>
    <w:rsid w:val="004F63BF"/>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2FBD"/>
    <w:rsid w:val="0050476B"/>
    <w:rsid w:val="005047ED"/>
    <w:rsid w:val="00504C5D"/>
    <w:rsid w:val="00504E7C"/>
    <w:rsid w:val="0050549D"/>
    <w:rsid w:val="0050633D"/>
    <w:rsid w:val="005066C9"/>
    <w:rsid w:val="00506DE8"/>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732"/>
    <w:rsid w:val="00521E1F"/>
    <w:rsid w:val="00522CE6"/>
    <w:rsid w:val="00522DA1"/>
    <w:rsid w:val="00524CED"/>
    <w:rsid w:val="00524F0B"/>
    <w:rsid w:val="00525560"/>
    <w:rsid w:val="00526027"/>
    <w:rsid w:val="00526CDC"/>
    <w:rsid w:val="00527B7C"/>
    <w:rsid w:val="00530D3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5E"/>
    <w:rsid w:val="00537F78"/>
    <w:rsid w:val="0054015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79D"/>
    <w:rsid w:val="00553A06"/>
    <w:rsid w:val="00553E0C"/>
    <w:rsid w:val="00554820"/>
    <w:rsid w:val="005555D0"/>
    <w:rsid w:val="005559EF"/>
    <w:rsid w:val="00556325"/>
    <w:rsid w:val="00556940"/>
    <w:rsid w:val="00556AFA"/>
    <w:rsid w:val="00557247"/>
    <w:rsid w:val="00557786"/>
    <w:rsid w:val="00560271"/>
    <w:rsid w:val="005618B5"/>
    <w:rsid w:val="005618BF"/>
    <w:rsid w:val="00561F26"/>
    <w:rsid w:val="005629FD"/>
    <w:rsid w:val="00563557"/>
    <w:rsid w:val="00563FE9"/>
    <w:rsid w:val="00564952"/>
    <w:rsid w:val="00565A6D"/>
    <w:rsid w:val="00565D76"/>
    <w:rsid w:val="00566423"/>
    <w:rsid w:val="00567CFA"/>
    <w:rsid w:val="00570074"/>
    <w:rsid w:val="00570339"/>
    <w:rsid w:val="005704CE"/>
    <w:rsid w:val="005709AD"/>
    <w:rsid w:val="00570B69"/>
    <w:rsid w:val="00570EB3"/>
    <w:rsid w:val="005718FB"/>
    <w:rsid w:val="00571ECA"/>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940"/>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91A"/>
    <w:rsid w:val="0059195C"/>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A5E"/>
    <w:rsid w:val="005B3581"/>
    <w:rsid w:val="005B434D"/>
    <w:rsid w:val="005B4FFE"/>
    <w:rsid w:val="005B52B0"/>
    <w:rsid w:val="005B5B52"/>
    <w:rsid w:val="005B64BE"/>
    <w:rsid w:val="005B6806"/>
    <w:rsid w:val="005B70CD"/>
    <w:rsid w:val="005B71B5"/>
    <w:rsid w:val="005B797A"/>
    <w:rsid w:val="005B7B02"/>
    <w:rsid w:val="005C03CF"/>
    <w:rsid w:val="005C0CDB"/>
    <w:rsid w:val="005C1523"/>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7F7"/>
    <w:rsid w:val="005E28B7"/>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7D4"/>
    <w:rsid w:val="00612A1A"/>
    <w:rsid w:val="00613186"/>
    <w:rsid w:val="006135E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915"/>
    <w:rsid w:val="00641AB5"/>
    <w:rsid w:val="00641E25"/>
    <w:rsid w:val="00642810"/>
    <w:rsid w:val="00643455"/>
    <w:rsid w:val="00644223"/>
    <w:rsid w:val="006445BD"/>
    <w:rsid w:val="00644CC8"/>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75A"/>
    <w:rsid w:val="00663F10"/>
    <w:rsid w:val="00664D7F"/>
    <w:rsid w:val="00664F56"/>
    <w:rsid w:val="00665D45"/>
    <w:rsid w:val="00665DF4"/>
    <w:rsid w:val="0066622F"/>
    <w:rsid w:val="0066641F"/>
    <w:rsid w:val="0066663E"/>
    <w:rsid w:val="00667AE1"/>
    <w:rsid w:val="00667C05"/>
    <w:rsid w:val="00667CE2"/>
    <w:rsid w:val="00670626"/>
    <w:rsid w:val="00670AF8"/>
    <w:rsid w:val="00671EDD"/>
    <w:rsid w:val="00672083"/>
    <w:rsid w:val="006723D3"/>
    <w:rsid w:val="006735F8"/>
    <w:rsid w:val="00673A6A"/>
    <w:rsid w:val="006747B5"/>
    <w:rsid w:val="00675171"/>
    <w:rsid w:val="00676ACF"/>
    <w:rsid w:val="0068009E"/>
    <w:rsid w:val="00680962"/>
    <w:rsid w:val="00681A54"/>
    <w:rsid w:val="0068206A"/>
    <w:rsid w:val="0068219D"/>
    <w:rsid w:val="00682920"/>
    <w:rsid w:val="00682DC4"/>
    <w:rsid w:val="00683CAC"/>
    <w:rsid w:val="0068400B"/>
    <w:rsid w:val="00684515"/>
    <w:rsid w:val="00684540"/>
    <w:rsid w:val="00684669"/>
    <w:rsid w:val="00684F46"/>
    <w:rsid w:val="00685760"/>
    <w:rsid w:val="0068591F"/>
    <w:rsid w:val="00685CC9"/>
    <w:rsid w:val="006860CB"/>
    <w:rsid w:val="00686F4F"/>
    <w:rsid w:val="00687C4F"/>
    <w:rsid w:val="00692219"/>
    <w:rsid w:val="006929E0"/>
    <w:rsid w:val="00692FE4"/>
    <w:rsid w:val="00694A71"/>
    <w:rsid w:val="00694F5F"/>
    <w:rsid w:val="00696160"/>
    <w:rsid w:val="00696452"/>
    <w:rsid w:val="00696473"/>
    <w:rsid w:val="00697007"/>
    <w:rsid w:val="006972A9"/>
    <w:rsid w:val="00697F05"/>
    <w:rsid w:val="006A046E"/>
    <w:rsid w:val="006A062E"/>
    <w:rsid w:val="006A0B19"/>
    <w:rsid w:val="006A0CE5"/>
    <w:rsid w:val="006A0FCC"/>
    <w:rsid w:val="006A17D2"/>
    <w:rsid w:val="006A1E84"/>
    <w:rsid w:val="006A4738"/>
    <w:rsid w:val="006A49CF"/>
    <w:rsid w:val="006A5B99"/>
    <w:rsid w:val="006A6012"/>
    <w:rsid w:val="006A602C"/>
    <w:rsid w:val="006A708C"/>
    <w:rsid w:val="006A70F3"/>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C5E"/>
    <w:rsid w:val="006B7A65"/>
    <w:rsid w:val="006C036A"/>
    <w:rsid w:val="006C0ECF"/>
    <w:rsid w:val="006C1600"/>
    <w:rsid w:val="006C1CE4"/>
    <w:rsid w:val="006C2028"/>
    <w:rsid w:val="006C2EFF"/>
    <w:rsid w:val="006C46CC"/>
    <w:rsid w:val="006C4A03"/>
    <w:rsid w:val="006C4EB1"/>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7BF"/>
    <w:rsid w:val="006D5897"/>
    <w:rsid w:val="006D6199"/>
    <w:rsid w:val="006D6633"/>
    <w:rsid w:val="006D6818"/>
    <w:rsid w:val="006D6E8A"/>
    <w:rsid w:val="006D7018"/>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B34"/>
    <w:rsid w:val="006E7C6F"/>
    <w:rsid w:val="006F000B"/>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4B"/>
    <w:rsid w:val="00701995"/>
    <w:rsid w:val="007029A6"/>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886"/>
    <w:rsid w:val="00712CB8"/>
    <w:rsid w:val="00713467"/>
    <w:rsid w:val="0071399C"/>
    <w:rsid w:val="00714D69"/>
    <w:rsid w:val="00715185"/>
    <w:rsid w:val="00716273"/>
    <w:rsid w:val="007165B6"/>
    <w:rsid w:val="00717A16"/>
    <w:rsid w:val="00717BB9"/>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75E"/>
    <w:rsid w:val="00741843"/>
    <w:rsid w:val="00741BD6"/>
    <w:rsid w:val="00742EE4"/>
    <w:rsid w:val="007436AD"/>
    <w:rsid w:val="00746443"/>
    <w:rsid w:val="007467C1"/>
    <w:rsid w:val="00747065"/>
    <w:rsid w:val="007472B8"/>
    <w:rsid w:val="0074752A"/>
    <w:rsid w:val="0074771A"/>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70215"/>
    <w:rsid w:val="00770554"/>
    <w:rsid w:val="00770769"/>
    <w:rsid w:val="00770865"/>
    <w:rsid w:val="00770E7A"/>
    <w:rsid w:val="00771790"/>
    <w:rsid w:val="00771B5F"/>
    <w:rsid w:val="00771DB2"/>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1FEB"/>
    <w:rsid w:val="00782A9E"/>
    <w:rsid w:val="00782E71"/>
    <w:rsid w:val="00782F79"/>
    <w:rsid w:val="007842B0"/>
    <w:rsid w:val="00784903"/>
    <w:rsid w:val="007854C1"/>
    <w:rsid w:val="00785E8C"/>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198"/>
    <w:rsid w:val="007B588E"/>
    <w:rsid w:val="007B60E9"/>
    <w:rsid w:val="007B64CB"/>
    <w:rsid w:val="007B6CC3"/>
    <w:rsid w:val="007B70DC"/>
    <w:rsid w:val="007B7205"/>
    <w:rsid w:val="007B76D3"/>
    <w:rsid w:val="007C0B53"/>
    <w:rsid w:val="007C110C"/>
    <w:rsid w:val="007C2523"/>
    <w:rsid w:val="007C2AA2"/>
    <w:rsid w:val="007C3334"/>
    <w:rsid w:val="007C3638"/>
    <w:rsid w:val="007C3BDA"/>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21BC"/>
    <w:rsid w:val="007E2276"/>
    <w:rsid w:val="007E3764"/>
    <w:rsid w:val="007E3F5D"/>
    <w:rsid w:val="007E4911"/>
    <w:rsid w:val="007E64CA"/>
    <w:rsid w:val="007E6B7E"/>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E9E"/>
    <w:rsid w:val="00800F85"/>
    <w:rsid w:val="00801F50"/>
    <w:rsid w:val="00803013"/>
    <w:rsid w:val="008034E3"/>
    <w:rsid w:val="008035F3"/>
    <w:rsid w:val="00803F1C"/>
    <w:rsid w:val="00804A5B"/>
    <w:rsid w:val="00804CC7"/>
    <w:rsid w:val="0080600E"/>
    <w:rsid w:val="0080614B"/>
    <w:rsid w:val="008062FD"/>
    <w:rsid w:val="008063D0"/>
    <w:rsid w:val="008067A6"/>
    <w:rsid w:val="008071C0"/>
    <w:rsid w:val="0080761C"/>
    <w:rsid w:val="0080792F"/>
    <w:rsid w:val="00807953"/>
    <w:rsid w:val="008102CA"/>
    <w:rsid w:val="00811E95"/>
    <w:rsid w:val="008138D8"/>
    <w:rsid w:val="008141D8"/>
    <w:rsid w:val="00814688"/>
    <w:rsid w:val="00814AC2"/>
    <w:rsid w:val="00814AC9"/>
    <w:rsid w:val="00815FC6"/>
    <w:rsid w:val="00816D47"/>
    <w:rsid w:val="00817007"/>
    <w:rsid w:val="00817612"/>
    <w:rsid w:val="00817F06"/>
    <w:rsid w:val="00820DC0"/>
    <w:rsid w:val="0082124C"/>
    <w:rsid w:val="008212A4"/>
    <w:rsid w:val="00821709"/>
    <w:rsid w:val="00822D90"/>
    <w:rsid w:val="00822DA2"/>
    <w:rsid w:val="00823716"/>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938"/>
    <w:rsid w:val="0083696E"/>
    <w:rsid w:val="00836997"/>
    <w:rsid w:val="00837C45"/>
    <w:rsid w:val="00841329"/>
    <w:rsid w:val="00841D9D"/>
    <w:rsid w:val="00841DBE"/>
    <w:rsid w:val="00841F92"/>
    <w:rsid w:val="008426A2"/>
    <w:rsid w:val="0084287B"/>
    <w:rsid w:val="00843025"/>
    <w:rsid w:val="00843D52"/>
    <w:rsid w:val="00844730"/>
    <w:rsid w:val="008457C2"/>
    <w:rsid w:val="0084581D"/>
    <w:rsid w:val="00845FE5"/>
    <w:rsid w:val="00846276"/>
    <w:rsid w:val="00846F47"/>
    <w:rsid w:val="00847989"/>
    <w:rsid w:val="008479B8"/>
    <w:rsid w:val="00847AD2"/>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665"/>
    <w:rsid w:val="00857A82"/>
    <w:rsid w:val="00860371"/>
    <w:rsid w:val="00861658"/>
    <w:rsid w:val="00861B5C"/>
    <w:rsid w:val="00862F94"/>
    <w:rsid w:val="00864643"/>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77EEA"/>
    <w:rsid w:val="008805D7"/>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FCA"/>
    <w:rsid w:val="00887B2C"/>
    <w:rsid w:val="00887DB6"/>
    <w:rsid w:val="00887EA7"/>
    <w:rsid w:val="00890650"/>
    <w:rsid w:val="00890960"/>
    <w:rsid w:val="00890D35"/>
    <w:rsid w:val="008922F8"/>
    <w:rsid w:val="008923D1"/>
    <w:rsid w:val="00892423"/>
    <w:rsid w:val="00893F81"/>
    <w:rsid w:val="008944DC"/>
    <w:rsid w:val="00894C2D"/>
    <w:rsid w:val="00895691"/>
    <w:rsid w:val="00897899"/>
    <w:rsid w:val="00897E12"/>
    <w:rsid w:val="00897E2A"/>
    <w:rsid w:val="008A098F"/>
    <w:rsid w:val="008A0BD8"/>
    <w:rsid w:val="008A1003"/>
    <w:rsid w:val="008A32A9"/>
    <w:rsid w:val="008A3576"/>
    <w:rsid w:val="008A4B62"/>
    <w:rsid w:val="008A5830"/>
    <w:rsid w:val="008A5B8C"/>
    <w:rsid w:val="008A5EC3"/>
    <w:rsid w:val="008A6296"/>
    <w:rsid w:val="008A653E"/>
    <w:rsid w:val="008A6572"/>
    <w:rsid w:val="008A66AB"/>
    <w:rsid w:val="008A6790"/>
    <w:rsid w:val="008A67C9"/>
    <w:rsid w:val="008A6A09"/>
    <w:rsid w:val="008A7E0F"/>
    <w:rsid w:val="008B061A"/>
    <w:rsid w:val="008B07EC"/>
    <w:rsid w:val="008B12F5"/>
    <w:rsid w:val="008B3437"/>
    <w:rsid w:val="008B4B38"/>
    <w:rsid w:val="008B5D63"/>
    <w:rsid w:val="008B79D7"/>
    <w:rsid w:val="008C0838"/>
    <w:rsid w:val="008C136C"/>
    <w:rsid w:val="008C1E10"/>
    <w:rsid w:val="008C2399"/>
    <w:rsid w:val="008C286A"/>
    <w:rsid w:val="008C2D88"/>
    <w:rsid w:val="008C4CF2"/>
    <w:rsid w:val="008C50EB"/>
    <w:rsid w:val="008C5851"/>
    <w:rsid w:val="008C5E2D"/>
    <w:rsid w:val="008C670C"/>
    <w:rsid w:val="008C71C3"/>
    <w:rsid w:val="008D0C17"/>
    <w:rsid w:val="008D13EF"/>
    <w:rsid w:val="008D14EC"/>
    <w:rsid w:val="008D1B7E"/>
    <w:rsid w:val="008D26E8"/>
    <w:rsid w:val="008D3C34"/>
    <w:rsid w:val="008D55BB"/>
    <w:rsid w:val="008D59E1"/>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D51"/>
    <w:rsid w:val="008F4F7B"/>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D8"/>
    <w:rsid w:val="0090464E"/>
    <w:rsid w:val="00906213"/>
    <w:rsid w:val="0090647F"/>
    <w:rsid w:val="00907BFF"/>
    <w:rsid w:val="009109B9"/>
    <w:rsid w:val="009126B0"/>
    <w:rsid w:val="0091270D"/>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61BA"/>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77E6"/>
    <w:rsid w:val="009600FC"/>
    <w:rsid w:val="00961F14"/>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82F"/>
    <w:rsid w:val="00973FAF"/>
    <w:rsid w:val="00974491"/>
    <w:rsid w:val="0097500F"/>
    <w:rsid w:val="00975318"/>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305E"/>
    <w:rsid w:val="009C42E0"/>
    <w:rsid w:val="009C44E1"/>
    <w:rsid w:val="009C47D5"/>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243"/>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3288"/>
    <w:rsid w:val="00A0333D"/>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FF9"/>
    <w:rsid w:val="00A166AF"/>
    <w:rsid w:val="00A17A15"/>
    <w:rsid w:val="00A20BB5"/>
    <w:rsid w:val="00A20F71"/>
    <w:rsid w:val="00A24EC7"/>
    <w:rsid w:val="00A25895"/>
    <w:rsid w:val="00A25A67"/>
    <w:rsid w:val="00A25CE2"/>
    <w:rsid w:val="00A263BB"/>
    <w:rsid w:val="00A2698C"/>
    <w:rsid w:val="00A27001"/>
    <w:rsid w:val="00A274E5"/>
    <w:rsid w:val="00A2757D"/>
    <w:rsid w:val="00A27E06"/>
    <w:rsid w:val="00A30100"/>
    <w:rsid w:val="00A3050F"/>
    <w:rsid w:val="00A308BB"/>
    <w:rsid w:val="00A3180D"/>
    <w:rsid w:val="00A31AB7"/>
    <w:rsid w:val="00A328B3"/>
    <w:rsid w:val="00A33AB7"/>
    <w:rsid w:val="00A33B33"/>
    <w:rsid w:val="00A33EEF"/>
    <w:rsid w:val="00A35358"/>
    <w:rsid w:val="00A3646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A23"/>
    <w:rsid w:val="00A60B62"/>
    <w:rsid w:val="00A610CD"/>
    <w:rsid w:val="00A61F9F"/>
    <w:rsid w:val="00A624CB"/>
    <w:rsid w:val="00A626C9"/>
    <w:rsid w:val="00A62E31"/>
    <w:rsid w:val="00A633A8"/>
    <w:rsid w:val="00A63EC6"/>
    <w:rsid w:val="00A642B3"/>
    <w:rsid w:val="00A64F7E"/>
    <w:rsid w:val="00A669A3"/>
    <w:rsid w:val="00A67C14"/>
    <w:rsid w:val="00A7033D"/>
    <w:rsid w:val="00A7035C"/>
    <w:rsid w:val="00A7078F"/>
    <w:rsid w:val="00A708AF"/>
    <w:rsid w:val="00A70B3C"/>
    <w:rsid w:val="00A70ECE"/>
    <w:rsid w:val="00A729FB"/>
    <w:rsid w:val="00A73700"/>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11A"/>
    <w:rsid w:val="00A90831"/>
    <w:rsid w:val="00A9097F"/>
    <w:rsid w:val="00A912AE"/>
    <w:rsid w:val="00A91A34"/>
    <w:rsid w:val="00A91B2D"/>
    <w:rsid w:val="00A921F3"/>
    <w:rsid w:val="00A9285D"/>
    <w:rsid w:val="00A92931"/>
    <w:rsid w:val="00A9344C"/>
    <w:rsid w:val="00A93722"/>
    <w:rsid w:val="00A9473E"/>
    <w:rsid w:val="00A9625C"/>
    <w:rsid w:val="00A962AE"/>
    <w:rsid w:val="00A96519"/>
    <w:rsid w:val="00A969DC"/>
    <w:rsid w:val="00A96B8E"/>
    <w:rsid w:val="00A96ECD"/>
    <w:rsid w:val="00A970D3"/>
    <w:rsid w:val="00AA042C"/>
    <w:rsid w:val="00AA09A2"/>
    <w:rsid w:val="00AA09FD"/>
    <w:rsid w:val="00AA0FC1"/>
    <w:rsid w:val="00AA1080"/>
    <w:rsid w:val="00AA1482"/>
    <w:rsid w:val="00AA3037"/>
    <w:rsid w:val="00AA3221"/>
    <w:rsid w:val="00AA3302"/>
    <w:rsid w:val="00AA4879"/>
    <w:rsid w:val="00AA4DB9"/>
    <w:rsid w:val="00AA5BEE"/>
    <w:rsid w:val="00AA600D"/>
    <w:rsid w:val="00AA6176"/>
    <w:rsid w:val="00AA6567"/>
    <w:rsid w:val="00AA6BBD"/>
    <w:rsid w:val="00AA6C1B"/>
    <w:rsid w:val="00AA7996"/>
    <w:rsid w:val="00AA7BF0"/>
    <w:rsid w:val="00AB0423"/>
    <w:rsid w:val="00AB09AD"/>
    <w:rsid w:val="00AB2180"/>
    <w:rsid w:val="00AB276C"/>
    <w:rsid w:val="00AB3DF1"/>
    <w:rsid w:val="00AB41AB"/>
    <w:rsid w:val="00AB46C8"/>
    <w:rsid w:val="00AB4910"/>
    <w:rsid w:val="00AB4A4D"/>
    <w:rsid w:val="00AB55D3"/>
    <w:rsid w:val="00AB69DA"/>
    <w:rsid w:val="00AB7C9B"/>
    <w:rsid w:val="00AC1091"/>
    <w:rsid w:val="00AC120C"/>
    <w:rsid w:val="00AC1638"/>
    <w:rsid w:val="00AC19CB"/>
    <w:rsid w:val="00AC2157"/>
    <w:rsid w:val="00AC2A29"/>
    <w:rsid w:val="00AC3066"/>
    <w:rsid w:val="00AC3AC1"/>
    <w:rsid w:val="00AC3D78"/>
    <w:rsid w:val="00AC56FA"/>
    <w:rsid w:val="00AC5ECC"/>
    <w:rsid w:val="00AC7B19"/>
    <w:rsid w:val="00AC7C0D"/>
    <w:rsid w:val="00AD0685"/>
    <w:rsid w:val="00AD12FD"/>
    <w:rsid w:val="00AD1A14"/>
    <w:rsid w:val="00AD1C8A"/>
    <w:rsid w:val="00AD2439"/>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A44"/>
    <w:rsid w:val="00AE323B"/>
    <w:rsid w:val="00AE3F82"/>
    <w:rsid w:val="00AE5243"/>
    <w:rsid w:val="00AE5488"/>
    <w:rsid w:val="00AE6572"/>
    <w:rsid w:val="00AE6809"/>
    <w:rsid w:val="00AE6F91"/>
    <w:rsid w:val="00AE7B7C"/>
    <w:rsid w:val="00AF0FD8"/>
    <w:rsid w:val="00AF2094"/>
    <w:rsid w:val="00AF2342"/>
    <w:rsid w:val="00AF2B10"/>
    <w:rsid w:val="00AF3832"/>
    <w:rsid w:val="00AF3C78"/>
    <w:rsid w:val="00AF3E58"/>
    <w:rsid w:val="00AF3EA2"/>
    <w:rsid w:val="00AF5571"/>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2042D"/>
    <w:rsid w:val="00B2046E"/>
    <w:rsid w:val="00B216E2"/>
    <w:rsid w:val="00B220EB"/>
    <w:rsid w:val="00B2301A"/>
    <w:rsid w:val="00B232AB"/>
    <w:rsid w:val="00B249C6"/>
    <w:rsid w:val="00B26AC3"/>
    <w:rsid w:val="00B26E30"/>
    <w:rsid w:val="00B271D7"/>
    <w:rsid w:val="00B27396"/>
    <w:rsid w:val="00B279EF"/>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8FA"/>
    <w:rsid w:val="00B43C2A"/>
    <w:rsid w:val="00B4429C"/>
    <w:rsid w:val="00B443CC"/>
    <w:rsid w:val="00B44466"/>
    <w:rsid w:val="00B445C1"/>
    <w:rsid w:val="00B44B6C"/>
    <w:rsid w:val="00B4632A"/>
    <w:rsid w:val="00B46C1D"/>
    <w:rsid w:val="00B46C2C"/>
    <w:rsid w:val="00B46E9C"/>
    <w:rsid w:val="00B47136"/>
    <w:rsid w:val="00B471FD"/>
    <w:rsid w:val="00B4775A"/>
    <w:rsid w:val="00B50502"/>
    <w:rsid w:val="00B5057C"/>
    <w:rsid w:val="00B507FC"/>
    <w:rsid w:val="00B50F27"/>
    <w:rsid w:val="00B50F40"/>
    <w:rsid w:val="00B5109C"/>
    <w:rsid w:val="00B52BF6"/>
    <w:rsid w:val="00B52CE7"/>
    <w:rsid w:val="00B530F1"/>
    <w:rsid w:val="00B53EAC"/>
    <w:rsid w:val="00B54257"/>
    <w:rsid w:val="00B542BA"/>
    <w:rsid w:val="00B553F6"/>
    <w:rsid w:val="00B5546D"/>
    <w:rsid w:val="00B577E2"/>
    <w:rsid w:val="00B62208"/>
    <w:rsid w:val="00B626E8"/>
    <w:rsid w:val="00B6293A"/>
    <w:rsid w:val="00B630A6"/>
    <w:rsid w:val="00B6383F"/>
    <w:rsid w:val="00B640F2"/>
    <w:rsid w:val="00B6418E"/>
    <w:rsid w:val="00B64591"/>
    <w:rsid w:val="00B65A29"/>
    <w:rsid w:val="00B6626B"/>
    <w:rsid w:val="00B66AEF"/>
    <w:rsid w:val="00B67DA5"/>
    <w:rsid w:val="00B709D1"/>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7CC"/>
    <w:rsid w:val="00B75815"/>
    <w:rsid w:val="00B7581B"/>
    <w:rsid w:val="00B76A0D"/>
    <w:rsid w:val="00B76AD1"/>
    <w:rsid w:val="00B77038"/>
    <w:rsid w:val="00B770F5"/>
    <w:rsid w:val="00B800CB"/>
    <w:rsid w:val="00B805EC"/>
    <w:rsid w:val="00B831C0"/>
    <w:rsid w:val="00B83A0D"/>
    <w:rsid w:val="00B83A34"/>
    <w:rsid w:val="00B83D37"/>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FD3"/>
    <w:rsid w:val="00BA0538"/>
    <w:rsid w:val="00BA085C"/>
    <w:rsid w:val="00BA0B99"/>
    <w:rsid w:val="00BA0E90"/>
    <w:rsid w:val="00BA156A"/>
    <w:rsid w:val="00BA2305"/>
    <w:rsid w:val="00BA2705"/>
    <w:rsid w:val="00BA276C"/>
    <w:rsid w:val="00BA3154"/>
    <w:rsid w:val="00BA47D4"/>
    <w:rsid w:val="00BA6917"/>
    <w:rsid w:val="00BA6D27"/>
    <w:rsid w:val="00BA6E44"/>
    <w:rsid w:val="00BA71B9"/>
    <w:rsid w:val="00BA7B98"/>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D0FF5"/>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33A8"/>
    <w:rsid w:val="00BE34A1"/>
    <w:rsid w:val="00BE3DEF"/>
    <w:rsid w:val="00BE42B9"/>
    <w:rsid w:val="00BE4993"/>
    <w:rsid w:val="00BE54E2"/>
    <w:rsid w:val="00BE5B68"/>
    <w:rsid w:val="00BE6862"/>
    <w:rsid w:val="00BE7C0A"/>
    <w:rsid w:val="00BF02CB"/>
    <w:rsid w:val="00BF052E"/>
    <w:rsid w:val="00BF0935"/>
    <w:rsid w:val="00BF1291"/>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680"/>
    <w:rsid w:val="00C04631"/>
    <w:rsid w:val="00C04791"/>
    <w:rsid w:val="00C05385"/>
    <w:rsid w:val="00C054DF"/>
    <w:rsid w:val="00C05BEF"/>
    <w:rsid w:val="00C05E7D"/>
    <w:rsid w:val="00C060A6"/>
    <w:rsid w:val="00C066E6"/>
    <w:rsid w:val="00C06997"/>
    <w:rsid w:val="00C06D85"/>
    <w:rsid w:val="00C06E86"/>
    <w:rsid w:val="00C0740F"/>
    <w:rsid w:val="00C105E7"/>
    <w:rsid w:val="00C11037"/>
    <w:rsid w:val="00C11F53"/>
    <w:rsid w:val="00C126F2"/>
    <w:rsid w:val="00C12D39"/>
    <w:rsid w:val="00C12F0E"/>
    <w:rsid w:val="00C13ACD"/>
    <w:rsid w:val="00C148AD"/>
    <w:rsid w:val="00C14FF8"/>
    <w:rsid w:val="00C15A1D"/>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401A"/>
    <w:rsid w:val="00C540CB"/>
    <w:rsid w:val="00C541E9"/>
    <w:rsid w:val="00C54AB9"/>
    <w:rsid w:val="00C552F0"/>
    <w:rsid w:val="00C5587F"/>
    <w:rsid w:val="00C55AD8"/>
    <w:rsid w:val="00C5660B"/>
    <w:rsid w:val="00C56CB1"/>
    <w:rsid w:val="00C5760C"/>
    <w:rsid w:val="00C57631"/>
    <w:rsid w:val="00C57757"/>
    <w:rsid w:val="00C57790"/>
    <w:rsid w:val="00C5797E"/>
    <w:rsid w:val="00C60360"/>
    <w:rsid w:val="00C609B9"/>
    <w:rsid w:val="00C61C41"/>
    <w:rsid w:val="00C63428"/>
    <w:rsid w:val="00C63F54"/>
    <w:rsid w:val="00C6409B"/>
    <w:rsid w:val="00C6413A"/>
    <w:rsid w:val="00C64DA5"/>
    <w:rsid w:val="00C64FAA"/>
    <w:rsid w:val="00C65317"/>
    <w:rsid w:val="00C65CF8"/>
    <w:rsid w:val="00C66299"/>
    <w:rsid w:val="00C66B72"/>
    <w:rsid w:val="00C6741E"/>
    <w:rsid w:val="00C67A0F"/>
    <w:rsid w:val="00C7102E"/>
    <w:rsid w:val="00C7395F"/>
    <w:rsid w:val="00C740FA"/>
    <w:rsid w:val="00C74A73"/>
    <w:rsid w:val="00C759A5"/>
    <w:rsid w:val="00C7664C"/>
    <w:rsid w:val="00C768E2"/>
    <w:rsid w:val="00C7718D"/>
    <w:rsid w:val="00C77678"/>
    <w:rsid w:val="00C80478"/>
    <w:rsid w:val="00C80827"/>
    <w:rsid w:val="00C8095D"/>
    <w:rsid w:val="00C81334"/>
    <w:rsid w:val="00C834BE"/>
    <w:rsid w:val="00C838F9"/>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120"/>
    <w:rsid w:val="00CA179A"/>
    <w:rsid w:val="00CA2456"/>
    <w:rsid w:val="00CA3B8A"/>
    <w:rsid w:val="00CA3D82"/>
    <w:rsid w:val="00CA4129"/>
    <w:rsid w:val="00CA43BB"/>
    <w:rsid w:val="00CA4815"/>
    <w:rsid w:val="00CA519A"/>
    <w:rsid w:val="00CA665C"/>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DB8"/>
    <w:rsid w:val="00CC4319"/>
    <w:rsid w:val="00CC4400"/>
    <w:rsid w:val="00CC4978"/>
    <w:rsid w:val="00CC4CE2"/>
    <w:rsid w:val="00CC5B59"/>
    <w:rsid w:val="00CC5DE1"/>
    <w:rsid w:val="00CC5E90"/>
    <w:rsid w:val="00CC6ABC"/>
    <w:rsid w:val="00CC6AFA"/>
    <w:rsid w:val="00CD046C"/>
    <w:rsid w:val="00CD0699"/>
    <w:rsid w:val="00CD10C9"/>
    <w:rsid w:val="00CD12AA"/>
    <w:rsid w:val="00CD172B"/>
    <w:rsid w:val="00CD2417"/>
    <w:rsid w:val="00CD24F7"/>
    <w:rsid w:val="00CD2FB8"/>
    <w:rsid w:val="00CD30AB"/>
    <w:rsid w:val="00CD36A4"/>
    <w:rsid w:val="00CD370C"/>
    <w:rsid w:val="00CD4387"/>
    <w:rsid w:val="00CD4A11"/>
    <w:rsid w:val="00CD4AA8"/>
    <w:rsid w:val="00CD6B36"/>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59DE"/>
    <w:rsid w:val="00D05ABD"/>
    <w:rsid w:val="00D05B1B"/>
    <w:rsid w:val="00D05C1B"/>
    <w:rsid w:val="00D05E90"/>
    <w:rsid w:val="00D05FDC"/>
    <w:rsid w:val="00D07A30"/>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78BD"/>
    <w:rsid w:val="00D37BFC"/>
    <w:rsid w:val="00D40569"/>
    <w:rsid w:val="00D41AB5"/>
    <w:rsid w:val="00D4319C"/>
    <w:rsid w:val="00D44303"/>
    <w:rsid w:val="00D44E27"/>
    <w:rsid w:val="00D4528B"/>
    <w:rsid w:val="00D459DB"/>
    <w:rsid w:val="00D46222"/>
    <w:rsid w:val="00D46367"/>
    <w:rsid w:val="00D468B7"/>
    <w:rsid w:val="00D47A8E"/>
    <w:rsid w:val="00D47DF9"/>
    <w:rsid w:val="00D5069F"/>
    <w:rsid w:val="00D5079A"/>
    <w:rsid w:val="00D50F27"/>
    <w:rsid w:val="00D51AE8"/>
    <w:rsid w:val="00D51F6A"/>
    <w:rsid w:val="00D521C2"/>
    <w:rsid w:val="00D5246F"/>
    <w:rsid w:val="00D52D14"/>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D7"/>
    <w:rsid w:val="00D60252"/>
    <w:rsid w:val="00D603A9"/>
    <w:rsid w:val="00D60AFB"/>
    <w:rsid w:val="00D61F5A"/>
    <w:rsid w:val="00D64B3C"/>
    <w:rsid w:val="00D64F49"/>
    <w:rsid w:val="00D65690"/>
    <w:rsid w:val="00D65971"/>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64D9"/>
    <w:rsid w:val="00D868C7"/>
    <w:rsid w:val="00D876F9"/>
    <w:rsid w:val="00D90674"/>
    <w:rsid w:val="00D90F13"/>
    <w:rsid w:val="00D9267E"/>
    <w:rsid w:val="00D929C4"/>
    <w:rsid w:val="00D929E6"/>
    <w:rsid w:val="00D940AB"/>
    <w:rsid w:val="00D969EE"/>
    <w:rsid w:val="00D970D9"/>
    <w:rsid w:val="00D97374"/>
    <w:rsid w:val="00D97564"/>
    <w:rsid w:val="00D9772D"/>
    <w:rsid w:val="00D97AA9"/>
    <w:rsid w:val="00D97BE0"/>
    <w:rsid w:val="00DA04E6"/>
    <w:rsid w:val="00DA0C95"/>
    <w:rsid w:val="00DA1470"/>
    <w:rsid w:val="00DA28B2"/>
    <w:rsid w:val="00DA2DE1"/>
    <w:rsid w:val="00DA3DB2"/>
    <w:rsid w:val="00DA4E8B"/>
    <w:rsid w:val="00DA565A"/>
    <w:rsid w:val="00DA5774"/>
    <w:rsid w:val="00DA7473"/>
    <w:rsid w:val="00DA7881"/>
    <w:rsid w:val="00DA7B5F"/>
    <w:rsid w:val="00DA7F2F"/>
    <w:rsid w:val="00DB0220"/>
    <w:rsid w:val="00DB0DA8"/>
    <w:rsid w:val="00DB18E6"/>
    <w:rsid w:val="00DB1950"/>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6AA5"/>
    <w:rsid w:val="00DD6B2E"/>
    <w:rsid w:val="00DD70BB"/>
    <w:rsid w:val="00DD74FE"/>
    <w:rsid w:val="00DD7F3F"/>
    <w:rsid w:val="00DE02C2"/>
    <w:rsid w:val="00DE0CFF"/>
    <w:rsid w:val="00DE0E18"/>
    <w:rsid w:val="00DE1250"/>
    <w:rsid w:val="00DE1EF4"/>
    <w:rsid w:val="00DE27B5"/>
    <w:rsid w:val="00DE2862"/>
    <w:rsid w:val="00DE2C91"/>
    <w:rsid w:val="00DE2E2B"/>
    <w:rsid w:val="00DE3572"/>
    <w:rsid w:val="00DE360C"/>
    <w:rsid w:val="00DE390D"/>
    <w:rsid w:val="00DE4210"/>
    <w:rsid w:val="00DE5783"/>
    <w:rsid w:val="00DE5921"/>
    <w:rsid w:val="00DE5E10"/>
    <w:rsid w:val="00DE6080"/>
    <w:rsid w:val="00DE6E40"/>
    <w:rsid w:val="00DE6F4E"/>
    <w:rsid w:val="00DE7E59"/>
    <w:rsid w:val="00DE7EC4"/>
    <w:rsid w:val="00DE7F47"/>
    <w:rsid w:val="00DF0521"/>
    <w:rsid w:val="00DF097A"/>
    <w:rsid w:val="00DF1EC4"/>
    <w:rsid w:val="00DF1F96"/>
    <w:rsid w:val="00DF23A0"/>
    <w:rsid w:val="00DF2A23"/>
    <w:rsid w:val="00DF409D"/>
    <w:rsid w:val="00DF4DC1"/>
    <w:rsid w:val="00DF6627"/>
    <w:rsid w:val="00DF708A"/>
    <w:rsid w:val="00DF78A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0C7"/>
    <w:rsid w:val="00E426E8"/>
    <w:rsid w:val="00E42D47"/>
    <w:rsid w:val="00E42D8D"/>
    <w:rsid w:val="00E43157"/>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3EC1"/>
    <w:rsid w:val="00E546A8"/>
    <w:rsid w:val="00E55386"/>
    <w:rsid w:val="00E55902"/>
    <w:rsid w:val="00E55B8E"/>
    <w:rsid w:val="00E56F3C"/>
    <w:rsid w:val="00E573E4"/>
    <w:rsid w:val="00E574AC"/>
    <w:rsid w:val="00E5765B"/>
    <w:rsid w:val="00E610A2"/>
    <w:rsid w:val="00E61AB1"/>
    <w:rsid w:val="00E620FC"/>
    <w:rsid w:val="00E623C9"/>
    <w:rsid w:val="00E6251D"/>
    <w:rsid w:val="00E62768"/>
    <w:rsid w:val="00E62795"/>
    <w:rsid w:val="00E63A23"/>
    <w:rsid w:val="00E63EEB"/>
    <w:rsid w:val="00E645EB"/>
    <w:rsid w:val="00E64C3D"/>
    <w:rsid w:val="00E651BD"/>
    <w:rsid w:val="00E656BD"/>
    <w:rsid w:val="00E65DB8"/>
    <w:rsid w:val="00E66266"/>
    <w:rsid w:val="00E7008E"/>
    <w:rsid w:val="00E70735"/>
    <w:rsid w:val="00E70E3B"/>
    <w:rsid w:val="00E71A22"/>
    <w:rsid w:val="00E720B8"/>
    <w:rsid w:val="00E720CA"/>
    <w:rsid w:val="00E7285F"/>
    <w:rsid w:val="00E73654"/>
    <w:rsid w:val="00E74094"/>
    <w:rsid w:val="00E74302"/>
    <w:rsid w:val="00E74B9C"/>
    <w:rsid w:val="00E74F12"/>
    <w:rsid w:val="00E75985"/>
    <w:rsid w:val="00E7616B"/>
    <w:rsid w:val="00E76B45"/>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650"/>
    <w:rsid w:val="00E918F7"/>
    <w:rsid w:val="00E94906"/>
    <w:rsid w:val="00E94CE6"/>
    <w:rsid w:val="00E94FFB"/>
    <w:rsid w:val="00E96DAE"/>
    <w:rsid w:val="00E96EC7"/>
    <w:rsid w:val="00E9748B"/>
    <w:rsid w:val="00E97B71"/>
    <w:rsid w:val="00EA0440"/>
    <w:rsid w:val="00EA09E7"/>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A27"/>
    <w:rsid w:val="00ED016E"/>
    <w:rsid w:val="00ED0904"/>
    <w:rsid w:val="00ED0D69"/>
    <w:rsid w:val="00ED1526"/>
    <w:rsid w:val="00ED4601"/>
    <w:rsid w:val="00ED549D"/>
    <w:rsid w:val="00ED5E10"/>
    <w:rsid w:val="00ED6C09"/>
    <w:rsid w:val="00ED6F03"/>
    <w:rsid w:val="00ED709C"/>
    <w:rsid w:val="00ED76BE"/>
    <w:rsid w:val="00EE00E9"/>
    <w:rsid w:val="00EE0E17"/>
    <w:rsid w:val="00EE15A3"/>
    <w:rsid w:val="00EE1743"/>
    <w:rsid w:val="00EE1851"/>
    <w:rsid w:val="00EE2AB1"/>
    <w:rsid w:val="00EE34FD"/>
    <w:rsid w:val="00EE386F"/>
    <w:rsid w:val="00EE413A"/>
    <w:rsid w:val="00EE64D3"/>
    <w:rsid w:val="00EE6938"/>
    <w:rsid w:val="00EE696E"/>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2E1"/>
    <w:rsid w:val="00F002F0"/>
    <w:rsid w:val="00F00B55"/>
    <w:rsid w:val="00F00D28"/>
    <w:rsid w:val="00F015D9"/>
    <w:rsid w:val="00F019BC"/>
    <w:rsid w:val="00F02AD1"/>
    <w:rsid w:val="00F02D3F"/>
    <w:rsid w:val="00F02F9C"/>
    <w:rsid w:val="00F03781"/>
    <w:rsid w:val="00F04238"/>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4736"/>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BB8"/>
    <w:rsid w:val="00F32637"/>
    <w:rsid w:val="00F328A0"/>
    <w:rsid w:val="00F339A5"/>
    <w:rsid w:val="00F341CD"/>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2CB8"/>
    <w:rsid w:val="00F4455E"/>
    <w:rsid w:val="00F445C9"/>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64E"/>
    <w:rsid w:val="00F56BA5"/>
    <w:rsid w:val="00F56ECB"/>
    <w:rsid w:val="00F57D28"/>
    <w:rsid w:val="00F607C8"/>
    <w:rsid w:val="00F60E22"/>
    <w:rsid w:val="00F614A8"/>
    <w:rsid w:val="00F6195A"/>
    <w:rsid w:val="00F61E9C"/>
    <w:rsid w:val="00F623D5"/>
    <w:rsid w:val="00F62412"/>
    <w:rsid w:val="00F62D41"/>
    <w:rsid w:val="00F63C01"/>
    <w:rsid w:val="00F6479C"/>
    <w:rsid w:val="00F65A00"/>
    <w:rsid w:val="00F66909"/>
    <w:rsid w:val="00F66E42"/>
    <w:rsid w:val="00F705DA"/>
    <w:rsid w:val="00F70797"/>
    <w:rsid w:val="00F710CB"/>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28D0"/>
    <w:rsid w:val="00FA2AE6"/>
    <w:rsid w:val="00FA5AF6"/>
    <w:rsid w:val="00FA6DDC"/>
    <w:rsid w:val="00FA791F"/>
    <w:rsid w:val="00FA7E92"/>
    <w:rsid w:val="00FB10B5"/>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E3A"/>
    <w:rsid w:val="00FC0547"/>
    <w:rsid w:val="00FC0A34"/>
    <w:rsid w:val="00FC192E"/>
    <w:rsid w:val="00FC2038"/>
    <w:rsid w:val="00FC2567"/>
    <w:rsid w:val="00FC2A38"/>
    <w:rsid w:val="00FC2AD8"/>
    <w:rsid w:val="00FC30DA"/>
    <w:rsid w:val="00FC353E"/>
    <w:rsid w:val="00FC3DBE"/>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A84"/>
    <w:rsid w:val="00FD6CCA"/>
    <w:rsid w:val="00FD77E3"/>
    <w:rsid w:val="00FD7898"/>
    <w:rsid w:val="00FD7BA2"/>
    <w:rsid w:val="00FE0314"/>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18F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normaltextrun">
    <w:name w:val="normaltextrun"/>
    <w:basedOn w:val="DefaultParagraphFont"/>
    <w:rsid w:val="009D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E610F"/>
    <w:rsid w:val="000F2A73"/>
    <w:rsid w:val="00104FDC"/>
    <w:rsid w:val="00157A1D"/>
    <w:rsid w:val="00164CEC"/>
    <w:rsid w:val="001B33F1"/>
    <w:rsid w:val="001F265C"/>
    <w:rsid w:val="001F39C9"/>
    <w:rsid w:val="00200821"/>
    <w:rsid w:val="00213053"/>
    <w:rsid w:val="00227F5A"/>
    <w:rsid w:val="00236BF4"/>
    <w:rsid w:val="0025245B"/>
    <w:rsid w:val="00256D42"/>
    <w:rsid w:val="002854B1"/>
    <w:rsid w:val="002A3923"/>
    <w:rsid w:val="002A56AF"/>
    <w:rsid w:val="002E25EA"/>
    <w:rsid w:val="003064D2"/>
    <w:rsid w:val="003901A1"/>
    <w:rsid w:val="00393BE2"/>
    <w:rsid w:val="00394049"/>
    <w:rsid w:val="00397D4E"/>
    <w:rsid w:val="003A1BB9"/>
    <w:rsid w:val="003A746D"/>
    <w:rsid w:val="003A7538"/>
    <w:rsid w:val="003B0C71"/>
    <w:rsid w:val="003B2E76"/>
    <w:rsid w:val="003B63F4"/>
    <w:rsid w:val="003C7D44"/>
    <w:rsid w:val="003E27FC"/>
    <w:rsid w:val="00425F48"/>
    <w:rsid w:val="00434263"/>
    <w:rsid w:val="00464154"/>
    <w:rsid w:val="00470CEA"/>
    <w:rsid w:val="00472A37"/>
    <w:rsid w:val="004A1A3F"/>
    <w:rsid w:val="004B2053"/>
    <w:rsid w:val="004B5BBB"/>
    <w:rsid w:val="004F2DF8"/>
    <w:rsid w:val="005028F9"/>
    <w:rsid w:val="00517E2A"/>
    <w:rsid w:val="00532E09"/>
    <w:rsid w:val="005535A3"/>
    <w:rsid w:val="005C1D85"/>
    <w:rsid w:val="005D57DF"/>
    <w:rsid w:val="005E5A53"/>
    <w:rsid w:val="005E749F"/>
    <w:rsid w:val="005F7793"/>
    <w:rsid w:val="00670B1A"/>
    <w:rsid w:val="006874F4"/>
    <w:rsid w:val="00693110"/>
    <w:rsid w:val="006D3128"/>
    <w:rsid w:val="006F24A1"/>
    <w:rsid w:val="007230F7"/>
    <w:rsid w:val="00726594"/>
    <w:rsid w:val="007531A9"/>
    <w:rsid w:val="007D711A"/>
    <w:rsid w:val="00806BF1"/>
    <w:rsid w:val="00812295"/>
    <w:rsid w:val="00820987"/>
    <w:rsid w:val="0083777F"/>
    <w:rsid w:val="008622EB"/>
    <w:rsid w:val="00875B8A"/>
    <w:rsid w:val="008846F4"/>
    <w:rsid w:val="00894BE3"/>
    <w:rsid w:val="008953BC"/>
    <w:rsid w:val="008A6296"/>
    <w:rsid w:val="009057E8"/>
    <w:rsid w:val="00956DA1"/>
    <w:rsid w:val="00982DFA"/>
    <w:rsid w:val="00990462"/>
    <w:rsid w:val="009918CD"/>
    <w:rsid w:val="009A261B"/>
    <w:rsid w:val="009B1C31"/>
    <w:rsid w:val="009D2435"/>
    <w:rsid w:val="00A146CB"/>
    <w:rsid w:val="00A55027"/>
    <w:rsid w:val="00AA2E17"/>
    <w:rsid w:val="00AC15A4"/>
    <w:rsid w:val="00AD11C9"/>
    <w:rsid w:val="00AD397E"/>
    <w:rsid w:val="00AD3A65"/>
    <w:rsid w:val="00B0336C"/>
    <w:rsid w:val="00B54D84"/>
    <w:rsid w:val="00B800E2"/>
    <w:rsid w:val="00BB388E"/>
    <w:rsid w:val="00C053E4"/>
    <w:rsid w:val="00C066E6"/>
    <w:rsid w:val="00C16178"/>
    <w:rsid w:val="00C262EB"/>
    <w:rsid w:val="00C540CB"/>
    <w:rsid w:val="00CA4FD4"/>
    <w:rsid w:val="00CE31C3"/>
    <w:rsid w:val="00D241E9"/>
    <w:rsid w:val="00D7750D"/>
    <w:rsid w:val="00D82AAD"/>
    <w:rsid w:val="00DB3FF7"/>
    <w:rsid w:val="00DE0347"/>
    <w:rsid w:val="00DE3DD5"/>
    <w:rsid w:val="00E36298"/>
    <w:rsid w:val="00E83DFD"/>
    <w:rsid w:val="00EA4BAF"/>
    <w:rsid w:val="00EA55CD"/>
    <w:rsid w:val="00F00D2F"/>
    <w:rsid w:val="00F128DF"/>
    <w:rsid w:val="00F207CD"/>
    <w:rsid w:val="00F40B3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4F4"/>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2940</Words>
  <Characters>16758</Characters>
  <Application>Microsoft Office Word</Application>
  <DocSecurity>0</DocSecurity>
  <Lines>139</Lines>
  <Paragraphs>39</Paragraphs>
  <ScaleCrop>false</ScaleCrop>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2024-10-30T13:44:00Z</dcterms:created>
  <dcterms:modified xsi:type="dcterms:W3CDTF">2024-10-30T13:44:00Z</dcterms:modified>
</cp:coreProperties>
</file>