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DDC30EB" w:rsidR="00040C3A" w:rsidRPr="0090270B" w:rsidRDefault="00720436"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034D9824" wp14:editId="6F9695A4">
                <wp:simplePos x="0" y="0"/>
                <wp:positionH relativeFrom="column">
                  <wp:posOffset>-361950</wp:posOffset>
                </wp:positionH>
                <wp:positionV relativeFrom="paragraph">
                  <wp:posOffset>-358140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0CB0FB" id="Rectangle 1" o:spid="_x0000_s1026" style="position:absolute;margin-left:-28.5pt;margin-top:-28.2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10F4F91A" wp14:editId="142C2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172A9C8" w:rsidR="00CB2660" w:rsidRDefault="00720436" w:rsidP="00AE5488">
                            <w:r>
                              <w:rPr>
                                <w:noProof/>
                              </w:rPr>
                              <w:drawing>
                                <wp:inline distT="0" distB="0" distL="0" distR="0" wp14:anchorId="26E7FF00" wp14:editId="2D2E7653">
                                  <wp:extent cx="2522763" cy="485775"/>
                                  <wp:effectExtent l="0" t="0" r="0" b="0"/>
                                  <wp:docPr id="1125694037" name="Picture 1125694037"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172A9C8" w:rsidR="00CB2660" w:rsidRDefault="00720436" w:rsidP="00AE5488">
                      <w:r>
                        <w:rPr>
                          <w:noProof/>
                        </w:rPr>
                        <w:drawing>
                          <wp:inline distT="0" distB="0" distL="0" distR="0" wp14:anchorId="26E7FF00" wp14:editId="2D2E7653">
                            <wp:extent cx="2522763" cy="485775"/>
                            <wp:effectExtent l="0" t="0" r="0" b="0"/>
                            <wp:docPr id="1125694037" name="Picture 1125694037"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77777777" w:rsidR="005128E4" w:rsidRPr="0090270B" w:rsidRDefault="005128E4" w:rsidP="00040C3A">
      <w:pPr>
        <w:tabs>
          <w:tab w:val="center" w:pos="5400"/>
        </w:tabs>
        <w:suppressAutoHyphens/>
        <w:rPr>
          <w:rFonts w:asciiTheme="majorHAnsi" w:hAnsiTheme="majorHAnsi"/>
          <w:sz w:val="22"/>
          <w:szCs w:val="22"/>
        </w:rPr>
      </w:pPr>
    </w:p>
    <w:p w14:paraId="12A36B24" w14:textId="77777777" w:rsidR="005128E4" w:rsidRPr="0090270B" w:rsidRDefault="005128E4" w:rsidP="00040C3A">
      <w:pPr>
        <w:tabs>
          <w:tab w:val="center" w:pos="5400"/>
        </w:tabs>
        <w:suppressAutoHyphens/>
        <w:rPr>
          <w:rFonts w:asciiTheme="majorHAnsi" w:hAnsiTheme="majorHAnsi"/>
          <w:sz w:val="22"/>
          <w:szCs w:val="22"/>
        </w:rPr>
      </w:pPr>
    </w:p>
    <w:p w14:paraId="2252093D" w14:textId="77777777" w:rsidR="005128E4" w:rsidRPr="0090270B" w:rsidRDefault="005128E4" w:rsidP="00040C3A">
      <w:pPr>
        <w:tabs>
          <w:tab w:val="center" w:pos="5400"/>
        </w:tabs>
        <w:suppressAutoHyphens/>
        <w:rPr>
          <w:rFonts w:asciiTheme="majorHAnsi" w:hAnsiTheme="majorHAnsi"/>
          <w:sz w:val="22"/>
          <w:szCs w:val="22"/>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245763"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5D7356">
                              <w:rPr>
                                <w:rFonts w:asciiTheme="majorHAnsi" w:hAnsiTheme="majorHAnsi" w:cs="Arial"/>
                                <w:b/>
                                <w:bCs/>
                                <w:color w:val="0D0D0D" w:themeColor="text1" w:themeTint="F2"/>
                                <w:sz w:val="36"/>
                                <w:szCs w:val="22"/>
                                <w:lang w:val="en"/>
                              </w:rPr>
                              <w:t>136</w:t>
                            </w:r>
                            <w:r>
                              <w:rPr>
                                <w:rFonts w:asciiTheme="majorHAnsi" w:hAnsiTheme="majorHAnsi" w:cs="Arial"/>
                                <w:b/>
                                <w:bCs/>
                                <w:color w:val="0D0D0D" w:themeColor="text1" w:themeTint="F2"/>
                                <w:sz w:val="36"/>
                                <w:szCs w:val="22"/>
                                <w:lang w:val="en"/>
                              </w:rPr>
                              <w:t>/24</w:t>
                            </w:r>
                          </w:p>
                          <w:p w14:paraId="09C54AB3" w14:textId="6144CF59"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917-14 </w:t>
                            </w:r>
                          </w:p>
                          <w:p w14:paraId="70CF6833" w14:textId="449CD04C"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ADMISSIBILITY REPORT </w:t>
                            </w:r>
                          </w:p>
                          <w:p w14:paraId="5FDD6F0D" w14:textId="77777777" w:rsidR="008F1912" w:rsidRPr="00A6650E" w:rsidRDefault="008F1912" w:rsidP="00997BC5">
                            <w:pPr>
                              <w:spacing w:line="276" w:lineRule="auto"/>
                              <w:rPr>
                                <w:rFonts w:asciiTheme="majorHAnsi" w:hAnsiTheme="majorHAnsi" w:cs="Arial"/>
                                <w:color w:val="0D0D0D" w:themeColor="text1" w:themeTint="F2"/>
                              </w:rPr>
                            </w:pPr>
                            <w:bookmarkStart w:id="0" w:name="_ftnref1"/>
                          </w:p>
                          <w:bookmarkEnd w:id="0"/>
                          <w:p w14:paraId="6435CFA9" w14:textId="73C9AB05" w:rsidR="00A6650E" w:rsidRPr="00A6650E" w:rsidRDefault="00A6650E" w:rsidP="00A665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olor w:val="212529"/>
                                <w:bdr w:val="none" w:sz="0" w:space="0" w:color="auto"/>
                              </w:rPr>
                            </w:pPr>
                            <w:r>
                              <w:rPr>
                                <w:rFonts w:asciiTheme="majorHAnsi" w:eastAsia="Times New Roman" w:hAnsiTheme="majorHAnsi"/>
                                <w:color w:val="212529"/>
                                <w:bdr w:val="none" w:sz="0" w:space="0" w:color="auto"/>
                                <w:lang w:val="en"/>
                              </w:rPr>
                              <w:t>JUAN ESTEBAN CASTAÑO SALDARRIAGA</w:t>
                            </w:r>
                          </w:p>
                          <w:p w14:paraId="575DFD52" w14:textId="60711BBC" w:rsidR="005B52B0" w:rsidRPr="00EB197F" w:rsidRDefault="00A6650E" w:rsidP="007A5817">
                            <w:pPr>
                              <w:rPr>
                                <w:color w:val="0D0D0D" w:themeColor="text1" w:themeTint="F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0245763"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5D7356">
                        <w:rPr>
                          <w:rFonts w:asciiTheme="majorHAnsi" w:hAnsiTheme="majorHAnsi" w:cs="Arial"/>
                          <w:b/>
                          <w:bCs/>
                          <w:color w:val="0D0D0D" w:themeColor="text1" w:themeTint="F2"/>
                          <w:sz w:val="36"/>
                          <w:szCs w:val="22"/>
                          <w:lang w:val="en"/>
                        </w:rPr>
                        <w:t>136</w:t>
                      </w:r>
                      <w:r>
                        <w:rPr>
                          <w:rFonts w:asciiTheme="majorHAnsi" w:hAnsiTheme="majorHAnsi" w:cs="Arial"/>
                          <w:b/>
                          <w:bCs/>
                          <w:color w:val="0D0D0D" w:themeColor="text1" w:themeTint="F2"/>
                          <w:sz w:val="36"/>
                          <w:szCs w:val="22"/>
                          <w:lang w:val="en"/>
                        </w:rPr>
                        <w:t>/24</w:t>
                      </w:r>
                    </w:p>
                    <w:p w14:paraId="09C54AB3" w14:textId="6144CF59"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917-14 </w:t>
                      </w:r>
                    </w:p>
                    <w:p w14:paraId="70CF6833" w14:textId="449CD04C"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ADMISSIBILITY REPORT </w:t>
                      </w:r>
                    </w:p>
                    <w:p w14:paraId="5FDD6F0D" w14:textId="77777777" w:rsidR="008F1912" w:rsidRPr="00A6650E" w:rsidRDefault="008F1912" w:rsidP="00997BC5">
                      <w:pPr>
                        <w:spacing w:line="276" w:lineRule="auto"/>
                        <w:rPr>
                          <w:rFonts w:asciiTheme="majorHAnsi" w:hAnsiTheme="majorHAnsi" w:cs="Arial"/>
                          <w:color w:val="0D0D0D" w:themeColor="text1" w:themeTint="F2"/>
                        </w:rPr>
                      </w:pPr>
                      <w:bookmarkStart w:id="1" w:name="_ftnref1"/>
                    </w:p>
                    <w:bookmarkEnd w:id="1"/>
                    <w:p w14:paraId="6435CFA9" w14:textId="73C9AB05" w:rsidR="00A6650E" w:rsidRPr="00A6650E" w:rsidRDefault="00A6650E" w:rsidP="00A665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olor w:val="212529"/>
                          <w:bdr w:val="none" w:sz="0" w:space="0" w:color="auto"/>
                        </w:rPr>
                      </w:pPr>
                      <w:r>
                        <w:rPr>
                          <w:rFonts w:asciiTheme="majorHAnsi" w:eastAsia="Times New Roman" w:hAnsiTheme="majorHAnsi"/>
                          <w:color w:val="212529"/>
                          <w:bdr w:val="none" w:sz="0" w:space="0" w:color="auto"/>
                          <w:lang w:val="en"/>
                        </w:rPr>
                        <w:t>JUAN ESTEBAN CASTAÑO SALDARRIAGA</w:t>
                      </w:r>
                    </w:p>
                    <w:p w14:paraId="575DFD52" w14:textId="60711BBC" w:rsidR="005B52B0" w:rsidRPr="00EB197F" w:rsidRDefault="00A6650E" w:rsidP="007A5817">
                      <w:pPr>
                        <w:rPr>
                          <w:color w:val="0D0D0D" w:themeColor="text1" w:themeTint="F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9A9F600" w:rsidR="00627C9F" w:rsidRPr="00C303B6" w:rsidRDefault="00834D49" w:rsidP="007A5817">
                            <w:pPr>
                              <w:spacing w:line="276" w:lineRule="auto"/>
                              <w:jc w:val="right"/>
                              <w:rPr>
                                <w:rFonts w:asciiTheme="minorHAnsi" w:hAnsiTheme="minorHAnsi"/>
                                <w:color w:val="FFFFFF" w:themeColor="background1"/>
                                <w:sz w:val="22"/>
                              </w:rPr>
                            </w:pPr>
                            <w:r w:rsidRPr="00C303B6">
                              <w:rPr>
                                <w:rFonts w:asciiTheme="minorHAnsi" w:hAnsiTheme="minorHAnsi"/>
                                <w:color w:val="FFFFFF" w:themeColor="background1"/>
                                <w:sz w:val="22"/>
                              </w:rPr>
                              <w:t>OEA/Ser.L/V/II</w:t>
                            </w:r>
                          </w:p>
                          <w:p w14:paraId="6A41611B" w14:textId="73A9498F" w:rsidR="00627C9F" w:rsidRPr="00C303B6" w:rsidRDefault="00627C9F" w:rsidP="007A5817">
                            <w:pPr>
                              <w:spacing w:line="276" w:lineRule="auto"/>
                              <w:jc w:val="right"/>
                              <w:rPr>
                                <w:rFonts w:asciiTheme="minorHAnsi" w:hAnsiTheme="minorHAnsi"/>
                                <w:color w:val="FFFFFF" w:themeColor="background1"/>
                                <w:sz w:val="22"/>
                              </w:rPr>
                            </w:pPr>
                            <w:r w:rsidRPr="00C303B6">
                              <w:rPr>
                                <w:rFonts w:asciiTheme="minorHAnsi" w:hAnsiTheme="minorHAnsi"/>
                                <w:color w:val="FFFFFF" w:themeColor="background1"/>
                                <w:sz w:val="22"/>
                              </w:rPr>
                              <w:t xml:space="preserve">Doc. </w:t>
                            </w:r>
                            <w:r w:rsidR="005D7356" w:rsidRPr="00C303B6">
                              <w:rPr>
                                <w:rFonts w:asciiTheme="minorHAnsi" w:hAnsiTheme="minorHAnsi"/>
                                <w:color w:val="FFFFFF" w:themeColor="background1"/>
                                <w:sz w:val="22"/>
                              </w:rPr>
                              <w:t>144</w:t>
                            </w:r>
                          </w:p>
                          <w:p w14:paraId="69373ED2" w14:textId="212A59E2" w:rsidR="00627C9F" w:rsidRPr="00C25ADB" w:rsidRDefault="0020289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9 September</w:t>
                            </w:r>
                            <w:r w:rsidR="00627C9F">
                              <w:rPr>
                                <w:rFonts w:asciiTheme="minorHAnsi" w:hAnsiTheme="minorHAnsi"/>
                                <w:color w:val="FFFFFF" w:themeColor="background1"/>
                                <w:sz w:val="22"/>
                                <w:lang w:val="en"/>
                              </w:rPr>
                              <w:t xml:space="preserve"> 2024</w:t>
                            </w:r>
                          </w:p>
                          <w:p w14:paraId="0771DB5B"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9A9F600" w:rsidR="00627C9F" w:rsidRPr="00C303B6" w:rsidRDefault="00834D49" w:rsidP="007A5817">
                      <w:pPr>
                        <w:spacing w:line="276" w:lineRule="auto"/>
                        <w:jc w:val="right"/>
                        <w:rPr>
                          <w:rFonts w:asciiTheme="minorHAnsi" w:hAnsiTheme="minorHAnsi"/>
                          <w:color w:val="FFFFFF" w:themeColor="background1"/>
                          <w:sz w:val="22"/>
                        </w:rPr>
                      </w:pPr>
                      <w:r w:rsidRPr="00C303B6">
                        <w:rPr>
                          <w:rFonts w:asciiTheme="minorHAnsi" w:hAnsiTheme="minorHAnsi"/>
                          <w:color w:val="FFFFFF" w:themeColor="background1"/>
                          <w:sz w:val="22"/>
                        </w:rPr>
                        <w:t>OEA/Ser.L/V/II</w:t>
                      </w:r>
                    </w:p>
                    <w:p w14:paraId="6A41611B" w14:textId="73A9498F" w:rsidR="00627C9F" w:rsidRPr="00C303B6" w:rsidRDefault="00627C9F" w:rsidP="007A5817">
                      <w:pPr>
                        <w:spacing w:line="276" w:lineRule="auto"/>
                        <w:jc w:val="right"/>
                        <w:rPr>
                          <w:rFonts w:asciiTheme="minorHAnsi" w:hAnsiTheme="minorHAnsi"/>
                          <w:color w:val="FFFFFF" w:themeColor="background1"/>
                          <w:sz w:val="22"/>
                        </w:rPr>
                      </w:pPr>
                      <w:r w:rsidRPr="00C303B6">
                        <w:rPr>
                          <w:rFonts w:asciiTheme="minorHAnsi" w:hAnsiTheme="minorHAnsi"/>
                          <w:color w:val="FFFFFF" w:themeColor="background1"/>
                          <w:sz w:val="22"/>
                        </w:rPr>
                        <w:t xml:space="preserve">Doc. </w:t>
                      </w:r>
                      <w:r w:rsidR="005D7356" w:rsidRPr="00C303B6">
                        <w:rPr>
                          <w:rFonts w:asciiTheme="minorHAnsi" w:hAnsiTheme="minorHAnsi"/>
                          <w:color w:val="FFFFFF" w:themeColor="background1"/>
                          <w:sz w:val="22"/>
                        </w:rPr>
                        <w:t>144</w:t>
                      </w:r>
                    </w:p>
                    <w:p w14:paraId="69373ED2" w14:textId="212A59E2" w:rsidR="00627C9F" w:rsidRPr="00C25ADB" w:rsidRDefault="0020289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9 September</w:t>
                      </w:r>
                      <w:r w:rsidR="00627C9F">
                        <w:rPr>
                          <w:rFonts w:asciiTheme="minorHAnsi" w:hAnsiTheme="minorHAnsi"/>
                          <w:color w:val="FFFFFF" w:themeColor="background1"/>
                          <w:sz w:val="22"/>
                          <w:lang w:val="en"/>
                        </w:rPr>
                        <w:t xml:space="preserve"> 2024</w:t>
                      </w:r>
                    </w:p>
                    <w:p w14:paraId="0771DB5B"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7A34F94" w:rsidR="00DD3D86" w:rsidRPr="003C2239" w:rsidRDefault="00AC31F2"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September 9, 2024.</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7A34F94" w:rsidR="00DD3D86" w:rsidRPr="003C2239" w:rsidRDefault="00AC31F2"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September 9, 2024.</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rPr>
      </w:pPr>
    </w:p>
    <w:p w14:paraId="7A79F059" w14:textId="79267974" w:rsidR="00A50FCF" w:rsidRPr="0090270B" w:rsidRDefault="009820E2"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14798ABC" wp14:editId="2DE82078">
                <wp:simplePos x="0" y="0"/>
                <wp:positionH relativeFrom="column">
                  <wp:posOffset>1330859</wp:posOffset>
                </wp:positionH>
                <wp:positionV relativeFrom="paragraph">
                  <wp:posOffset>136431</wp:posOffset>
                </wp:positionV>
                <wp:extent cx="514236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4236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DB3D4" w14:textId="77777777" w:rsidR="005D7356" w:rsidRDefault="00113F73" w:rsidP="00113F73">
                            <w:pPr>
                              <w:spacing w:line="276" w:lineRule="auto"/>
                              <w:rPr>
                                <w:rFonts w:asciiTheme="majorHAnsi" w:hAnsiTheme="majorHAnsi"/>
                                <w:color w:val="595959" w:themeColor="text1" w:themeTint="A6"/>
                                <w:sz w:val="18"/>
                                <w:szCs w:val="18"/>
                                <w:lang w:val="es-US"/>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9820E2">
                              <w:rPr>
                                <w:rFonts w:asciiTheme="majorHAnsi" w:hAnsiTheme="majorHAnsi"/>
                                <w:color w:val="595959" w:themeColor="text1" w:themeTint="A6"/>
                                <w:sz w:val="18"/>
                                <w:szCs w:val="18"/>
                                <w:lang w:val="en"/>
                              </w:rPr>
                              <w:t>136</w:t>
                            </w:r>
                            <w:r>
                              <w:rPr>
                                <w:rFonts w:asciiTheme="majorHAnsi" w:hAnsiTheme="majorHAnsi"/>
                                <w:color w:val="595959" w:themeColor="text1" w:themeTint="A6"/>
                                <w:sz w:val="18"/>
                                <w:szCs w:val="18"/>
                                <w:lang w:val="en"/>
                              </w:rPr>
                              <w:t>/</w:t>
                            </w:r>
                            <w:r w:rsidR="009820E2">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917-14. </w:t>
                            </w:r>
                            <w:r w:rsidRPr="001B60BE">
                              <w:rPr>
                                <w:rFonts w:asciiTheme="majorHAnsi" w:hAnsiTheme="majorHAnsi"/>
                                <w:color w:val="595959" w:themeColor="text1" w:themeTint="A6"/>
                                <w:sz w:val="18"/>
                                <w:szCs w:val="18"/>
                                <w:lang w:val="es-US"/>
                              </w:rPr>
                              <w:t xml:space="preserve">Admissibility. </w:t>
                            </w:r>
                          </w:p>
                          <w:p w14:paraId="0D1B22CF" w14:textId="72991453" w:rsidR="00113F73" w:rsidRPr="007B05C4" w:rsidRDefault="00113F73" w:rsidP="00113F73">
                            <w:pPr>
                              <w:spacing w:line="276" w:lineRule="auto"/>
                              <w:rPr>
                                <w:rFonts w:asciiTheme="majorHAnsi" w:hAnsiTheme="majorHAnsi"/>
                                <w:color w:val="595959" w:themeColor="text1" w:themeTint="A6"/>
                                <w:sz w:val="18"/>
                                <w:szCs w:val="18"/>
                              </w:rPr>
                            </w:pPr>
                            <w:r w:rsidRPr="001B60BE">
                              <w:rPr>
                                <w:rFonts w:asciiTheme="majorHAnsi" w:hAnsiTheme="majorHAnsi"/>
                                <w:color w:val="595959" w:themeColor="text1" w:themeTint="A6"/>
                                <w:sz w:val="18"/>
                                <w:szCs w:val="18"/>
                                <w:lang w:val="es-US"/>
                              </w:rPr>
                              <w:t xml:space="preserve">Juan Esteban Castaño Saldarriaga. Colombia. </w:t>
                            </w:r>
                            <w:r w:rsidR="005D7356">
                              <w:rPr>
                                <w:rFonts w:asciiTheme="majorHAnsi" w:hAnsiTheme="majorHAnsi"/>
                                <w:color w:val="595959" w:themeColor="text1" w:themeTint="A6"/>
                                <w:sz w:val="18"/>
                                <w:szCs w:val="18"/>
                                <w:lang w:val="en"/>
                              </w:rPr>
                              <w:t>September 9, 2024</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4.8pt;margin-top:10.75pt;width:404.9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" filled="f" stroked="f" strokeweight=".5pt">
                <v:textbox>
                  <w:txbxContent>
                    <w:p w14:paraId="75ADB3D4" w14:textId="77777777" w:rsidR="005D7356" w:rsidRDefault="00113F73" w:rsidP="00113F73">
                      <w:pPr>
                        <w:spacing w:line="276" w:lineRule="auto"/>
                        <w:rPr>
                          <w:rFonts w:asciiTheme="majorHAnsi" w:hAnsiTheme="majorHAnsi"/>
                          <w:color w:val="595959" w:themeColor="text1" w:themeTint="A6"/>
                          <w:sz w:val="18"/>
                          <w:szCs w:val="18"/>
                          <w:lang w:val="es-US"/>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9820E2">
                        <w:rPr>
                          <w:rFonts w:asciiTheme="majorHAnsi" w:hAnsiTheme="majorHAnsi"/>
                          <w:color w:val="595959" w:themeColor="text1" w:themeTint="A6"/>
                          <w:sz w:val="18"/>
                          <w:szCs w:val="18"/>
                          <w:lang w:val="en"/>
                        </w:rPr>
                        <w:t>136</w:t>
                      </w:r>
                      <w:r>
                        <w:rPr>
                          <w:rFonts w:asciiTheme="majorHAnsi" w:hAnsiTheme="majorHAnsi"/>
                          <w:color w:val="595959" w:themeColor="text1" w:themeTint="A6"/>
                          <w:sz w:val="18"/>
                          <w:szCs w:val="18"/>
                          <w:lang w:val="en"/>
                        </w:rPr>
                        <w:t>/</w:t>
                      </w:r>
                      <w:r w:rsidR="009820E2">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917-14. </w:t>
                      </w:r>
                      <w:r w:rsidRPr="001B60BE">
                        <w:rPr>
                          <w:rFonts w:asciiTheme="majorHAnsi" w:hAnsiTheme="majorHAnsi"/>
                          <w:color w:val="595959" w:themeColor="text1" w:themeTint="A6"/>
                          <w:sz w:val="18"/>
                          <w:szCs w:val="18"/>
                          <w:lang w:val="es-US"/>
                        </w:rPr>
                        <w:t xml:space="preserve">Admissibility. </w:t>
                      </w:r>
                    </w:p>
                    <w:p w14:paraId="0D1B22CF" w14:textId="72991453" w:rsidR="00113F73" w:rsidRPr="007B05C4" w:rsidRDefault="00113F73" w:rsidP="00113F73">
                      <w:pPr>
                        <w:spacing w:line="276" w:lineRule="auto"/>
                        <w:rPr>
                          <w:rFonts w:asciiTheme="majorHAnsi" w:hAnsiTheme="majorHAnsi"/>
                          <w:color w:val="595959" w:themeColor="text1" w:themeTint="A6"/>
                          <w:sz w:val="18"/>
                          <w:szCs w:val="18"/>
                        </w:rPr>
                      </w:pPr>
                      <w:r w:rsidRPr="001B60BE">
                        <w:rPr>
                          <w:rFonts w:asciiTheme="majorHAnsi" w:hAnsiTheme="majorHAnsi"/>
                          <w:color w:val="595959" w:themeColor="text1" w:themeTint="A6"/>
                          <w:sz w:val="18"/>
                          <w:szCs w:val="18"/>
                          <w:lang w:val="es-US"/>
                        </w:rPr>
                        <w:t xml:space="preserve">Juan Esteban Castaño Saldarriaga. Colombia. </w:t>
                      </w:r>
                      <w:r w:rsidR="005D7356">
                        <w:rPr>
                          <w:rFonts w:asciiTheme="majorHAnsi" w:hAnsiTheme="majorHAnsi"/>
                          <w:color w:val="595959" w:themeColor="text1" w:themeTint="A6"/>
                          <w:sz w:val="18"/>
                          <w:szCs w:val="18"/>
                          <w:lang w:val="en"/>
                        </w:rPr>
                        <w:t>September 9, 2024</w:t>
                      </w:r>
                      <w:r>
                        <w:rPr>
                          <w:rFonts w:asciiTheme="majorHAnsi" w:hAnsiTheme="majorHAnsi"/>
                          <w:color w:val="595959" w:themeColor="text1" w:themeTint="A6"/>
                          <w:sz w:val="18"/>
                          <w:szCs w:val="18"/>
                          <w:lang w:val="en"/>
                        </w:rPr>
                        <w:t>.</w:t>
                      </w:r>
                    </w:p>
                  </w:txbxContent>
                </v:textbox>
              </v:shape>
            </w:pict>
          </mc:Fallback>
        </mc:AlternateContent>
      </w:r>
    </w:p>
    <w:p w14:paraId="330672AE" w14:textId="1244EC35" w:rsidR="00A50FCF" w:rsidRPr="0090270B" w:rsidRDefault="00A50FCF" w:rsidP="00040C3A">
      <w:pPr>
        <w:tabs>
          <w:tab w:val="center" w:pos="5400"/>
        </w:tabs>
        <w:suppressAutoHyphens/>
        <w:jc w:val="center"/>
        <w:rPr>
          <w:rFonts w:asciiTheme="majorHAnsi" w:hAnsiTheme="majorHAnsi"/>
          <w:sz w:val="18"/>
          <w:szCs w:val="22"/>
        </w:rPr>
      </w:pPr>
    </w:p>
    <w:p w14:paraId="196A49DE" w14:textId="77777777" w:rsidR="00A50FCF" w:rsidRPr="0090270B" w:rsidRDefault="00A50FCF" w:rsidP="00040C3A">
      <w:pPr>
        <w:tabs>
          <w:tab w:val="center" w:pos="5400"/>
        </w:tabs>
        <w:suppressAutoHyphens/>
        <w:jc w:val="center"/>
        <w:rPr>
          <w:rFonts w:asciiTheme="majorHAnsi" w:hAnsiTheme="majorHAnsi"/>
          <w:sz w:val="18"/>
          <w:szCs w:val="22"/>
        </w:rPr>
      </w:pPr>
    </w:p>
    <w:p w14:paraId="1DA07629" w14:textId="18F93D1C" w:rsidR="0090270B" w:rsidRDefault="0090270B" w:rsidP="005516A1">
      <w:pPr>
        <w:tabs>
          <w:tab w:val="center" w:pos="5400"/>
        </w:tabs>
        <w:suppressAutoHyphens/>
        <w:jc w:val="center"/>
        <w:rPr>
          <w:rFonts w:asciiTheme="majorHAnsi" w:hAnsiTheme="majorHAnsi"/>
          <w:b/>
          <w:sz w:val="20"/>
        </w:rPr>
      </w:pPr>
    </w:p>
    <w:p w14:paraId="2FE1B253" w14:textId="2CAA2B6C" w:rsidR="0070697F" w:rsidRDefault="005D7356" w:rsidP="005516A1">
      <w:pPr>
        <w:tabs>
          <w:tab w:val="center" w:pos="5400"/>
        </w:tabs>
        <w:suppressAutoHyphens/>
        <w:jc w:val="center"/>
        <w:rPr>
          <w:rFonts w:asciiTheme="majorHAnsi" w:hAnsiTheme="majorHAnsi"/>
          <w:b/>
          <w:sz w:val="20"/>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0472543" wp14:editId="00474712">
                <wp:simplePos x="0" y="0"/>
                <wp:positionH relativeFrom="column">
                  <wp:posOffset>1292062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BF6A52D" w:rsidR="00D72DC6" w:rsidRPr="00D72DC6" w:rsidRDefault="00620D26" w:rsidP="00F02AD1">
                            <w:pPr>
                              <w:rPr>
                                <w:color w:val="FFFFFF" w:themeColor="background1"/>
                                <w14:textFill>
                                  <w14:noFill/>
                                </w14:textFill>
                              </w:rPr>
                            </w:pPr>
                            <w:r>
                              <w:rPr>
                                <w:noProof/>
                              </w:rPr>
                              <w:drawing>
                                <wp:inline distT="0" distB="0" distL="0" distR="0" wp14:anchorId="202BA2E4" wp14:editId="4514BBC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1.7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" fillcolor="white [3201]" stroked="f" strokeweight=".5pt">
                <v:textbox>
                  <w:txbxContent>
                    <w:p w14:paraId="2A1ECD3C" w14:textId="5BF6A52D" w:rsidR="00D72DC6" w:rsidRPr="00D72DC6" w:rsidRDefault="00620D26" w:rsidP="00F02AD1">
                      <w:pPr>
                        <w:rPr>
                          <w:color w:val="FFFFFF" w:themeColor="background1"/>
                          <w14:textFill>
                            <w14:noFill/>
                          </w14:textFill>
                        </w:rPr>
                      </w:pPr>
                      <w:r>
                        <w:rPr>
                          <w:noProof/>
                        </w:rPr>
                        <w:drawing>
                          <wp:inline distT="0" distB="0" distL="0" distR="0" wp14:anchorId="202BA2E4" wp14:editId="4514BBC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AC31F2">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02EDA5EE" wp14:editId="1922DD91">
                <wp:simplePos x="0" y="0"/>
                <wp:positionH relativeFrom="column">
                  <wp:posOffset>-262890</wp:posOffset>
                </wp:positionH>
                <wp:positionV relativeFrom="paragraph">
                  <wp:posOffset>661507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39EB5F6B"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AC31F2">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0.7pt;margin-top:52.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" filled="f" stroked="f" strokeweight=".5pt">
                <v:textbox>
                  <w:txbxContent>
                    <w:p w14:paraId="6EA0DBC3" w14:textId="39EB5F6B"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AC31F2">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v:textbox>
              </v:shape>
            </w:pict>
          </mc:Fallback>
        </mc:AlternateContent>
      </w:r>
      <w:r w:rsidR="004A6A54">
        <w:rPr>
          <w:b/>
          <w:bCs/>
          <w:lang w:val="en"/>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A0313" w14:paraId="5A79D1F7" w14:textId="77777777" w:rsidTr="00720436">
        <w:tc>
          <w:tcPr>
            <w:tcW w:w="3600" w:type="dxa"/>
            <w:tcBorders>
              <w:top w:val="single" w:sz="4" w:space="0" w:color="auto"/>
              <w:bottom w:val="single" w:sz="6" w:space="0" w:color="auto"/>
            </w:tcBorders>
            <w:shd w:val="clear" w:color="auto" w:fill="67AE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760" w:type="dxa"/>
            <w:vAlign w:val="center"/>
          </w:tcPr>
          <w:p w14:paraId="3C5315D8" w14:textId="40514507" w:rsidR="003239B8" w:rsidRPr="00D13530" w:rsidRDefault="006A0313" w:rsidP="00D13530">
            <w:pPr>
              <w:jc w:val="both"/>
              <w:rPr>
                <w:rFonts w:ascii="Cambria" w:hAnsi="Cambria"/>
                <w:bCs/>
                <w:sz w:val="20"/>
                <w:szCs w:val="20"/>
              </w:rPr>
            </w:pPr>
            <w:r>
              <w:rPr>
                <w:rFonts w:ascii="Cambria" w:hAnsi="Cambria"/>
                <w:sz w:val="20"/>
                <w:szCs w:val="20"/>
                <w:lang w:val="en"/>
              </w:rPr>
              <w:t>Gloria Saldarriaga Ochoa</w:t>
            </w:r>
          </w:p>
        </w:tc>
      </w:tr>
      <w:tr w:rsidR="003239B8" w:rsidRPr="00A6650E" w14:paraId="593A7E45" w14:textId="77777777" w:rsidTr="00720436">
        <w:tc>
          <w:tcPr>
            <w:tcW w:w="3600" w:type="dxa"/>
            <w:tcBorders>
              <w:top w:val="single" w:sz="6" w:space="0" w:color="auto"/>
              <w:bottom w:val="single" w:sz="6" w:space="0" w:color="auto"/>
            </w:tcBorders>
            <w:shd w:val="clear" w:color="auto" w:fill="67AE3C"/>
            <w:vAlign w:val="center"/>
          </w:tcPr>
          <w:p w14:paraId="0E78CA0C" w14:textId="77777777" w:rsidR="003239B8" w:rsidRPr="000D05CB" w:rsidRDefault="004905D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1B60BE">
                  <w:rPr>
                    <w:rFonts w:ascii="Cambria" w:hAnsi="Cambria"/>
                    <w:b/>
                    <w:bCs/>
                    <w:color w:val="FFFFFF" w:themeColor="background1"/>
                    <w:sz w:val="20"/>
                    <w:szCs w:val="20"/>
                    <w:lang w:val="en"/>
                  </w:rPr>
                  <w:t>Alleged victim</w:t>
                </w:r>
              </w:sdtContent>
            </w:sdt>
            <w:r w:rsidR="001B60BE">
              <w:rPr>
                <w:rFonts w:ascii="Cambria" w:hAnsi="Cambria"/>
                <w:b/>
                <w:bCs/>
                <w:color w:val="FFFFFF" w:themeColor="background1"/>
                <w:sz w:val="20"/>
                <w:szCs w:val="20"/>
                <w:lang w:val="en"/>
              </w:rPr>
              <w:t>:</w:t>
            </w:r>
          </w:p>
        </w:tc>
        <w:tc>
          <w:tcPr>
            <w:tcW w:w="5760" w:type="dxa"/>
            <w:vAlign w:val="center"/>
          </w:tcPr>
          <w:p w14:paraId="4AEBF59E" w14:textId="389DE544" w:rsidR="003239B8" w:rsidRPr="000D05CB" w:rsidRDefault="006A0313" w:rsidP="008D2290">
            <w:pPr>
              <w:jc w:val="both"/>
              <w:rPr>
                <w:rFonts w:ascii="Cambria" w:hAnsi="Cambria"/>
                <w:bCs/>
                <w:sz w:val="20"/>
                <w:szCs w:val="20"/>
              </w:rPr>
            </w:pPr>
            <w:r>
              <w:rPr>
                <w:rFonts w:ascii="Cambria" w:hAnsi="Cambria"/>
                <w:sz w:val="20"/>
                <w:szCs w:val="20"/>
                <w:lang w:val="en"/>
              </w:rPr>
              <w:t>Juan Esteban Castaño Saldarriaga</w:t>
            </w:r>
          </w:p>
        </w:tc>
      </w:tr>
      <w:tr w:rsidR="003239B8" w14:paraId="3E62E1D3" w14:textId="77777777" w:rsidTr="00720436">
        <w:tc>
          <w:tcPr>
            <w:tcW w:w="3600" w:type="dxa"/>
            <w:tcBorders>
              <w:top w:val="single" w:sz="6" w:space="0" w:color="auto"/>
              <w:bottom w:val="single" w:sz="6" w:space="0" w:color="auto"/>
            </w:tcBorders>
            <w:shd w:val="clear" w:color="auto" w:fill="67AE3C"/>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760" w:type="dxa"/>
            <w:vAlign w:val="center"/>
          </w:tcPr>
          <w:p w14:paraId="274C8A50" w14:textId="0471CA9C" w:rsidR="003239B8" w:rsidRPr="000D05CB" w:rsidRDefault="00441E0D"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2"/>
            </w:r>
          </w:p>
        </w:tc>
      </w:tr>
      <w:tr w:rsidR="00223A29" w:rsidRPr="0082665B" w14:paraId="632511BC" w14:textId="77777777" w:rsidTr="00720436">
        <w:tc>
          <w:tcPr>
            <w:tcW w:w="3600" w:type="dxa"/>
            <w:tcBorders>
              <w:top w:val="single" w:sz="6" w:space="0" w:color="auto"/>
              <w:bottom w:val="single" w:sz="6" w:space="0" w:color="auto"/>
            </w:tcBorders>
            <w:shd w:val="clear" w:color="auto" w:fill="67AE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760" w:type="dxa"/>
            <w:vAlign w:val="center"/>
          </w:tcPr>
          <w:p w14:paraId="6DEE1EEB" w14:textId="7C8D1E80" w:rsidR="00223A29" w:rsidRPr="002B1A36" w:rsidRDefault="002F0159" w:rsidP="008D2290">
            <w:pPr>
              <w:jc w:val="both"/>
              <w:rPr>
                <w:rFonts w:ascii="Cambria" w:hAnsi="Cambria"/>
                <w:bCs/>
                <w:sz w:val="20"/>
                <w:szCs w:val="20"/>
              </w:rPr>
            </w:pPr>
            <w:r>
              <w:rPr>
                <w:rFonts w:ascii="Cambria" w:hAnsi="Cambria"/>
                <w:sz w:val="20"/>
                <w:szCs w:val="20"/>
                <w:lang w:val="en"/>
              </w:rPr>
              <w:t>Articles 4 (life), 8 (judicial guarantees) and 25 (judicial protection) of the American Convention on Human Rights</w:t>
            </w:r>
            <w:r>
              <w:rPr>
                <w:rStyle w:val="FootnoteReference"/>
                <w:rFonts w:ascii="Cambria" w:hAnsi="Cambria"/>
                <w:sz w:val="20"/>
                <w:szCs w:val="20"/>
                <w:lang w:val="en"/>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720436">
        <w:tc>
          <w:tcPr>
            <w:tcW w:w="3600" w:type="dxa"/>
            <w:tcBorders>
              <w:top w:val="single" w:sz="6" w:space="0" w:color="auto"/>
              <w:bottom w:val="single" w:sz="6" w:space="0" w:color="auto"/>
            </w:tcBorders>
            <w:shd w:val="clear" w:color="auto" w:fill="67AE3C"/>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760" w:type="dxa"/>
            <w:vAlign w:val="center"/>
          </w:tcPr>
          <w:p w14:paraId="6E579153" w14:textId="34E3BB7B" w:rsidR="004C2312" w:rsidRPr="003239B8" w:rsidRDefault="00482F97" w:rsidP="002625EA">
            <w:pPr>
              <w:jc w:val="both"/>
              <w:rPr>
                <w:rFonts w:ascii="Cambria" w:hAnsi="Cambria"/>
                <w:bCs/>
                <w:sz w:val="20"/>
                <w:szCs w:val="20"/>
              </w:rPr>
            </w:pPr>
            <w:r>
              <w:rPr>
                <w:rFonts w:ascii="Cambria" w:hAnsi="Cambria"/>
                <w:sz w:val="20"/>
                <w:szCs w:val="20"/>
                <w:lang w:val="en"/>
              </w:rPr>
              <w:t>June 27, 2014</w:t>
            </w:r>
          </w:p>
        </w:tc>
      </w:tr>
      <w:tr w:rsidR="00131425" w:rsidRPr="0082665B" w14:paraId="337129E8" w14:textId="77777777" w:rsidTr="00720436">
        <w:tc>
          <w:tcPr>
            <w:tcW w:w="3600" w:type="dxa"/>
            <w:tcBorders>
              <w:top w:val="single" w:sz="6" w:space="0" w:color="auto"/>
              <w:bottom w:val="single" w:sz="6" w:space="0" w:color="auto"/>
            </w:tcBorders>
            <w:shd w:val="clear" w:color="auto" w:fill="67AE3C"/>
            <w:vAlign w:val="center"/>
          </w:tcPr>
          <w:p w14:paraId="3D52E482" w14:textId="0FA8B3B3"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760" w:type="dxa"/>
            <w:vAlign w:val="center"/>
          </w:tcPr>
          <w:p w14:paraId="30151270" w14:textId="4337D92B" w:rsidR="00131425" w:rsidRPr="003239B8" w:rsidRDefault="00460A5C" w:rsidP="002625EA">
            <w:pPr>
              <w:jc w:val="both"/>
              <w:rPr>
                <w:rFonts w:ascii="Cambria" w:hAnsi="Cambria"/>
                <w:bCs/>
                <w:sz w:val="20"/>
                <w:szCs w:val="20"/>
              </w:rPr>
            </w:pPr>
            <w:r>
              <w:rPr>
                <w:rFonts w:ascii="Cambria" w:hAnsi="Cambria"/>
                <w:sz w:val="20"/>
                <w:szCs w:val="20"/>
                <w:lang w:val="en"/>
              </w:rPr>
              <w:t>April 19, 2017, and December 4, 2018</w:t>
            </w:r>
          </w:p>
        </w:tc>
      </w:tr>
      <w:tr w:rsidR="004C2312" w:rsidRPr="00A6650E" w14:paraId="1BDCD5C6" w14:textId="77777777" w:rsidTr="00720436">
        <w:tc>
          <w:tcPr>
            <w:tcW w:w="3600" w:type="dxa"/>
            <w:tcBorders>
              <w:top w:val="single" w:sz="6" w:space="0" w:color="auto"/>
              <w:bottom w:val="single" w:sz="6" w:space="0" w:color="auto"/>
            </w:tcBorders>
            <w:shd w:val="clear" w:color="auto" w:fill="67AE3C"/>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760" w:type="dxa"/>
            <w:vAlign w:val="center"/>
          </w:tcPr>
          <w:p w14:paraId="1519DA6A" w14:textId="7A4D476D" w:rsidR="004C2312" w:rsidRPr="003239B8" w:rsidRDefault="00B060EB" w:rsidP="008D2290">
            <w:pPr>
              <w:jc w:val="both"/>
              <w:rPr>
                <w:rFonts w:ascii="Cambria" w:hAnsi="Cambria"/>
                <w:bCs/>
                <w:sz w:val="20"/>
                <w:szCs w:val="20"/>
              </w:rPr>
            </w:pPr>
            <w:r>
              <w:rPr>
                <w:rFonts w:ascii="Cambria" w:hAnsi="Cambria"/>
                <w:sz w:val="20"/>
                <w:szCs w:val="20"/>
                <w:lang w:val="en"/>
              </w:rPr>
              <w:t>December 17, 2021</w:t>
            </w:r>
          </w:p>
        </w:tc>
      </w:tr>
      <w:tr w:rsidR="004C2312" w:rsidRPr="004A6A54" w14:paraId="6147A8D5" w14:textId="77777777" w:rsidTr="00720436">
        <w:tc>
          <w:tcPr>
            <w:tcW w:w="3600" w:type="dxa"/>
            <w:tcBorders>
              <w:top w:val="single" w:sz="6" w:space="0" w:color="auto"/>
              <w:bottom w:val="single" w:sz="6" w:space="0" w:color="auto"/>
            </w:tcBorders>
            <w:shd w:val="clear" w:color="auto" w:fill="67AE3C"/>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State’s first response:</w:t>
            </w:r>
          </w:p>
        </w:tc>
        <w:tc>
          <w:tcPr>
            <w:tcW w:w="5760" w:type="dxa"/>
            <w:vAlign w:val="center"/>
          </w:tcPr>
          <w:p w14:paraId="1972B99E" w14:textId="618CC7BE" w:rsidR="004C2312" w:rsidRPr="003239B8" w:rsidRDefault="004D6541" w:rsidP="008D2290">
            <w:pPr>
              <w:jc w:val="both"/>
              <w:rPr>
                <w:rFonts w:ascii="Cambria" w:hAnsi="Cambria"/>
                <w:bCs/>
                <w:sz w:val="20"/>
                <w:szCs w:val="20"/>
              </w:rPr>
            </w:pPr>
            <w:r>
              <w:rPr>
                <w:rFonts w:ascii="Cambria" w:hAnsi="Cambria"/>
                <w:sz w:val="20"/>
                <w:szCs w:val="20"/>
                <w:lang w:val="en"/>
              </w:rPr>
              <w:t>June 24, 2022</w:t>
            </w:r>
          </w:p>
        </w:tc>
      </w:tr>
      <w:tr w:rsidR="004C2312" w:rsidRPr="00A6650E" w14:paraId="322668B6" w14:textId="77777777" w:rsidTr="00720436">
        <w:tc>
          <w:tcPr>
            <w:tcW w:w="3600" w:type="dxa"/>
            <w:tcBorders>
              <w:top w:val="single" w:sz="6" w:space="0" w:color="auto"/>
              <w:bottom w:val="single" w:sz="6" w:space="0" w:color="auto"/>
            </w:tcBorders>
            <w:shd w:val="clear" w:color="auto" w:fill="67AE3C"/>
            <w:vAlign w:val="center"/>
          </w:tcPr>
          <w:p w14:paraId="1524DA55"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comments from the petitioner:</w:t>
            </w:r>
          </w:p>
        </w:tc>
        <w:tc>
          <w:tcPr>
            <w:tcW w:w="5760" w:type="dxa"/>
            <w:vAlign w:val="center"/>
          </w:tcPr>
          <w:p w14:paraId="41D8B862" w14:textId="6F7D0F6D" w:rsidR="004C2312" w:rsidRPr="003239B8" w:rsidRDefault="00021B69" w:rsidP="008D2290">
            <w:pPr>
              <w:jc w:val="both"/>
              <w:rPr>
                <w:rFonts w:ascii="Cambria" w:hAnsi="Cambria"/>
                <w:bCs/>
                <w:sz w:val="20"/>
                <w:szCs w:val="20"/>
              </w:rPr>
            </w:pPr>
            <w:r>
              <w:rPr>
                <w:rFonts w:ascii="Cambria" w:hAnsi="Cambria"/>
                <w:sz w:val="20"/>
                <w:szCs w:val="20"/>
                <w:lang w:val="en"/>
              </w:rPr>
              <w:t>August 4, 2022</w:t>
            </w:r>
          </w:p>
        </w:tc>
      </w:tr>
      <w:tr w:rsidR="001E49E7" w:rsidRPr="007B76D3" w14:paraId="0F502B44" w14:textId="77777777" w:rsidTr="00720436">
        <w:tc>
          <w:tcPr>
            <w:tcW w:w="3600" w:type="dxa"/>
            <w:tcBorders>
              <w:top w:val="single" w:sz="6" w:space="0" w:color="auto"/>
              <w:bottom w:val="single" w:sz="6" w:space="0" w:color="auto"/>
            </w:tcBorders>
            <w:shd w:val="clear" w:color="auto" w:fill="67AE3C"/>
            <w:vAlign w:val="center"/>
          </w:tcPr>
          <w:p w14:paraId="046FEDC0" w14:textId="71E42F00" w:rsidR="001E49E7" w:rsidRPr="003239B8" w:rsidRDefault="004A6A54" w:rsidP="00DD4AD2">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possible archiving of the petition:</w:t>
            </w:r>
          </w:p>
        </w:tc>
        <w:tc>
          <w:tcPr>
            <w:tcW w:w="5760" w:type="dxa"/>
            <w:vAlign w:val="center"/>
          </w:tcPr>
          <w:p w14:paraId="5500808B" w14:textId="77005822" w:rsidR="001E49E7" w:rsidRPr="003239B8" w:rsidRDefault="004715AF" w:rsidP="002625EA">
            <w:pPr>
              <w:jc w:val="both"/>
              <w:rPr>
                <w:rFonts w:ascii="Cambria" w:hAnsi="Cambria"/>
                <w:bCs/>
                <w:sz w:val="20"/>
                <w:szCs w:val="20"/>
              </w:rPr>
            </w:pPr>
            <w:r>
              <w:rPr>
                <w:rFonts w:ascii="Cambria" w:hAnsi="Cambria"/>
                <w:sz w:val="20"/>
                <w:szCs w:val="20"/>
                <w:lang w:val="en"/>
              </w:rPr>
              <w:t>September 13, 2021</w:t>
            </w:r>
          </w:p>
        </w:tc>
      </w:tr>
      <w:tr w:rsidR="001E49E7" w:rsidRPr="00A6650E" w14:paraId="789A7AF7" w14:textId="77777777" w:rsidTr="00720436">
        <w:tc>
          <w:tcPr>
            <w:tcW w:w="3600" w:type="dxa"/>
            <w:tcBorders>
              <w:top w:val="single" w:sz="6" w:space="0" w:color="auto"/>
              <w:bottom w:val="single" w:sz="6" w:space="0" w:color="auto"/>
            </w:tcBorders>
            <w:shd w:val="clear" w:color="auto" w:fill="67AE3C"/>
            <w:vAlign w:val="center"/>
          </w:tcPr>
          <w:p w14:paraId="11989038" w14:textId="59EC032B" w:rsidR="001E49E7"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Petitioner’s response to the notification regarding the possible archiving of the petition:</w:t>
            </w:r>
          </w:p>
        </w:tc>
        <w:tc>
          <w:tcPr>
            <w:tcW w:w="5760" w:type="dxa"/>
            <w:vAlign w:val="center"/>
          </w:tcPr>
          <w:p w14:paraId="24E176E2" w14:textId="20539243" w:rsidR="001E49E7" w:rsidRPr="003239B8" w:rsidRDefault="00B060EB" w:rsidP="002625EA">
            <w:pPr>
              <w:jc w:val="both"/>
              <w:rPr>
                <w:rFonts w:ascii="Cambria" w:hAnsi="Cambria"/>
                <w:bCs/>
                <w:sz w:val="20"/>
                <w:szCs w:val="20"/>
              </w:rPr>
            </w:pPr>
            <w:r>
              <w:rPr>
                <w:rFonts w:ascii="Cambria" w:hAnsi="Cambria"/>
                <w:sz w:val="20"/>
                <w:szCs w:val="20"/>
                <w:lang w:val="en"/>
              </w:rPr>
              <w:t>September 13,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20436">
        <w:trPr>
          <w:cantSplit/>
        </w:trPr>
        <w:tc>
          <w:tcPr>
            <w:tcW w:w="3561" w:type="dxa"/>
            <w:tcBorders>
              <w:top w:val="single" w:sz="4" w:space="0" w:color="auto"/>
              <w:bottom w:val="single" w:sz="6" w:space="0" w:color="auto"/>
            </w:tcBorders>
            <w:shd w:val="clear" w:color="auto" w:fill="67AE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76" w:type="dxa"/>
            <w:vAlign w:val="center"/>
          </w:tcPr>
          <w:p w14:paraId="7707F3E9" w14:textId="4DE94C6A" w:rsidR="003239B8" w:rsidRPr="00B3745F" w:rsidRDefault="00463185" w:rsidP="008D2290">
            <w:pPr>
              <w:rPr>
                <w:rFonts w:ascii="Cambria" w:hAnsi="Cambria"/>
                <w:bCs/>
                <w:sz w:val="20"/>
                <w:szCs w:val="20"/>
              </w:rPr>
            </w:pPr>
            <w:r>
              <w:rPr>
                <w:rFonts w:ascii="Cambria" w:hAnsi="Cambria"/>
                <w:sz w:val="20"/>
                <w:szCs w:val="20"/>
                <w:lang w:val="en"/>
              </w:rPr>
              <w:t>Yes</w:t>
            </w:r>
          </w:p>
        </w:tc>
      </w:tr>
      <w:tr w:rsidR="003239B8" w:rsidRPr="00540F17" w14:paraId="4B8802DA" w14:textId="77777777" w:rsidTr="00720436">
        <w:trPr>
          <w:cantSplit/>
        </w:trPr>
        <w:tc>
          <w:tcPr>
            <w:tcW w:w="3561" w:type="dxa"/>
            <w:tcBorders>
              <w:top w:val="single" w:sz="6" w:space="0" w:color="auto"/>
              <w:bottom w:val="single" w:sz="6" w:space="0" w:color="auto"/>
            </w:tcBorders>
            <w:shd w:val="clear" w:color="auto" w:fill="67AE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76" w:type="dxa"/>
            <w:vAlign w:val="center"/>
          </w:tcPr>
          <w:p w14:paraId="12C931CB" w14:textId="6EC960E6" w:rsidR="003239B8" w:rsidRPr="00B3745F" w:rsidRDefault="00463185" w:rsidP="008D2290">
            <w:pPr>
              <w:rPr>
                <w:rFonts w:ascii="Cambria" w:hAnsi="Cambria"/>
                <w:bCs/>
                <w:sz w:val="20"/>
                <w:szCs w:val="20"/>
              </w:rPr>
            </w:pPr>
            <w:r>
              <w:rPr>
                <w:rFonts w:ascii="Cambria" w:hAnsi="Cambria"/>
                <w:sz w:val="20"/>
                <w:szCs w:val="20"/>
                <w:lang w:val="en"/>
              </w:rPr>
              <w:t>Yes</w:t>
            </w:r>
          </w:p>
        </w:tc>
      </w:tr>
      <w:tr w:rsidR="003239B8" w:rsidRPr="00540F17" w14:paraId="4362FDF3" w14:textId="77777777" w:rsidTr="00720436">
        <w:trPr>
          <w:cantSplit/>
        </w:trPr>
        <w:tc>
          <w:tcPr>
            <w:tcW w:w="3561" w:type="dxa"/>
            <w:tcBorders>
              <w:top w:val="single" w:sz="6" w:space="0" w:color="auto"/>
              <w:bottom w:val="single" w:sz="6" w:space="0" w:color="auto"/>
            </w:tcBorders>
            <w:shd w:val="clear" w:color="auto" w:fill="67AE3C"/>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76" w:type="dxa"/>
            <w:vAlign w:val="center"/>
          </w:tcPr>
          <w:p w14:paraId="6F8B059B" w14:textId="0580F4CA" w:rsidR="003239B8" w:rsidRPr="00B3745F" w:rsidRDefault="00463185" w:rsidP="008D2290">
            <w:pPr>
              <w:rPr>
                <w:rFonts w:ascii="Cambria" w:hAnsi="Cambria"/>
                <w:bCs/>
                <w:sz w:val="20"/>
                <w:szCs w:val="20"/>
              </w:rPr>
            </w:pPr>
            <w:r>
              <w:rPr>
                <w:rFonts w:ascii="Cambria" w:hAnsi="Cambria"/>
                <w:sz w:val="20"/>
                <w:szCs w:val="20"/>
                <w:lang w:val="en"/>
              </w:rPr>
              <w:t>Yes</w:t>
            </w:r>
          </w:p>
        </w:tc>
      </w:tr>
      <w:tr w:rsidR="003239B8" w:rsidRPr="001E49E7" w14:paraId="30ABEC3E" w14:textId="77777777" w:rsidTr="00720436">
        <w:trPr>
          <w:cantSplit/>
        </w:trPr>
        <w:tc>
          <w:tcPr>
            <w:tcW w:w="3561" w:type="dxa"/>
            <w:tcBorders>
              <w:top w:val="single" w:sz="6" w:space="0" w:color="auto"/>
              <w:bottom w:val="single" w:sz="6" w:space="0" w:color="auto"/>
            </w:tcBorders>
            <w:shd w:val="clear" w:color="auto" w:fill="67AE3C"/>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76" w:type="dxa"/>
            <w:vAlign w:val="center"/>
          </w:tcPr>
          <w:p w14:paraId="4A1FC305" w14:textId="77777777" w:rsidR="00463185" w:rsidRPr="00463185" w:rsidRDefault="00463185" w:rsidP="00463185">
            <w:pPr>
              <w:jc w:val="both"/>
              <w:rPr>
                <w:rFonts w:ascii="Cambria" w:hAnsi="Cambria"/>
                <w:bCs/>
                <w:sz w:val="20"/>
                <w:szCs w:val="20"/>
              </w:rPr>
            </w:pPr>
            <w:r>
              <w:rPr>
                <w:rFonts w:ascii="Cambria" w:hAnsi="Cambria"/>
                <w:sz w:val="20"/>
                <w:szCs w:val="20"/>
                <w:lang w:val="en"/>
              </w:rPr>
              <w:t>Yes, American Convention (instrument deposited on July 31, 1973)</w:t>
            </w:r>
          </w:p>
          <w:p w14:paraId="0C122F44" w14:textId="3F897C6B" w:rsidR="003239B8" w:rsidRPr="00B3745F" w:rsidRDefault="003239B8" w:rsidP="00463185">
            <w:pPr>
              <w:jc w:val="both"/>
              <w:rPr>
                <w:rFonts w:ascii="Cambria" w:hAnsi="Cambria"/>
                <w:bCs/>
                <w:sz w:val="20"/>
                <w:szCs w:val="20"/>
              </w:rPr>
            </w:pP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8A3697" w14:paraId="1231C988" w14:textId="77777777" w:rsidTr="00720436">
        <w:trPr>
          <w:cantSplit/>
        </w:trPr>
        <w:tc>
          <w:tcPr>
            <w:tcW w:w="3565" w:type="dxa"/>
            <w:tcBorders>
              <w:top w:val="single" w:sz="4" w:space="0" w:color="auto"/>
              <w:bottom w:val="single" w:sz="6" w:space="0" w:color="auto"/>
            </w:tcBorders>
            <w:shd w:val="clear" w:color="auto" w:fill="67AE3C"/>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772" w:type="dxa"/>
            <w:vAlign w:val="center"/>
          </w:tcPr>
          <w:p w14:paraId="240941E6" w14:textId="1C57BE92" w:rsidR="00EE00E9" w:rsidRPr="00DC24E3" w:rsidRDefault="002F0159" w:rsidP="008D2290">
            <w:pPr>
              <w:jc w:val="both"/>
              <w:rPr>
                <w:rFonts w:ascii="Cambria" w:hAnsi="Cambria"/>
                <w:bCs/>
                <w:sz w:val="20"/>
                <w:szCs w:val="20"/>
              </w:rPr>
            </w:pPr>
            <w:r>
              <w:rPr>
                <w:rFonts w:ascii="Cambria" w:hAnsi="Cambria"/>
                <w:sz w:val="20"/>
                <w:szCs w:val="20"/>
                <w:lang w:val="en"/>
              </w:rPr>
              <w:t>No</w:t>
            </w:r>
          </w:p>
        </w:tc>
      </w:tr>
      <w:tr w:rsidR="003239B8" w:rsidRPr="0082665B" w14:paraId="15FAA7D1" w14:textId="77777777" w:rsidTr="00720436">
        <w:trPr>
          <w:cantSplit/>
        </w:trPr>
        <w:tc>
          <w:tcPr>
            <w:tcW w:w="3565" w:type="dxa"/>
            <w:tcBorders>
              <w:top w:val="single" w:sz="4" w:space="0" w:color="auto"/>
              <w:bottom w:val="single" w:sz="6" w:space="0" w:color="auto"/>
            </w:tcBorders>
            <w:shd w:val="clear" w:color="auto" w:fill="67AE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772" w:type="dxa"/>
            <w:vAlign w:val="center"/>
          </w:tcPr>
          <w:p w14:paraId="6310C8F7" w14:textId="42A79DD6" w:rsidR="003239B8" w:rsidRPr="002F0159" w:rsidRDefault="002F0159" w:rsidP="008D2290">
            <w:pPr>
              <w:jc w:val="both"/>
              <w:rPr>
                <w:rFonts w:ascii="Cambria" w:hAnsi="Cambria"/>
                <w:bCs/>
                <w:sz w:val="20"/>
                <w:szCs w:val="20"/>
              </w:rPr>
            </w:pPr>
            <w:r>
              <w:rPr>
                <w:rFonts w:ascii="Cambria" w:hAnsi="Cambria"/>
                <w:sz w:val="20"/>
                <w:szCs w:val="20"/>
                <w:lang w:val="en"/>
              </w:rPr>
              <w:t>Articles 4 (life), 8 (judicial guarantees), and 25 (judicial protection) of the American Convention on Human Rights, read in conjunction with its Article 1(1) (obligation to respect rights)</w:t>
            </w:r>
          </w:p>
        </w:tc>
      </w:tr>
      <w:tr w:rsidR="003239B8" w:rsidRPr="0082665B" w14:paraId="4EFD141E" w14:textId="77777777" w:rsidTr="00720436">
        <w:trPr>
          <w:cantSplit/>
        </w:trPr>
        <w:tc>
          <w:tcPr>
            <w:tcW w:w="3565" w:type="dxa"/>
            <w:tcBorders>
              <w:top w:val="single" w:sz="6" w:space="0" w:color="auto"/>
              <w:bottom w:val="single" w:sz="6" w:space="0" w:color="auto"/>
            </w:tcBorders>
            <w:shd w:val="clear" w:color="auto" w:fill="67AE3C"/>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772" w:type="dxa"/>
            <w:vAlign w:val="center"/>
          </w:tcPr>
          <w:p w14:paraId="69C53E8A" w14:textId="622E1251" w:rsidR="003239B8" w:rsidRPr="00DC24E3" w:rsidRDefault="002F0159" w:rsidP="008D2290">
            <w:pPr>
              <w:rPr>
                <w:rFonts w:ascii="Cambria" w:hAnsi="Cambria"/>
                <w:bCs/>
                <w:sz w:val="20"/>
                <w:szCs w:val="20"/>
              </w:rPr>
            </w:pPr>
            <w:r>
              <w:rPr>
                <w:rFonts w:ascii="Cambria" w:hAnsi="Cambria"/>
                <w:sz w:val="20"/>
                <w:szCs w:val="20"/>
                <w:lang w:val="en"/>
              </w:rPr>
              <w:t>Yes, pursuant to the terms of Section VI</w:t>
            </w:r>
          </w:p>
        </w:tc>
      </w:tr>
      <w:tr w:rsidR="003239B8" w:rsidRPr="0082665B" w14:paraId="52B5BA17" w14:textId="77777777" w:rsidTr="00720436">
        <w:trPr>
          <w:cantSplit/>
        </w:trPr>
        <w:tc>
          <w:tcPr>
            <w:tcW w:w="3565" w:type="dxa"/>
            <w:tcBorders>
              <w:top w:val="single" w:sz="6" w:space="0" w:color="auto"/>
              <w:bottom w:val="single" w:sz="6" w:space="0" w:color="auto"/>
            </w:tcBorders>
            <w:shd w:val="clear" w:color="auto" w:fill="67AE3C"/>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772" w:type="dxa"/>
            <w:vAlign w:val="center"/>
          </w:tcPr>
          <w:p w14:paraId="4A2A4569" w14:textId="765B18D5" w:rsidR="003239B8" w:rsidRPr="002F0159" w:rsidRDefault="002F0159" w:rsidP="008D2290">
            <w:pPr>
              <w:rPr>
                <w:rFonts w:ascii="Cambria" w:hAnsi="Cambria"/>
                <w:bCs/>
                <w:sz w:val="20"/>
                <w:szCs w:val="20"/>
              </w:rPr>
            </w:pPr>
            <w:r>
              <w:rPr>
                <w:rFonts w:ascii="Cambria" w:hAnsi="Cambria"/>
                <w:sz w:val="20"/>
                <w:szCs w:val="20"/>
                <w:lang w:val="en"/>
              </w:rPr>
              <w:t>Yes, pursuant to the terms of Section VI</w:t>
            </w:r>
          </w:p>
        </w:tc>
      </w:tr>
    </w:tbl>
    <w:p w14:paraId="65D099DF" w14:textId="77777777" w:rsidR="00C0039E" w:rsidRDefault="00C0039E" w:rsidP="00245E8B">
      <w:pPr>
        <w:spacing w:after="240"/>
        <w:ind w:firstLine="720"/>
        <w:jc w:val="both"/>
        <w:rPr>
          <w:rFonts w:asciiTheme="majorHAnsi" w:hAnsiTheme="majorHAnsi"/>
          <w:b/>
          <w:sz w:val="20"/>
          <w:szCs w:val="20"/>
        </w:rPr>
      </w:pPr>
    </w:p>
    <w:p w14:paraId="6C325AB1" w14:textId="77777777" w:rsidR="000650C8" w:rsidRDefault="000650C8" w:rsidP="00245E8B">
      <w:pPr>
        <w:spacing w:after="240"/>
        <w:ind w:firstLine="720"/>
        <w:jc w:val="both"/>
        <w:rPr>
          <w:rFonts w:asciiTheme="majorHAnsi" w:hAnsiTheme="majorHAnsi"/>
          <w:b/>
          <w:sz w:val="20"/>
          <w:szCs w:val="20"/>
        </w:rPr>
      </w:pPr>
    </w:p>
    <w:p w14:paraId="32D0E975" w14:textId="77777777" w:rsidR="000650C8" w:rsidRDefault="000650C8" w:rsidP="00245E8B">
      <w:pPr>
        <w:spacing w:after="240"/>
        <w:ind w:firstLine="720"/>
        <w:jc w:val="both"/>
        <w:rPr>
          <w:rFonts w:asciiTheme="majorHAnsi" w:hAnsiTheme="majorHAnsi"/>
          <w:b/>
          <w:sz w:val="20"/>
          <w:szCs w:val="20"/>
        </w:rPr>
      </w:pPr>
    </w:p>
    <w:p w14:paraId="18E6423B" w14:textId="6E61A3AC" w:rsidR="003239B8" w:rsidRPr="008961BD" w:rsidRDefault="00223A29" w:rsidP="00245E8B">
      <w:pPr>
        <w:spacing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FACTS ALLEGED</w:t>
      </w:r>
    </w:p>
    <w:p w14:paraId="09A57312" w14:textId="2B8D3772" w:rsidR="005F3C87" w:rsidRPr="008961BD" w:rsidRDefault="000650C8" w:rsidP="00245E8B">
      <w:pPr>
        <w:spacing w:after="240"/>
        <w:ind w:firstLine="720"/>
        <w:jc w:val="both"/>
        <w:rPr>
          <w:rFonts w:asciiTheme="majorHAnsi" w:hAnsiTheme="majorHAnsi"/>
          <w:bCs/>
          <w:i/>
          <w:iCs/>
          <w:sz w:val="20"/>
          <w:szCs w:val="20"/>
        </w:rPr>
      </w:pPr>
      <w:r>
        <w:rPr>
          <w:rFonts w:asciiTheme="majorHAnsi" w:hAnsiTheme="majorHAnsi"/>
          <w:i/>
          <w:iCs/>
          <w:sz w:val="20"/>
          <w:szCs w:val="20"/>
          <w:lang w:val="en"/>
        </w:rPr>
        <w:t>The petitioner</w:t>
      </w:r>
    </w:p>
    <w:p w14:paraId="25598E81" w14:textId="30DC4D09" w:rsidR="004C1C0F" w:rsidRPr="008961BD" w:rsidRDefault="004C1C0F" w:rsidP="00245E8B">
      <w:pPr>
        <w:pStyle w:val="ListParagraph"/>
        <w:numPr>
          <w:ilvl w:val="0"/>
          <w:numId w:val="103"/>
        </w:numPr>
        <w:spacing w:after="240"/>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The petitioner alleges that her son’s death as a result of an explosion remains in impunity, since the Office of the Public Prosecutor closed the investigation without identifying those responsible or establishing whether the police were at fault.</w:t>
      </w:r>
    </w:p>
    <w:p w14:paraId="66B91E1B" w14:textId="2E4B5790" w:rsidR="00B32175" w:rsidRPr="008961BD" w:rsidRDefault="00245E8B"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petitioner indicates that her son worked as a patrol officer for the National Police in the municipality of Túquerres, department of Nariño, and that on June 25, 2011, upon receiving a phone call, he went to a bar to perform a security check, as a fight had supposedly taken place there. However, upon entering, an explosive detonated, killing him. She states that subsequent proceedings determined that Mr. Castaño Saldarriaga died when shrapnel struck him in the heart because he did not have a bulletproof vest, and that those possibly responsible for what happened were members of the FARC.</w:t>
      </w:r>
    </w:p>
    <w:p w14:paraId="2AF4E4E8" w14:textId="45108D00" w:rsidR="009D53DD" w:rsidRPr="008961BD" w:rsidRDefault="009D53DD"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She indicates that on June 26, 2011, the 28th Local Prosecutor's Office of Túquerres began an investigation for the crime of aggravated homicide in connection with these facts. However, after carrying out a series of procedures, on December 9, 2019, the prosecutor's office ordered the file of the case closed on the following grounds:</w:t>
      </w:r>
    </w:p>
    <w:p w14:paraId="6118B2E9" w14:textId="2CC085EE" w:rsidR="008850A0" w:rsidRPr="008961BD" w:rsidRDefault="007D32C1" w:rsidP="00245E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Pr>
          <w:rFonts w:asciiTheme="majorHAnsi" w:hAnsiTheme="majorHAnsi"/>
          <w:sz w:val="20"/>
          <w:szCs w:val="20"/>
          <w:lang w:val="en"/>
        </w:rPr>
        <w:t xml:space="preserve">To date, and due to a lack of specific information on the possible perpetrators of or participants in the criminal conduct, </w:t>
      </w:r>
      <w:r>
        <w:rPr>
          <w:rFonts w:asciiTheme="majorHAnsi" w:hAnsiTheme="majorHAnsi"/>
          <w:color w:val="202122"/>
          <w:sz w:val="20"/>
          <w:szCs w:val="20"/>
          <w:shd w:val="clear" w:color="auto" w:fill="FFFFFF"/>
          <w:lang w:val="en"/>
        </w:rPr>
        <w:t xml:space="preserve">[...], it has not been possible to fully identify the perpetrator(s) of and/or participant(s) in the criminal conduct and refute the active subject existing presumption, since no related and circumstantial information has ever turned up. Therefore, it is impossible and fruitless for the Office of the Public Prosecutor to continue with the corresponding investigation; likewise, the time that has elapsed since the act was committed cannot be ignored, as it makes it more difficult to obtain the respective information, for which reason, this Prosecutor's Office [...] will proceed to close the file on the proceedings on the grounds of “impossibility of determining the perpetrator.” </w:t>
      </w:r>
    </w:p>
    <w:p w14:paraId="530A2FCF" w14:textId="415A0B61" w:rsidR="001874A3" w:rsidRPr="008961BD" w:rsidRDefault="001874A3"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Based on these factual considerations, the petitioner alleges that the criminal investigation suffered from inconsistencies and omissions. She specifically highlights that the Office of the Public Prosecutor never investigated the possible criminal responsibility of the commander of the Túquerres police station, despite indications that he allowed the alleged victim to be attacked by guerrilla groups. Furthermore, the possibility that evidence was manipulated by the National Police—specifically, changes in logbook and call logs from the day of the alleged victim's death—was also not taken into consideration. In the petitioner's opinion, this evidence was key to establishing institutional responsibility.</w:t>
      </w:r>
    </w:p>
    <w:p w14:paraId="525C7ACC" w14:textId="7CA847EB" w:rsidR="00C624EB" w:rsidRPr="008961BD" w:rsidRDefault="00C624EB" w:rsidP="00C624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petitioner indicates that in 2013, she also filed suit for direct reparations, requesting compensation for the death of her son. However, on January 15, 2016, the Fifth Administrative Court of Pasto denied the claims of the lawsuit. The victim's family appealed the decision, and on February 26, 2020, the Administrative Court of Nariño overturned it and declared the State responsible for the death of Mr. Castaño Saldarriaga, finding that it was the State that was responsible for the fact that the alleged victim had not had a bulletproof vest while doing his work. It consequently ordered the payment of compensation.</w:t>
      </w:r>
    </w:p>
    <w:p w14:paraId="3289B651" w14:textId="5461A5AB" w:rsidR="00A3056E" w:rsidRPr="008961BD" w:rsidRDefault="00EB659C" w:rsidP="00A305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Pr>
          <w:rFonts w:asciiTheme="majorHAnsi" w:hAnsiTheme="majorHAnsi"/>
          <w:i/>
          <w:iCs/>
          <w:sz w:val="20"/>
          <w:szCs w:val="20"/>
          <w:lang w:val="en"/>
        </w:rPr>
        <w:t>The Colombian State</w:t>
      </w:r>
    </w:p>
    <w:p w14:paraId="341B1199" w14:textId="6E9A20F7" w:rsidR="008A3697" w:rsidRPr="008961BD" w:rsidRDefault="008A3697"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State responds that the facts alleged in the petition do not constitute violations of the rights recognized in the American Convention. It argues that the petitioner seeks for the Commission to act as a fourth judicial instance and review the factual and legal assessments made by domestic judges and courts acting within their competence.</w:t>
      </w:r>
    </w:p>
    <w:p w14:paraId="7912A75E" w14:textId="550A020F" w:rsidR="00413E6F" w:rsidRPr="008961BD" w:rsidRDefault="00413E6F"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lastRenderedPageBreak/>
        <w:t>It notes that the Administrative Court of Nariño has already addressed the claims of the alleged victim and awarded compensation based on a well-founded judgment and after a process that complied with all judicial guarantees. Consequently, the State argues that the petition only raises issues that have already been resolved at the domestic level and should therefore be declared inadmissible.</w:t>
      </w:r>
    </w:p>
    <w:p w14:paraId="55A4F846" w14:textId="331DC3DF" w:rsidR="00413E6F" w:rsidRPr="008961BD" w:rsidRDefault="00413E6F"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Finally, it notes that the Office of the Public Prosecutor launched an investigation into the death of the alleged victim as soon as it became aware of it. After taking the corresponding investigative steps, it moved to suspend the investigation and close the file on the process, indicating that the evidence did not make it possible to identify those responsible for the facts, despite the efforts made by the various authorities of the Judicial Police. In the State's opinion, these actions demonstrate that the decision to close the file on the case complies with the standards of the inter-American human rights system regarding the obligation to investigate, prosecute and, if applicable, punish those responsible for a criminal act. It argues that a review of this decision by the IACHR would be inappropriate, since it would be acting as a court of appeal.</w:t>
      </w:r>
    </w:p>
    <w:p w14:paraId="6F4D4171" w14:textId="61F41104" w:rsidR="003239B8" w:rsidRPr="008961BD" w:rsidRDefault="003239B8" w:rsidP="00245E8B">
      <w:pPr>
        <w:spacing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3214ED64" w14:textId="77777777" w:rsidR="004F2BED" w:rsidRPr="008961BD" w:rsidRDefault="00861EB5" w:rsidP="004F2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Commission notes that the petitioner’s central claim is essentially the failure to identify and punish those responsible for the death of the alleged victim. Therefore, the Commission recalls that, in situations that may involve violations of the right to life, which are prosecutable ex officio, the domestic remedies that must be taken into account for the admissibility of a petition are those related to the criminal proceeding, as it is the most appropriate method for solving the crime, punishing those responsible, and laying the groundwork for redress of a pecuniary nature.</w:t>
      </w:r>
      <w:r>
        <w:rPr>
          <w:rStyle w:val="FootnoteReference"/>
          <w:rFonts w:asciiTheme="majorHAnsi" w:hAnsiTheme="majorHAnsi"/>
          <w:sz w:val="20"/>
          <w:szCs w:val="20"/>
          <w:lang w:val="en"/>
        </w:rPr>
        <w:footnoteReference w:id="5"/>
      </w:r>
    </w:p>
    <w:p w14:paraId="46CED53A" w14:textId="0EF939CA" w:rsidR="001D1361" w:rsidRPr="008961BD" w:rsidRDefault="004F2BED" w:rsidP="004F2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Based on this, the Commission notes that although the Office of the Public Prosecutor launched an investigation, on December 9, 2019, it suspended it and ordered the case closed on the grounds that it was impossible to identify those responsible. Thus, the IACHR notes that more than a decade has passed without establishing the facts or identifying, prosecuting, and punishing those responsible for the murder of Mr. Castaño Sadarriaga. Therefore, in the case of crimes that must be investigated ex officio, as in the present case, where there are indications of impunity due to suspension of the criminal action, as well as specific allegations of serious omissions in the investigations, the IACHR has established that the exception to the exhaustion of domestic remedies applies, pursuant to Article 46(2)(c) of the American Convention</w:t>
      </w:r>
      <w:r>
        <w:rPr>
          <w:rStyle w:val="FootnoteReference"/>
          <w:rFonts w:asciiTheme="majorHAnsi" w:hAnsiTheme="majorHAnsi"/>
          <w:sz w:val="20"/>
          <w:szCs w:val="20"/>
          <w:lang w:val="en"/>
        </w:rPr>
        <w:footnoteReference w:id="6"/>
      </w:r>
      <w:r>
        <w:rPr>
          <w:rFonts w:asciiTheme="majorHAnsi" w:hAnsiTheme="majorHAnsi"/>
          <w:sz w:val="20"/>
          <w:szCs w:val="20"/>
          <w:lang w:val="en"/>
        </w:rPr>
        <w:t xml:space="preserve"> and 31(2)(c) of the Rules of Procedure. Likewise, given that the Office of the Public Prosecutor’s order was issued while this case’s admissibility was still under review, the Commission finds that it was filed within a reasonable period of time, pursuant to the terms of Article 32(2) of its Rules of Procedure.</w:t>
      </w:r>
    </w:p>
    <w:p w14:paraId="4FFBE378" w14:textId="64322DE9" w:rsidR="003239B8" w:rsidRPr="008961BD" w:rsidRDefault="003239B8" w:rsidP="00245E8B">
      <w:pPr>
        <w:pStyle w:val="ListParagraph"/>
        <w:spacing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00577C0B" w14:textId="77777777" w:rsidR="00396322" w:rsidRPr="008961BD" w:rsidRDefault="00396322"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Pr>
          <w:rFonts w:asciiTheme="majorHAnsi" w:hAnsiTheme="majorHAnsi"/>
          <w:sz w:val="20"/>
          <w:szCs w:val="20"/>
          <w:lang w:val="en"/>
        </w:rPr>
        <w:t>First, the Commission reiterates that the level of conviction of the admissibility stage is different from what is required when deciding on the merits of a complaint; at this stage, the IACHR must perform a summary prima facie evaluation—not to establish the existence of a violation, but to examine if the petition establishes grounds for the apparent or potential violation of a right guaranteed by the Convention. Determining the colorable claim of the violations of the American Convention involves a summary analysis, which does not imply a prejudgment or advance opinion on the merits of a matter. For purposes of admissibility, the Commission must decide whether the facts alleged tend to establish a violation of rights, as provided for in Article 47(b) of the American Convention, or whether the petition is “manifestly groundless” or “obviously out of order,” as per Article 47(c) of the American Convention.</w:t>
      </w:r>
    </w:p>
    <w:p w14:paraId="58F59545" w14:textId="34FA71F4" w:rsidR="008C758F" w:rsidRPr="008961BD" w:rsidRDefault="008C758F" w:rsidP="00245E8B">
      <w:pPr>
        <w:pStyle w:val="ListParagraph"/>
        <w:numPr>
          <w:ilvl w:val="0"/>
          <w:numId w:val="103"/>
        </w:numPr>
        <w:spacing w:after="240"/>
        <w:jc w:val="both"/>
        <w:rPr>
          <w:rFonts w:asciiTheme="majorHAnsi" w:hAnsiTheme="majorHAnsi"/>
          <w:sz w:val="20"/>
          <w:szCs w:val="20"/>
        </w:rPr>
      </w:pPr>
      <w:r>
        <w:rPr>
          <w:rFonts w:asciiTheme="majorHAnsi" w:hAnsiTheme="majorHAnsi"/>
          <w:sz w:val="20"/>
          <w:szCs w:val="20"/>
          <w:lang w:val="en"/>
        </w:rPr>
        <w:lastRenderedPageBreak/>
        <w:t>In this case, the Commission notes that, according to the petitioner, the Office of the Public Prosecutor failed to take a series of steps and did not adequately investigate the possible responsibility of police authorities. In this regard, although the State provides some details on the actions taken by the prosecutor in charge of the case, it does not provide information that would make it possible to know precisely what measures were taken to establish the facts and, centrally, identify whether members of the National Police were complicit.</w:t>
      </w:r>
    </w:p>
    <w:p w14:paraId="328B9044" w14:textId="7A51FE31" w:rsidR="00E64C3D" w:rsidRPr="008961BD" w:rsidRDefault="00DF65ED"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Pr>
          <w:rFonts w:asciiTheme="majorHAnsi" w:hAnsiTheme="majorHAnsi"/>
          <w:sz w:val="20"/>
          <w:szCs w:val="20"/>
          <w:lang w:val="en"/>
        </w:rPr>
        <w:t>In view of these considerations, and upon examination of the elements of fact and law set forth by the parties, the Commission concludes that the petitioners’ allegations are not manifestly groundless and must be examined on their merits, as should the facts alleged be corroborated, they could amount to violations of articles 4 (right to life), 8 (judicial guarantees), and 25 (judicial protection) of the American Convention, to the detriment of the alleged victim.</w:t>
      </w:r>
    </w:p>
    <w:p w14:paraId="2A0D0B49" w14:textId="2C2D871B" w:rsidR="0067709C" w:rsidRPr="008961BD" w:rsidRDefault="0067709C" w:rsidP="00245E8B">
      <w:pPr>
        <w:pStyle w:val="ListParagraph"/>
        <w:numPr>
          <w:ilvl w:val="0"/>
          <w:numId w:val="103"/>
        </w:numPr>
        <w:suppressAutoHyphens/>
        <w:spacing w:after="240"/>
        <w:jc w:val="both"/>
        <w:rPr>
          <w:rFonts w:asciiTheme="majorHAnsi" w:hAnsiTheme="majorHAnsi"/>
          <w:sz w:val="20"/>
          <w:szCs w:val="20"/>
        </w:rPr>
      </w:pPr>
      <w:r>
        <w:rPr>
          <w:rFonts w:asciiTheme="majorHAnsi" w:hAnsiTheme="majorHAnsi"/>
          <w:sz w:val="20"/>
          <w:szCs w:val="20"/>
          <w:lang w:val="en"/>
        </w:rPr>
        <w:t>Finally, and with respect to the "fourth instance formula" argument, the Commission stresses the complementary nature of the inter-American system and emphasizes that, as indicated by the Inter-American Court, in order for a “higher court" exception to proceed, it must be found to apply for review of “the decision of the domestic court, based on its incorrect assessment of the evidence, the facts or domestic law without, in turn, alleging that such decision was a violation of international treaties [...].”</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In this case, the Commission finds that, as indicated by the Inter-American Court, "it is up to the Court to ascertain whether or not the State, in the steps effectively taken at domestic level, violated its international obligations stemming from those Inter-American instruments that grant authority to the Court.”</w:t>
      </w:r>
      <w:r>
        <w:rPr>
          <w:rFonts w:asciiTheme="majorHAnsi" w:hAnsiTheme="majorHAnsi"/>
          <w:sz w:val="20"/>
          <w:szCs w:val="20"/>
          <w:vertAlign w:val="superscript"/>
          <w:lang w:val="en"/>
        </w:rPr>
        <w:footnoteReference w:id="8"/>
      </w:r>
      <w:r>
        <w:rPr>
          <w:rFonts w:asciiTheme="majorHAnsi" w:hAnsiTheme="majorHAnsi"/>
          <w:sz w:val="20"/>
          <w:szCs w:val="20"/>
          <w:lang w:val="en"/>
        </w:rPr>
        <w:t xml:space="preserve">  Likewise, it must examine "whether or not the actions of the judicial bodies constitute a violation of the State’s international obligations, [which] may lead the Court to examine the corresponding domestic proceedings in order to establish their compatibility with the American Convention."</w:t>
      </w:r>
      <w:r>
        <w:rPr>
          <w:rFonts w:asciiTheme="majorHAnsi" w:hAnsiTheme="majorHAnsi"/>
          <w:sz w:val="20"/>
          <w:szCs w:val="20"/>
          <w:vertAlign w:val="superscript"/>
          <w:lang w:val="en"/>
        </w:rPr>
        <w:footnoteReference w:id="9"/>
      </w:r>
      <w:r>
        <w:rPr>
          <w:rFonts w:asciiTheme="majorHAnsi" w:hAnsiTheme="majorHAnsi"/>
          <w:sz w:val="20"/>
          <w:szCs w:val="20"/>
          <w:lang w:val="en"/>
        </w:rPr>
        <w:t xml:space="preserve"> In this sense, analysis of whether the State violated the American Convention is a matter to be decided in the merits of this case. </w:t>
      </w:r>
    </w:p>
    <w:p w14:paraId="29BB41F5" w14:textId="77777777" w:rsidR="003239B8" w:rsidRPr="008961BD" w:rsidRDefault="003239B8" w:rsidP="00245E8B">
      <w:pPr>
        <w:pStyle w:val="ListParagraph"/>
        <w:spacing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41AA5BF6" w14:textId="05A443BD" w:rsidR="000419AD" w:rsidRPr="008961BD" w:rsidRDefault="003239B8" w:rsidP="00245E8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admissible with respect to articles 4, 8, and 25 of the American Convention</w:t>
      </w:r>
      <w:r w:rsidR="00075027">
        <w:rPr>
          <w:rFonts w:asciiTheme="majorHAnsi" w:hAnsiTheme="majorHAnsi"/>
          <w:sz w:val="20"/>
          <w:szCs w:val="20"/>
          <w:lang w:val="en"/>
        </w:rPr>
        <w:t>.</w:t>
      </w:r>
    </w:p>
    <w:p w14:paraId="12A7002C" w14:textId="77777777" w:rsidR="004A6A54" w:rsidRPr="00075027" w:rsidRDefault="004A6A54" w:rsidP="00245E8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6561A88A" w14:textId="11C17695" w:rsidR="00075027" w:rsidRDefault="00075027" w:rsidP="00075027">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9</w:t>
      </w:r>
      <w:r w:rsidRPr="008408D0">
        <w:rPr>
          <w:rFonts w:ascii="Cambria" w:hAnsi="Cambria"/>
          <w:spacing w:val="-2"/>
          <w:sz w:val="20"/>
          <w:vertAlign w:val="superscript"/>
        </w:rPr>
        <w:t>th</w:t>
      </w:r>
      <w:r>
        <w:rPr>
          <w:rFonts w:ascii="Cambria" w:hAnsi="Cambria"/>
          <w:spacing w:val="-2"/>
          <w:sz w:val="20"/>
        </w:rPr>
        <w:t xml:space="preserve"> day of the month of September,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CD4DFBD" w14:textId="77777777" w:rsidR="003239B8" w:rsidRPr="008961BD" w:rsidRDefault="003239B8" w:rsidP="00245E8B">
      <w:pPr>
        <w:pStyle w:val="ListParagraph"/>
        <w:suppressAutoHyphens/>
        <w:spacing w:after="240"/>
        <w:jc w:val="both"/>
        <w:rPr>
          <w:rFonts w:asciiTheme="majorHAnsi" w:hAnsiTheme="majorHAnsi"/>
          <w:sz w:val="20"/>
          <w:szCs w:val="20"/>
        </w:rPr>
      </w:pPr>
    </w:p>
    <w:p w14:paraId="0D98495A" w14:textId="77777777" w:rsidR="008D768D" w:rsidRPr="008961BD" w:rsidRDefault="008D768D" w:rsidP="00245E8B">
      <w:pPr>
        <w:tabs>
          <w:tab w:val="center" w:pos="5400"/>
        </w:tabs>
        <w:suppressAutoHyphens/>
        <w:spacing w:after="240" w:line="276" w:lineRule="auto"/>
        <w:rPr>
          <w:rFonts w:asciiTheme="majorHAnsi" w:hAnsiTheme="majorHAnsi"/>
          <w:sz w:val="20"/>
          <w:szCs w:val="20"/>
        </w:rPr>
      </w:pPr>
    </w:p>
    <w:p w14:paraId="2642C68E" w14:textId="77777777" w:rsidR="008D768D" w:rsidRPr="008961BD" w:rsidRDefault="008D768D" w:rsidP="00245E8B">
      <w:pPr>
        <w:tabs>
          <w:tab w:val="center" w:pos="5400"/>
        </w:tabs>
        <w:suppressAutoHyphens/>
        <w:spacing w:after="240" w:line="276" w:lineRule="auto"/>
        <w:rPr>
          <w:rFonts w:asciiTheme="majorHAnsi" w:hAnsiTheme="majorHAnsi"/>
          <w:sz w:val="20"/>
          <w:szCs w:val="20"/>
        </w:rPr>
      </w:pPr>
    </w:p>
    <w:p w14:paraId="6AC80CA6" w14:textId="6F5F7EC3" w:rsidR="00722C9F" w:rsidRPr="008961BD" w:rsidRDefault="001B60BE" w:rsidP="00245E8B">
      <w:pPr>
        <w:spacing w:after="240"/>
        <w:rPr>
          <w:rFonts w:asciiTheme="majorHAnsi" w:hAnsiTheme="majorHAnsi" w:cs="Calibri"/>
          <w:sz w:val="20"/>
          <w:szCs w:val="20"/>
        </w:rPr>
      </w:pPr>
      <w:r>
        <w:rPr>
          <w:rFonts w:asciiTheme="majorHAnsi" w:hAnsiTheme="majorHAnsi" w:cs="Calibri"/>
          <w:noProof/>
          <w:sz w:val="20"/>
          <w:szCs w:val="20"/>
        </w:rPr>
        <mc:AlternateContent>
          <mc:Choice Requires="wps">
            <w:drawing>
              <wp:anchor distT="0" distB="0" distL="114300" distR="114300" simplePos="0" relativeHeight="251683840" behindDoc="0" locked="1" layoutInCell="1" allowOverlap="1" wp14:anchorId="3D8EEC76" wp14:editId="5C6C4EE7">
                <wp:simplePos x="0" y="0"/>
                <wp:positionH relativeFrom="column">
                  <wp:posOffset>-38100</wp:posOffset>
                </wp:positionH>
                <wp:positionV relativeFrom="page">
                  <wp:posOffset>9387840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7A2866C" w14:textId="30BF70E4" w:rsidR="001B60BE" w:rsidRPr="001B60BE" w:rsidRDefault="001B60B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EEC76" id="Text Box 2" o:spid="_x0000_s1033" type="#_x0000_t202" style="position:absolute;margin-left:-3pt;margin-top:739.2pt;width:266.4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" filled="f" stroked="f">
                <v:stroke joinstyle="round"/>
                <v:textbox>
                  <w:txbxContent>
                    <w:p w14:paraId="37A2866C" w14:textId="30BF70E4" w:rsidR="001B60BE" w:rsidRPr="001B60BE" w:rsidRDefault="001B60BE">
                      <w:pPr>
                        <w:rPr>
                          <w:sz w:val="18"/>
                        </w:rPr>
                      </w:pPr>
                    </w:p>
                  </w:txbxContent>
                </v:textbox>
                <w10:wrap anchory="page"/>
                <w10:anchorlock/>
              </v:shape>
            </w:pict>
          </mc:Fallback>
        </mc:AlternateContent>
      </w:r>
    </w:p>
    <w:sectPr w:rsidR="00722C9F" w:rsidRPr="008961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E17F" w14:textId="77777777" w:rsidR="00A033C5" w:rsidRDefault="00A033C5">
      <w:r>
        <w:separator/>
      </w:r>
    </w:p>
  </w:endnote>
  <w:endnote w:type="continuationSeparator" w:id="0">
    <w:p w14:paraId="4BD27030" w14:textId="77777777" w:rsidR="00A033C5" w:rsidRDefault="00A0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6535" w14:textId="77777777" w:rsidR="00A033C5" w:rsidRPr="000F35ED" w:rsidRDefault="00A033C5">
      <w:pPr>
        <w:rPr>
          <w:rFonts w:asciiTheme="majorHAnsi" w:hAnsiTheme="majorHAnsi"/>
          <w:sz w:val="16"/>
          <w:szCs w:val="16"/>
        </w:rPr>
      </w:pPr>
      <w:r>
        <w:rPr>
          <w:rFonts w:asciiTheme="majorHAnsi" w:hAnsiTheme="majorHAnsi"/>
          <w:sz w:val="16"/>
          <w:szCs w:val="16"/>
        </w:rPr>
        <w:separator/>
      </w:r>
    </w:p>
  </w:footnote>
  <w:footnote w:type="continuationSeparator" w:id="0">
    <w:p w14:paraId="59D19AA8" w14:textId="77777777" w:rsidR="00A033C5" w:rsidRPr="000F35ED" w:rsidRDefault="00A033C5" w:rsidP="000F35ED">
      <w:pPr>
        <w:rPr>
          <w:rFonts w:asciiTheme="majorHAnsi" w:hAnsiTheme="majorHAnsi"/>
          <w:sz w:val="16"/>
          <w:szCs w:val="16"/>
        </w:rPr>
      </w:pPr>
      <w:r>
        <w:rPr>
          <w:rFonts w:asciiTheme="majorHAnsi" w:hAnsiTheme="majorHAnsi"/>
          <w:sz w:val="16"/>
          <w:szCs w:val="16"/>
        </w:rPr>
        <w:separator/>
      </w:r>
    </w:p>
    <w:p w14:paraId="59270D53" w14:textId="77777777" w:rsidR="00A033C5" w:rsidRPr="000F35ED" w:rsidRDefault="00A033C5"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3DA2831D" w14:textId="77777777" w:rsidR="00A033C5" w:rsidRPr="000F35ED" w:rsidRDefault="00A033C5" w:rsidP="000F35ED">
      <w:pPr>
        <w:jc w:val="right"/>
        <w:rPr>
          <w:rFonts w:asciiTheme="majorHAnsi" w:hAnsiTheme="majorHAnsi"/>
          <w:sz w:val="16"/>
          <w:szCs w:val="16"/>
        </w:rPr>
      </w:pPr>
      <w:r>
        <w:rPr>
          <w:rFonts w:asciiTheme="majorHAnsi" w:hAnsiTheme="majorHAnsi"/>
          <w:sz w:val="16"/>
          <w:szCs w:val="16"/>
        </w:rPr>
        <w:t>[continúa…]</w:t>
      </w:r>
    </w:p>
  </w:footnote>
  <w:footnote w:id="2">
    <w:p w14:paraId="1C766391" w14:textId="118A602A" w:rsidR="00CD2478" w:rsidRPr="00CF02F2" w:rsidRDefault="00CD2478" w:rsidP="00245E8B">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Carlos Bernal Pulido, of Colombian nationality, did not participate in the deliberations nor in the decision in this matter, in keeping with the provisions of Article 17(2)(a) of the Rules of Procedure of the Commission.</w:t>
      </w:r>
    </w:p>
  </w:footnote>
  <w:footnote w:id="3">
    <w:p w14:paraId="697F38BC" w14:textId="77777777" w:rsidR="002B1A36" w:rsidRPr="00CF02F2" w:rsidRDefault="002B1A36" w:rsidP="00245E8B">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Style w:val="FootnoteReference"/>
          <w:rFonts w:asciiTheme="majorHAnsi" w:hAnsiTheme="majorHAnsi"/>
          <w:sz w:val="16"/>
          <w:szCs w:val="16"/>
          <w:vertAlign w:val="baseline"/>
          <w:lang w:val="en"/>
        </w:rPr>
        <w:t xml:space="preserve"> </w:t>
      </w:r>
      <w:r>
        <w:rPr>
          <w:rFonts w:asciiTheme="majorHAnsi" w:hAnsiTheme="majorHAnsi"/>
          <w:sz w:val="16"/>
          <w:szCs w:val="16"/>
          <w:lang w:val="en"/>
        </w:rPr>
        <w:t xml:space="preserve"> Hereinafter "the American Convention" or "the Convention."</w:t>
      </w:r>
      <w:r>
        <w:rPr>
          <w:rFonts w:asciiTheme="majorHAnsi" w:hAnsiTheme="majorHAnsi"/>
          <w:sz w:val="16"/>
          <w:szCs w:val="16"/>
          <w:lang w:val="en"/>
        </w:rPr>
        <w:tab/>
      </w:r>
    </w:p>
  </w:footnote>
  <w:footnote w:id="4">
    <w:p w14:paraId="79F07139" w14:textId="77777777" w:rsidR="008E3BFE" w:rsidRPr="00537490" w:rsidRDefault="008E3BFE" w:rsidP="00245E8B">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The observations presented by each party were duly transmitted to the opposing party.</w:t>
      </w:r>
    </w:p>
  </w:footnote>
  <w:footnote w:id="5">
    <w:p w14:paraId="74718FD3" w14:textId="77777777" w:rsidR="00861EB5" w:rsidRPr="009756E5" w:rsidRDefault="00861EB5" w:rsidP="00245E8B">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159/17, Petition 712-08, Admissibility, Sebastián Larroza Velázquez and family, Paraguay, November 30,</w:t>
      </w:r>
    </w:p>
    <w:p w14:paraId="43A77E4C" w14:textId="77777777" w:rsidR="00861EB5" w:rsidRPr="009756E5" w:rsidRDefault="00861EB5" w:rsidP="00245E8B">
      <w:pPr>
        <w:pStyle w:val="FootnoteText"/>
        <w:jc w:val="both"/>
        <w:rPr>
          <w:rFonts w:asciiTheme="majorHAnsi" w:hAnsiTheme="majorHAnsi"/>
          <w:sz w:val="16"/>
          <w:szCs w:val="16"/>
        </w:rPr>
      </w:pPr>
      <w:r>
        <w:rPr>
          <w:rFonts w:asciiTheme="majorHAnsi" w:hAnsiTheme="majorHAnsi"/>
          <w:sz w:val="16"/>
          <w:szCs w:val="16"/>
          <w:lang w:val="en"/>
        </w:rPr>
        <w:t>2017, para. 14; IACHR, Report No. 108/19, Petition 81-09, Admissibility, Anael Fidel Sanjuanelo Polo and family, Colombia, July 0028, 2019, para. 17-19.</w:t>
      </w:r>
    </w:p>
  </w:footnote>
  <w:footnote w:id="6">
    <w:p w14:paraId="32405E44" w14:textId="77777777" w:rsidR="004F2BED" w:rsidRPr="00075027" w:rsidRDefault="004F2BED" w:rsidP="004F2BED">
      <w:pPr>
        <w:pStyle w:val="FootnoteText"/>
        <w:ind w:firstLine="709"/>
        <w:jc w:val="both"/>
        <w:rPr>
          <w:lang w:val="es-ES"/>
        </w:rPr>
      </w:pPr>
      <w:r>
        <w:rPr>
          <w:rStyle w:val="FootnoteReference"/>
          <w:rFonts w:asciiTheme="majorHAnsi" w:hAnsiTheme="majorHAnsi"/>
          <w:sz w:val="16"/>
          <w:szCs w:val="16"/>
          <w:lang w:val="en"/>
        </w:rPr>
        <w:footnoteRef/>
      </w:r>
      <w:r>
        <w:rPr>
          <w:rStyle w:val="FootnoteReference"/>
          <w:rFonts w:asciiTheme="majorHAnsi" w:hAnsiTheme="majorHAnsi"/>
          <w:sz w:val="16"/>
          <w:szCs w:val="16"/>
          <w:vertAlign w:val="baseline"/>
          <w:lang w:val="en"/>
        </w:rPr>
        <w:t xml:space="preserve"> </w:t>
      </w:r>
      <w:r>
        <w:rPr>
          <w:rFonts w:asciiTheme="majorHAnsi" w:hAnsiTheme="majorHAnsi"/>
          <w:sz w:val="16"/>
          <w:szCs w:val="16"/>
          <w:lang w:val="en"/>
        </w:rPr>
        <w:t xml:space="preserve">IACHR Report No. 129/21. </w:t>
      </w:r>
      <w:r w:rsidRPr="00075027">
        <w:rPr>
          <w:rFonts w:asciiTheme="majorHAnsi" w:hAnsiTheme="majorHAnsi"/>
          <w:sz w:val="16"/>
          <w:szCs w:val="16"/>
          <w:lang w:val="fr-CA"/>
        </w:rPr>
        <w:t xml:space="preserve">Petition 894-09. </w:t>
      </w:r>
      <w:r w:rsidRPr="001B60BE">
        <w:rPr>
          <w:rFonts w:asciiTheme="majorHAnsi" w:hAnsiTheme="majorHAnsi"/>
          <w:sz w:val="16"/>
          <w:szCs w:val="16"/>
          <w:lang w:val="fr-CA"/>
        </w:rPr>
        <w:t xml:space="preserve">Admissibility. Alcira Pérez Melgar </w:t>
      </w:r>
      <w:r w:rsidRPr="001B60BE">
        <w:rPr>
          <w:rFonts w:asciiTheme="majorHAnsi" w:hAnsiTheme="majorHAnsi"/>
          <w:i/>
          <w:iCs/>
          <w:sz w:val="16"/>
          <w:szCs w:val="16"/>
          <w:lang w:val="fr-CA"/>
        </w:rPr>
        <w:t>et al</w:t>
      </w:r>
      <w:r w:rsidRPr="001B60BE">
        <w:rPr>
          <w:rFonts w:asciiTheme="majorHAnsi" w:hAnsiTheme="majorHAnsi"/>
          <w:sz w:val="16"/>
          <w:szCs w:val="16"/>
          <w:lang w:val="fr-CA"/>
        </w:rPr>
        <w:t xml:space="preserve">. Peru. June 14, 2021, para. 9; IACHR Report 240/20. Petition 399-11. Admissibility. Over José Quila </w:t>
      </w:r>
      <w:r w:rsidRPr="001B60BE">
        <w:rPr>
          <w:rFonts w:asciiTheme="majorHAnsi" w:hAnsiTheme="majorHAnsi"/>
          <w:i/>
          <w:iCs/>
          <w:sz w:val="16"/>
          <w:szCs w:val="16"/>
          <w:lang w:val="fr-CA"/>
        </w:rPr>
        <w:t>et al</w:t>
      </w:r>
      <w:r w:rsidRPr="001B60BE">
        <w:rPr>
          <w:rFonts w:asciiTheme="majorHAnsi" w:hAnsiTheme="majorHAnsi"/>
          <w:sz w:val="16"/>
          <w:szCs w:val="16"/>
          <w:lang w:val="fr-CA"/>
        </w:rPr>
        <w:t>. (Rejoya Massacre). Colombia</w:t>
      </w:r>
      <w:r w:rsidRPr="001B60BE">
        <w:rPr>
          <w:rFonts w:asciiTheme="majorHAnsi" w:hAnsiTheme="majorHAnsi"/>
          <w:i/>
          <w:iCs/>
          <w:sz w:val="16"/>
          <w:szCs w:val="16"/>
          <w:lang w:val="fr-CA"/>
        </w:rPr>
        <w:t>.</w:t>
      </w:r>
      <w:r w:rsidRPr="001B60BE">
        <w:rPr>
          <w:rFonts w:asciiTheme="majorHAnsi" w:hAnsiTheme="majorHAnsi"/>
          <w:sz w:val="16"/>
          <w:szCs w:val="16"/>
          <w:lang w:val="fr-CA"/>
        </w:rPr>
        <w:t xml:space="preserve"> September 6, 2020, para. 12; Report 129/18, Petition 1256/07, Admissibility. </w:t>
      </w:r>
      <w:r w:rsidRPr="00C303B6">
        <w:rPr>
          <w:rFonts w:asciiTheme="majorHAnsi" w:hAnsiTheme="majorHAnsi"/>
          <w:sz w:val="16"/>
          <w:szCs w:val="16"/>
          <w:lang w:val="fr-CA"/>
        </w:rPr>
        <w:t xml:space="preserve">Cornelio Antonio Isaza Arango </w:t>
      </w:r>
      <w:r w:rsidRPr="00C303B6">
        <w:rPr>
          <w:rFonts w:asciiTheme="majorHAnsi" w:hAnsiTheme="majorHAnsi"/>
          <w:i/>
          <w:iCs/>
          <w:sz w:val="16"/>
          <w:szCs w:val="16"/>
          <w:lang w:val="fr-CA"/>
        </w:rPr>
        <w:t>et al</w:t>
      </w:r>
      <w:r w:rsidRPr="00C303B6">
        <w:rPr>
          <w:rFonts w:asciiTheme="majorHAnsi" w:hAnsiTheme="majorHAnsi"/>
          <w:sz w:val="16"/>
          <w:szCs w:val="16"/>
          <w:lang w:val="fr-CA"/>
        </w:rPr>
        <w:t xml:space="preserve">. (Massacre of the El Retiro Sawmills), Colombia, November 20, 2018; and Report 104/18, Petition 221/08, Admissibility. Delis Palacio Herrón </w:t>
      </w:r>
      <w:r w:rsidRPr="00C303B6">
        <w:rPr>
          <w:rFonts w:asciiTheme="majorHAnsi" w:hAnsiTheme="majorHAnsi"/>
          <w:i/>
          <w:iCs/>
          <w:sz w:val="16"/>
          <w:szCs w:val="16"/>
          <w:lang w:val="fr-CA"/>
        </w:rPr>
        <w:t>et al</w:t>
      </w:r>
      <w:r w:rsidRPr="00C303B6">
        <w:rPr>
          <w:rFonts w:asciiTheme="majorHAnsi" w:hAnsiTheme="majorHAnsi"/>
          <w:sz w:val="16"/>
          <w:szCs w:val="16"/>
          <w:lang w:val="fr-CA"/>
        </w:rPr>
        <w:t xml:space="preserve">. </w:t>
      </w:r>
      <w:r w:rsidRPr="00075027">
        <w:rPr>
          <w:rFonts w:asciiTheme="majorHAnsi" w:hAnsiTheme="majorHAnsi"/>
          <w:sz w:val="16"/>
          <w:szCs w:val="16"/>
          <w:lang w:val="es-ES"/>
        </w:rPr>
        <w:t>(Bojayá Massacre), Colombia, September 20, 2018.</w:t>
      </w:r>
    </w:p>
  </w:footnote>
  <w:footnote w:id="7">
    <w:p w14:paraId="50BF3224" w14:textId="77777777" w:rsidR="0067709C" w:rsidRPr="00A11B3B" w:rsidRDefault="0067709C" w:rsidP="00245E8B">
      <w:pPr>
        <w:pStyle w:val="FootnoteText"/>
        <w:ind w:firstLine="720"/>
        <w:jc w:val="both"/>
        <w:rPr>
          <w:rFonts w:ascii="Cambria" w:hAnsi="Cambria"/>
          <w:sz w:val="16"/>
          <w:szCs w:val="16"/>
        </w:rPr>
      </w:pPr>
      <w:r>
        <w:rPr>
          <w:rStyle w:val="FootnoteReference"/>
          <w:rFonts w:ascii="Cambria" w:hAnsi="Cambria"/>
          <w:sz w:val="16"/>
          <w:szCs w:val="16"/>
          <w:lang w:val="en"/>
        </w:rPr>
        <w:footnoteRef/>
      </w:r>
      <w:r w:rsidRPr="00F11367">
        <w:rPr>
          <w:rFonts w:ascii="Cambria" w:hAnsi="Cambria"/>
          <w:sz w:val="16"/>
          <w:szCs w:val="16"/>
        </w:rPr>
        <w:t xml:space="preserve"> Inter-American Court. </w:t>
      </w:r>
      <w:r>
        <w:rPr>
          <w:rFonts w:ascii="Cambria" w:hAnsi="Cambria"/>
          <w:i/>
          <w:iCs/>
          <w:sz w:val="16"/>
          <w:szCs w:val="16"/>
          <w:lang w:val="en"/>
        </w:rPr>
        <w:t>Case of Cabrera García and Montiel Flores v.</w:t>
      </w:r>
      <w:r>
        <w:rPr>
          <w:rFonts w:ascii="Cambria" w:hAnsi="Cambria"/>
          <w:sz w:val="16"/>
          <w:szCs w:val="16"/>
          <w:lang w:val="en"/>
        </w:rPr>
        <w:t xml:space="preserve"> Mexico. Preliminary Objections, Merits, Reparations and Costs. Judgment of November 26, 2010. Series C No. 220, para. 18.</w:t>
      </w:r>
    </w:p>
  </w:footnote>
  <w:footnote w:id="8">
    <w:p w14:paraId="51F37E6C" w14:textId="77777777" w:rsidR="0067709C" w:rsidRPr="00A11B3B" w:rsidRDefault="0067709C" w:rsidP="00245E8B">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Inter-American Court. </w:t>
      </w:r>
      <w:r>
        <w:rPr>
          <w:rFonts w:ascii="Cambria" w:hAnsi="Cambria"/>
          <w:i/>
          <w:iCs/>
          <w:sz w:val="16"/>
          <w:szCs w:val="16"/>
          <w:lang w:val="en"/>
        </w:rPr>
        <w:t>Case of Cabrera García and Montiel Flores v.</w:t>
      </w:r>
      <w:r>
        <w:rPr>
          <w:rFonts w:ascii="Cambria" w:hAnsi="Cambria"/>
          <w:sz w:val="16"/>
          <w:szCs w:val="16"/>
          <w:lang w:val="en"/>
        </w:rPr>
        <w:t xml:space="preserve"> Mexico. Preliminary Objections, Merits, Reparations and Costs. Judgment of November 26, 2010. Series C No. 220, para. 19.</w:t>
      </w:r>
    </w:p>
  </w:footnote>
  <w:footnote w:id="9">
    <w:p w14:paraId="0545CBEE" w14:textId="77777777" w:rsidR="0067709C" w:rsidRPr="00A11B3B" w:rsidRDefault="0067709C" w:rsidP="00245E8B">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Inter-American Court. </w:t>
      </w:r>
      <w:r w:rsidRPr="00075027">
        <w:rPr>
          <w:rFonts w:ascii="Cambria" w:hAnsi="Cambria"/>
          <w:i/>
          <w:iCs/>
          <w:sz w:val="16"/>
          <w:szCs w:val="16"/>
          <w:lang w:val="es-ES"/>
        </w:rPr>
        <w:t>Case of Palma Mendoza et al.</w:t>
      </w:r>
      <w:r w:rsidRPr="00075027">
        <w:rPr>
          <w:rFonts w:ascii="Cambria" w:hAnsi="Cambria"/>
          <w:sz w:val="16"/>
          <w:szCs w:val="16"/>
          <w:lang w:val="es-ES"/>
        </w:rPr>
        <w:t xml:space="preserve"> </w:t>
      </w:r>
      <w:r w:rsidRPr="00075027">
        <w:rPr>
          <w:rFonts w:ascii="Cambria" w:hAnsi="Cambria"/>
          <w:i/>
          <w:iCs/>
          <w:sz w:val="16"/>
          <w:szCs w:val="16"/>
          <w:lang w:val="es-ES"/>
        </w:rPr>
        <w:t>Ecuador.</w:t>
      </w:r>
      <w:r w:rsidRPr="00075027">
        <w:rPr>
          <w:rFonts w:ascii="Cambria" w:hAnsi="Cambria"/>
          <w:sz w:val="16"/>
          <w:szCs w:val="16"/>
          <w:lang w:val="es-ES"/>
        </w:rPr>
        <w:t xml:space="preserve"> </w:t>
      </w:r>
      <w:r>
        <w:rPr>
          <w:rFonts w:ascii="Cambria" w:hAnsi="Cambria"/>
          <w:sz w:val="16"/>
          <w:szCs w:val="16"/>
          <w:lang w:val="en"/>
        </w:rPr>
        <w:t xml:space="preserve">Preliminary Objection and Merits. Judgment of September 3, 2012. Series C No. 247, para. 18; Inter-American Court. </w:t>
      </w:r>
      <w:r>
        <w:rPr>
          <w:rFonts w:ascii="Cambria" w:hAnsi="Cambria"/>
          <w:i/>
          <w:iCs/>
          <w:sz w:val="16"/>
          <w:szCs w:val="16"/>
          <w:lang w:val="en"/>
        </w:rPr>
        <w:t>Rosadio Villavicencio v.</w:t>
      </w:r>
      <w:r>
        <w:rPr>
          <w:rFonts w:ascii="Cambria" w:hAnsi="Cambria"/>
          <w:sz w:val="16"/>
          <w:szCs w:val="16"/>
          <w:lang w:val="en"/>
        </w:rPr>
        <w:t xml:space="preserve"> </w:t>
      </w:r>
      <w:r>
        <w:rPr>
          <w:rFonts w:ascii="Cambria" w:hAnsi="Cambria"/>
          <w:i/>
          <w:iCs/>
          <w:sz w:val="16"/>
          <w:szCs w:val="16"/>
          <w:lang w:val="en"/>
        </w:rPr>
        <w:t>Peru.</w:t>
      </w:r>
      <w:r>
        <w:rPr>
          <w:rFonts w:ascii="Cambria" w:hAnsi="Cambria"/>
          <w:sz w:val="16"/>
          <w:szCs w:val="16"/>
          <w:lang w:val="en"/>
        </w:rPr>
        <w:t xml:space="preserve"> Preliminary Objections, Merits, Reparations, and Costs. Judgment of October 14, 2019. Series C No. 388, para. 24; Inter-American Court. </w:t>
      </w:r>
      <w:r>
        <w:rPr>
          <w:rFonts w:ascii="Cambria" w:hAnsi="Cambria"/>
          <w:i/>
          <w:iCs/>
          <w:sz w:val="16"/>
          <w:szCs w:val="16"/>
          <w:lang w:val="en"/>
        </w:rPr>
        <w:t>Case of Cabrera García and Montiel Flores v.</w:t>
      </w:r>
      <w:r>
        <w:rPr>
          <w:rFonts w:ascii="Cambria" w:hAnsi="Cambria"/>
          <w:sz w:val="16"/>
          <w:szCs w:val="16"/>
          <w:lang w:val="en"/>
        </w:rPr>
        <w:t xml:space="preserve"> Mexico. Preliminary Objections, Merits, Reparations and Costs. Judgment of November 26, 2010. Series C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1E1E96D7" w:rsidR="00A50FCF" w:rsidRDefault="00620D26" w:rsidP="00A50FCF">
    <w:pPr>
      <w:pStyle w:val="Header"/>
      <w:tabs>
        <w:tab w:val="clear" w:pos="4320"/>
        <w:tab w:val="clear" w:pos="8640"/>
      </w:tabs>
      <w:jc w:val="center"/>
      <w:rPr>
        <w:sz w:val="22"/>
        <w:szCs w:val="22"/>
      </w:rPr>
    </w:pPr>
    <w:r>
      <w:rPr>
        <w:noProof/>
        <w:sz w:val="22"/>
        <w:szCs w:val="22"/>
      </w:rPr>
      <w:drawing>
        <wp:inline distT="0" distB="0" distL="0" distR="0" wp14:anchorId="168D8575" wp14:editId="4E459AB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4905DC" w:rsidP="00A50FCF">
    <w:pPr>
      <w:pStyle w:val="Header"/>
      <w:tabs>
        <w:tab w:val="clear" w:pos="4320"/>
        <w:tab w:val="clear" w:pos="8640"/>
      </w:tabs>
      <w:jc w:val="center"/>
      <w:rPr>
        <w:sz w:val="22"/>
        <w:szCs w:val="22"/>
      </w:rPr>
    </w:pPr>
    <w:r>
      <w:rPr>
        <w:sz w:val="22"/>
        <w:szCs w:val="22"/>
        <w:lang w:val="en"/>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91A0182"/>
    <w:lvl w:ilvl="0" w:tplc="4FD2BC6C">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822887346">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BD1"/>
    <w:rsid w:val="0001788C"/>
    <w:rsid w:val="00021B69"/>
    <w:rsid w:val="000337EF"/>
    <w:rsid w:val="00036994"/>
    <w:rsid w:val="00040C3A"/>
    <w:rsid w:val="000419AD"/>
    <w:rsid w:val="000433C9"/>
    <w:rsid w:val="000650C8"/>
    <w:rsid w:val="00066EE0"/>
    <w:rsid w:val="000716C5"/>
    <w:rsid w:val="00075027"/>
    <w:rsid w:val="00075E23"/>
    <w:rsid w:val="0009344A"/>
    <w:rsid w:val="000A392E"/>
    <w:rsid w:val="000A575F"/>
    <w:rsid w:val="000B062C"/>
    <w:rsid w:val="000C5EBB"/>
    <w:rsid w:val="000D05CB"/>
    <w:rsid w:val="000D10DB"/>
    <w:rsid w:val="000D1275"/>
    <w:rsid w:val="000E5EB5"/>
    <w:rsid w:val="000F35ED"/>
    <w:rsid w:val="000F7E78"/>
    <w:rsid w:val="00107131"/>
    <w:rsid w:val="0010736F"/>
    <w:rsid w:val="00113F73"/>
    <w:rsid w:val="001175F2"/>
    <w:rsid w:val="00121CC2"/>
    <w:rsid w:val="00131425"/>
    <w:rsid w:val="00133EE5"/>
    <w:rsid w:val="00167A34"/>
    <w:rsid w:val="001874A3"/>
    <w:rsid w:val="0019566B"/>
    <w:rsid w:val="001A7870"/>
    <w:rsid w:val="001B3A00"/>
    <w:rsid w:val="001B60BE"/>
    <w:rsid w:val="001B7019"/>
    <w:rsid w:val="001C1B41"/>
    <w:rsid w:val="001D1361"/>
    <w:rsid w:val="001D65EF"/>
    <w:rsid w:val="001D7945"/>
    <w:rsid w:val="001E49E7"/>
    <w:rsid w:val="001F5522"/>
    <w:rsid w:val="001F7201"/>
    <w:rsid w:val="0020289E"/>
    <w:rsid w:val="00223A29"/>
    <w:rsid w:val="002250A3"/>
    <w:rsid w:val="00225B5A"/>
    <w:rsid w:val="00235217"/>
    <w:rsid w:val="00244A74"/>
    <w:rsid w:val="00245E8B"/>
    <w:rsid w:val="00245F75"/>
    <w:rsid w:val="002469D2"/>
    <w:rsid w:val="00246D1F"/>
    <w:rsid w:val="00247403"/>
    <w:rsid w:val="00247542"/>
    <w:rsid w:val="002552F3"/>
    <w:rsid w:val="0026020D"/>
    <w:rsid w:val="002657D7"/>
    <w:rsid w:val="00266B61"/>
    <w:rsid w:val="0026712A"/>
    <w:rsid w:val="002704DB"/>
    <w:rsid w:val="002732DF"/>
    <w:rsid w:val="0028398E"/>
    <w:rsid w:val="0029127C"/>
    <w:rsid w:val="002A0AAE"/>
    <w:rsid w:val="002A47D7"/>
    <w:rsid w:val="002A5820"/>
    <w:rsid w:val="002B1A36"/>
    <w:rsid w:val="002D2B26"/>
    <w:rsid w:val="002D7EA2"/>
    <w:rsid w:val="002E187C"/>
    <w:rsid w:val="002F0159"/>
    <w:rsid w:val="002F5AD6"/>
    <w:rsid w:val="00302733"/>
    <w:rsid w:val="00303229"/>
    <w:rsid w:val="00314078"/>
    <w:rsid w:val="0031535D"/>
    <w:rsid w:val="003239B8"/>
    <w:rsid w:val="00331446"/>
    <w:rsid w:val="0033169F"/>
    <w:rsid w:val="00344977"/>
    <w:rsid w:val="00346C95"/>
    <w:rsid w:val="00356185"/>
    <w:rsid w:val="00356D4E"/>
    <w:rsid w:val="00360380"/>
    <w:rsid w:val="0037519E"/>
    <w:rsid w:val="00377512"/>
    <w:rsid w:val="00386CF0"/>
    <w:rsid w:val="00396322"/>
    <w:rsid w:val="003B1B44"/>
    <w:rsid w:val="003B55A5"/>
    <w:rsid w:val="003B70FB"/>
    <w:rsid w:val="003C2239"/>
    <w:rsid w:val="003C676B"/>
    <w:rsid w:val="003D3BC2"/>
    <w:rsid w:val="003D6F6B"/>
    <w:rsid w:val="003E6CA1"/>
    <w:rsid w:val="00405F9C"/>
    <w:rsid w:val="004065A8"/>
    <w:rsid w:val="00412A31"/>
    <w:rsid w:val="00413E6F"/>
    <w:rsid w:val="004165C2"/>
    <w:rsid w:val="00436B39"/>
    <w:rsid w:val="00441524"/>
    <w:rsid w:val="00441E0D"/>
    <w:rsid w:val="00441ECB"/>
    <w:rsid w:val="00445193"/>
    <w:rsid w:val="00460A5C"/>
    <w:rsid w:val="00462C1B"/>
    <w:rsid w:val="00463185"/>
    <w:rsid w:val="00467B7E"/>
    <w:rsid w:val="004715AF"/>
    <w:rsid w:val="00473BB4"/>
    <w:rsid w:val="00477592"/>
    <w:rsid w:val="00482F97"/>
    <w:rsid w:val="00486F1C"/>
    <w:rsid w:val="004905DC"/>
    <w:rsid w:val="0049419D"/>
    <w:rsid w:val="004A6A54"/>
    <w:rsid w:val="004A7D17"/>
    <w:rsid w:val="004C1C0F"/>
    <w:rsid w:val="004C20D2"/>
    <w:rsid w:val="004C2312"/>
    <w:rsid w:val="004C4B62"/>
    <w:rsid w:val="004C54C9"/>
    <w:rsid w:val="004D4ABA"/>
    <w:rsid w:val="004D6025"/>
    <w:rsid w:val="004D6541"/>
    <w:rsid w:val="004E2649"/>
    <w:rsid w:val="004E3C2F"/>
    <w:rsid w:val="004F241D"/>
    <w:rsid w:val="004F2BED"/>
    <w:rsid w:val="004F5985"/>
    <w:rsid w:val="004F626F"/>
    <w:rsid w:val="00501399"/>
    <w:rsid w:val="00501A17"/>
    <w:rsid w:val="0050633D"/>
    <w:rsid w:val="00507BC4"/>
    <w:rsid w:val="005128E4"/>
    <w:rsid w:val="005133DB"/>
    <w:rsid w:val="00514504"/>
    <w:rsid w:val="00525560"/>
    <w:rsid w:val="00540230"/>
    <w:rsid w:val="00544C49"/>
    <w:rsid w:val="005516A1"/>
    <w:rsid w:val="005559EF"/>
    <w:rsid w:val="005564B7"/>
    <w:rsid w:val="00563557"/>
    <w:rsid w:val="0057402A"/>
    <w:rsid w:val="005771D0"/>
    <w:rsid w:val="0059191A"/>
    <w:rsid w:val="005921FF"/>
    <w:rsid w:val="005A24ED"/>
    <w:rsid w:val="005A254F"/>
    <w:rsid w:val="005A6D0E"/>
    <w:rsid w:val="005B52B0"/>
    <w:rsid w:val="005B6806"/>
    <w:rsid w:val="005B6808"/>
    <w:rsid w:val="005C37AA"/>
    <w:rsid w:val="005C4225"/>
    <w:rsid w:val="005D38F9"/>
    <w:rsid w:val="005D4EF9"/>
    <w:rsid w:val="005D7356"/>
    <w:rsid w:val="005F0DAD"/>
    <w:rsid w:val="005F0F33"/>
    <w:rsid w:val="005F3C87"/>
    <w:rsid w:val="005F4363"/>
    <w:rsid w:val="00600DEB"/>
    <w:rsid w:val="00620D26"/>
    <w:rsid w:val="00627C9F"/>
    <w:rsid w:val="006311E9"/>
    <w:rsid w:val="00632354"/>
    <w:rsid w:val="00635421"/>
    <w:rsid w:val="00642810"/>
    <w:rsid w:val="0065119A"/>
    <w:rsid w:val="00652333"/>
    <w:rsid w:val="0067709C"/>
    <w:rsid w:val="0068009E"/>
    <w:rsid w:val="00692219"/>
    <w:rsid w:val="006A0313"/>
    <w:rsid w:val="006A05B8"/>
    <w:rsid w:val="006A1645"/>
    <w:rsid w:val="006A17D2"/>
    <w:rsid w:val="006A2058"/>
    <w:rsid w:val="006A73E6"/>
    <w:rsid w:val="006B2D5C"/>
    <w:rsid w:val="006B4585"/>
    <w:rsid w:val="006C4EB1"/>
    <w:rsid w:val="006D5B19"/>
    <w:rsid w:val="006E0166"/>
    <w:rsid w:val="006E2FFB"/>
    <w:rsid w:val="006E7B34"/>
    <w:rsid w:val="006F54F2"/>
    <w:rsid w:val="0070697F"/>
    <w:rsid w:val="00720436"/>
    <w:rsid w:val="00720CD6"/>
    <w:rsid w:val="0072199C"/>
    <w:rsid w:val="00722C9F"/>
    <w:rsid w:val="007253B8"/>
    <w:rsid w:val="007363FE"/>
    <w:rsid w:val="0073741F"/>
    <w:rsid w:val="0076643F"/>
    <w:rsid w:val="00777F63"/>
    <w:rsid w:val="007867E8"/>
    <w:rsid w:val="007923CB"/>
    <w:rsid w:val="00793374"/>
    <w:rsid w:val="007A5817"/>
    <w:rsid w:val="007B05C4"/>
    <w:rsid w:val="007B60E9"/>
    <w:rsid w:val="007B6CC3"/>
    <w:rsid w:val="007B76D3"/>
    <w:rsid w:val="007C3334"/>
    <w:rsid w:val="007D2B98"/>
    <w:rsid w:val="007D32C1"/>
    <w:rsid w:val="007E098A"/>
    <w:rsid w:val="007E21BC"/>
    <w:rsid w:val="007E2FD7"/>
    <w:rsid w:val="007E521A"/>
    <w:rsid w:val="007E7C82"/>
    <w:rsid w:val="007F2AA1"/>
    <w:rsid w:val="007F588D"/>
    <w:rsid w:val="00803F1C"/>
    <w:rsid w:val="0080600E"/>
    <w:rsid w:val="00813D36"/>
    <w:rsid w:val="00814688"/>
    <w:rsid w:val="00817612"/>
    <w:rsid w:val="0082665B"/>
    <w:rsid w:val="008338A4"/>
    <w:rsid w:val="00834D49"/>
    <w:rsid w:val="00837C45"/>
    <w:rsid w:val="00844730"/>
    <w:rsid w:val="00845743"/>
    <w:rsid w:val="008457C2"/>
    <w:rsid w:val="00854B17"/>
    <w:rsid w:val="00857698"/>
    <w:rsid w:val="00857A82"/>
    <w:rsid w:val="00861EB5"/>
    <w:rsid w:val="008661F2"/>
    <w:rsid w:val="00867314"/>
    <w:rsid w:val="00873836"/>
    <w:rsid w:val="008850A0"/>
    <w:rsid w:val="00885737"/>
    <w:rsid w:val="00890650"/>
    <w:rsid w:val="008961BD"/>
    <w:rsid w:val="00897E12"/>
    <w:rsid w:val="008A3697"/>
    <w:rsid w:val="008A7E0F"/>
    <w:rsid w:val="008B12F5"/>
    <w:rsid w:val="008B40B6"/>
    <w:rsid w:val="008B60C6"/>
    <w:rsid w:val="008C5E2D"/>
    <w:rsid w:val="008C758F"/>
    <w:rsid w:val="008D0083"/>
    <w:rsid w:val="008D768D"/>
    <w:rsid w:val="008E3759"/>
    <w:rsid w:val="008E3BFE"/>
    <w:rsid w:val="008F1912"/>
    <w:rsid w:val="0090270B"/>
    <w:rsid w:val="009041DC"/>
    <w:rsid w:val="00911F2B"/>
    <w:rsid w:val="00917B5A"/>
    <w:rsid w:val="00920A58"/>
    <w:rsid w:val="00920A8C"/>
    <w:rsid w:val="00934A2C"/>
    <w:rsid w:val="00957DA9"/>
    <w:rsid w:val="0096706E"/>
    <w:rsid w:val="00974491"/>
    <w:rsid w:val="00975C2C"/>
    <w:rsid w:val="00975C4E"/>
    <w:rsid w:val="00981FBA"/>
    <w:rsid w:val="009820E2"/>
    <w:rsid w:val="00996CA5"/>
    <w:rsid w:val="00997BC5"/>
    <w:rsid w:val="009A4F41"/>
    <w:rsid w:val="009A7278"/>
    <w:rsid w:val="009B381B"/>
    <w:rsid w:val="009D1753"/>
    <w:rsid w:val="009D53DD"/>
    <w:rsid w:val="009D7611"/>
    <w:rsid w:val="009E0B61"/>
    <w:rsid w:val="009E53DE"/>
    <w:rsid w:val="00A0271A"/>
    <w:rsid w:val="00A033C5"/>
    <w:rsid w:val="00A11212"/>
    <w:rsid w:val="00A11E44"/>
    <w:rsid w:val="00A12D40"/>
    <w:rsid w:val="00A23907"/>
    <w:rsid w:val="00A30100"/>
    <w:rsid w:val="00A3056E"/>
    <w:rsid w:val="00A328B3"/>
    <w:rsid w:val="00A41216"/>
    <w:rsid w:val="00A50FCF"/>
    <w:rsid w:val="00A51E60"/>
    <w:rsid w:val="00A528D1"/>
    <w:rsid w:val="00A54A18"/>
    <w:rsid w:val="00A610CD"/>
    <w:rsid w:val="00A6650E"/>
    <w:rsid w:val="00A758AA"/>
    <w:rsid w:val="00A75919"/>
    <w:rsid w:val="00AA09A2"/>
    <w:rsid w:val="00AA14D8"/>
    <w:rsid w:val="00AA52AC"/>
    <w:rsid w:val="00AA7996"/>
    <w:rsid w:val="00AC19CB"/>
    <w:rsid w:val="00AC31F2"/>
    <w:rsid w:val="00AE46DB"/>
    <w:rsid w:val="00AE5488"/>
    <w:rsid w:val="00AE6959"/>
    <w:rsid w:val="00AE6F91"/>
    <w:rsid w:val="00AF5571"/>
    <w:rsid w:val="00B060EB"/>
    <w:rsid w:val="00B07341"/>
    <w:rsid w:val="00B2440E"/>
    <w:rsid w:val="00B30539"/>
    <w:rsid w:val="00B314DB"/>
    <w:rsid w:val="00B32175"/>
    <w:rsid w:val="00B361F2"/>
    <w:rsid w:val="00B3718B"/>
    <w:rsid w:val="00B3745F"/>
    <w:rsid w:val="00B4632A"/>
    <w:rsid w:val="00B530F1"/>
    <w:rsid w:val="00BA276C"/>
    <w:rsid w:val="00BA4DD5"/>
    <w:rsid w:val="00BB306F"/>
    <w:rsid w:val="00BD4B89"/>
    <w:rsid w:val="00BD5922"/>
    <w:rsid w:val="00BE5EED"/>
    <w:rsid w:val="00BF02CB"/>
    <w:rsid w:val="00BF0778"/>
    <w:rsid w:val="00BF26A6"/>
    <w:rsid w:val="00BF6FD8"/>
    <w:rsid w:val="00C0039E"/>
    <w:rsid w:val="00C03680"/>
    <w:rsid w:val="00C054DF"/>
    <w:rsid w:val="00C21762"/>
    <w:rsid w:val="00C21FEF"/>
    <w:rsid w:val="00C23BA4"/>
    <w:rsid w:val="00C24543"/>
    <w:rsid w:val="00C256A2"/>
    <w:rsid w:val="00C25ADB"/>
    <w:rsid w:val="00C303B6"/>
    <w:rsid w:val="00C51515"/>
    <w:rsid w:val="00C5660B"/>
    <w:rsid w:val="00C624EB"/>
    <w:rsid w:val="00C66B72"/>
    <w:rsid w:val="00C741C1"/>
    <w:rsid w:val="00C772CD"/>
    <w:rsid w:val="00C87AC4"/>
    <w:rsid w:val="00C9567A"/>
    <w:rsid w:val="00CB212D"/>
    <w:rsid w:val="00CB2660"/>
    <w:rsid w:val="00CB7D20"/>
    <w:rsid w:val="00CC5E90"/>
    <w:rsid w:val="00CD046C"/>
    <w:rsid w:val="00CD2478"/>
    <w:rsid w:val="00CD2DBB"/>
    <w:rsid w:val="00CE076C"/>
    <w:rsid w:val="00CE13B3"/>
    <w:rsid w:val="00CE5199"/>
    <w:rsid w:val="00CE66D5"/>
    <w:rsid w:val="00CF531B"/>
    <w:rsid w:val="00CF637A"/>
    <w:rsid w:val="00CF72B0"/>
    <w:rsid w:val="00D0239F"/>
    <w:rsid w:val="00D059DE"/>
    <w:rsid w:val="00D05ABD"/>
    <w:rsid w:val="00D13530"/>
    <w:rsid w:val="00D13FCE"/>
    <w:rsid w:val="00D22F02"/>
    <w:rsid w:val="00D306D1"/>
    <w:rsid w:val="00D30800"/>
    <w:rsid w:val="00D3335E"/>
    <w:rsid w:val="00D34786"/>
    <w:rsid w:val="00D37BFC"/>
    <w:rsid w:val="00D442CC"/>
    <w:rsid w:val="00D47A8E"/>
    <w:rsid w:val="00D52D14"/>
    <w:rsid w:val="00D554D2"/>
    <w:rsid w:val="00D712D3"/>
    <w:rsid w:val="00D71422"/>
    <w:rsid w:val="00D72DC6"/>
    <w:rsid w:val="00D743C6"/>
    <w:rsid w:val="00D7558D"/>
    <w:rsid w:val="00D81D92"/>
    <w:rsid w:val="00D876F9"/>
    <w:rsid w:val="00DA4C9E"/>
    <w:rsid w:val="00DA6042"/>
    <w:rsid w:val="00DA7B5F"/>
    <w:rsid w:val="00DC11E7"/>
    <w:rsid w:val="00DC2167"/>
    <w:rsid w:val="00DC24E3"/>
    <w:rsid w:val="00DC7023"/>
    <w:rsid w:val="00DC769A"/>
    <w:rsid w:val="00DD3D86"/>
    <w:rsid w:val="00DD4AD2"/>
    <w:rsid w:val="00DF1EC4"/>
    <w:rsid w:val="00DF65ED"/>
    <w:rsid w:val="00E0340B"/>
    <w:rsid w:val="00E04A90"/>
    <w:rsid w:val="00E0551F"/>
    <w:rsid w:val="00E219C7"/>
    <w:rsid w:val="00E4118C"/>
    <w:rsid w:val="00E43157"/>
    <w:rsid w:val="00E461CE"/>
    <w:rsid w:val="00E54D28"/>
    <w:rsid w:val="00E573E4"/>
    <w:rsid w:val="00E64C3D"/>
    <w:rsid w:val="00E720CA"/>
    <w:rsid w:val="00E82DDC"/>
    <w:rsid w:val="00E846B2"/>
    <w:rsid w:val="00E84EB5"/>
    <w:rsid w:val="00E85662"/>
    <w:rsid w:val="00E8789F"/>
    <w:rsid w:val="00E979F5"/>
    <w:rsid w:val="00E97B71"/>
    <w:rsid w:val="00EA0462"/>
    <w:rsid w:val="00EA3D34"/>
    <w:rsid w:val="00EB197F"/>
    <w:rsid w:val="00EB454D"/>
    <w:rsid w:val="00EB659C"/>
    <w:rsid w:val="00EC7646"/>
    <w:rsid w:val="00ED3DD1"/>
    <w:rsid w:val="00ED549D"/>
    <w:rsid w:val="00ED76BE"/>
    <w:rsid w:val="00EE00E9"/>
    <w:rsid w:val="00EF1AAA"/>
    <w:rsid w:val="00EF619B"/>
    <w:rsid w:val="00F00B55"/>
    <w:rsid w:val="00F02AD1"/>
    <w:rsid w:val="00F06D90"/>
    <w:rsid w:val="00F07914"/>
    <w:rsid w:val="00F11367"/>
    <w:rsid w:val="00F15E9A"/>
    <w:rsid w:val="00F253CC"/>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10E2"/>
    <w:rsid w:val="00FF55F3"/>
    <w:rsid w:val="00FF5851"/>
    <w:rsid w:val="00FF594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D247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CommentText">
    <w:name w:val="annotation text"/>
    <w:basedOn w:val="Normal"/>
    <w:link w:val="CommentTextChar"/>
    <w:uiPriority w:val="99"/>
    <w:unhideWhenUsed/>
    <w:rsid w:val="008B40B6"/>
    <w:rPr>
      <w:sz w:val="20"/>
      <w:szCs w:val="20"/>
    </w:rPr>
  </w:style>
  <w:style w:type="character" w:customStyle="1" w:styleId="CommentTextChar">
    <w:name w:val="Comment Text Char"/>
    <w:basedOn w:val="DefaultParagraphFont"/>
    <w:link w:val="CommentText"/>
    <w:uiPriority w:val="99"/>
    <w:rsid w:val="008B40B6"/>
    <w:rPr>
      <w:lang w:val="en-US" w:eastAsia="en-US"/>
    </w:rPr>
  </w:style>
  <w:style w:type="character" w:styleId="CommentReference">
    <w:name w:val="annotation reference"/>
    <w:basedOn w:val="DefaultParagraphFont"/>
    <w:uiPriority w:val="99"/>
    <w:semiHidden/>
    <w:unhideWhenUsed/>
    <w:rsid w:val="008B40B6"/>
    <w:rPr>
      <w:sz w:val="16"/>
      <w:szCs w:val="16"/>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DC2167"/>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67709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styleId="CommentSubject">
    <w:name w:val="annotation subject"/>
    <w:basedOn w:val="CommentText"/>
    <w:next w:val="CommentText"/>
    <w:link w:val="CommentSubjectChar"/>
    <w:uiPriority w:val="99"/>
    <w:semiHidden/>
    <w:unhideWhenUsed/>
    <w:rsid w:val="00A12D40"/>
    <w:rPr>
      <w:b/>
      <w:bCs/>
    </w:rPr>
  </w:style>
  <w:style w:type="character" w:customStyle="1" w:styleId="CommentSubjectChar">
    <w:name w:val="Comment Subject Char"/>
    <w:basedOn w:val="CommentTextChar"/>
    <w:link w:val="CommentSubject"/>
    <w:uiPriority w:val="99"/>
    <w:semiHidden/>
    <w:rsid w:val="00A12D40"/>
    <w:rPr>
      <w:b/>
      <w:bCs/>
      <w:lang w:val="en-US" w:eastAsia="en-US"/>
    </w:rPr>
  </w:style>
  <w:style w:type="character" w:customStyle="1" w:styleId="normaltextrun">
    <w:name w:val="normaltextrun"/>
    <w:basedOn w:val="DefaultParagraphFont"/>
    <w:rsid w:val="0007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4071">
      <w:bodyDiv w:val="1"/>
      <w:marLeft w:val="0"/>
      <w:marRight w:val="0"/>
      <w:marTop w:val="0"/>
      <w:marBottom w:val="0"/>
      <w:divBdr>
        <w:top w:val="none" w:sz="0" w:space="0" w:color="auto"/>
        <w:left w:val="none" w:sz="0" w:space="0" w:color="auto"/>
        <w:bottom w:val="none" w:sz="0" w:space="0" w:color="auto"/>
        <w:right w:val="none" w:sz="0" w:space="0" w:color="auto"/>
      </w:divBdr>
      <w:divsChild>
        <w:div w:id="1786654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863938">
      <w:bodyDiv w:val="1"/>
      <w:marLeft w:val="0"/>
      <w:marRight w:val="0"/>
      <w:marTop w:val="0"/>
      <w:marBottom w:val="0"/>
      <w:divBdr>
        <w:top w:val="none" w:sz="0" w:space="0" w:color="auto"/>
        <w:left w:val="none" w:sz="0" w:space="0" w:color="auto"/>
        <w:bottom w:val="none" w:sz="0" w:space="0" w:color="auto"/>
        <w:right w:val="none" w:sz="0" w:space="0" w:color="auto"/>
      </w:divBdr>
      <w:divsChild>
        <w:div w:id="211289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234145">
      <w:bodyDiv w:val="1"/>
      <w:marLeft w:val="0"/>
      <w:marRight w:val="0"/>
      <w:marTop w:val="0"/>
      <w:marBottom w:val="0"/>
      <w:divBdr>
        <w:top w:val="none" w:sz="0" w:space="0" w:color="auto"/>
        <w:left w:val="none" w:sz="0" w:space="0" w:color="auto"/>
        <w:bottom w:val="none" w:sz="0" w:space="0" w:color="auto"/>
        <w:right w:val="none" w:sz="0" w:space="0" w:color="auto"/>
      </w:divBdr>
      <w:divsChild>
        <w:div w:id="426855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64816">
      <w:bodyDiv w:val="1"/>
      <w:marLeft w:val="0"/>
      <w:marRight w:val="0"/>
      <w:marTop w:val="0"/>
      <w:marBottom w:val="0"/>
      <w:divBdr>
        <w:top w:val="none" w:sz="0" w:space="0" w:color="auto"/>
        <w:left w:val="none" w:sz="0" w:space="0" w:color="auto"/>
        <w:bottom w:val="none" w:sz="0" w:space="0" w:color="auto"/>
        <w:right w:val="none" w:sz="0" w:space="0" w:color="auto"/>
      </w:divBdr>
      <w:divsChild>
        <w:div w:id="8902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322068">
      <w:bodyDiv w:val="1"/>
      <w:marLeft w:val="0"/>
      <w:marRight w:val="0"/>
      <w:marTop w:val="0"/>
      <w:marBottom w:val="0"/>
      <w:divBdr>
        <w:top w:val="none" w:sz="0" w:space="0" w:color="auto"/>
        <w:left w:val="none" w:sz="0" w:space="0" w:color="auto"/>
        <w:bottom w:val="none" w:sz="0" w:space="0" w:color="auto"/>
        <w:right w:val="none" w:sz="0" w:space="0" w:color="auto"/>
      </w:divBdr>
      <w:divsChild>
        <w:div w:id="1342203237">
          <w:marLeft w:val="-225"/>
          <w:marRight w:val="-225"/>
          <w:marTop w:val="0"/>
          <w:marBottom w:val="0"/>
          <w:divBdr>
            <w:top w:val="none" w:sz="0" w:space="0" w:color="auto"/>
            <w:left w:val="none" w:sz="0" w:space="0" w:color="auto"/>
            <w:bottom w:val="single" w:sz="6" w:space="0" w:color="DEE2E6"/>
            <w:right w:val="none" w:sz="0" w:space="0" w:color="auto"/>
          </w:divBdr>
          <w:divsChild>
            <w:div w:id="1945308443">
              <w:marLeft w:val="0"/>
              <w:marRight w:val="0"/>
              <w:marTop w:val="0"/>
              <w:marBottom w:val="0"/>
              <w:divBdr>
                <w:top w:val="none" w:sz="0" w:space="0" w:color="auto"/>
                <w:left w:val="none" w:sz="0" w:space="0" w:color="auto"/>
                <w:bottom w:val="none" w:sz="0" w:space="0" w:color="auto"/>
                <w:right w:val="none" w:sz="0" w:space="0" w:color="auto"/>
              </w:divBdr>
              <w:divsChild>
                <w:div w:id="17034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7022">
      <w:bodyDiv w:val="1"/>
      <w:marLeft w:val="0"/>
      <w:marRight w:val="0"/>
      <w:marTop w:val="0"/>
      <w:marBottom w:val="0"/>
      <w:divBdr>
        <w:top w:val="none" w:sz="0" w:space="0" w:color="auto"/>
        <w:left w:val="none" w:sz="0" w:space="0" w:color="auto"/>
        <w:bottom w:val="none" w:sz="0" w:space="0" w:color="auto"/>
        <w:right w:val="none" w:sz="0" w:space="0" w:color="auto"/>
      </w:divBdr>
      <w:divsChild>
        <w:div w:id="1190216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808269">
      <w:bodyDiv w:val="1"/>
      <w:marLeft w:val="0"/>
      <w:marRight w:val="0"/>
      <w:marTop w:val="0"/>
      <w:marBottom w:val="0"/>
      <w:divBdr>
        <w:top w:val="none" w:sz="0" w:space="0" w:color="auto"/>
        <w:left w:val="none" w:sz="0" w:space="0" w:color="auto"/>
        <w:bottom w:val="none" w:sz="0" w:space="0" w:color="auto"/>
        <w:right w:val="none" w:sz="0" w:space="0" w:color="auto"/>
      </w:divBdr>
      <w:divsChild>
        <w:div w:id="1810899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1643518">
      <w:bodyDiv w:val="1"/>
      <w:marLeft w:val="0"/>
      <w:marRight w:val="0"/>
      <w:marTop w:val="0"/>
      <w:marBottom w:val="0"/>
      <w:divBdr>
        <w:top w:val="none" w:sz="0" w:space="0" w:color="auto"/>
        <w:left w:val="none" w:sz="0" w:space="0" w:color="auto"/>
        <w:bottom w:val="none" w:sz="0" w:space="0" w:color="auto"/>
        <w:right w:val="none" w:sz="0" w:space="0" w:color="auto"/>
      </w:divBdr>
      <w:divsChild>
        <w:div w:id="883172276">
          <w:marLeft w:val="0"/>
          <w:marRight w:val="0"/>
          <w:marTop w:val="0"/>
          <w:marBottom w:val="0"/>
          <w:divBdr>
            <w:top w:val="none" w:sz="0" w:space="0" w:color="auto"/>
            <w:left w:val="none" w:sz="0" w:space="0" w:color="auto"/>
            <w:bottom w:val="none" w:sz="0" w:space="0" w:color="auto"/>
            <w:right w:val="none" w:sz="0" w:space="0" w:color="auto"/>
          </w:divBdr>
        </w:div>
      </w:divsChild>
    </w:div>
    <w:div w:id="1418601396">
      <w:bodyDiv w:val="1"/>
      <w:marLeft w:val="0"/>
      <w:marRight w:val="0"/>
      <w:marTop w:val="0"/>
      <w:marBottom w:val="0"/>
      <w:divBdr>
        <w:top w:val="none" w:sz="0" w:space="0" w:color="auto"/>
        <w:left w:val="none" w:sz="0" w:space="0" w:color="auto"/>
        <w:bottom w:val="none" w:sz="0" w:space="0" w:color="auto"/>
        <w:right w:val="none" w:sz="0" w:space="0" w:color="auto"/>
      </w:divBdr>
      <w:divsChild>
        <w:div w:id="1953433369">
          <w:marLeft w:val="0"/>
          <w:marRight w:val="0"/>
          <w:marTop w:val="0"/>
          <w:marBottom w:val="0"/>
          <w:divBdr>
            <w:top w:val="none" w:sz="0" w:space="0" w:color="auto"/>
            <w:left w:val="none" w:sz="0" w:space="0" w:color="auto"/>
            <w:bottom w:val="none" w:sz="0" w:space="0" w:color="auto"/>
            <w:right w:val="none" w:sz="0" w:space="0" w:color="auto"/>
          </w:divBdr>
        </w:div>
      </w:divsChild>
    </w:div>
    <w:div w:id="1486167826">
      <w:bodyDiv w:val="1"/>
      <w:marLeft w:val="0"/>
      <w:marRight w:val="0"/>
      <w:marTop w:val="0"/>
      <w:marBottom w:val="0"/>
      <w:divBdr>
        <w:top w:val="none" w:sz="0" w:space="0" w:color="auto"/>
        <w:left w:val="none" w:sz="0" w:space="0" w:color="auto"/>
        <w:bottom w:val="none" w:sz="0" w:space="0" w:color="auto"/>
        <w:right w:val="none" w:sz="0" w:space="0" w:color="auto"/>
      </w:divBdr>
      <w:divsChild>
        <w:div w:id="212149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81597">
      <w:bodyDiv w:val="1"/>
      <w:marLeft w:val="0"/>
      <w:marRight w:val="0"/>
      <w:marTop w:val="0"/>
      <w:marBottom w:val="0"/>
      <w:divBdr>
        <w:top w:val="none" w:sz="0" w:space="0" w:color="auto"/>
        <w:left w:val="none" w:sz="0" w:space="0" w:color="auto"/>
        <w:bottom w:val="none" w:sz="0" w:space="0" w:color="auto"/>
        <w:right w:val="none" w:sz="0" w:space="0" w:color="auto"/>
      </w:divBdr>
      <w:divsChild>
        <w:div w:id="176175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093053">
      <w:bodyDiv w:val="1"/>
      <w:marLeft w:val="0"/>
      <w:marRight w:val="0"/>
      <w:marTop w:val="0"/>
      <w:marBottom w:val="0"/>
      <w:divBdr>
        <w:top w:val="none" w:sz="0" w:space="0" w:color="auto"/>
        <w:left w:val="none" w:sz="0" w:space="0" w:color="auto"/>
        <w:bottom w:val="none" w:sz="0" w:space="0" w:color="auto"/>
        <w:right w:val="none" w:sz="0" w:space="0" w:color="auto"/>
      </w:divBdr>
      <w:divsChild>
        <w:div w:id="123955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4172503">
      <w:bodyDiv w:val="1"/>
      <w:marLeft w:val="0"/>
      <w:marRight w:val="0"/>
      <w:marTop w:val="0"/>
      <w:marBottom w:val="0"/>
      <w:divBdr>
        <w:top w:val="none" w:sz="0" w:space="0" w:color="auto"/>
        <w:left w:val="none" w:sz="0" w:space="0" w:color="auto"/>
        <w:bottom w:val="none" w:sz="0" w:space="0" w:color="auto"/>
        <w:right w:val="none" w:sz="0" w:space="0" w:color="auto"/>
      </w:divBdr>
      <w:divsChild>
        <w:div w:id="1180699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73675">
      <w:bodyDiv w:val="1"/>
      <w:marLeft w:val="0"/>
      <w:marRight w:val="0"/>
      <w:marTop w:val="0"/>
      <w:marBottom w:val="0"/>
      <w:divBdr>
        <w:top w:val="none" w:sz="0" w:space="0" w:color="auto"/>
        <w:left w:val="none" w:sz="0" w:space="0" w:color="auto"/>
        <w:bottom w:val="none" w:sz="0" w:space="0" w:color="auto"/>
        <w:right w:val="none" w:sz="0" w:space="0" w:color="auto"/>
      </w:divBdr>
      <w:divsChild>
        <w:div w:id="522012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585079">
      <w:bodyDiv w:val="1"/>
      <w:marLeft w:val="0"/>
      <w:marRight w:val="0"/>
      <w:marTop w:val="0"/>
      <w:marBottom w:val="0"/>
      <w:divBdr>
        <w:top w:val="none" w:sz="0" w:space="0" w:color="auto"/>
        <w:left w:val="none" w:sz="0" w:space="0" w:color="auto"/>
        <w:bottom w:val="none" w:sz="0" w:space="0" w:color="auto"/>
        <w:right w:val="none" w:sz="0" w:space="0" w:color="auto"/>
      </w:divBdr>
      <w:divsChild>
        <w:div w:id="888343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68CE"/>
    <w:rsid w:val="00200821"/>
    <w:rsid w:val="00201CE6"/>
    <w:rsid w:val="0025245B"/>
    <w:rsid w:val="002A3923"/>
    <w:rsid w:val="00394049"/>
    <w:rsid w:val="003F79DF"/>
    <w:rsid w:val="00411F64"/>
    <w:rsid w:val="004B5BBB"/>
    <w:rsid w:val="004F2DF8"/>
    <w:rsid w:val="006F24A1"/>
    <w:rsid w:val="00854B17"/>
    <w:rsid w:val="009A261B"/>
    <w:rsid w:val="009C3CB6"/>
    <w:rsid w:val="009E385B"/>
    <w:rsid w:val="00A4418E"/>
    <w:rsid w:val="00A75919"/>
    <w:rsid w:val="00AA2E17"/>
    <w:rsid w:val="00AC15A4"/>
    <w:rsid w:val="00AE2E44"/>
    <w:rsid w:val="00B0336C"/>
    <w:rsid w:val="00B30277"/>
    <w:rsid w:val="00D223B8"/>
    <w:rsid w:val="00D241E9"/>
    <w:rsid w:val="00D7750D"/>
    <w:rsid w:val="00D97F70"/>
    <w:rsid w:val="00DB4F19"/>
    <w:rsid w:val="00F00D2F"/>
    <w:rsid w:val="00F128DF"/>
    <w:rsid w:val="00F2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2024-11-27T16:02:00Z</dcterms:created>
  <dcterms:modified xsi:type="dcterms:W3CDTF">2024-11-27T16:02:00Z</dcterms:modified>
</cp:coreProperties>
</file>