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D254" w14:textId="373865EF" w:rsidR="007454DC" w:rsidRPr="0031514B" w:rsidRDefault="00EF3C35" w:rsidP="00BF22E5">
      <w:pPr>
        <w:ind w:left="2070"/>
        <w:rPr>
          <w:rFonts w:ascii="Cambria" w:hAnsi="Cambria" w:cs="Univers"/>
          <w:b/>
          <w:bCs/>
          <w:szCs w:val="22"/>
        </w:rPr>
      </w:pPr>
      <w:r>
        <w:rPr>
          <w:rFonts w:ascii="Times New Roman" w:eastAsia="Arial Unicode MS" w:hAnsi="Times New Roman"/>
          <w:noProof/>
          <w:sz w:val="24"/>
          <w:szCs w:val="24"/>
        </w:rPr>
        <w:drawing>
          <wp:anchor distT="0" distB="0" distL="114300" distR="114300" simplePos="0" relativeHeight="251658246" behindDoc="0" locked="0" layoutInCell="0" allowOverlap="0" wp14:anchorId="63980F32" wp14:editId="7103BB61">
            <wp:simplePos x="0" y="0"/>
            <wp:positionH relativeFrom="column">
              <wp:posOffset>1250950</wp:posOffset>
            </wp:positionH>
            <wp:positionV relativeFrom="page">
              <wp:posOffset>514350</wp:posOffset>
            </wp:positionV>
            <wp:extent cx="2524125" cy="4876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noProof/>
        </w:rPr>
        <mc:AlternateContent>
          <mc:Choice Requires="wps">
            <w:drawing>
              <wp:anchor distT="0" distB="0" distL="114300" distR="114300" simplePos="0" relativeHeight="251658240" behindDoc="0" locked="0" layoutInCell="1" allowOverlap="1" wp14:anchorId="5B8BCB27" wp14:editId="70656AB0">
                <wp:simplePos x="0" y="0"/>
                <wp:positionH relativeFrom="column">
                  <wp:posOffset>-415925</wp:posOffset>
                </wp:positionH>
                <wp:positionV relativeFrom="paragraph">
                  <wp:posOffset>-439420</wp:posOffset>
                </wp:positionV>
                <wp:extent cx="1543050" cy="9096375"/>
                <wp:effectExtent l="0" t="0" r="0" b="0"/>
                <wp:wrapNone/>
                <wp:docPr id="11448360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096375"/>
                        </a:xfrm>
                        <a:prstGeom prst="rect">
                          <a:avLst/>
                        </a:prstGeom>
                        <a:solidFill>
                          <a:srgbClr val="67AE3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8D2CE70"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" fillcolor="#67ae3c" stroked="f" strokeweight="1pt"/>
            </w:pict>
          </mc:Fallback>
        </mc:AlternateContent>
      </w:r>
    </w:p>
    <w:p w14:paraId="2E99D422" w14:textId="77777777" w:rsidR="007454DC" w:rsidRPr="0031514B" w:rsidRDefault="007454DC" w:rsidP="007454DC">
      <w:pPr>
        <w:tabs>
          <w:tab w:val="center" w:pos="5400"/>
        </w:tabs>
        <w:suppressAutoHyphens/>
        <w:rPr>
          <w:rFonts w:ascii="Cambria" w:hAnsi="Cambria"/>
          <w:szCs w:val="22"/>
        </w:rPr>
      </w:pPr>
    </w:p>
    <w:p w14:paraId="5E6BDA51" w14:textId="77777777" w:rsidR="007454DC" w:rsidRPr="0031514B" w:rsidRDefault="007454DC" w:rsidP="007454DC">
      <w:pPr>
        <w:tabs>
          <w:tab w:val="center" w:pos="5400"/>
        </w:tabs>
        <w:suppressAutoHyphens/>
        <w:rPr>
          <w:rFonts w:ascii="Cambria" w:hAnsi="Cambria"/>
          <w:szCs w:val="22"/>
        </w:rPr>
      </w:pPr>
    </w:p>
    <w:p w14:paraId="6AA33794" w14:textId="77777777" w:rsidR="007454DC" w:rsidRPr="0031514B" w:rsidRDefault="007454DC" w:rsidP="007454DC">
      <w:pPr>
        <w:tabs>
          <w:tab w:val="center" w:pos="5400"/>
        </w:tabs>
        <w:suppressAutoHyphens/>
        <w:rPr>
          <w:rFonts w:ascii="Cambria" w:hAnsi="Cambria"/>
          <w:szCs w:val="22"/>
        </w:rPr>
      </w:pPr>
    </w:p>
    <w:p w14:paraId="12982706" w14:textId="77777777" w:rsidR="007454DC" w:rsidRPr="0031514B" w:rsidRDefault="007454DC" w:rsidP="007454DC">
      <w:pPr>
        <w:tabs>
          <w:tab w:val="center" w:pos="5400"/>
        </w:tabs>
        <w:suppressAutoHyphens/>
        <w:rPr>
          <w:rFonts w:ascii="Cambria" w:hAnsi="Cambria"/>
          <w:szCs w:val="22"/>
        </w:rPr>
      </w:pPr>
    </w:p>
    <w:p w14:paraId="721DC720" w14:textId="77777777" w:rsidR="007454DC" w:rsidRPr="0031514B" w:rsidRDefault="007454DC" w:rsidP="007454DC">
      <w:pPr>
        <w:tabs>
          <w:tab w:val="center" w:pos="5400"/>
        </w:tabs>
        <w:suppressAutoHyphens/>
        <w:rPr>
          <w:rFonts w:ascii="Cambria" w:hAnsi="Cambria"/>
          <w:szCs w:val="22"/>
        </w:rPr>
      </w:pPr>
    </w:p>
    <w:p w14:paraId="7B6D0E6F" w14:textId="77777777" w:rsidR="007454DC" w:rsidRPr="0031514B" w:rsidRDefault="007454DC" w:rsidP="007454DC">
      <w:pPr>
        <w:tabs>
          <w:tab w:val="center" w:pos="5400"/>
        </w:tabs>
        <w:suppressAutoHyphens/>
        <w:jc w:val="center"/>
        <w:rPr>
          <w:rFonts w:ascii="Cambria" w:hAnsi="Cambria"/>
          <w:szCs w:val="22"/>
        </w:rPr>
      </w:pPr>
    </w:p>
    <w:p w14:paraId="21CFA340" w14:textId="77777777" w:rsidR="007454DC" w:rsidRPr="0031514B" w:rsidRDefault="007454DC" w:rsidP="007454DC">
      <w:pPr>
        <w:tabs>
          <w:tab w:val="center" w:pos="5400"/>
        </w:tabs>
        <w:suppressAutoHyphens/>
        <w:jc w:val="center"/>
        <w:rPr>
          <w:rFonts w:ascii="Cambria" w:hAnsi="Cambria"/>
          <w:szCs w:val="22"/>
        </w:rPr>
      </w:pPr>
    </w:p>
    <w:p w14:paraId="35B68985" w14:textId="77777777" w:rsidR="007454DC" w:rsidRPr="0031514B" w:rsidRDefault="007454DC" w:rsidP="007454DC">
      <w:pPr>
        <w:tabs>
          <w:tab w:val="center" w:pos="5400"/>
        </w:tabs>
        <w:suppressAutoHyphens/>
        <w:jc w:val="center"/>
        <w:rPr>
          <w:rFonts w:ascii="Cambria" w:hAnsi="Cambria"/>
          <w:szCs w:val="22"/>
        </w:rPr>
      </w:pPr>
    </w:p>
    <w:p w14:paraId="36C680CB" w14:textId="77777777" w:rsidR="007454DC" w:rsidRPr="0031514B" w:rsidRDefault="007454DC" w:rsidP="007454DC">
      <w:pPr>
        <w:tabs>
          <w:tab w:val="center" w:pos="5400"/>
        </w:tabs>
        <w:suppressAutoHyphens/>
        <w:jc w:val="center"/>
        <w:rPr>
          <w:rFonts w:ascii="Cambria" w:hAnsi="Cambria"/>
          <w:szCs w:val="22"/>
        </w:rPr>
      </w:pPr>
    </w:p>
    <w:p w14:paraId="7847BE8A" w14:textId="77777777" w:rsidR="007454DC" w:rsidRPr="0031514B" w:rsidRDefault="007454DC" w:rsidP="007454DC">
      <w:pPr>
        <w:tabs>
          <w:tab w:val="center" w:pos="5400"/>
        </w:tabs>
        <w:suppressAutoHyphens/>
        <w:jc w:val="center"/>
        <w:rPr>
          <w:rFonts w:ascii="Cambria" w:hAnsi="Cambria"/>
          <w:szCs w:val="22"/>
        </w:rPr>
      </w:pPr>
    </w:p>
    <w:p w14:paraId="7365A951" w14:textId="77777777" w:rsidR="007454DC" w:rsidRPr="0031514B" w:rsidRDefault="007454DC" w:rsidP="007454DC">
      <w:pPr>
        <w:tabs>
          <w:tab w:val="center" w:pos="5400"/>
        </w:tabs>
        <w:suppressAutoHyphens/>
        <w:jc w:val="center"/>
        <w:rPr>
          <w:rFonts w:ascii="Cambria" w:hAnsi="Cambria"/>
          <w:szCs w:val="22"/>
        </w:rPr>
      </w:pPr>
    </w:p>
    <w:p w14:paraId="1E1D8BED" w14:textId="77777777" w:rsidR="007454DC" w:rsidRPr="0031514B" w:rsidRDefault="007454DC" w:rsidP="007454DC">
      <w:pPr>
        <w:tabs>
          <w:tab w:val="center" w:pos="5400"/>
        </w:tabs>
        <w:suppressAutoHyphens/>
        <w:jc w:val="center"/>
        <w:rPr>
          <w:rFonts w:ascii="Cambria" w:hAnsi="Cambria"/>
          <w:szCs w:val="22"/>
        </w:rPr>
      </w:pPr>
    </w:p>
    <w:p w14:paraId="6E8DD48B" w14:textId="1A1EC392" w:rsidR="007454DC" w:rsidRPr="0031514B" w:rsidRDefault="00EF3C35" w:rsidP="007454DC">
      <w:pPr>
        <w:tabs>
          <w:tab w:val="center" w:pos="5400"/>
        </w:tabs>
        <w:suppressAutoHyphens/>
        <w:jc w:val="center"/>
        <w:rPr>
          <w:rFonts w:ascii="Cambria" w:hAnsi="Cambria"/>
          <w:szCs w:val="22"/>
        </w:rPr>
      </w:pPr>
      <w:r>
        <w:rPr>
          <w:noProof/>
        </w:rPr>
        <mc:AlternateContent>
          <mc:Choice Requires="wps">
            <w:drawing>
              <wp:anchor distT="0" distB="0" distL="114300" distR="114300" simplePos="0" relativeHeight="251658241" behindDoc="0" locked="0" layoutInCell="1" allowOverlap="1" wp14:anchorId="1CFD76C7" wp14:editId="2F8EF376">
                <wp:simplePos x="0" y="0"/>
                <wp:positionH relativeFrom="column">
                  <wp:posOffset>1332865</wp:posOffset>
                </wp:positionH>
                <wp:positionV relativeFrom="paragraph">
                  <wp:posOffset>163195</wp:posOffset>
                </wp:positionV>
                <wp:extent cx="4441190" cy="2181225"/>
                <wp:effectExtent l="0" t="0" r="0" b="0"/>
                <wp:wrapNone/>
                <wp:docPr id="5176876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41190" cy="2181225"/>
                        </a:xfrm>
                        <a:prstGeom prst="rect">
                          <a:avLst/>
                        </a:prstGeom>
                        <a:noFill/>
                        <a:ln w="6350">
                          <a:noFill/>
                        </a:ln>
                        <a:effectLst/>
                      </wps:spPr>
                      <wps:txbx>
                        <w:txbxContent>
                          <w:p w14:paraId="39DE0B28" w14:textId="77777777" w:rsidR="007454DC" w:rsidRPr="006558F0" w:rsidRDefault="007454DC" w:rsidP="007454DC">
                            <w:pPr>
                              <w:spacing w:line="276" w:lineRule="auto"/>
                              <w:rPr>
                                <w:rFonts w:ascii="Cambria" w:hAnsi="Cambria" w:cs="Arial"/>
                                <w:b/>
                                <w:bCs/>
                                <w:color w:val="0D0D0D"/>
                                <w:sz w:val="36"/>
                                <w:szCs w:val="22"/>
                              </w:rPr>
                            </w:pPr>
                            <w:r w:rsidRPr="00660C60">
                              <w:rPr>
                                <w:rFonts w:ascii="Cambria" w:hAnsi="Cambria" w:cs="Arial"/>
                                <w:b/>
                                <w:bCs/>
                                <w:color w:val="0D0D0D"/>
                                <w:sz w:val="36"/>
                                <w:szCs w:val="22"/>
                              </w:rPr>
                              <w:t xml:space="preserve">REPORT </w:t>
                            </w:r>
                            <w:r w:rsidRPr="00660C60">
                              <w:rPr>
                                <w:rFonts w:ascii="Cambria" w:hAnsi="Cambria" w:cs="Arial"/>
                                <w:b/>
                                <w:bCs/>
                                <w:color w:val="0D0D0D"/>
                                <w:sz w:val="36"/>
                                <w:szCs w:val="40"/>
                              </w:rPr>
                              <w:t>No</w:t>
                            </w:r>
                            <w:r w:rsidRPr="006558F0">
                              <w:rPr>
                                <w:rFonts w:ascii="Cambria" w:hAnsi="Cambria" w:cs="Arial"/>
                                <w:b/>
                                <w:bCs/>
                                <w:color w:val="0D0D0D"/>
                                <w:sz w:val="36"/>
                                <w:szCs w:val="40"/>
                              </w:rPr>
                              <w:t>.</w:t>
                            </w:r>
                            <w:r w:rsidRPr="006558F0">
                              <w:rPr>
                                <w:rFonts w:ascii="Cambria" w:hAnsi="Cambria" w:cs="Arial"/>
                                <w:b/>
                                <w:bCs/>
                                <w:color w:val="0D0D0D"/>
                                <w:sz w:val="36"/>
                                <w:szCs w:val="22"/>
                              </w:rPr>
                              <w:t xml:space="preserve"> </w:t>
                            </w:r>
                            <w:r w:rsidR="006558F0">
                              <w:rPr>
                                <w:rFonts w:ascii="Cambria" w:hAnsi="Cambria" w:cs="Arial"/>
                                <w:b/>
                                <w:bCs/>
                                <w:color w:val="0D0D0D"/>
                                <w:sz w:val="36"/>
                                <w:szCs w:val="22"/>
                              </w:rPr>
                              <w:t>169</w:t>
                            </w:r>
                            <w:r w:rsidRPr="006558F0">
                              <w:rPr>
                                <w:rFonts w:ascii="Cambria" w:hAnsi="Cambria" w:cs="Arial"/>
                                <w:b/>
                                <w:bCs/>
                                <w:color w:val="0D0D0D"/>
                                <w:sz w:val="36"/>
                                <w:szCs w:val="22"/>
                              </w:rPr>
                              <w:t>/24</w:t>
                            </w:r>
                          </w:p>
                          <w:p w14:paraId="165ED520" w14:textId="77777777" w:rsidR="007454DC" w:rsidRPr="00660C60" w:rsidRDefault="007454DC" w:rsidP="007454DC">
                            <w:pPr>
                              <w:spacing w:line="276" w:lineRule="auto"/>
                              <w:rPr>
                                <w:rFonts w:ascii="Cambria" w:hAnsi="Cambria" w:cs="Arial"/>
                                <w:b/>
                                <w:color w:val="0D0D0D"/>
                                <w:sz w:val="36"/>
                                <w:szCs w:val="22"/>
                              </w:rPr>
                            </w:pPr>
                            <w:r w:rsidRPr="006558F0">
                              <w:rPr>
                                <w:rFonts w:ascii="Cambria" w:hAnsi="Cambria" w:cs="Arial"/>
                                <w:b/>
                                <w:bCs/>
                                <w:color w:val="0D0D0D"/>
                                <w:sz w:val="36"/>
                                <w:szCs w:val="22"/>
                              </w:rPr>
                              <w:t>PETITION 918-</w:t>
                            </w:r>
                            <w:r w:rsidRPr="00660C60">
                              <w:rPr>
                                <w:rFonts w:ascii="Cambria" w:hAnsi="Cambria" w:cs="Arial"/>
                                <w:b/>
                                <w:bCs/>
                                <w:color w:val="0D0D0D"/>
                                <w:sz w:val="36"/>
                                <w:szCs w:val="22"/>
                              </w:rPr>
                              <w:t xml:space="preserve">14 </w:t>
                            </w:r>
                          </w:p>
                          <w:p w14:paraId="4F22ED10" w14:textId="77777777" w:rsidR="007454DC" w:rsidRPr="00660C60" w:rsidRDefault="007454DC" w:rsidP="007454DC">
                            <w:pPr>
                              <w:spacing w:line="276" w:lineRule="auto"/>
                              <w:rPr>
                                <w:rFonts w:ascii="Cambria" w:hAnsi="Cambria" w:cs="Arial"/>
                                <w:color w:val="0D0D0D"/>
                                <w:szCs w:val="22"/>
                              </w:rPr>
                            </w:pPr>
                            <w:r w:rsidRPr="00660C60">
                              <w:rPr>
                                <w:rFonts w:ascii="Cambria" w:hAnsi="Cambria" w:cs="Arial"/>
                                <w:color w:val="0D0D0D"/>
                                <w:szCs w:val="22"/>
                              </w:rPr>
                              <w:t>REPORT ON ADMISSIBILITY</w:t>
                            </w:r>
                          </w:p>
                          <w:p w14:paraId="09ED60BF" w14:textId="77777777" w:rsidR="007454DC" w:rsidRPr="00660C60" w:rsidRDefault="007454DC" w:rsidP="007454DC">
                            <w:pPr>
                              <w:spacing w:line="276" w:lineRule="auto"/>
                              <w:rPr>
                                <w:rFonts w:ascii="Cambria" w:hAnsi="Cambria" w:cs="Arial"/>
                                <w:bCs/>
                                <w:color w:val="0D0D0D"/>
                                <w:szCs w:val="22"/>
                              </w:rPr>
                            </w:pPr>
                            <w:bookmarkStart w:id="0" w:name="_ftnref1"/>
                          </w:p>
                          <w:p w14:paraId="72A5425F" w14:textId="77777777" w:rsidR="007454DC" w:rsidRPr="00660C60" w:rsidRDefault="007454DC" w:rsidP="007454DC">
                            <w:pPr>
                              <w:spacing w:line="276" w:lineRule="auto"/>
                              <w:rPr>
                                <w:rFonts w:ascii="Cambria" w:hAnsi="Cambria" w:cs="Arial"/>
                                <w:color w:val="0D0D0D"/>
                                <w:szCs w:val="22"/>
                              </w:rPr>
                            </w:pPr>
                            <w:r w:rsidRPr="00660C60">
                              <w:rPr>
                                <w:rFonts w:ascii="Cambria" w:hAnsi="Cambria" w:cs="Arial"/>
                                <w:color w:val="0D0D0D"/>
                                <w:szCs w:val="22"/>
                              </w:rPr>
                              <w:t xml:space="preserve">VIRGILIO JOYA BUENO </w:t>
                            </w:r>
                            <w:r w:rsidR="00A504AF">
                              <w:rPr>
                                <w:rFonts w:ascii="Cambria" w:hAnsi="Cambria" w:cs="Arial"/>
                                <w:color w:val="0D0D0D"/>
                                <w:szCs w:val="22"/>
                              </w:rPr>
                              <w:t>&amp;</w:t>
                            </w:r>
                            <w:r w:rsidRPr="00660C60">
                              <w:rPr>
                                <w:rFonts w:ascii="Cambria" w:hAnsi="Cambria" w:cs="Arial"/>
                                <w:color w:val="0D0D0D"/>
                                <w:szCs w:val="22"/>
                              </w:rPr>
                              <w:t xml:space="preserve"> ARTEMO FONTALVO</w:t>
                            </w:r>
                            <w:bookmarkEnd w:id="0"/>
                            <w:r w:rsidRPr="00660C60">
                              <w:rPr>
                                <w:rFonts w:ascii="Cambria" w:hAnsi="Cambria" w:cs="Arial"/>
                                <w:color w:val="0D0D0D"/>
                                <w:szCs w:val="22"/>
                              </w:rPr>
                              <w:t xml:space="preserve"> GRANADOS</w:t>
                            </w:r>
                          </w:p>
                          <w:p w14:paraId="48F01F30" w14:textId="77777777" w:rsidR="007454DC" w:rsidRPr="00660C60" w:rsidRDefault="007454DC" w:rsidP="007454DC">
                            <w:pPr>
                              <w:spacing w:line="276" w:lineRule="auto"/>
                              <w:rPr>
                                <w:rFonts w:ascii="Cambria" w:hAnsi="Cambria" w:cs="Arial"/>
                                <w:color w:val="0D0D0D"/>
                                <w:szCs w:val="22"/>
                              </w:rPr>
                            </w:pPr>
                            <w:r w:rsidRPr="00660C60">
                              <w:rPr>
                                <w:rFonts w:ascii="Cambria" w:hAnsi="Cambria" w:cs="Arial"/>
                                <w:color w:val="0D0D0D"/>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D76C7" id="_x0000_t202" coordsize="21600,21600" o:spt="202" path="m,l,21600r21600,l21600,xe">
                <v:stroke joinstyle="miter"/>
                <v:path gradientshapeok="t" o:connecttype="rect"/>
              </v:shapetype>
              <v:shape id="Text Box 8" o:spid="_x0000_s1026"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" filled="f" stroked="f" strokeweight=".5pt">
                <v:textbox>
                  <w:txbxContent>
                    <w:p w14:paraId="39DE0B28" w14:textId="77777777" w:rsidR="007454DC" w:rsidRPr="006558F0" w:rsidRDefault="007454DC" w:rsidP="007454DC">
                      <w:pPr>
                        <w:spacing w:line="276" w:lineRule="auto"/>
                        <w:rPr>
                          <w:rFonts w:ascii="Cambria" w:hAnsi="Cambria" w:cs="Arial"/>
                          <w:b/>
                          <w:bCs/>
                          <w:color w:val="0D0D0D"/>
                          <w:sz w:val="36"/>
                          <w:szCs w:val="22"/>
                        </w:rPr>
                      </w:pPr>
                      <w:r w:rsidRPr="00660C60">
                        <w:rPr>
                          <w:rFonts w:ascii="Cambria" w:hAnsi="Cambria" w:cs="Arial"/>
                          <w:b/>
                          <w:bCs/>
                          <w:color w:val="0D0D0D"/>
                          <w:sz w:val="36"/>
                          <w:szCs w:val="22"/>
                        </w:rPr>
                        <w:t xml:space="preserve">REPORT </w:t>
                      </w:r>
                      <w:r w:rsidRPr="00660C60">
                        <w:rPr>
                          <w:rFonts w:ascii="Cambria" w:hAnsi="Cambria" w:cs="Arial"/>
                          <w:b/>
                          <w:bCs/>
                          <w:color w:val="0D0D0D"/>
                          <w:sz w:val="36"/>
                          <w:szCs w:val="40"/>
                        </w:rPr>
                        <w:t>No</w:t>
                      </w:r>
                      <w:r w:rsidRPr="006558F0">
                        <w:rPr>
                          <w:rFonts w:ascii="Cambria" w:hAnsi="Cambria" w:cs="Arial"/>
                          <w:b/>
                          <w:bCs/>
                          <w:color w:val="0D0D0D"/>
                          <w:sz w:val="36"/>
                          <w:szCs w:val="40"/>
                        </w:rPr>
                        <w:t>.</w:t>
                      </w:r>
                      <w:r w:rsidRPr="006558F0">
                        <w:rPr>
                          <w:rFonts w:ascii="Cambria" w:hAnsi="Cambria" w:cs="Arial"/>
                          <w:b/>
                          <w:bCs/>
                          <w:color w:val="0D0D0D"/>
                          <w:sz w:val="36"/>
                          <w:szCs w:val="22"/>
                        </w:rPr>
                        <w:t xml:space="preserve"> </w:t>
                      </w:r>
                      <w:r w:rsidR="006558F0">
                        <w:rPr>
                          <w:rFonts w:ascii="Cambria" w:hAnsi="Cambria" w:cs="Arial"/>
                          <w:b/>
                          <w:bCs/>
                          <w:color w:val="0D0D0D"/>
                          <w:sz w:val="36"/>
                          <w:szCs w:val="22"/>
                        </w:rPr>
                        <w:t>169</w:t>
                      </w:r>
                      <w:r w:rsidRPr="006558F0">
                        <w:rPr>
                          <w:rFonts w:ascii="Cambria" w:hAnsi="Cambria" w:cs="Arial"/>
                          <w:b/>
                          <w:bCs/>
                          <w:color w:val="0D0D0D"/>
                          <w:sz w:val="36"/>
                          <w:szCs w:val="22"/>
                        </w:rPr>
                        <w:t>/24</w:t>
                      </w:r>
                    </w:p>
                    <w:p w14:paraId="165ED520" w14:textId="77777777" w:rsidR="007454DC" w:rsidRPr="00660C60" w:rsidRDefault="007454DC" w:rsidP="007454DC">
                      <w:pPr>
                        <w:spacing w:line="276" w:lineRule="auto"/>
                        <w:rPr>
                          <w:rFonts w:ascii="Cambria" w:hAnsi="Cambria" w:cs="Arial"/>
                          <w:b/>
                          <w:color w:val="0D0D0D"/>
                          <w:sz w:val="36"/>
                          <w:szCs w:val="22"/>
                        </w:rPr>
                      </w:pPr>
                      <w:r w:rsidRPr="006558F0">
                        <w:rPr>
                          <w:rFonts w:ascii="Cambria" w:hAnsi="Cambria" w:cs="Arial"/>
                          <w:b/>
                          <w:bCs/>
                          <w:color w:val="0D0D0D"/>
                          <w:sz w:val="36"/>
                          <w:szCs w:val="22"/>
                        </w:rPr>
                        <w:t>PETITION 918-</w:t>
                      </w:r>
                      <w:r w:rsidRPr="00660C60">
                        <w:rPr>
                          <w:rFonts w:ascii="Cambria" w:hAnsi="Cambria" w:cs="Arial"/>
                          <w:b/>
                          <w:bCs/>
                          <w:color w:val="0D0D0D"/>
                          <w:sz w:val="36"/>
                          <w:szCs w:val="22"/>
                        </w:rPr>
                        <w:t xml:space="preserve">14 </w:t>
                      </w:r>
                    </w:p>
                    <w:p w14:paraId="4F22ED10" w14:textId="77777777" w:rsidR="007454DC" w:rsidRPr="00660C60" w:rsidRDefault="007454DC" w:rsidP="007454DC">
                      <w:pPr>
                        <w:spacing w:line="276" w:lineRule="auto"/>
                        <w:rPr>
                          <w:rFonts w:ascii="Cambria" w:hAnsi="Cambria" w:cs="Arial"/>
                          <w:color w:val="0D0D0D"/>
                          <w:szCs w:val="22"/>
                        </w:rPr>
                      </w:pPr>
                      <w:r w:rsidRPr="00660C60">
                        <w:rPr>
                          <w:rFonts w:ascii="Cambria" w:hAnsi="Cambria" w:cs="Arial"/>
                          <w:color w:val="0D0D0D"/>
                          <w:szCs w:val="22"/>
                        </w:rPr>
                        <w:t>REPORT ON ADMISSIBILITY</w:t>
                      </w:r>
                    </w:p>
                    <w:p w14:paraId="09ED60BF" w14:textId="77777777" w:rsidR="007454DC" w:rsidRPr="00660C60" w:rsidRDefault="007454DC" w:rsidP="007454DC">
                      <w:pPr>
                        <w:spacing w:line="276" w:lineRule="auto"/>
                        <w:rPr>
                          <w:rFonts w:ascii="Cambria" w:hAnsi="Cambria" w:cs="Arial"/>
                          <w:bCs/>
                          <w:color w:val="0D0D0D"/>
                          <w:szCs w:val="22"/>
                        </w:rPr>
                      </w:pPr>
                      <w:bookmarkStart w:id="1" w:name="_ftnref1"/>
                    </w:p>
                    <w:p w14:paraId="72A5425F" w14:textId="77777777" w:rsidR="007454DC" w:rsidRPr="00660C60" w:rsidRDefault="007454DC" w:rsidP="007454DC">
                      <w:pPr>
                        <w:spacing w:line="276" w:lineRule="auto"/>
                        <w:rPr>
                          <w:rFonts w:ascii="Cambria" w:hAnsi="Cambria" w:cs="Arial"/>
                          <w:color w:val="0D0D0D"/>
                          <w:szCs w:val="22"/>
                        </w:rPr>
                      </w:pPr>
                      <w:r w:rsidRPr="00660C60">
                        <w:rPr>
                          <w:rFonts w:ascii="Cambria" w:hAnsi="Cambria" w:cs="Arial"/>
                          <w:color w:val="0D0D0D"/>
                          <w:szCs w:val="22"/>
                        </w:rPr>
                        <w:t xml:space="preserve">VIRGILIO JOYA BUENO </w:t>
                      </w:r>
                      <w:r w:rsidR="00A504AF">
                        <w:rPr>
                          <w:rFonts w:ascii="Cambria" w:hAnsi="Cambria" w:cs="Arial"/>
                          <w:color w:val="0D0D0D"/>
                          <w:szCs w:val="22"/>
                        </w:rPr>
                        <w:t>&amp;</w:t>
                      </w:r>
                      <w:r w:rsidRPr="00660C60">
                        <w:rPr>
                          <w:rFonts w:ascii="Cambria" w:hAnsi="Cambria" w:cs="Arial"/>
                          <w:color w:val="0D0D0D"/>
                          <w:szCs w:val="22"/>
                        </w:rPr>
                        <w:t xml:space="preserve"> ARTEMO FONTALVO</w:t>
                      </w:r>
                      <w:bookmarkEnd w:id="1"/>
                      <w:r w:rsidRPr="00660C60">
                        <w:rPr>
                          <w:rFonts w:ascii="Cambria" w:hAnsi="Cambria" w:cs="Arial"/>
                          <w:color w:val="0D0D0D"/>
                          <w:szCs w:val="22"/>
                        </w:rPr>
                        <w:t xml:space="preserve"> GRANADOS</w:t>
                      </w:r>
                    </w:p>
                    <w:p w14:paraId="48F01F30" w14:textId="77777777" w:rsidR="007454DC" w:rsidRPr="00660C60" w:rsidRDefault="007454DC" w:rsidP="007454DC">
                      <w:pPr>
                        <w:spacing w:line="276" w:lineRule="auto"/>
                        <w:rPr>
                          <w:rFonts w:ascii="Cambria" w:hAnsi="Cambria" w:cs="Arial"/>
                          <w:color w:val="0D0D0D"/>
                          <w:szCs w:val="22"/>
                        </w:rPr>
                      </w:pPr>
                      <w:r w:rsidRPr="00660C60">
                        <w:rPr>
                          <w:rFonts w:ascii="Cambria" w:hAnsi="Cambria" w:cs="Arial"/>
                          <w:color w:val="0D0D0D"/>
                          <w:szCs w:val="22"/>
                        </w:rPr>
                        <w:t>COLOMBIA</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2C28171" wp14:editId="7B222D46">
                <wp:simplePos x="0" y="0"/>
                <wp:positionH relativeFrom="column">
                  <wp:posOffset>-342900</wp:posOffset>
                </wp:positionH>
                <wp:positionV relativeFrom="paragraph">
                  <wp:posOffset>164465</wp:posOffset>
                </wp:positionV>
                <wp:extent cx="1390650" cy="1377315"/>
                <wp:effectExtent l="0" t="0" r="0" b="0"/>
                <wp:wrapNone/>
                <wp:docPr id="15590901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90650" cy="1377315"/>
                        </a:xfrm>
                        <a:prstGeom prst="rect">
                          <a:avLst/>
                        </a:prstGeom>
                        <a:noFill/>
                        <a:ln w="6350">
                          <a:noFill/>
                        </a:ln>
                        <a:effectLst/>
                      </wps:spPr>
                      <wps:txbx>
                        <w:txbxContent>
                          <w:p w14:paraId="16029BC3" w14:textId="77777777" w:rsidR="007454DC" w:rsidRPr="006558F0" w:rsidRDefault="007454DC" w:rsidP="007454DC">
                            <w:pPr>
                              <w:spacing w:line="276" w:lineRule="auto"/>
                              <w:jc w:val="right"/>
                              <w:rPr>
                                <w:rFonts w:ascii="Calibri" w:hAnsi="Calibri"/>
                                <w:color w:val="FFFFFF"/>
                              </w:rPr>
                            </w:pPr>
                            <w:r w:rsidRPr="0031514B">
                              <w:rPr>
                                <w:rFonts w:ascii="Calibri" w:hAnsi="Calibri"/>
                                <w:color w:val="FFFFFF"/>
                              </w:rPr>
                              <w:t>O</w:t>
                            </w:r>
                            <w:r w:rsidRPr="006558F0">
                              <w:rPr>
                                <w:rFonts w:ascii="Calibri" w:hAnsi="Calibri"/>
                                <w:color w:val="FFFFFF"/>
                              </w:rPr>
                              <w:t>EA/Ser.L/V/II</w:t>
                            </w:r>
                          </w:p>
                          <w:p w14:paraId="7D1E4F65" w14:textId="77777777" w:rsidR="007454DC" w:rsidRPr="006558F0" w:rsidRDefault="007454DC" w:rsidP="007454DC">
                            <w:pPr>
                              <w:spacing w:line="276" w:lineRule="auto"/>
                              <w:jc w:val="right"/>
                              <w:rPr>
                                <w:rFonts w:ascii="Calibri" w:hAnsi="Calibri"/>
                                <w:color w:val="FFFFFF"/>
                              </w:rPr>
                            </w:pPr>
                            <w:r w:rsidRPr="006558F0">
                              <w:rPr>
                                <w:rFonts w:ascii="Calibri" w:hAnsi="Calibri"/>
                                <w:color w:val="FFFFFF"/>
                              </w:rPr>
                              <w:t xml:space="preserve">Doc. </w:t>
                            </w:r>
                            <w:r w:rsidR="006558F0">
                              <w:rPr>
                                <w:rFonts w:ascii="Calibri" w:hAnsi="Calibri"/>
                                <w:color w:val="FFFFFF"/>
                              </w:rPr>
                              <w:t>178</w:t>
                            </w:r>
                          </w:p>
                          <w:p w14:paraId="0ED8C171" w14:textId="77777777" w:rsidR="007454DC" w:rsidRPr="006558F0" w:rsidRDefault="006558F0" w:rsidP="007454DC">
                            <w:pPr>
                              <w:spacing w:line="276" w:lineRule="auto"/>
                              <w:jc w:val="right"/>
                              <w:rPr>
                                <w:rFonts w:ascii="Calibri" w:hAnsi="Calibri"/>
                                <w:color w:val="FFFFFF"/>
                              </w:rPr>
                            </w:pPr>
                            <w:r>
                              <w:rPr>
                                <w:rFonts w:ascii="Calibri" w:hAnsi="Calibri"/>
                                <w:color w:val="FFFFFF"/>
                              </w:rPr>
                              <w:t>18 October</w:t>
                            </w:r>
                            <w:r w:rsidR="007454DC" w:rsidRPr="006558F0">
                              <w:rPr>
                                <w:rFonts w:ascii="Calibri" w:hAnsi="Calibri"/>
                                <w:color w:val="FFFFFF"/>
                              </w:rPr>
                              <w:t xml:space="preserve"> 2024</w:t>
                            </w:r>
                          </w:p>
                          <w:p w14:paraId="2C81C752" w14:textId="77777777" w:rsidR="007454DC" w:rsidRPr="0031514B" w:rsidRDefault="007454DC" w:rsidP="007454DC">
                            <w:pPr>
                              <w:spacing w:line="276" w:lineRule="auto"/>
                              <w:ind w:firstLine="284"/>
                              <w:jc w:val="center"/>
                              <w:rPr>
                                <w:rFonts w:ascii="Calibri" w:hAnsi="Calibri"/>
                                <w:color w:val="FFFFFF"/>
                              </w:rPr>
                            </w:pPr>
                            <w:r w:rsidRPr="006558F0">
                              <w:rPr>
                                <w:rFonts w:ascii="Calibri" w:hAnsi="Calibri"/>
                                <w:color w:val="FFFFFF"/>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28171" id="Text Box 6" o:spid="_x0000_s1027"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" filled="f" stroked="f" strokeweight=".5pt">
                <v:textbox>
                  <w:txbxContent>
                    <w:p w14:paraId="16029BC3" w14:textId="77777777" w:rsidR="007454DC" w:rsidRPr="006558F0" w:rsidRDefault="007454DC" w:rsidP="007454DC">
                      <w:pPr>
                        <w:spacing w:line="276" w:lineRule="auto"/>
                        <w:jc w:val="right"/>
                        <w:rPr>
                          <w:rFonts w:ascii="Calibri" w:hAnsi="Calibri"/>
                          <w:color w:val="FFFFFF"/>
                        </w:rPr>
                      </w:pPr>
                      <w:r w:rsidRPr="0031514B">
                        <w:rPr>
                          <w:rFonts w:ascii="Calibri" w:hAnsi="Calibri"/>
                          <w:color w:val="FFFFFF"/>
                        </w:rPr>
                        <w:t>O</w:t>
                      </w:r>
                      <w:r w:rsidRPr="006558F0">
                        <w:rPr>
                          <w:rFonts w:ascii="Calibri" w:hAnsi="Calibri"/>
                          <w:color w:val="FFFFFF"/>
                        </w:rPr>
                        <w:t>EA/Ser.L/V/II</w:t>
                      </w:r>
                    </w:p>
                    <w:p w14:paraId="7D1E4F65" w14:textId="77777777" w:rsidR="007454DC" w:rsidRPr="006558F0" w:rsidRDefault="007454DC" w:rsidP="007454DC">
                      <w:pPr>
                        <w:spacing w:line="276" w:lineRule="auto"/>
                        <w:jc w:val="right"/>
                        <w:rPr>
                          <w:rFonts w:ascii="Calibri" w:hAnsi="Calibri"/>
                          <w:color w:val="FFFFFF"/>
                        </w:rPr>
                      </w:pPr>
                      <w:r w:rsidRPr="006558F0">
                        <w:rPr>
                          <w:rFonts w:ascii="Calibri" w:hAnsi="Calibri"/>
                          <w:color w:val="FFFFFF"/>
                        </w:rPr>
                        <w:t xml:space="preserve">Doc. </w:t>
                      </w:r>
                      <w:r w:rsidR="006558F0">
                        <w:rPr>
                          <w:rFonts w:ascii="Calibri" w:hAnsi="Calibri"/>
                          <w:color w:val="FFFFFF"/>
                        </w:rPr>
                        <w:t>178</w:t>
                      </w:r>
                    </w:p>
                    <w:p w14:paraId="0ED8C171" w14:textId="77777777" w:rsidR="007454DC" w:rsidRPr="006558F0" w:rsidRDefault="006558F0" w:rsidP="007454DC">
                      <w:pPr>
                        <w:spacing w:line="276" w:lineRule="auto"/>
                        <w:jc w:val="right"/>
                        <w:rPr>
                          <w:rFonts w:ascii="Calibri" w:hAnsi="Calibri"/>
                          <w:color w:val="FFFFFF"/>
                        </w:rPr>
                      </w:pPr>
                      <w:r>
                        <w:rPr>
                          <w:rFonts w:ascii="Calibri" w:hAnsi="Calibri"/>
                          <w:color w:val="FFFFFF"/>
                        </w:rPr>
                        <w:t>18 October</w:t>
                      </w:r>
                      <w:r w:rsidR="007454DC" w:rsidRPr="006558F0">
                        <w:rPr>
                          <w:rFonts w:ascii="Calibri" w:hAnsi="Calibri"/>
                          <w:color w:val="FFFFFF"/>
                        </w:rPr>
                        <w:t xml:space="preserve"> 2024</w:t>
                      </w:r>
                    </w:p>
                    <w:p w14:paraId="2C81C752" w14:textId="77777777" w:rsidR="007454DC" w:rsidRPr="0031514B" w:rsidRDefault="007454DC" w:rsidP="007454DC">
                      <w:pPr>
                        <w:spacing w:line="276" w:lineRule="auto"/>
                        <w:ind w:firstLine="284"/>
                        <w:jc w:val="center"/>
                        <w:rPr>
                          <w:rFonts w:ascii="Calibri" w:hAnsi="Calibri"/>
                          <w:color w:val="FFFFFF"/>
                        </w:rPr>
                      </w:pPr>
                      <w:r w:rsidRPr="006558F0">
                        <w:rPr>
                          <w:rFonts w:ascii="Calibri" w:hAnsi="Calibri"/>
                          <w:color w:val="FFFFFF"/>
                        </w:rPr>
                        <w:t>Original: Spanish</w:t>
                      </w:r>
                    </w:p>
                  </w:txbxContent>
                </v:textbox>
              </v:shape>
            </w:pict>
          </mc:Fallback>
        </mc:AlternateContent>
      </w:r>
    </w:p>
    <w:p w14:paraId="521FC358" w14:textId="77777777" w:rsidR="007454DC" w:rsidRPr="0031514B" w:rsidRDefault="007454DC" w:rsidP="007454DC">
      <w:pPr>
        <w:tabs>
          <w:tab w:val="center" w:pos="5400"/>
        </w:tabs>
        <w:suppressAutoHyphens/>
        <w:jc w:val="center"/>
        <w:rPr>
          <w:rFonts w:ascii="Cambria" w:hAnsi="Cambria"/>
          <w:szCs w:val="22"/>
        </w:rPr>
      </w:pPr>
    </w:p>
    <w:p w14:paraId="2795E1B5" w14:textId="77777777" w:rsidR="007454DC" w:rsidRPr="0031514B" w:rsidRDefault="007454DC" w:rsidP="007454DC">
      <w:pPr>
        <w:tabs>
          <w:tab w:val="center" w:pos="5400"/>
        </w:tabs>
        <w:suppressAutoHyphens/>
        <w:jc w:val="center"/>
        <w:rPr>
          <w:rFonts w:ascii="Cambria" w:hAnsi="Cambria"/>
          <w:szCs w:val="22"/>
        </w:rPr>
      </w:pPr>
    </w:p>
    <w:p w14:paraId="3C00B552" w14:textId="77777777" w:rsidR="007454DC" w:rsidRPr="0031514B" w:rsidRDefault="007454DC" w:rsidP="007454DC">
      <w:pPr>
        <w:tabs>
          <w:tab w:val="center" w:pos="5400"/>
        </w:tabs>
        <w:suppressAutoHyphens/>
        <w:jc w:val="center"/>
        <w:rPr>
          <w:rFonts w:ascii="Cambria" w:hAnsi="Cambria" w:cs="Arial"/>
          <w:szCs w:val="22"/>
        </w:rPr>
      </w:pPr>
    </w:p>
    <w:p w14:paraId="0238D918" w14:textId="77777777" w:rsidR="007454DC" w:rsidRPr="0031514B" w:rsidRDefault="007454DC" w:rsidP="007454DC">
      <w:pPr>
        <w:tabs>
          <w:tab w:val="center" w:pos="5400"/>
        </w:tabs>
        <w:suppressAutoHyphens/>
        <w:jc w:val="center"/>
        <w:rPr>
          <w:rFonts w:ascii="Cambria" w:hAnsi="Cambria"/>
          <w:szCs w:val="22"/>
        </w:rPr>
      </w:pPr>
    </w:p>
    <w:p w14:paraId="59ED1A13" w14:textId="77777777" w:rsidR="007454DC" w:rsidRPr="0031514B" w:rsidRDefault="007454DC" w:rsidP="007454DC">
      <w:pPr>
        <w:tabs>
          <w:tab w:val="center" w:pos="5400"/>
        </w:tabs>
        <w:suppressAutoHyphens/>
        <w:jc w:val="center"/>
        <w:rPr>
          <w:rFonts w:ascii="Cambria" w:hAnsi="Cambria"/>
          <w:szCs w:val="22"/>
        </w:rPr>
      </w:pPr>
    </w:p>
    <w:p w14:paraId="780E391F" w14:textId="77777777" w:rsidR="007454DC" w:rsidRPr="0031514B" w:rsidRDefault="007454DC" w:rsidP="007454DC">
      <w:pPr>
        <w:tabs>
          <w:tab w:val="center" w:pos="5400"/>
        </w:tabs>
        <w:suppressAutoHyphens/>
        <w:jc w:val="center"/>
        <w:rPr>
          <w:rFonts w:ascii="Cambria" w:hAnsi="Cambria"/>
          <w:szCs w:val="22"/>
        </w:rPr>
      </w:pPr>
    </w:p>
    <w:p w14:paraId="54B25285" w14:textId="77777777" w:rsidR="007454DC" w:rsidRPr="0031514B" w:rsidRDefault="007454DC" w:rsidP="007454DC">
      <w:pPr>
        <w:tabs>
          <w:tab w:val="center" w:pos="5400"/>
        </w:tabs>
        <w:suppressAutoHyphens/>
        <w:jc w:val="center"/>
        <w:rPr>
          <w:rFonts w:ascii="Cambria" w:hAnsi="Cambria"/>
          <w:szCs w:val="22"/>
        </w:rPr>
      </w:pPr>
    </w:p>
    <w:p w14:paraId="5814A6AF" w14:textId="77777777" w:rsidR="007454DC" w:rsidRPr="0031514B" w:rsidRDefault="007454DC" w:rsidP="007454DC">
      <w:pPr>
        <w:tabs>
          <w:tab w:val="center" w:pos="5400"/>
        </w:tabs>
        <w:suppressAutoHyphens/>
        <w:jc w:val="center"/>
        <w:rPr>
          <w:rFonts w:ascii="Cambria" w:hAnsi="Cambria"/>
          <w:szCs w:val="22"/>
        </w:rPr>
      </w:pPr>
    </w:p>
    <w:p w14:paraId="2B4B76C5" w14:textId="77777777" w:rsidR="007454DC" w:rsidRPr="0031514B" w:rsidRDefault="007454DC" w:rsidP="007454DC">
      <w:pPr>
        <w:tabs>
          <w:tab w:val="center" w:pos="5400"/>
        </w:tabs>
        <w:suppressAutoHyphens/>
        <w:jc w:val="center"/>
        <w:rPr>
          <w:rFonts w:ascii="Cambria" w:hAnsi="Cambria"/>
          <w:szCs w:val="22"/>
        </w:rPr>
      </w:pPr>
    </w:p>
    <w:p w14:paraId="09182C53" w14:textId="77777777" w:rsidR="007454DC" w:rsidRPr="0031514B" w:rsidRDefault="007454DC" w:rsidP="007454DC">
      <w:pPr>
        <w:tabs>
          <w:tab w:val="center" w:pos="5400"/>
        </w:tabs>
        <w:suppressAutoHyphens/>
        <w:jc w:val="center"/>
        <w:rPr>
          <w:rFonts w:ascii="Cambria" w:hAnsi="Cambria"/>
          <w:szCs w:val="22"/>
        </w:rPr>
      </w:pPr>
    </w:p>
    <w:p w14:paraId="7F692DF0" w14:textId="77777777" w:rsidR="007454DC" w:rsidRPr="0031514B" w:rsidRDefault="007454DC" w:rsidP="007454DC">
      <w:pPr>
        <w:tabs>
          <w:tab w:val="center" w:pos="5400"/>
        </w:tabs>
        <w:suppressAutoHyphens/>
        <w:jc w:val="center"/>
        <w:rPr>
          <w:rFonts w:ascii="Cambria" w:hAnsi="Cambria"/>
          <w:szCs w:val="22"/>
        </w:rPr>
      </w:pPr>
    </w:p>
    <w:p w14:paraId="01143C77" w14:textId="77777777" w:rsidR="007454DC" w:rsidRPr="0031514B" w:rsidRDefault="007454DC" w:rsidP="007454DC">
      <w:pPr>
        <w:tabs>
          <w:tab w:val="center" w:pos="5400"/>
        </w:tabs>
        <w:suppressAutoHyphens/>
        <w:jc w:val="center"/>
        <w:rPr>
          <w:rFonts w:ascii="Cambria" w:hAnsi="Cambria"/>
          <w:szCs w:val="22"/>
        </w:rPr>
      </w:pPr>
    </w:p>
    <w:p w14:paraId="0060407B" w14:textId="77777777" w:rsidR="007454DC" w:rsidRPr="0031514B" w:rsidRDefault="007454DC" w:rsidP="007454DC">
      <w:pPr>
        <w:tabs>
          <w:tab w:val="center" w:pos="5400"/>
        </w:tabs>
        <w:suppressAutoHyphens/>
        <w:jc w:val="center"/>
        <w:rPr>
          <w:rFonts w:ascii="Cambria" w:hAnsi="Cambria"/>
          <w:szCs w:val="22"/>
        </w:rPr>
      </w:pPr>
    </w:p>
    <w:p w14:paraId="07965859" w14:textId="77777777" w:rsidR="007454DC" w:rsidRPr="0031514B" w:rsidRDefault="007454DC" w:rsidP="007454DC">
      <w:pPr>
        <w:tabs>
          <w:tab w:val="center" w:pos="5400"/>
        </w:tabs>
        <w:suppressAutoHyphens/>
        <w:jc w:val="center"/>
        <w:rPr>
          <w:rFonts w:ascii="Cambria" w:hAnsi="Cambria"/>
          <w:szCs w:val="22"/>
        </w:rPr>
      </w:pPr>
    </w:p>
    <w:p w14:paraId="2DC80D02" w14:textId="77777777" w:rsidR="007454DC" w:rsidRPr="0031514B" w:rsidRDefault="007454DC" w:rsidP="007454DC">
      <w:pPr>
        <w:tabs>
          <w:tab w:val="center" w:pos="5400"/>
        </w:tabs>
        <w:suppressAutoHyphens/>
        <w:jc w:val="center"/>
        <w:rPr>
          <w:rFonts w:ascii="Cambria" w:hAnsi="Cambria"/>
          <w:sz w:val="18"/>
          <w:szCs w:val="22"/>
        </w:rPr>
      </w:pPr>
    </w:p>
    <w:p w14:paraId="6EA7DC6B" w14:textId="77777777" w:rsidR="007454DC" w:rsidRPr="0031514B" w:rsidRDefault="007454DC" w:rsidP="007454DC">
      <w:pPr>
        <w:tabs>
          <w:tab w:val="center" w:pos="5400"/>
        </w:tabs>
        <w:suppressAutoHyphens/>
        <w:jc w:val="center"/>
        <w:rPr>
          <w:rFonts w:ascii="Cambria" w:hAnsi="Cambria"/>
          <w:sz w:val="18"/>
          <w:szCs w:val="22"/>
        </w:rPr>
      </w:pPr>
    </w:p>
    <w:p w14:paraId="38BFD4C8" w14:textId="77777777" w:rsidR="007454DC" w:rsidRPr="0031514B" w:rsidRDefault="007454DC" w:rsidP="007454DC">
      <w:pPr>
        <w:tabs>
          <w:tab w:val="center" w:pos="5400"/>
        </w:tabs>
        <w:suppressAutoHyphens/>
        <w:jc w:val="center"/>
        <w:rPr>
          <w:rFonts w:ascii="Cambria" w:hAnsi="Cambria"/>
          <w:sz w:val="18"/>
          <w:szCs w:val="22"/>
        </w:rPr>
      </w:pPr>
    </w:p>
    <w:p w14:paraId="3252C351" w14:textId="77777777" w:rsidR="007454DC" w:rsidRPr="0031514B" w:rsidRDefault="007454DC" w:rsidP="007454DC">
      <w:pPr>
        <w:tabs>
          <w:tab w:val="center" w:pos="5400"/>
        </w:tabs>
        <w:suppressAutoHyphens/>
        <w:jc w:val="center"/>
        <w:rPr>
          <w:rFonts w:ascii="Cambria" w:hAnsi="Cambria"/>
          <w:sz w:val="18"/>
          <w:szCs w:val="22"/>
        </w:rPr>
      </w:pPr>
    </w:p>
    <w:p w14:paraId="2C1BB8EB" w14:textId="77777777" w:rsidR="007454DC" w:rsidRPr="0031514B" w:rsidRDefault="007454DC" w:rsidP="007454DC">
      <w:pPr>
        <w:tabs>
          <w:tab w:val="center" w:pos="5400"/>
        </w:tabs>
        <w:suppressAutoHyphens/>
        <w:jc w:val="center"/>
        <w:rPr>
          <w:rFonts w:ascii="Cambria" w:hAnsi="Cambria"/>
          <w:sz w:val="18"/>
          <w:szCs w:val="22"/>
        </w:rPr>
      </w:pPr>
    </w:p>
    <w:p w14:paraId="3E91D594" w14:textId="77777777" w:rsidR="007454DC" w:rsidRPr="0031514B" w:rsidRDefault="007454DC" w:rsidP="007454DC">
      <w:pPr>
        <w:tabs>
          <w:tab w:val="center" w:pos="5400"/>
        </w:tabs>
        <w:suppressAutoHyphens/>
        <w:jc w:val="center"/>
        <w:rPr>
          <w:rFonts w:ascii="Cambria" w:hAnsi="Cambria"/>
          <w:sz w:val="18"/>
          <w:szCs w:val="22"/>
        </w:rPr>
      </w:pPr>
    </w:p>
    <w:p w14:paraId="7BBB702B" w14:textId="77777777" w:rsidR="007454DC" w:rsidRPr="0031514B" w:rsidRDefault="007454DC" w:rsidP="007454DC">
      <w:pPr>
        <w:tabs>
          <w:tab w:val="center" w:pos="5400"/>
        </w:tabs>
        <w:suppressAutoHyphens/>
        <w:jc w:val="center"/>
        <w:rPr>
          <w:rFonts w:ascii="Cambria" w:hAnsi="Cambria"/>
          <w:sz w:val="18"/>
          <w:szCs w:val="22"/>
        </w:rPr>
      </w:pPr>
    </w:p>
    <w:p w14:paraId="60CB26EB" w14:textId="77777777" w:rsidR="007454DC" w:rsidRPr="0031514B" w:rsidRDefault="007454DC" w:rsidP="007454DC">
      <w:pPr>
        <w:tabs>
          <w:tab w:val="center" w:pos="5400"/>
        </w:tabs>
        <w:suppressAutoHyphens/>
        <w:jc w:val="center"/>
        <w:rPr>
          <w:rFonts w:ascii="Cambria" w:hAnsi="Cambria"/>
          <w:sz w:val="18"/>
          <w:szCs w:val="22"/>
        </w:rPr>
      </w:pPr>
    </w:p>
    <w:p w14:paraId="6CA0E49A" w14:textId="77777777" w:rsidR="007454DC" w:rsidRPr="0031514B" w:rsidRDefault="007454DC" w:rsidP="007454DC">
      <w:pPr>
        <w:tabs>
          <w:tab w:val="center" w:pos="5400"/>
        </w:tabs>
        <w:suppressAutoHyphens/>
        <w:jc w:val="center"/>
        <w:rPr>
          <w:rFonts w:ascii="Cambria" w:hAnsi="Cambria"/>
          <w:sz w:val="18"/>
          <w:szCs w:val="22"/>
        </w:rPr>
      </w:pPr>
    </w:p>
    <w:p w14:paraId="736EE2FA" w14:textId="77777777" w:rsidR="007454DC" w:rsidRPr="0031514B" w:rsidRDefault="007454DC" w:rsidP="007454DC">
      <w:pPr>
        <w:tabs>
          <w:tab w:val="center" w:pos="5400"/>
        </w:tabs>
        <w:suppressAutoHyphens/>
        <w:jc w:val="center"/>
        <w:rPr>
          <w:rFonts w:ascii="Cambria" w:hAnsi="Cambria"/>
          <w:sz w:val="18"/>
          <w:szCs w:val="22"/>
        </w:rPr>
      </w:pPr>
    </w:p>
    <w:p w14:paraId="0006748E" w14:textId="77777777" w:rsidR="007454DC" w:rsidRPr="0031514B" w:rsidRDefault="007454DC" w:rsidP="007454DC">
      <w:pPr>
        <w:tabs>
          <w:tab w:val="center" w:pos="5400"/>
        </w:tabs>
        <w:suppressAutoHyphens/>
        <w:jc w:val="center"/>
        <w:rPr>
          <w:rFonts w:ascii="Cambria" w:hAnsi="Cambria"/>
          <w:sz w:val="18"/>
          <w:szCs w:val="22"/>
        </w:rPr>
      </w:pPr>
    </w:p>
    <w:p w14:paraId="12B21613" w14:textId="77777777" w:rsidR="007454DC" w:rsidRPr="0031514B" w:rsidRDefault="007454DC" w:rsidP="007454DC">
      <w:pPr>
        <w:tabs>
          <w:tab w:val="center" w:pos="5400"/>
        </w:tabs>
        <w:suppressAutoHyphens/>
        <w:jc w:val="center"/>
        <w:rPr>
          <w:rFonts w:ascii="Cambria" w:hAnsi="Cambria"/>
          <w:sz w:val="18"/>
          <w:szCs w:val="22"/>
        </w:rPr>
      </w:pPr>
    </w:p>
    <w:p w14:paraId="55058A01" w14:textId="77777777" w:rsidR="007454DC" w:rsidRPr="0031514B" w:rsidRDefault="007454DC" w:rsidP="007454DC">
      <w:pPr>
        <w:tabs>
          <w:tab w:val="center" w:pos="5400"/>
        </w:tabs>
        <w:suppressAutoHyphens/>
        <w:jc w:val="center"/>
        <w:rPr>
          <w:rFonts w:ascii="Cambria" w:hAnsi="Cambria"/>
          <w:sz w:val="18"/>
          <w:szCs w:val="22"/>
        </w:rPr>
      </w:pPr>
    </w:p>
    <w:p w14:paraId="508C2B36" w14:textId="77777777" w:rsidR="007454DC" w:rsidRPr="0031514B" w:rsidRDefault="007454DC" w:rsidP="007454DC">
      <w:pPr>
        <w:tabs>
          <w:tab w:val="center" w:pos="5400"/>
        </w:tabs>
        <w:suppressAutoHyphens/>
        <w:jc w:val="center"/>
        <w:rPr>
          <w:rFonts w:ascii="Cambria" w:hAnsi="Cambria"/>
          <w:sz w:val="18"/>
          <w:szCs w:val="22"/>
        </w:rPr>
      </w:pPr>
    </w:p>
    <w:p w14:paraId="2C629EFE" w14:textId="013E9B8F" w:rsidR="007454DC" w:rsidRPr="0031514B" w:rsidRDefault="00EF3C35" w:rsidP="007454DC">
      <w:pP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58242" behindDoc="0" locked="0" layoutInCell="1" allowOverlap="1" wp14:anchorId="3AEC9B07" wp14:editId="28C74F6C">
                <wp:simplePos x="0" y="0"/>
                <wp:positionH relativeFrom="column">
                  <wp:posOffset>1341755</wp:posOffset>
                </wp:positionH>
                <wp:positionV relativeFrom="paragraph">
                  <wp:posOffset>22860</wp:posOffset>
                </wp:positionV>
                <wp:extent cx="4933950" cy="664845"/>
                <wp:effectExtent l="0" t="0" r="0" b="0"/>
                <wp:wrapNone/>
                <wp:docPr id="20832708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33950" cy="664845"/>
                        </a:xfrm>
                        <a:prstGeom prst="rect">
                          <a:avLst/>
                        </a:prstGeom>
                        <a:noFill/>
                        <a:ln w="6350">
                          <a:noFill/>
                        </a:ln>
                        <a:effectLst/>
                      </wps:spPr>
                      <wps:txbx>
                        <w:txbxContent>
                          <w:p w14:paraId="676E9D7F" w14:textId="77777777" w:rsidR="007454DC" w:rsidRPr="00660C60" w:rsidRDefault="007454DC" w:rsidP="007454DC">
                            <w:pPr>
                              <w:tabs>
                                <w:tab w:val="center" w:pos="5400"/>
                              </w:tabs>
                              <w:suppressAutoHyphens/>
                              <w:spacing w:before="60"/>
                              <w:rPr>
                                <w:rFonts w:ascii="Cambria" w:hAnsi="Cambria"/>
                                <w:color w:val="0D0D0D"/>
                                <w:sz w:val="18"/>
                                <w:szCs w:val="22"/>
                              </w:rPr>
                            </w:pPr>
                            <w:r w:rsidRPr="006558F0">
                              <w:rPr>
                                <w:rFonts w:ascii="Cambria" w:hAnsi="Cambria"/>
                                <w:color w:val="0D0D0D"/>
                                <w:sz w:val="18"/>
                                <w:szCs w:val="22"/>
                              </w:rPr>
                              <w:t xml:space="preserve">Adopted electronically by the Commission on </w:t>
                            </w:r>
                            <w:r w:rsidR="006558F0">
                              <w:rPr>
                                <w:rFonts w:ascii="Cambria" w:hAnsi="Cambria"/>
                                <w:color w:val="0D0D0D"/>
                                <w:sz w:val="18"/>
                                <w:szCs w:val="22"/>
                              </w:rPr>
                              <w:t>October 18</w:t>
                            </w:r>
                            <w:r w:rsidRPr="006558F0">
                              <w:rPr>
                                <w:rFonts w:ascii="Cambria" w:hAnsi="Cambria"/>
                                <w:color w:val="0D0D0D"/>
                                <w:sz w:val="18"/>
                                <w:szCs w:val="22"/>
                              </w:rPr>
                              <w:t>, 2024</w:t>
                            </w:r>
                            <w:r w:rsidR="006558F0">
                              <w:rPr>
                                <w:rFonts w:ascii="Cambria" w:hAnsi="Cambria"/>
                                <w:color w:val="0D0D0D"/>
                                <w:sz w:val="18"/>
                                <w:szCs w:val="22"/>
                              </w:rPr>
                              <w:t>.</w:t>
                            </w:r>
                          </w:p>
                          <w:p w14:paraId="199D0654" w14:textId="77777777" w:rsidR="007454DC" w:rsidRPr="00660C60" w:rsidRDefault="007454DC" w:rsidP="007454DC">
                            <w:pPr>
                              <w:tabs>
                                <w:tab w:val="center" w:pos="5400"/>
                              </w:tabs>
                              <w:suppressAutoHyphens/>
                              <w:spacing w:before="60"/>
                              <w:rPr>
                                <w:rFonts w:ascii="Cambria" w:hAnsi="Cambria" w:cs="Univers"/>
                                <w:color w:val="0D0D0D"/>
                                <w:sz w:val="20"/>
                              </w:rPr>
                            </w:pPr>
                          </w:p>
                          <w:p w14:paraId="38087B4A" w14:textId="77777777" w:rsidR="007454DC" w:rsidRPr="00660C60" w:rsidRDefault="007454DC" w:rsidP="007454DC">
                            <w:pPr>
                              <w:tabs>
                                <w:tab w:val="center" w:pos="5400"/>
                              </w:tabs>
                              <w:suppressAutoHyphens/>
                              <w:spacing w:before="60"/>
                              <w:rPr>
                                <w:rFonts w:ascii="Cambria" w:hAnsi="Cambria"/>
                                <w:color w:val="FFFFFF"/>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9B07" id="Text Box 4" o:spid="_x0000_s1028"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" filled="f" stroked="f" strokeweight=".5pt">
                <v:textbox>
                  <w:txbxContent>
                    <w:p w14:paraId="676E9D7F" w14:textId="77777777" w:rsidR="007454DC" w:rsidRPr="00660C60" w:rsidRDefault="007454DC" w:rsidP="007454DC">
                      <w:pPr>
                        <w:tabs>
                          <w:tab w:val="center" w:pos="5400"/>
                        </w:tabs>
                        <w:suppressAutoHyphens/>
                        <w:spacing w:before="60"/>
                        <w:rPr>
                          <w:rFonts w:ascii="Cambria" w:hAnsi="Cambria"/>
                          <w:color w:val="0D0D0D"/>
                          <w:sz w:val="18"/>
                          <w:szCs w:val="22"/>
                        </w:rPr>
                      </w:pPr>
                      <w:r w:rsidRPr="006558F0">
                        <w:rPr>
                          <w:rFonts w:ascii="Cambria" w:hAnsi="Cambria"/>
                          <w:color w:val="0D0D0D"/>
                          <w:sz w:val="18"/>
                          <w:szCs w:val="22"/>
                        </w:rPr>
                        <w:t xml:space="preserve">Adopted electronically by the Commission on </w:t>
                      </w:r>
                      <w:r w:rsidR="006558F0">
                        <w:rPr>
                          <w:rFonts w:ascii="Cambria" w:hAnsi="Cambria"/>
                          <w:color w:val="0D0D0D"/>
                          <w:sz w:val="18"/>
                          <w:szCs w:val="22"/>
                        </w:rPr>
                        <w:t>October 18</w:t>
                      </w:r>
                      <w:r w:rsidRPr="006558F0">
                        <w:rPr>
                          <w:rFonts w:ascii="Cambria" w:hAnsi="Cambria"/>
                          <w:color w:val="0D0D0D"/>
                          <w:sz w:val="18"/>
                          <w:szCs w:val="22"/>
                        </w:rPr>
                        <w:t>, 2024</w:t>
                      </w:r>
                      <w:r w:rsidR="006558F0">
                        <w:rPr>
                          <w:rFonts w:ascii="Cambria" w:hAnsi="Cambria"/>
                          <w:color w:val="0D0D0D"/>
                          <w:sz w:val="18"/>
                          <w:szCs w:val="22"/>
                        </w:rPr>
                        <w:t>.</w:t>
                      </w:r>
                    </w:p>
                    <w:p w14:paraId="199D0654" w14:textId="77777777" w:rsidR="007454DC" w:rsidRPr="00660C60" w:rsidRDefault="007454DC" w:rsidP="007454DC">
                      <w:pPr>
                        <w:tabs>
                          <w:tab w:val="center" w:pos="5400"/>
                        </w:tabs>
                        <w:suppressAutoHyphens/>
                        <w:spacing w:before="60"/>
                        <w:rPr>
                          <w:rFonts w:ascii="Cambria" w:hAnsi="Cambria" w:cs="Univers"/>
                          <w:color w:val="0D0D0D"/>
                          <w:sz w:val="20"/>
                        </w:rPr>
                      </w:pPr>
                    </w:p>
                    <w:p w14:paraId="38087B4A" w14:textId="77777777" w:rsidR="007454DC" w:rsidRPr="00660C60" w:rsidRDefault="007454DC" w:rsidP="007454DC">
                      <w:pPr>
                        <w:tabs>
                          <w:tab w:val="center" w:pos="5400"/>
                        </w:tabs>
                        <w:suppressAutoHyphens/>
                        <w:spacing w:before="60"/>
                        <w:rPr>
                          <w:rFonts w:ascii="Cambria" w:hAnsi="Cambria"/>
                          <w:color w:val="FFFFFF"/>
                          <w:spacing w:val="-2"/>
                          <w:sz w:val="16"/>
                        </w:rPr>
                      </w:pPr>
                    </w:p>
                  </w:txbxContent>
                </v:textbox>
              </v:shape>
            </w:pict>
          </mc:Fallback>
        </mc:AlternateContent>
      </w:r>
    </w:p>
    <w:p w14:paraId="5E7A5116" w14:textId="77777777" w:rsidR="007454DC" w:rsidRPr="0031514B" w:rsidRDefault="007454DC" w:rsidP="007454DC">
      <w:pPr>
        <w:tabs>
          <w:tab w:val="center" w:pos="5400"/>
        </w:tabs>
        <w:suppressAutoHyphens/>
        <w:jc w:val="center"/>
        <w:rPr>
          <w:rFonts w:ascii="Cambria" w:hAnsi="Cambria"/>
          <w:sz w:val="18"/>
          <w:szCs w:val="22"/>
        </w:rPr>
      </w:pPr>
    </w:p>
    <w:p w14:paraId="15859887" w14:textId="77777777" w:rsidR="007454DC" w:rsidRPr="0031514B" w:rsidRDefault="007454DC" w:rsidP="007454DC">
      <w:pPr>
        <w:tabs>
          <w:tab w:val="center" w:pos="5400"/>
        </w:tabs>
        <w:suppressAutoHyphens/>
        <w:jc w:val="center"/>
        <w:rPr>
          <w:rFonts w:ascii="Cambria" w:hAnsi="Cambria"/>
          <w:sz w:val="18"/>
          <w:szCs w:val="22"/>
        </w:rPr>
      </w:pPr>
    </w:p>
    <w:p w14:paraId="41393D39" w14:textId="77777777" w:rsidR="007454DC" w:rsidRPr="0031514B" w:rsidRDefault="007454DC" w:rsidP="007454DC">
      <w:pPr>
        <w:tabs>
          <w:tab w:val="center" w:pos="5400"/>
        </w:tabs>
        <w:suppressAutoHyphens/>
        <w:jc w:val="center"/>
        <w:rPr>
          <w:rFonts w:ascii="Cambria" w:hAnsi="Cambria"/>
          <w:sz w:val="18"/>
          <w:szCs w:val="22"/>
        </w:rPr>
      </w:pPr>
    </w:p>
    <w:p w14:paraId="4BEE86CD" w14:textId="46EA0DC4" w:rsidR="007454DC" w:rsidRPr="0031514B" w:rsidRDefault="00EF3C35" w:rsidP="007454DC">
      <w:pPr>
        <w:tabs>
          <w:tab w:val="center" w:pos="5400"/>
        </w:tabs>
        <w:suppressAutoHyphens/>
        <w:jc w:val="center"/>
        <w:rPr>
          <w:rFonts w:ascii="Cambria" w:hAnsi="Cambria"/>
          <w:sz w:val="18"/>
          <w:szCs w:val="22"/>
        </w:rPr>
      </w:pPr>
      <w:r>
        <w:rPr>
          <w:rFonts w:ascii="Cambria" w:hAnsi="Cambria"/>
          <w:noProof/>
        </w:rPr>
        <mc:AlternateContent>
          <mc:Choice Requires="wps">
            <w:drawing>
              <wp:anchor distT="0" distB="0" distL="114300" distR="114300" simplePos="0" relativeHeight="251658244" behindDoc="0" locked="0" layoutInCell="0" allowOverlap="0" wp14:anchorId="22042041" wp14:editId="230D0E4B">
                <wp:simplePos x="0" y="0"/>
                <wp:positionH relativeFrom="column">
                  <wp:posOffset>1353185</wp:posOffset>
                </wp:positionH>
                <wp:positionV relativeFrom="page">
                  <wp:posOffset>8192770</wp:posOffset>
                </wp:positionV>
                <wp:extent cx="4943475" cy="658495"/>
                <wp:effectExtent l="0" t="0" r="0" b="0"/>
                <wp:wrapSquare wrapText="bothSides"/>
                <wp:docPr id="16697903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AD7C7F" w14:textId="77777777" w:rsidR="007454DC" w:rsidRPr="00660C60" w:rsidRDefault="007454DC" w:rsidP="007454DC">
                            <w:pPr>
                              <w:spacing w:line="276" w:lineRule="auto"/>
                              <w:rPr>
                                <w:rFonts w:ascii="Cambria" w:hAnsi="Cambria"/>
                                <w:bCs/>
                                <w:color w:val="595959"/>
                                <w:sz w:val="18"/>
                                <w:szCs w:val="18"/>
                              </w:rPr>
                            </w:pPr>
                            <w:r w:rsidRPr="00660C60">
                              <w:rPr>
                                <w:rFonts w:ascii="Cambria" w:hAnsi="Cambria"/>
                                <w:b/>
                                <w:bCs/>
                                <w:color w:val="595959"/>
                                <w:sz w:val="18"/>
                                <w:szCs w:val="18"/>
                              </w:rPr>
                              <w:t>Ci</w:t>
                            </w:r>
                            <w:r w:rsidRPr="006558F0">
                              <w:rPr>
                                <w:rFonts w:ascii="Cambria" w:hAnsi="Cambria"/>
                                <w:b/>
                                <w:bCs/>
                                <w:color w:val="595959"/>
                                <w:sz w:val="18"/>
                                <w:szCs w:val="18"/>
                              </w:rPr>
                              <w:t>te as:</w:t>
                            </w:r>
                            <w:r w:rsidRPr="006558F0">
                              <w:rPr>
                                <w:rFonts w:ascii="Cambria" w:hAnsi="Cambria"/>
                                <w:color w:val="595959"/>
                                <w:sz w:val="18"/>
                                <w:szCs w:val="18"/>
                              </w:rPr>
                              <w:t xml:space="preserve"> IACHR, Report No. </w:t>
                            </w:r>
                            <w:r w:rsidR="006558F0">
                              <w:rPr>
                                <w:rFonts w:ascii="Cambria" w:hAnsi="Cambria"/>
                                <w:color w:val="595959"/>
                                <w:sz w:val="18"/>
                                <w:szCs w:val="18"/>
                              </w:rPr>
                              <w:t>169</w:t>
                            </w:r>
                            <w:r w:rsidRPr="006558F0">
                              <w:rPr>
                                <w:rFonts w:ascii="Cambria" w:hAnsi="Cambria"/>
                                <w:color w:val="595959"/>
                                <w:sz w:val="18"/>
                                <w:szCs w:val="18"/>
                              </w:rPr>
                              <w:t xml:space="preserve">/24. Petition 918-14, Admissibility, Virgilio Joya Bueno and Artemo Fontalvo Granados, Colombia, </w:t>
                            </w:r>
                            <w:r w:rsidR="006558F0">
                              <w:rPr>
                                <w:rFonts w:ascii="Cambria" w:hAnsi="Cambria"/>
                                <w:color w:val="595959"/>
                                <w:sz w:val="18"/>
                                <w:szCs w:val="18"/>
                              </w:rPr>
                              <w:t>October 18, 2024</w:t>
                            </w:r>
                            <w:r w:rsidRPr="006558F0">
                              <w:rPr>
                                <w:rFonts w:ascii="Cambria" w:hAnsi="Cambria"/>
                                <w:color w:val="595959"/>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42041" id="Text Box 10" o:spid="_x0000_s1029" type="#_x0000_t202" style="position:absolute;left:0;text-align:left;margin-left:106.55pt;margin-top:645.1pt;width:389.25pt;height:51.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" o:allowincell="f" o:allowoverlap="f" filled="f" stroked="f" strokeweight=".5pt">
                <v:textbox>
                  <w:txbxContent>
                    <w:p w14:paraId="05AD7C7F" w14:textId="77777777" w:rsidR="007454DC" w:rsidRPr="00660C60" w:rsidRDefault="007454DC" w:rsidP="007454DC">
                      <w:pPr>
                        <w:spacing w:line="276" w:lineRule="auto"/>
                        <w:rPr>
                          <w:rFonts w:ascii="Cambria" w:hAnsi="Cambria"/>
                          <w:bCs/>
                          <w:color w:val="595959"/>
                          <w:sz w:val="18"/>
                          <w:szCs w:val="18"/>
                        </w:rPr>
                      </w:pPr>
                      <w:r w:rsidRPr="00660C60">
                        <w:rPr>
                          <w:rFonts w:ascii="Cambria" w:hAnsi="Cambria"/>
                          <w:b/>
                          <w:bCs/>
                          <w:color w:val="595959"/>
                          <w:sz w:val="18"/>
                          <w:szCs w:val="18"/>
                        </w:rPr>
                        <w:t>Ci</w:t>
                      </w:r>
                      <w:r w:rsidRPr="006558F0">
                        <w:rPr>
                          <w:rFonts w:ascii="Cambria" w:hAnsi="Cambria"/>
                          <w:b/>
                          <w:bCs/>
                          <w:color w:val="595959"/>
                          <w:sz w:val="18"/>
                          <w:szCs w:val="18"/>
                        </w:rPr>
                        <w:t>te as:</w:t>
                      </w:r>
                      <w:r w:rsidRPr="006558F0">
                        <w:rPr>
                          <w:rFonts w:ascii="Cambria" w:hAnsi="Cambria"/>
                          <w:color w:val="595959"/>
                          <w:sz w:val="18"/>
                          <w:szCs w:val="18"/>
                        </w:rPr>
                        <w:t xml:space="preserve"> IACHR, Report No. </w:t>
                      </w:r>
                      <w:r w:rsidR="006558F0">
                        <w:rPr>
                          <w:rFonts w:ascii="Cambria" w:hAnsi="Cambria"/>
                          <w:color w:val="595959"/>
                          <w:sz w:val="18"/>
                          <w:szCs w:val="18"/>
                        </w:rPr>
                        <w:t>169</w:t>
                      </w:r>
                      <w:r w:rsidRPr="006558F0">
                        <w:rPr>
                          <w:rFonts w:ascii="Cambria" w:hAnsi="Cambria"/>
                          <w:color w:val="595959"/>
                          <w:sz w:val="18"/>
                          <w:szCs w:val="18"/>
                        </w:rPr>
                        <w:t xml:space="preserve">/24. Petition 918-14, Admissibility, Virgilio Joya Bueno and Artemo Fontalvo Granados, Colombia, </w:t>
                      </w:r>
                      <w:r w:rsidR="006558F0">
                        <w:rPr>
                          <w:rFonts w:ascii="Cambria" w:hAnsi="Cambria"/>
                          <w:color w:val="595959"/>
                          <w:sz w:val="18"/>
                          <w:szCs w:val="18"/>
                        </w:rPr>
                        <w:t>October 18, 2024</w:t>
                      </w:r>
                      <w:r w:rsidRPr="006558F0">
                        <w:rPr>
                          <w:rFonts w:ascii="Cambria" w:hAnsi="Cambria"/>
                          <w:color w:val="595959"/>
                          <w:sz w:val="18"/>
                          <w:szCs w:val="18"/>
                        </w:rPr>
                        <w:t>.</w:t>
                      </w:r>
                    </w:p>
                  </w:txbxContent>
                </v:textbox>
                <w10:wrap type="square" anchory="page"/>
              </v:shape>
            </w:pict>
          </mc:Fallback>
        </mc:AlternateContent>
      </w:r>
    </w:p>
    <w:p w14:paraId="18B6512C" w14:textId="77777777" w:rsidR="007454DC" w:rsidRPr="0031514B" w:rsidRDefault="007454DC" w:rsidP="007454DC">
      <w:pPr>
        <w:tabs>
          <w:tab w:val="center" w:pos="5400"/>
        </w:tabs>
        <w:suppressAutoHyphens/>
        <w:jc w:val="center"/>
        <w:rPr>
          <w:rFonts w:ascii="Cambria" w:hAnsi="Cambria"/>
          <w:sz w:val="18"/>
          <w:szCs w:val="22"/>
        </w:rPr>
      </w:pPr>
    </w:p>
    <w:p w14:paraId="2554D1A3" w14:textId="77777777" w:rsidR="007454DC" w:rsidRPr="0031514B" w:rsidRDefault="007454DC" w:rsidP="007454DC">
      <w:pPr>
        <w:tabs>
          <w:tab w:val="center" w:pos="5400"/>
        </w:tabs>
        <w:suppressAutoHyphens/>
        <w:jc w:val="center"/>
        <w:rPr>
          <w:rFonts w:ascii="Cambria" w:hAnsi="Cambria"/>
          <w:sz w:val="18"/>
          <w:szCs w:val="22"/>
        </w:rPr>
      </w:pPr>
    </w:p>
    <w:p w14:paraId="41FB2D16" w14:textId="77777777" w:rsidR="007454DC" w:rsidRPr="0031514B" w:rsidRDefault="007454DC" w:rsidP="007454DC">
      <w:pPr>
        <w:tabs>
          <w:tab w:val="center" w:pos="5400"/>
        </w:tabs>
        <w:suppressAutoHyphens/>
        <w:jc w:val="center"/>
        <w:rPr>
          <w:rFonts w:ascii="Cambria" w:hAnsi="Cambria"/>
          <w:b/>
          <w:sz w:val="20"/>
        </w:rPr>
      </w:pPr>
    </w:p>
    <w:p w14:paraId="5BFD7AC9" w14:textId="62EF2572" w:rsidR="007454DC" w:rsidRPr="0031514B" w:rsidRDefault="00905A44" w:rsidP="007454DC">
      <w:pPr>
        <w:tabs>
          <w:tab w:val="center" w:pos="5400"/>
        </w:tabs>
        <w:suppressAutoHyphens/>
        <w:jc w:val="center"/>
        <w:rPr>
          <w:rFonts w:ascii="Cambria" w:hAnsi="Cambria"/>
          <w:b/>
          <w:sz w:val="20"/>
        </w:rPr>
        <w:sectPr w:rsidR="007454DC" w:rsidRPr="0031514B" w:rsidSect="007454DC">
          <w:headerReference w:type="even" r:id="rId8"/>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59270" behindDoc="0" locked="0" layoutInCell="1" allowOverlap="1" wp14:anchorId="0B7C6068" wp14:editId="20110002">
                <wp:simplePos x="0" y="0"/>
                <wp:positionH relativeFrom="column">
                  <wp:posOffset>1352550</wp:posOffset>
                </wp:positionH>
                <wp:positionV relativeFrom="paragraph">
                  <wp:posOffset>547370</wp:posOffset>
                </wp:positionV>
                <wp:extent cx="1866900" cy="485775"/>
                <wp:effectExtent l="0" t="0" r="0" b="9525"/>
                <wp:wrapNone/>
                <wp:docPr id="354852007" name="Text Box 9"/>
                <wp:cNvGraphicFramePr/>
                <a:graphic xmlns:a="http://schemas.openxmlformats.org/drawingml/2006/main">
                  <a:graphicData uri="http://schemas.microsoft.com/office/word/2010/wordprocessingShape">
                    <wps:wsp>
                      <wps:cNvSpPr txBox="1"/>
                      <wps:spPr>
                        <a:xfrm>
                          <a:off x="0" y="0"/>
                          <a:ext cx="1866900" cy="485775"/>
                        </a:xfrm>
                        <a:prstGeom prst="rect">
                          <a:avLst/>
                        </a:prstGeom>
                        <a:solidFill>
                          <a:schemeClr val="lt1"/>
                        </a:solidFill>
                        <a:ln w="6350">
                          <a:noFill/>
                        </a:ln>
                      </wps:spPr>
                      <wps:txbx>
                        <w:txbxContent>
                          <w:p w14:paraId="22F98547" w14:textId="38CC1306" w:rsidR="00905A44" w:rsidRDefault="00905A44">
                            <w:r>
                              <w:rPr>
                                <w:noProof/>
                              </w:rPr>
                              <w:drawing>
                                <wp:inline distT="0" distB="0" distL="0" distR="0" wp14:anchorId="0802ADFE" wp14:editId="08EE25CF">
                                  <wp:extent cx="1510665" cy="387985"/>
                                  <wp:effectExtent l="0" t="0" r="0" b="0"/>
                                  <wp:docPr id="2017677947" name="Picture 3" descr="A black and grey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77947" name="Picture 3" descr="A black and grey logo&#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0665" cy="3879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7C6068" id="Text Box 9" o:spid="_x0000_s1030" type="#_x0000_t202" style="position:absolute;left:0;text-align:left;margin-left:106.5pt;margin-top:43.1pt;width:147pt;height:38.25pt;z-index:251659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" fillcolor="white [3201]" stroked="f" strokeweight=".5pt">
                <v:textbox>
                  <w:txbxContent>
                    <w:p w14:paraId="22F98547" w14:textId="38CC1306" w:rsidR="00905A44" w:rsidRDefault="00905A44">
                      <w:r>
                        <w:rPr>
                          <w:noProof/>
                        </w:rPr>
                        <w:drawing>
                          <wp:inline distT="0" distB="0" distL="0" distR="0" wp14:anchorId="0802ADFE" wp14:editId="08EE25CF">
                            <wp:extent cx="1510665" cy="387985"/>
                            <wp:effectExtent l="0" t="0" r="0" b="0"/>
                            <wp:docPr id="2017677947" name="Picture 3" descr="A black and grey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77947" name="Picture 3" descr="A black and grey logo&#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0665" cy="387985"/>
                                    </a:xfrm>
                                    <a:prstGeom prst="rect">
                                      <a:avLst/>
                                    </a:prstGeom>
                                    <a:noFill/>
                                  </pic:spPr>
                                </pic:pic>
                              </a:graphicData>
                            </a:graphic>
                          </wp:inline>
                        </w:drawing>
                      </w:r>
                    </w:p>
                  </w:txbxContent>
                </v:textbox>
              </v:shape>
            </w:pict>
          </mc:Fallback>
        </mc:AlternateContent>
      </w:r>
      <w:r w:rsidR="00EF3C35">
        <w:rPr>
          <w:noProof/>
        </w:rPr>
        <mc:AlternateContent>
          <mc:Choice Requires="wps">
            <w:drawing>
              <wp:anchor distT="0" distB="0" distL="114300" distR="114300" simplePos="0" relativeHeight="251658245" behindDoc="0" locked="0" layoutInCell="1" allowOverlap="1" wp14:anchorId="6B192BA6" wp14:editId="4428BD7F">
                <wp:simplePos x="0" y="0"/>
                <wp:positionH relativeFrom="column">
                  <wp:posOffset>-272415</wp:posOffset>
                </wp:positionH>
                <wp:positionV relativeFrom="paragraph">
                  <wp:posOffset>554355</wp:posOffset>
                </wp:positionV>
                <wp:extent cx="1181100" cy="332740"/>
                <wp:effectExtent l="0" t="0" r="0" b="0"/>
                <wp:wrapNone/>
                <wp:docPr id="694237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81100" cy="332740"/>
                        </a:xfrm>
                        <a:prstGeom prst="rect">
                          <a:avLst/>
                        </a:prstGeom>
                        <a:noFill/>
                        <a:ln w="6350">
                          <a:noFill/>
                        </a:ln>
                        <a:effectLst/>
                      </wps:spPr>
                      <wps:txbx>
                        <w:txbxContent>
                          <w:p w14:paraId="39EA7B4D" w14:textId="77777777" w:rsidR="007454DC" w:rsidRPr="00A504AF" w:rsidRDefault="007454DC" w:rsidP="007454DC">
                            <w:pPr>
                              <w:jc w:val="center"/>
                              <w:rPr>
                                <w:rFonts w:ascii="Calibri" w:hAnsi="Calibri"/>
                                <w:b/>
                                <w:color w:val="FFFFFF"/>
                                <w:sz w:val="24"/>
                                <w:szCs w:val="24"/>
                              </w:rPr>
                            </w:pPr>
                            <w:r w:rsidRPr="00A504AF">
                              <w:rPr>
                                <w:rFonts w:ascii="Calibri" w:hAnsi="Calibri"/>
                                <w:b/>
                                <w:bCs/>
                                <w:color w:val="FFFFFF"/>
                                <w:sz w:val="24"/>
                                <w:szCs w:val="24"/>
                              </w:rPr>
                              <w:t>www.</w:t>
                            </w:r>
                            <w:r w:rsidR="006558F0" w:rsidRPr="00A504AF">
                              <w:rPr>
                                <w:rFonts w:ascii="Calibri" w:hAnsi="Calibri"/>
                                <w:b/>
                                <w:bCs/>
                                <w:color w:val="FFFFFF"/>
                                <w:sz w:val="24"/>
                                <w:szCs w:val="24"/>
                              </w:rPr>
                              <w:t>cidh</w:t>
                            </w:r>
                            <w:r w:rsidR="00BF22E5" w:rsidRPr="00A504AF">
                              <w:rPr>
                                <w:rFonts w:ascii="Calibri" w:hAnsi="Calibri"/>
                                <w:b/>
                                <w:bCs/>
                                <w:color w:val="FFFFFF"/>
                                <w:sz w:val="24"/>
                                <w:szCs w:val="24"/>
                              </w:rPr>
                              <w:t>.</w:t>
                            </w:r>
                            <w:r w:rsidRPr="00A504AF">
                              <w:rPr>
                                <w:rFonts w:ascii="Calibri" w:hAnsi="Calibri"/>
                                <w:b/>
                                <w:bCs/>
                                <w:color w:val="FFFFFF"/>
                                <w:sz w:val="24"/>
                                <w:szCs w:val="24"/>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92BA6" id="Text Box 2" o:spid="_x0000_s1031" type="#_x0000_t202" style="position:absolute;left:0;text-align:left;margin-left:-21.45pt;margin-top:43.65pt;width:93pt;height:2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" filled="f" stroked="f" strokeweight=".5pt">
                <v:textbox>
                  <w:txbxContent>
                    <w:p w14:paraId="39EA7B4D" w14:textId="77777777" w:rsidR="007454DC" w:rsidRPr="00A504AF" w:rsidRDefault="007454DC" w:rsidP="007454DC">
                      <w:pPr>
                        <w:jc w:val="center"/>
                        <w:rPr>
                          <w:rFonts w:ascii="Calibri" w:hAnsi="Calibri"/>
                          <w:b/>
                          <w:color w:val="FFFFFF"/>
                          <w:sz w:val="24"/>
                          <w:szCs w:val="24"/>
                        </w:rPr>
                      </w:pPr>
                      <w:r w:rsidRPr="00A504AF">
                        <w:rPr>
                          <w:rFonts w:ascii="Calibri" w:hAnsi="Calibri"/>
                          <w:b/>
                          <w:bCs/>
                          <w:color w:val="FFFFFF"/>
                          <w:sz w:val="24"/>
                          <w:szCs w:val="24"/>
                        </w:rPr>
                        <w:t>www.</w:t>
                      </w:r>
                      <w:r w:rsidR="006558F0" w:rsidRPr="00A504AF">
                        <w:rPr>
                          <w:rFonts w:ascii="Calibri" w:hAnsi="Calibri"/>
                          <w:b/>
                          <w:bCs/>
                          <w:color w:val="FFFFFF"/>
                          <w:sz w:val="24"/>
                          <w:szCs w:val="24"/>
                        </w:rPr>
                        <w:t>cidh</w:t>
                      </w:r>
                      <w:r w:rsidR="00BF22E5" w:rsidRPr="00A504AF">
                        <w:rPr>
                          <w:rFonts w:ascii="Calibri" w:hAnsi="Calibri"/>
                          <w:b/>
                          <w:bCs/>
                          <w:color w:val="FFFFFF"/>
                          <w:sz w:val="24"/>
                          <w:szCs w:val="24"/>
                        </w:rPr>
                        <w:t>.</w:t>
                      </w:r>
                      <w:r w:rsidRPr="00A504AF">
                        <w:rPr>
                          <w:rFonts w:ascii="Calibri" w:hAnsi="Calibri"/>
                          <w:b/>
                          <w:bCs/>
                          <w:color w:val="FFFFFF"/>
                          <w:sz w:val="24"/>
                          <w:szCs w:val="24"/>
                        </w:rPr>
                        <w:t>org</w:t>
                      </w:r>
                    </w:p>
                  </w:txbxContent>
                </v:textbox>
              </v:shape>
            </w:pict>
          </mc:Fallback>
        </mc:AlternateContent>
      </w:r>
      <w:r w:rsidR="007454DC" w:rsidRPr="0031514B">
        <w:rPr>
          <w:rFonts w:ascii="Cambria" w:hAnsi="Cambria"/>
          <w:b/>
          <w:bCs/>
        </w:rPr>
        <w:tab/>
      </w:r>
      <w:r>
        <w:rPr>
          <w:rFonts w:ascii="Cambria" w:hAnsi="Cambria"/>
          <w:b/>
          <w:bCs/>
        </w:rPr>
        <w:tab/>
      </w:r>
    </w:p>
    <w:p w14:paraId="265C4A09" w14:textId="77777777" w:rsidR="007454DC" w:rsidRPr="0031514B" w:rsidRDefault="007454DC" w:rsidP="007454DC">
      <w:pPr>
        <w:spacing w:after="240"/>
        <w:ind w:firstLine="720"/>
        <w:rPr>
          <w:rFonts w:ascii="Cambria" w:hAnsi="Cambria"/>
          <w:b/>
          <w:bCs/>
          <w:sz w:val="20"/>
        </w:rPr>
      </w:pPr>
      <w:r w:rsidRPr="0031514B">
        <w:rPr>
          <w:rFonts w:ascii="Cambria" w:hAnsi="Cambria"/>
          <w:b/>
          <w:bCs/>
          <w:sz w:val="20"/>
        </w:rPr>
        <w:lastRenderedPageBreak/>
        <w:t>I.</w:t>
      </w:r>
      <w:r w:rsidRPr="0031514B">
        <w:rPr>
          <w:rFonts w:ascii="Cambria" w:hAnsi="Cambria"/>
          <w:b/>
          <w:bCs/>
          <w:sz w:val="20"/>
        </w:rPr>
        <w:tab/>
        <w:t xml:space="preserve">INFORMATION ABOUT THE PETITION </w:t>
      </w:r>
    </w:p>
    <w:tbl>
      <w:tblPr>
        <w:tblW w:w="924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647"/>
      </w:tblGrid>
      <w:tr w:rsidR="007454DC" w:rsidRPr="0031514B" w14:paraId="0F831FAB" w14:textId="77777777" w:rsidTr="00660C60">
        <w:tc>
          <w:tcPr>
            <w:tcW w:w="3600" w:type="dxa"/>
            <w:tcBorders>
              <w:top w:val="single" w:sz="4" w:space="0" w:color="auto"/>
              <w:bottom w:val="single" w:sz="6" w:space="0" w:color="auto"/>
            </w:tcBorders>
            <w:shd w:val="clear" w:color="auto" w:fill="67AE3C"/>
            <w:vAlign w:val="center"/>
          </w:tcPr>
          <w:p w14:paraId="3D910D04"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Petitioner(s)</w:t>
            </w:r>
          </w:p>
        </w:tc>
        <w:tc>
          <w:tcPr>
            <w:tcW w:w="5647" w:type="dxa"/>
            <w:shd w:val="clear" w:color="auto" w:fill="auto"/>
            <w:vAlign w:val="center"/>
          </w:tcPr>
          <w:p w14:paraId="00AD32D1"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Virgilio Joya Bueno and Artemo Fontalvo Granados</w:t>
            </w:r>
          </w:p>
        </w:tc>
      </w:tr>
      <w:tr w:rsidR="007454DC" w:rsidRPr="0031514B" w14:paraId="53CA122E" w14:textId="77777777" w:rsidTr="00660C60">
        <w:tc>
          <w:tcPr>
            <w:tcW w:w="3600" w:type="dxa"/>
            <w:tcBorders>
              <w:top w:val="single" w:sz="6" w:space="0" w:color="auto"/>
              <w:bottom w:val="single" w:sz="6" w:space="0" w:color="auto"/>
            </w:tcBorders>
            <w:shd w:val="clear" w:color="auto" w:fill="67AE3C"/>
            <w:vAlign w:val="center"/>
          </w:tcPr>
          <w:p w14:paraId="3462AF40"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 xml:space="preserve">Alleged </w:t>
            </w:r>
            <w:r w:rsidRPr="00660C60">
              <w:rPr>
                <w:rFonts w:ascii="Cambria" w:eastAsia="Arial Unicode MS" w:hAnsi="Cambria"/>
                <w:b/>
                <w:bCs/>
                <w:color w:val="FFFFFF"/>
                <w:sz w:val="20"/>
                <w:bdr w:val="nil"/>
              </w:rPr>
              <w:t>victims:</w:t>
            </w:r>
          </w:p>
        </w:tc>
        <w:tc>
          <w:tcPr>
            <w:tcW w:w="5647" w:type="dxa"/>
            <w:shd w:val="clear" w:color="auto" w:fill="auto"/>
            <w:vAlign w:val="center"/>
          </w:tcPr>
          <w:p w14:paraId="48E9FE35"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Virgilio Joya Bueno and Artemo Fontalvo Granados</w:t>
            </w:r>
          </w:p>
        </w:tc>
      </w:tr>
      <w:tr w:rsidR="007454DC" w:rsidRPr="0031514B" w14:paraId="45F1A710" w14:textId="77777777" w:rsidTr="00660C60">
        <w:tc>
          <w:tcPr>
            <w:tcW w:w="3600" w:type="dxa"/>
            <w:tcBorders>
              <w:top w:val="single" w:sz="6" w:space="0" w:color="auto"/>
              <w:bottom w:val="single" w:sz="6" w:space="0" w:color="auto"/>
            </w:tcBorders>
            <w:shd w:val="clear" w:color="auto" w:fill="67AE3C"/>
            <w:vAlign w:val="center"/>
          </w:tcPr>
          <w:p w14:paraId="0A28457B"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Respondent State</w:t>
            </w:r>
          </w:p>
        </w:tc>
        <w:tc>
          <w:tcPr>
            <w:tcW w:w="5647" w:type="dxa"/>
            <w:shd w:val="clear" w:color="auto" w:fill="auto"/>
            <w:vAlign w:val="center"/>
          </w:tcPr>
          <w:p w14:paraId="45FE4032"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Colombia</w:t>
            </w:r>
            <w:r w:rsidRPr="003255C4">
              <w:rPr>
                <w:rStyle w:val="FootnoteReference"/>
                <w:rFonts w:ascii="Cambria" w:eastAsia="Arial Unicode MS" w:hAnsi="Cambria"/>
                <w:sz w:val="20"/>
                <w:bdr w:val="nil"/>
                <w:vertAlign w:val="superscript"/>
              </w:rPr>
              <w:footnoteReference w:id="2"/>
            </w:r>
          </w:p>
        </w:tc>
      </w:tr>
      <w:tr w:rsidR="007454DC" w:rsidRPr="0031514B" w14:paraId="5E63F460" w14:textId="77777777" w:rsidTr="00660C60">
        <w:tc>
          <w:tcPr>
            <w:tcW w:w="3600" w:type="dxa"/>
            <w:tcBorders>
              <w:top w:val="single" w:sz="6" w:space="0" w:color="auto"/>
              <w:bottom w:val="single" w:sz="6" w:space="0" w:color="auto"/>
            </w:tcBorders>
            <w:shd w:val="clear" w:color="auto" w:fill="67AE3C"/>
            <w:vAlign w:val="center"/>
          </w:tcPr>
          <w:p w14:paraId="62A2F60A"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Rights invoked</w:t>
            </w:r>
          </w:p>
        </w:tc>
        <w:tc>
          <w:tcPr>
            <w:tcW w:w="5647" w:type="dxa"/>
            <w:shd w:val="clear" w:color="auto" w:fill="auto"/>
            <w:vAlign w:val="center"/>
          </w:tcPr>
          <w:p w14:paraId="20C5C6AF"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Articles 8 (fair trial), 24 (equal protection), and 25 (judicial protection) of the American Convention on Human Rights</w:t>
            </w:r>
            <w:r w:rsidRPr="0031514B">
              <w:rPr>
                <w:rStyle w:val="FootnoteReference"/>
                <w:rFonts w:ascii="Cambria" w:eastAsia="Arial Unicode MS" w:hAnsi="Cambria"/>
                <w:sz w:val="20"/>
                <w:bdr w:val="nil"/>
                <w:vertAlign w:val="superscript"/>
              </w:rPr>
              <w:footnoteReference w:id="3"/>
            </w:r>
          </w:p>
        </w:tc>
      </w:tr>
    </w:tbl>
    <w:p w14:paraId="3BA2E7AF" w14:textId="77777777" w:rsidR="007454DC" w:rsidRPr="0031514B" w:rsidRDefault="007454DC" w:rsidP="007454DC">
      <w:pPr>
        <w:spacing w:before="240" w:after="240"/>
        <w:ind w:firstLine="720"/>
        <w:rPr>
          <w:rFonts w:ascii="Cambria" w:hAnsi="Cambria"/>
          <w:b/>
          <w:bCs/>
          <w:sz w:val="20"/>
        </w:rPr>
      </w:pPr>
      <w:r w:rsidRPr="0031514B">
        <w:rPr>
          <w:rFonts w:ascii="Cambria" w:hAnsi="Cambria"/>
          <w:b/>
          <w:bCs/>
          <w:sz w:val="20"/>
        </w:rPr>
        <w:t>II.</w:t>
      </w:r>
      <w:r w:rsidRPr="0031514B">
        <w:rPr>
          <w:rFonts w:ascii="Cambria" w:hAnsi="Cambria"/>
          <w:b/>
          <w:bCs/>
          <w:sz w:val="20"/>
        </w:rPr>
        <w:tab/>
        <w:t>PROCEEDINGS BEFORE THE IACHR</w:t>
      </w:r>
      <w:r w:rsidRPr="003255C4">
        <w:rPr>
          <w:rStyle w:val="FootnoteReference"/>
          <w:rFonts w:ascii="Cambria" w:hAnsi="Cambria"/>
          <w:b/>
          <w:bCs/>
          <w:sz w:val="20"/>
          <w:vertAlign w:val="superscript"/>
        </w:rPr>
        <w:footnoteReference w:id="4"/>
      </w:r>
    </w:p>
    <w:tbl>
      <w:tblPr>
        <w:tblW w:w="924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647"/>
      </w:tblGrid>
      <w:tr w:rsidR="007454DC" w:rsidRPr="0031514B" w14:paraId="3D78BA2F" w14:textId="77777777" w:rsidTr="00660C60">
        <w:tc>
          <w:tcPr>
            <w:tcW w:w="3600" w:type="dxa"/>
            <w:tcBorders>
              <w:top w:val="single" w:sz="4" w:space="0" w:color="auto"/>
              <w:bottom w:val="single" w:sz="6" w:space="0" w:color="auto"/>
            </w:tcBorders>
            <w:shd w:val="clear" w:color="auto" w:fill="67AE3C"/>
            <w:vAlign w:val="center"/>
          </w:tcPr>
          <w:p w14:paraId="739EF21F"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Filing of the petition</w:t>
            </w:r>
          </w:p>
        </w:tc>
        <w:tc>
          <w:tcPr>
            <w:tcW w:w="5647" w:type="dxa"/>
            <w:shd w:val="clear" w:color="auto" w:fill="auto"/>
            <w:vAlign w:val="center"/>
          </w:tcPr>
          <w:p w14:paraId="33BB8F64"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June 26, 2014</w:t>
            </w:r>
          </w:p>
        </w:tc>
      </w:tr>
      <w:tr w:rsidR="007454DC" w:rsidRPr="0031514B" w14:paraId="258518E3" w14:textId="77777777" w:rsidTr="00660C60">
        <w:tc>
          <w:tcPr>
            <w:tcW w:w="3600" w:type="dxa"/>
            <w:tcBorders>
              <w:top w:val="single" w:sz="6" w:space="0" w:color="auto"/>
              <w:bottom w:val="single" w:sz="6" w:space="0" w:color="auto"/>
            </w:tcBorders>
            <w:shd w:val="clear" w:color="auto" w:fill="67AE3C"/>
            <w:vAlign w:val="center"/>
          </w:tcPr>
          <w:p w14:paraId="5B8B6228"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Additional information received at the stage of initial review</w:t>
            </w:r>
          </w:p>
        </w:tc>
        <w:tc>
          <w:tcPr>
            <w:tcW w:w="5647" w:type="dxa"/>
            <w:shd w:val="clear" w:color="auto" w:fill="auto"/>
            <w:vAlign w:val="center"/>
          </w:tcPr>
          <w:p w14:paraId="0D418482"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October 26, 2017</w:t>
            </w:r>
          </w:p>
        </w:tc>
      </w:tr>
      <w:tr w:rsidR="007454DC" w:rsidRPr="0031514B" w14:paraId="6F327EB3" w14:textId="77777777" w:rsidTr="00660C60">
        <w:tc>
          <w:tcPr>
            <w:tcW w:w="3600" w:type="dxa"/>
            <w:tcBorders>
              <w:top w:val="single" w:sz="6" w:space="0" w:color="auto"/>
              <w:bottom w:val="single" w:sz="6" w:space="0" w:color="auto"/>
            </w:tcBorders>
            <w:shd w:val="clear" w:color="auto" w:fill="67AE3C"/>
            <w:vAlign w:val="center"/>
          </w:tcPr>
          <w:p w14:paraId="7E189600"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Notification of the petition to the State</w:t>
            </w:r>
          </w:p>
        </w:tc>
        <w:tc>
          <w:tcPr>
            <w:tcW w:w="5647" w:type="dxa"/>
            <w:shd w:val="clear" w:color="auto" w:fill="auto"/>
            <w:vAlign w:val="center"/>
          </w:tcPr>
          <w:p w14:paraId="103F8087"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November 25, 2019</w:t>
            </w:r>
          </w:p>
        </w:tc>
      </w:tr>
      <w:tr w:rsidR="007454DC" w:rsidRPr="0031514B" w14:paraId="0489B7D1" w14:textId="77777777" w:rsidTr="00660C60">
        <w:tc>
          <w:tcPr>
            <w:tcW w:w="3600" w:type="dxa"/>
            <w:tcBorders>
              <w:top w:val="single" w:sz="6" w:space="0" w:color="auto"/>
              <w:bottom w:val="single" w:sz="6" w:space="0" w:color="auto"/>
            </w:tcBorders>
            <w:shd w:val="clear" w:color="auto" w:fill="67AE3C"/>
            <w:vAlign w:val="center"/>
          </w:tcPr>
          <w:p w14:paraId="7F339A0D"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State's first response</w:t>
            </w:r>
          </w:p>
        </w:tc>
        <w:tc>
          <w:tcPr>
            <w:tcW w:w="5647" w:type="dxa"/>
            <w:shd w:val="clear" w:color="auto" w:fill="auto"/>
            <w:vAlign w:val="center"/>
          </w:tcPr>
          <w:p w14:paraId="79A9DCD4"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December 14, 2020</w:t>
            </w:r>
          </w:p>
        </w:tc>
      </w:tr>
      <w:tr w:rsidR="007454DC" w:rsidRPr="0031514B" w14:paraId="40FB6D6E" w14:textId="77777777" w:rsidTr="00660C60">
        <w:tc>
          <w:tcPr>
            <w:tcW w:w="3600" w:type="dxa"/>
            <w:tcBorders>
              <w:top w:val="single" w:sz="6" w:space="0" w:color="auto"/>
              <w:bottom w:val="single" w:sz="6" w:space="0" w:color="auto"/>
            </w:tcBorders>
            <w:shd w:val="clear" w:color="auto" w:fill="67AE3C"/>
            <w:vAlign w:val="center"/>
          </w:tcPr>
          <w:p w14:paraId="325D77B6"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Additional observations from the petitioner(s)</w:t>
            </w:r>
          </w:p>
        </w:tc>
        <w:tc>
          <w:tcPr>
            <w:tcW w:w="5647" w:type="dxa"/>
            <w:shd w:val="clear" w:color="auto" w:fill="auto"/>
            <w:vAlign w:val="center"/>
          </w:tcPr>
          <w:p w14:paraId="46C65017"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February 26, 2021</w:t>
            </w:r>
          </w:p>
        </w:tc>
      </w:tr>
      <w:tr w:rsidR="007454DC" w:rsidRPr="0031514B" w14:paraId="46E32736" w14:textId="77777777" w:rsidTr="00660C60">
        <w:tc>
          <w:tcPr>
            <w:tcW w:w="3600" w:type="dxa"/>
            <w:tcBorders>
              <w:top w:val="single" w:sz="6" w:space="0" w:color="auto"/>
              <w:bottom w:val="single" w:sz="6" w:space="0" w:color="auto"/>
            </w:tcBorders>
            <w:shd w:val="clear" w:color="auto" w:fill="67AE3C"/>
            <w:vAlign w:val="center"/>
          </w:tcPr>
          <w:p w14:paraId="08A1DE18"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Additional observations from the State</w:t>
            </w:r>
          </w:p>
        </w:tc>
        <w:tc>
          <w:tcPr>
            <w:tcW w:w="5647" w:type="dxa"/>
            <w:shd w:val="clear" w:color="auto" w:fill="auto"/>
            <w:vAlign w:val="center"/>
          </w:tcPr>
          <w:p w14:paraId="44D1FCFC"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 xml:space="preserve">July 21 and October 15, 2021 </w:t>
            </w:r>
          </w:p>
        </w:tc>
      </w:tr>
    </w:tbl>
    <w:p w14:paraId="13643064" w14:textId="77777777" w:rsidR="007454DC" w:rsidRPr="0031514B" w:rsidRDefault="007454DC" w:rsidP="007454DC">
      <w:pPr>
        <w:spacing w:before="240" w:after="240"/>
        <w:ind w:firstLine="720"/>
        <w:rPr>
          <w:rFonts w:ascii="Cambria" w:hAnsi="Cambria"/>
          <w:b/>
          <w:bCs/>
          <w:sz w:val="20"/>
        </w:rPr>
      </w:pPr>
      <w:r w:rsidRPr="0031514B">
        <w:rPr>
          <w:rFonts w:ascii="Cambria" w:hAnsi="Cambria"/>
          <w:b/>
          <w:bCs/>
          <w:sz w:val="20"/>
        </w:rPr>
        <w:t xml:space="preserve">III. </w:t>
      </w:r>
      <w:r w:rsidRPr="0031514B">
        <w:rPr>
          <w:rFonts w:ascii="Cambria" w:hAnsi="Cambria"/>
          <w:sz w:val="20"/>
        </w:rPr>
        <w:tab/>
      </w:r>
      <w:r w:rsidRPr="0031514B">
        <w:rPr>
          <w:rFonts w:ascii="Cambria" w:hAnsi="Cambria"/>
          <w:b/>
          <w:bCs/>
          <w:sz w:val="20"/>
        </w:rPr>
        <w:t xml:space="preserve">COMPETENCE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1"/>
        <w:gridCol w:w="5681"/>
      </w:tblGrid>
      <w:tr w:rsidR="007454DC" w:rsidRPr="0031514B" w14:paraId="4B1787D2" w14:textId="77777777" w:rsidTr="00660C60">
        <w:trPr>
          <w:cantSplit/>
        </w:trPr>
        <w:tc>
          <w:tcPr>
            <w:tcW w:w="3600" w:type="dxa"/>
            <w:tcBorders>
              <w:top w:val="single" w:sz="4" w:space="0" w:color="auto"/>
              <w:bottom w:val="single" w:sz="6" w:space="0" w:color="auto"/>
            </w:tcBorders>
            <w:shd w:val="clear" w:color="auto" w:fill="67AE3C"/>
            <w:vAlign w:val="center"/>
          </w:tcPr>
          <w:p w14:paraId="05A123C7"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i/>
                <w:color w:val="FFFFFF"/>
                <w:sz w:val="20"/>
                <w:bdr w:val="nil"/>
              </w:rPr>
            </w:pPr>
            <w:r w:rsidRPr="0031514B">
              <w:rPr>
                <w:rFonts w:ascii="Cambria" w:eastAsia="Arial Unicode MS" w:hAnsi="Cambria"/>
                <w:b/>
                <w:bCs/>
                <w:color w:val="FFFFFF"/>
                <w:sz w:val="20"/>
                <w:bdr w:val="nil"/>
              </w:rPr>
              <w:t>Competence</w:t>
            </w:r>
            <w:r w:rsidRPr="0031514B">
              <w:rPr>
                <w:rFonts w:ascii="Cambria" w:eastAsia="Arial Unicode MS" w:hAnsi="Cambria"/>
                <w:b/>
                <w:bCs/>
                <w:i/>
                <w:iCs/>
                <w:color w:val="FFFFFF"/>
                <w:sz w:val="20"/>
                <w:bdr w:val="nil"/>
              </w:rPr>
              <w:t xml:space="preserve"> ratione personae</w:t>
            </w:r>
          </w:p>
        </w:tc>
        <w:tc>
          <w:tcPr>
            <w:tcW w:w="5760" w:type="dxa"/>
            <w:shd w:val="clear" w:color="auto" w:fill="auto"/>
            <w:vAlign w:val="center"/>
          </w:tcPr>
          <w:p w14:paraId="11E64CA8"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Yes</w:t>
            </w:r>
          </w:p>
        </w:tc>
      </w:tr>
      <w:tr w:rsidR="007454DC" w:rsidRPr="0031514B" w14:paraId="501188C2" w14:textId="77777777" w:rsidTr="00660C60">
        <w:trPr>
          <w:cantSplit/>
        </w:trPr>
        <w:tc>
          <w:tcPr>
            <w:tcW w:w="3600" w:type="dxa"/>
            <w:tcBorders>
              <w:top w:val="single" w:sz="6" w:space="0" w:color="auto"/>
              <w:bottom w:val="single" w:sz="6" w:space="0" w:color="auto"/>
            </w:tcBorders>
            <w:shd w:val="clear" w:color="auto" w:fill="67AE3C"/>
            <w:vAlign w:val="center"/>
          </w:tcPr>
          <w:p w14:paraId="60C2655E"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Competition</w:t>
            </w:r>
            <w:r w:rsidRPr="0031514B">
              <w:rPr>
                <w:rFonts w:ascii="Cambria" w:eastAsia="Arial Unicode MS" w:hAnsi="Cambria"/>
                <w:b/>
                <w:bCs/>
                <w:i/>
                <w:iCs/>
                <w:color w:val="FFFFFF"/>
                <w:sz w:val="20"/>
                <w:bdr w:val="nil"/>
              </w:rPr>
              <w:t xml:space="preserve"> ratione loci</w:t>
            </w:r>
          </w:p>
        </w:tc>
        <w:tc>
          <w:tcPr>
            <w:tcW w:w="5760" w:type="dxa"/>
            <w:shd w:val="clear" w:color="auto" w:fill="auto"/>
            <w:vAlign w:val="center"/>
          </w:tcPr>
          <w:p w14:paraId="1CB7BE70"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Yes</w:t>
            </w:r>
          </w:p>
        </w:tc>
      </w:tr>
      <w:tr w:rsidR="007454DC" w:rsidRPr="0031514B" w14:paraId="770F2843" w14:textId="77777777" w:rsidTr="00660C60">
        <w:trPr>
          <w:cantSplit/>
        </w:trPr>
        <w:tc>
          <w:tcPr>
            <w:tcW w:w="3600" w:type="dxa"/>
            <w:tcBorders>
              <w:top w:val="single" w:sz="6" w:space="0" w:color="auto"/>
              <w:bottom w:val="single" w:sz="6" w:space="0" w:color="auto"/>
            </w:tcBorders>
            <w:shd w:val="clear" w:color="auto" w:fill="67AE3C"/>
            <w:vAlign w:val="center"/>
          </w:tcPr>
          <w:p w14:paraId="4BB84B8C"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Competence</w:t>
            </w:r>
            <w:r w:rsidRPr="0031514B">
              <w:rPr>
                <w:rFonts w:ascii="Cambria" w:eastAsia="Arial Unicode MS" w:hAnsi="Cambria"/>
                <w:b/>
                <w:bCs/>
                <w:i/>
                <w:iCs/>
                <w:color w:val="FFFFFF"/>
                <w:sz w:val="20"/>
                <w:bdr w:val="nil"/>
              </w:rPr>
              <w:t xml:space="preserve"> ratione temporis</w:t>
            </w:r>
          </w:p>
        </w:tc>
        <w:tc>
          <w:tcPr>
            <w:tcW w:w="5760" w:type="dxa"/>
            <w:shd w:val="clear" w:color="auto" w:fill="auto"/>
            <w:vAlign w:val="center"/>
          </w:tcPr>
          <w:p w14:paraId="7837283A"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Yes</w:t>
            </w:r>
          </w:p>
        </w:tc>
      </w:tr>
      <w:tr w:rsidR="007454DC" w:rsidRPr="0031514B" w14:paraId="1E41CBD0" w14:textId="77777777" w:rsidTr="00660C60">
        <w:trPr>
          <w:cantSplit/>
        </w:trPr>
        <w:tc>
          <w:tcPr>
            <w:tcW w:w="3600" w:type="dxa"/>
            <w:tcBorders>
              <w:top w:val="single" w:sz="6" w:space="0" w:color="auto"/>
              <w:bottom w:val="single" w:sz="6" w:space="0" w:color="auto"/>
            </w:tcBorders>
            <w:shd w:val="clear" w:color="auto" w:fill="67AE3C"/>
            <w:vAlign w:val="center"/>
          </w:tcPr>
          <w:p w14:paraId="1B888176"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Competence</w:t>
            </w:r>
            <w:r w:rsidRPr="0031514B">
              <w:rPr>
                <w:rFonts w:ascii="Cambria" w:eastAsia="Arial Unicode MS" w:hAnsi="Cambria"/>
                <w:b/>
                <w:bCs/>
                <w:i/>
                <w:iCs/>
                <w:color w:val="FFFFFF"/>
                <w:sz w:val="20"/>
                <w:bdr w:val="nil"/>
              </w:rPr>
              <w:t xml:space="preserve"> ratione materiae</w:t>
            </w:r>
          </w:p>
        </w:tc>
        <w:tc>
          <w:tcPr>
            <w:tcW w:w="5760" w:type="dxa"/>
            <w:shd w:val="clear" w:color="auto" w:fill="auto"/>
            <w:vAlign w:val="center"/>
          </w:tcPr>
          <w:p w14:paraId="5EDB4DBA"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 xml:space="preserve">Yes, American Convention (instrument of ratification deposited on July 31, 1973) </w:t>
            </w:r>
          </w:p>
        </w:tc>
      </w:tr>
    </w:tbl>
    <w:p w14:paraId="5D34ABF9" w14:textId="77777777" w:rsidR="007454DC" w:rsidRPr="0031514B" w:rsidRDefault="007454DC" w:rsidP="007454DC">
      <w:pPr>
        <w:spacing w:before="240" w:after="240"/>
        <w:ind w:firstLine="720"/>
        <w:rPr>
          <w:rFonts w:ascii="Cambria" w:hAnsi="Cambria"/>
          <w:b/>
          <w:bCs/>
          <w:sz w:val="20"/>
        </w:rPr>
      </w:pPr>
      <w:r w:rsidRPr="0031514B">
        <w:rPr>
          <w:rFonts w:ascii="Cambria" w:hAnsi="Cambria"/>
          <w:b/>
          <w:bCs/>
          <w:sz w:val="20"/>
        </w:rPr>
        <w:t xml:space="preserve">IV. </w:t>
      </w:r>
      <w:r w:rsidRPr="0031514B">
        <w:rPr>
          <w:rFonts w:ascii="Cambria" w:hAnsi="Cambria"/>
          <w:sz w:val="20"/>
        </w:rPr>
        <w:tab/>
      </w:r>
      <w:r w:rsidRPr="0031514B">
        <w:rPr>
          <w:rFonts w:ascii="Cambria" w:hAnsi="Cambria"/>
          <w:b/>
          <w:bCs/>
          <w:sz w:val="20"/>
        </w:rPr>
        <w:t>DUPLICATION</w:t>
      </w:r>
      <w:r w:rsidRPr="0031514B">
        <w:rPr>
          <w:rFonts w:ascii="Cambria" w:hAnsi="Cambria"/>
          <w:color w:val="FFFFFF"/>
          <w:sz w:val="20"/>
        </w:rPr>
        <w:t xml:space="preserve"> </w:t>
      </w:r>
      <w:r w:rsidRPr="0031514B">
        <w:rPr>
          <w:rFonts w:ascii="Cambria" w:hAnsi="Cambria"/>
          <w:b/>
          <w:bCs/>
          <w:sz w:val="20"/>
        </w:rPr>
        <w:t xml:space="preserve">OF PROCEEDINGS AND INTERNATIONAL </w:t>
      </w:r>
      <w:r w:rsidRPr="0031514B">
        <w:rPr>
          <w:rFonts w:ascii="Cambria" w:hAnsi="Cambria"/>
          <w:b/>
          <w:bCs/>
          <w:i/>
          <w:iCs/>
          <w:sz w:val="20"/>
        </w:rPr>
        <w:t>RES JUDICATA</w:t>
      </w:r>
      <w:r w:rsidRPr="0031514B">
        <w:rPr>
          <w:rFonts w:ascii="Cambria" w:hAnsi="Cambria"/>
          <w:b/>
          <w:bCs/>
          <w:sz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5"/>
        <w:gridCol w:w="5677"/>
      </w:tblGrid>
      <w:tr w:rsidR="007454DC" w:rsidRPr="0031514B" w14:paraId="635C6782" w14:textId="77777777" w:rsidTr="00660C60">
        <w:trPr>
          <w:cantSplit/>
        </w:trPr>
        <w:tc>
          <w:tcPr>
            <w:tcW w:w="3565" w:type="dxa"/>
            <w:tcBorders>
              <w:top w:val="single" w:sz="4" w:space="0" w:color="auto"/>
              <w:bottom w:val="single" w:sz="6" w:space="0" w:color="auto"/>
            </w:tcBorders>
            <w:shd w:val="clear" w:color="auto" w:fill="67AE3C"/>
            <w:vAlign w:val="center"/>
          </w:tcPr>
          <w:p w14:paraId="48B65F40"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Duplication of proced</w:t>
            </w:r>
            <w:r w:rsidR="00BF22E5">
              <w:rPr>
                <w:rFonts w:ascii="Cambria" w:eastAsia="Arial Unicode MS" w:hAnsi="Cambria"/>
                <w:b/>
                <w:bCs/>
                <w:color w:val="FFFFFF"/>
                <w:sz w:val="20"/>
                <w:bdr w:val="nil"/>
              </w:rPr>
              <w:t>ures</w:t>
            </w:r>
            <w:r w:rsidRPr="0031514B">
              <w:rPr>
                <w:rFonts w:ascii="Cambria" w:eastAsia="Arial Unicode MS" w:hAnsi="Cambria"/>
                <w:b/>
                <w:bCs/>
                <w:color w:val="FFFFFF"/>
                <w:sz w:val="20"/>
                <w:bdr w:val="nil"/>
              </w:rPr>
              <w:t xml:space="preserve"> and international </w:t>
            </w:r>
            <w:r w:rsidRPr="0031514B">
              <w:rPr>
                <w:rFonts w:ascii="Cambria" w:eastAsia="Arial Unicode MS" w:hAnsi="Cambria"/>
                <w:b/>
                <w:bCs/>
                <w:i/>
                <w:iCs/>
                <w:color w:val="FFFFFF"/>
                <w:sz w:val="20"/>
                <w:bdr w:val="nil"/>
              </w:rPr>
              <w:t>res judicata</w:t>
            </w:r>
          </w:p>
        </w:tc>
        <w:tc>
          <w:tcPr>
            <w:tcW w:w="5677" w:type="dxa"/>
            <w:shd w:val="clear" w:color="auto" w:fill="auto"/>
            <w:vAlign w:val="center"/>
          </w:tcPr>
          <w:p w14:paraId="1770F464"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No</w:t>
            </w:r>
          </w:p>
        </w:tc>
      </w:tr>
      <w:tr w:rsidR="007454DC" w:rsidRPr="0031514B" w14:paraId="06A433F4" w14:textId="77777777" w:rsidTr="00660C60">
        <w:trPr>
          <w:cantSplit/>
        </w:trPr>
        <w:tc>
          <w:tcPr>
            <w:tcW w:w="3565" w:type="dxa"/>
            <w:tcBorders>
              <w:top w:val="single" w:sz="6" w:space="0" w:color="auto"/>
              <w:bottom w:val="single" w:sz="6" w:space="0" w:color="auto"/>
            </w:tcBorders>
            <w:shd w:val="clear" w:color="auto" w:fill="67AE3C"/>
            <w:vAlign w:val="center"/>
          </w:tcPr>
          <w:p w14:paraId="6AFBD57E"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i/>
                <w:color w:val="FFFFFF"/>
                <w:sz w:val="20"/>
                <w:bdr w:val="nil"/>
              </w:rPr>
            </w:pPr>
            <w:r w:rsidRPr="0031514B">
              <w:rPr>
                <w:rFonts w:ascii="Cambria" w:eastAsia="Arial Unicode MS" w:hAnsi="Cambria"/>
                <w:b/>
                <w:bCs/>
                <w:color w:val="FFFFFF"/>
                <w:sz w:val="20"/>
                <w:bdr w:val="nil"/>
              </w:rPr>
              <w:t>Rights declared admissible</w:t>
            </w:r>
          </w:p>
        </w:tc>
        <w:tc>
          <w:tcPr>
            <w:tcW w:w="5677" w:type="dxa"/>
            <w:shd w:val="clear" w:color="auto" w:fill="auto"/>
            <w:vAlign w:val="center"/>
          </w:tcPr>
          <w:p w14:paraId="5A3A38DC"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 xml:space="preserve">Articles 8 (right to a fair trial), 23 (right to participate in government), 25 (right to judicial protection) and 26 (right to work) of the American Convention, in conjunction with Article 1(1) (obligation to respect rights) thereof </w:t>
            </w:r>
          </w:p>
        </w:tc>
      </w:tr>
      <w:tr w:rsidR="007454DC" w:rsidRPr="0031514B" w14:paraId="0845FFFD" w14:textId="77777777" w:rsidTr="00660C60">
        <w:trPr>
          <w:cantSplit/>
        </w:trPr>
        <w:tc>
          <w:tcPr>
            <w:tcW w:w="3565" w:type="dxa"/>
            <w:tcBorders>
              <w:top w:val="single" w:sz="6" w:space="0" w:color="auto"/>
              <w:bottom w:val="single" w:sz="6" w:space="0" w:color="auto"/>
            </w:tcBorders>
            <w:shd w:val="clear" w:color="auto" w:fill="67AE3C"/>
            <w:vAlign w:val="center"/>
          </w:tcPr>
          <w:p w14:paraId="6469DDEC"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Exhaustion of domestic remedies or applicability of an exception to the rule</w:t>
            </w:r>
          </w:p>
        </w:tc>
        <w:tc>
          <w:tcPr>
            <w:tcW w:w="5677" w:type="dxa"/>
            <w:shd w:val="clear" w:color="auto" w:fill="auto"/>
            <w:vAlign w:val="center"/>
          </w:tcPr>
          <w:p w14:paraId="4C738F1C"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Yes, as referred to in Section VI</w:t>
            </w:r>
          </w:p>
        </w:tc>
      </w:tr>
      <w:tr w:rsidR="007454DC" w:rsidRPr="0031514B" w14:paraId="2D1EA14C" w14:textId="77777777" w:rsidTr="00660C60">
        <w:trPr>
          <w:cantSplit/>
        </w:trPr>
        <w:tc>
          <w:tcPr>
            <w:tcW w:w="3565" w:type="dxa"/>
            <w:tcBorders>
              <w:top w:val="single" w:sz="6" w:space="0" w:color="auto"/>
              <w:bottom w:val="single" w:sz="6" w:space="0" w:color="auto"/>
            </w:tcBorders>
            <w:shd w:val="clear" w:color="auto" w:fill="67AE3C"/>
            <w:vAlign w:val="center"/>
          </w:tcPr>
          <w:p w14:paraId="007A4616" w14:textId="77777777" w:rsidR="007454DC" w:rsidRPr="0031514B" w:rsidRDefault="007454DC" w:rsidP="00473170">
            <w:pPr>
              <w:pBdr>
                <w:top w:val="nil"/>
                <w:left w:val="nil"/>
                <w:bottom w:val="nil"/>
                <w:right w:val="nil"/>
                <w:between w:val="nil"/>
                <w:bar w:val="nil"/>
              </w:pBdr>
              <w:jc w:val="center"/>
              <w:rPr>
                <w:rFonts w:ascii="Cambria" w:eastAsia="Arial Unicode MS" w:hAnsi="Cambria"/>
                <w:b/>
                <w:bCs/>
                <w:color w:val="FFFFFF"/>
                <w:sz w:val="20"/>
                <w:bdr w:val="nil"/>
              </w:rPr>
            </w:pPr>
            <w:r w:rsidRPr="0031514B">
              <w:rPr>
                <w:rFonts w:ascii="Cambria" w:eastAsia="Arial Unicode MS" w:hAnsi="Cambria"/>
                <w:b/>
                <w:bCs/>
                <w:color w:val="FFFFFF"/>
                <w:sz w:val="20"/>
                <w:bdr w:val="nil"/>
              </w:rPr>
              <w:t>Timeliness of the petition</w:t>
            </w:r>
          </w:p>
        </w:tc>
        <w:tc>
          <w:tcPr>
            <w:tcW w:w="5677" w:type="dxa"/>
            <w:shd w:val="clear" w:color="auto" w:fill="auto"/>
            <w:vAlign w:val="center"/>
          </w:tcPr>
          <w:p w14:paraId="6DDF5DCE" w14:textId="77777777" w:rsidR="007454DC" w:rsidRPr="0031514B" w:rsidRDefault="007454DC" w:rsidP="00473170">
            <w:pPr>
              <w:pBdr>
                <w:top w:val="nil"/>
                <w:left w:val="nil"/>
                <w:bottom w:val="nil"/>
                <w:right w:val="nil"/>
                <w:between w:val="nil"/>
                <w:bar w:val="nil"/>
              </w:pBdr>
              <w:rPr>
                <w:rFonts w:ascii="Cambria" w:eastAsia="Arial Unicode MS" w:hAnsi="Cambria"/>
                <w:bCs/>
                <w:sz w:val="20"/>
                <w:bdr w:val="nil"/>
              </w:rPr>
            </w:pPr>
            <w:r w:rsidRPr="0031514B">
              <w:rPr>
                <w:rFonts w:ascii="Cambria" w:eastAsia="Arial Unicode MS" w:hAnsi="Cambria"/>
                <w:sz w:val="20"/>
                <w:bdr w:val="nil"/>
              </w:rPr>
              <w:t>Yes, as referred to in Section VI</w:t>
            </w:r>
          </w:p>
        </w:tc>
      </w:tr>
    </w:tbl>
    <w:p w14:paraId="0B1EB090" w14:textId="77777777" w:rsidR="007454DC" w:rsidRPr="0031514B" w:rsidRDefault="007454DC" w:rsidP="003255C4">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Cambria" w:hAnsi="Cambria"/>
          <w:b/>
          <w:sz w:val="20"/>
        </w:rPr>
      </w:pPr>
      <w:r w:rsidRPr="0031514B">
        <w:rPr>
          <w:rFonts w:ascii="Cambria" w:hAnsi="Cambria"/>
          <w:sz w:val="20"/>
        </w:rPr>
        <w:br w:type="page"/>
      </w:r>
      <w:r w:rsidRPr="0031514B">
        <w:rPr>
          <w:rFonts w:ascii="Cambria" w:hAnsi="Cambria"/>
          <w:b/>
          <w:bCs/>
          <w:sz w:val="20"/>
        </w:rPr>
        <w:lastRenderedPageBreak/>
        <w:t xml:space="preserve">V. </w:t>
      </w:r>
      <w:r w:rsidRPr="0031514B">
        <w:rPr>
          <w:rFonts w:ascii="Cambria" w:hAnsi="Cambria"/>
          <w:b/>
          <w:bCs/>
          <w:sz w:val="20"/>
        </w:rPr>
        <w:tab/>
        <w:t xml:space="preserve">POSITIONS OF THE PARTIES </w:t>
      </w:r>
    </w:p>
    <w:p w14:paraId="33683085" w14:textId="77777777" w:rsidR="007454DC" w:rsidRPr="0031514B" w:rsidRDefault="007454DC" w:rsidP="003255C4">
      <w:pPr>
        <w:pStyle w:val="ListParagraph"/>
        <w:spacing w:before="240" w:after="240"/>
        <w:ind w:left="709"/>
        <w:jc w:val="both"/>
        <w:rPr>
          <w:b/>
          <w:sz w:val="20"/>
          <w:szCs w:val="20"/>
        </w:rPr>
      </w:pPr>
      <w:r w:rsidRPr="0031514B">
        <w:rPr>
          <w:b/>
          <w:bCs/>
          <w:sz w:val="20"/>
          <w:szCs w:val="20"/>
        </w:rPr>
        <w:t>The petitioners</w:t>
      </w:r>
    </w:p>
    <w:p w14:paraId="3F1A3E9A" w14:textId="77777777" w:rsidR="007454DC" w:rsidRPr="0031514B" w:rsidRDefault="007454DC" w:rsidP="003255C4">
      <w:pPr>
        <w:pStyle w:val="ListParagraph"/>
        <w:numPr>
          <w:ilvl w:val="0"/>
          <w:numId w:val="2"/>
        </w:numPr>
        <w:spacing w:after="240"/>
        <w:ind w:left="0" w:firstLine="709"/>
        <w:jc w:val="both"/>
        <w:rPr>
          <w:bCs/>
          <w:sz w:val="20"/>
          <w:szCs w:val="20"/>
        </w:rPr>
      </w:pPr>
      <w:r w:rsidRPr="0031514B">
        <w:rPr>
          <w:sz w:val="20"/>
          <w:szCs w:val="20"/>
        </w:rPr>
        <w:t>Virgilio Joya Bueno and Artemo Fontalvo Granados (hereinafter, "the petitioners") claim that the Colombian State bears international responsibility for both men’s alleged discretionary dismissal as employees of the Ministry of Finance and Public Credit, which was allegedly with cause. They argue that, in adjudicating the remedies invoked in the contentious-administrative and constitutional jurisdictions, the courts failed to respect their guarantees of due process and job security.</w:t>
      </w:r>
    </w:p>
    <w:p w14:paraId="6CE05D14" w14:textId="77777777" w:rsidR="007454DC" w:rsidRPr="0031514B" w:rsidRDefault="007454DC" w:rsidP="003255C4">
      <w:pPr>
        <w:pStyle w:val="ListParagraph"/>
        <w:numPr>
          <w:ilvl w:val="0"/>
          <w:numId w:val="2"/>
        </w:numPr>
        <w:spacing w:after="240"/>
        <w:ind w:left="0" w:firstLine="709"/>
        <w:jc w:val="both"/>
        <w:rPr>
          <w:bCs/>
          <w:sz w:val="20"/>
          <w:szCs w:val="20"/>
        </w:rPr>
      </w:pPr>
      <w:r w:rsidRPr="0031514B">
        <w:rPr>
          <w:sz w:val="20"/>
          <w:szCs w:val="20"/>
        </w:rPr>
        <w:t xml:space="preserve">According to the petitioners, on February 7, 1991, the Ministry of Finance and Public Credit announced a competition to fill various positions in the National Tax Authority (Dirección General de Impuestos Nacionales). In particular, they say that in resolution 3195 of August 6, 1991, the Ministry of Finance and Public Credit promoted Mr. Joya from administrative assistant to national tax collector. They mention, however, that by resolution 000887 of March 25, 1992, the Ministry nullified their positions, and they were dismissed. In that regard, Mr. Joya says that he had not even been able to take up the position he had won in the competition. </w:t>
      </w:r>
    </w:p>
    <w:p w14:paraId="765FBEE0" w14:textId="77777777" w:rsidR="007454DC" w:rsidRPr="0031514B" w:rsidRDefault="007454DC" w:rsidP="003255C4">
      <w:pPr>
        <w:pStyle w:val="ListParagraph"/>
        <w:numPr>
          <w:ilvl w:val="0"/>
          <w:numId w:val="2"/>
        </w:numPr>
        <w:spacing w:after="240"/>
        <w:ind w:left="0" w:firstLine="709"/>
        <w:jc w:val="both"/>
        <w:rPr>
          <w:bCs/>
          <w:sz w:val="20"/>
          <w:szCs w:val="20"/>
        </w:rPr>
      </w:pPr>
      <w:r w:rsidRPr="0031514B">
        <w:rPr>
          <w:sz w:val="20"/>
          <w:szCs w:val="20"/>
        </w:rPr>
        <w:t xml:space="preserve">As a result of the foregoing, the petitioners jointly filed an action to vacate and restore rights with the Contentious Administrative Court of Atlántico Department, requesting the abrogation of resolution 000887. In a judgment dated December 11, 1997, the aforementioned court annulled the resolution and ordered the reinstatement of the petitioners. </w:t>
      </w:r>
    </w:p>
    <w:p w14:paraId="522A85E5" w14:textId="77777777" w:rsidR="007454DC" w:rsidRPr="0031514B" w:rsidRDefault="007454DC" w:rsidP="003255C4">
      <w:pPr>
        <w:pStyle w:val="ListParagraph"/>
        <w:numPr>
          <w:ilvl w:val="0"/>
          <w:numId w:val="2"/>
        </w:numPr>
        <w:spacing w:after="240"/>
        <w:ind w:left="0" w:firstLine="709"/>
        <w:jc w:val="both"/>
        <w:rPr>
          <w:bCs/>
          <w:sz w:val="20"/>
          <w:szCs w:val="20"/>
        </w:rPr>
      </w:pPr>
      <w:r w:rsidRPr="0031514B">
        <w:rPr>
          <w:sz w:val="20"/>
          <w:szCs w:val="20"/>
        </w:rPr>
        <w:t>The Ministry of Finance and Public Credit filed an appeal against this ruling with the Council of State. On August 26, 1999, Subsection A of the Second Section of the of the Administrative Chamber of the Council of State revoked the decision at first instance on the grounds of improper joinder of claims.</w:t>
      </w:r>
    </w:p>
    <w:p w14:paraId="445F7909" w14:textId="77777777" w:rsidR="007454DC" w:rsidRPr="0031514B" w:rsidRDefault="007454DC" w:rsidP="003255C4">
      <w:pPr>
        <w:pStyle w:val="ListParagraph"/>
        <w:numPr>
          <w:ilvl w:val="0"/>
          <w:numId w:val="2"/>
        </w:numPr>
        <w:spacing w:after="240"/>
        <w:ind w:left="0" w:firstLine="709"/>
        <w:jc w:val="both"/>
        <w:rPr>
          <w:bCs/>
          <w:sz w:val="20"/>
          <w:szCs w:val="20"/>
        </w:rPr>
      </w:pPr>
      <w:r w:rsidRPr="0031514B">
        <w:rPr>
          <w:sz w:val="20"/>
          <w:szCs w:val="20"/>
        </w:rPr>
        <w:t xml:space="preserve">The petitioners state that on July 30 and August 13, 2001, Mr. Joya and Mr. Fontalvo separately filed an extraordinary appeal for review with the Council of State, those appeals being filed as cases 11001031500020011014101 and 1100110315000210014301, respectively. They say that on August 11, 2006, five years later, the Council of State joined the two appeals. </w:t>
      </w:r>
    </w:p>
    <w:p w14:paraId="1DB315C1" w14:textId="77777777" w:rsidR="007454DC" w:rsidRPr="0031514B" w:rsidRDefault="007454DC" w:rsidP="003255C4">
      <w:pPr>
        <w:pStyle w:val="ListParagraph"/>
        <w:numPr>
          <w:ilvl w:val="0"/>
          <w:numId w:val="2"/>
        </w:numPr>
        <w:spacing w:after="240"/>
        <w:ind w:left="0" w:firstLine="709"/>
        <w:jc w:val="both"/>
        <w:rPr>
          <w:bCs/>
          <w:sz w:val="20"/>
          <w:szCs w:val="20"/>
        </w:rPr>
      </w:pPr>
      <w:r w:rsidRPr="0031514B">
        <w:rPr>
          <w:sz w:val="20"/>
          <w:szCs w:val="20"/>
        </w:rPr>
        <w:t xml:space="preserve">In a communication subsequent to the initial petition, the petitioners say that on February 3, 2015, 14 years later, the Contentious-Administrative Chamber of the Council of State rejected the appeal, stating literally: </w:t>
      </w:r>
    </w:p>
    <w:p w14:paraId="7A564B86" w14:textId="77777777" w:rsidR="007454DC" w:rsidRPr="0031514B" w:rsidRDefault="007454DC" w:rsidP="003255C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after="240"/>
        <w:ind w:left="720" w:right="720"/>
        <w:rPr>
          <w:rFonts w:ascii="Cambria" w:hAnsi="Cambria"/>
          <w:sz w:val="18"/>
          <w:szCs w:val="18"/>
        </w:rPr>
      </w:pPr>
      <w:r w:rsidRPr="0031514B">
        <w:rPr>
          <w:rFonts w:ascii="Cambria" w:hAnsi="Cambria"/>
          <w:sz w:val="18"/>
          <w:szCs w:val="18"/>
        </w:rPr>
        <w:t>[...] In the matter under consideration, Mr. Virgilio Joya Bueno and Mr. Artemo Antonio Fontalvo Granados held different positions in the Ministry of Finance and Public Credit and filed an action to vacate and restore rights, seeking the abrogation of resolution 00887 of 1992 (March 25), which nullified their appointments, and, consequently, they requested the restoration of their rights.</w:t>
      </w:r>
    </w:p>
    <w:p w14:paraId="5B9C5FA5" w14:textId="77777777" w:rsidR="007454DC" w:rsidRPr="0031514B" w:rsidRDefault="007454DC" w:rsidP="003255C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after="240"/>
        <w:ind w:left="720" w:right="720"/>
        <w:rPr>
          <w:rFonts w:ascii="Cambria" w:hAnsi="Cambria"/>
          <w:sz w:val="18"/>
          <w:szCs w:val="18"/>
        </w:rPr>
      </w:pPr>
      <w:r w:rsidRPr="0031514B">
        <w:rPr>
          <w:rFonts w:ascii="Cambria" w:hAnsi="Cambria"/>
          <w:sz w:val="18"/>
          <w:szCs w:val="18"/>
        </w:rPr>
        <w:t>This body analyzed the claims contained in the action and concluded that it did not meet the requirement set out in paragraph 3 of Article 82 of the CPC (Code of Civil Procedure) because, although it is the same administrative act, it has individual effects on each of the plaintiffs; consequently, the claims do not arise from the same cause, do not address the same object, and cannot be based on the same evidence.</w:t>
      </w:r>
    </w:p>
    <w:p w14:paraId="190E2279" w14:textId="77777777" w:rsidR="007454DC" w:rsidRPr="0031514B" w:rsidRDefault="007454DC" w:rsidP="003255C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after="240"/>
        <w:ind w:left="720" w:right="720"/>
        <w:rPr>
          <w:rFonts w:ascii="Cambria" w:hAnsi="Cambria"/>
          <w:sz w:val="18"/>
          <w:szCs w:val="18"/>
        </w:rPr>
      </w:pPr>
      <w:r w:rsidRPr="0031514B">
        <w:rPr>
          <w:rFonts w:ascii="Cambria" w:hAnsi="Cambria"/>
          <w:sz w:val="18"/>
          <w:szCs w:val="18"/>
        </w:rPr>
        <w:t xml:space="preserve">In accordance with the foregoing, the Chamber concludes that the charge is not likely to succeed, because the action to vacate and restore rights was brought in accordance with the procedure provided in the CCA (Contentious Administrative Code), the judgment complied with the parameters established by law and case law and, lastly, it is not possible to reopen the judicial debate through an extraordinary appeal for review to challenge the decision at second instance [...]. </w:t>
      </w:r>
    </w:p>
    <w:p w14:paraId="4E4D3427" w14:textId="77777777" w:rsidR="007454DC" w:rsidRPr="0031514B" w:rsidRDefault="007454DC" w:rsidP="003255C4">
      <w:pPr>
        <w:pStyle w:val="ListParagraph"/>
        <w:numPr>
          <w:ilvl w:val="0"/>
          <w:numId w:val="2"/>
        </w:numPr>
        <w:spacing w:after="240"/>
        <w:ind w:left="0" w:firstLine="709"/>
        <w:jc w:val="both"/>
        <w:rPr>
          <w:bCs/>
          <w:sz w:val="20"/>
          <w:szCs w:val="20"/>
        </w:rPr>
      </w:pPr>
      <w:r w:rsidRPr="0031514B">
        <w:rPr>
          <w:sz w:val="20"/>
          <w:szCs w:val="20"/>
        </w:rPr>
        <w:t xml:space="preserve">In view of the foregoing, on August 13, 2015, Mr. Joya separately filed a </w:t>
      </w:r>
      <w:r w:rsidRPr="0031514B">
        <w:rPr>
          <w:i/>
          <w:iCs/>
          <w:sz w:val="20"/>
          <w:szCs w:val="20"/>
        </w:rPr>
        <w:t xml:space="preserve">tutela </w:t>
      </w:r>
      <w:r w:rsidRPr="0031514B">
        <w:rPr>
          <w:sz w:val="20"/>
          <w:szCs w:val="20"/>
        </w:rPr>
        <w:t xml:space="preserve">action with the Council of State. In a judgment dated December 10, 2015, the Fourth Section of that court denied the </w:t>
      </w:r>
      <w:r w:rsidRPr="0031514B">
        <w:rPr>
          <w:i/>
          <w:iCs/>
          <w:sz w:val="20"/>
          <w:szCs w:val="20"/>
        </w:rPr>
        <w:t xml:space="preserve">tutela </w:t>
      </w:r>
      <w:r w:rsidRPr="0031514B">
        <w:rPr>
          <w:sz w:val="20"/>
          <w:szCs w:val="20"/>
        </w:rPr>
        <w:t>action</w:t>
      </w:r>
      <w:r w:rsidRPr="0031514B">
        <w:rPr>
          <w:i/>
          <w:iCs/>
          <w:sz w:val="20"/>
          <w:szCs w:val="20"/>
        </w:rPr>
        <w:t xml:space="preserve"> </w:t>
      </w:r>
      <w:r w:rsidRPr="0031514B">
        <w:rPr>
          <w:sz w:val="20"/>
          <w:szCs w:val="20"/>
        </w:rPr>
        <w:t xml:space="preserve">as inadmissible, considering that the obligation to identify and support the specific defects was not met </w:t>
      </w:r>
      <w:r w:rsidRPr="0031514B">
        <w:rPr>
          <w:sz w:val="20"/>
          <w:szCs w:val="20"/>
        </w:rPr>
        <w:lastRenderedPageBreak/>
        <w:t xml:space="preserve">in accordance with the criteria established by the Constitutional Court for it to prosper against interlocutory orders in judicial proceedings. Dissatisfied with this, Mr. Joya filed a challenge with the Council of State. In a resolution dated April 7, 2016, the Fifth Section of the Contentious Administrative Chamber of that court upheld the challenged judgment. </w:t>
      </w:r>
    </w:p>
    <w:p w14:paraId="02D69EDA" w14:textId="77777777" w:rsidR="007454DC" w:rsidRPr="0031514B" w:rsidRDefault="007454DC" w:rsidP="003255C4">
      <w:pPr>
        <w:pStyle w:val="ListParagraph"/>
        <w:numPr>
          <w:ilvl w:val="0"/>
          <w:numId w:val="2"/>
        </w:numPr>
        <w:spacing w:after="240"/>
        <w:ind w:left="0" w:firstLine="709"/>
        <w:jc w:val="both"/>
        <w:rPr>
          <w:bCs/>
          <w:sz w:val="20"/>
          <w:szCs w:val="20"/>
        </w:rPr>
      </w:pPr>
      <w:r w:rsidRPr="0031514B">
        <w:rPr>
          <w:sz w:val="20"/>
          <w:szCs w:val="20"/>
        </w:rPr>
        <w:t xml:space="preserve">The petitioners claim that the Colombian State bears international responsibility for their dismissal as employees of the Ministry of Finance and Public Credit in 1992. They argue that this dismissal was discretionary and lacked cause, violating their rights to due process and job security. In sum, the petitioners argue that the Colombian State, through its judicial organs, failed to provide them with effective judicial protection, unjustifiably prolonging their dismissed status and violating their rights enshrined in Articles 8 (right to a fair trial) and 25 (right to judicial protection) of the American Convention. In addition, they allege a violation of Article 24 (right to equal protection) of the Convention, inasmuch as the domestic courts did not consider other judicial decisions in cases similar to theirs that favored them. </w:t>
      </w:r>
    </w:p>
    <w:p w14:paraId="7E98CD22" w14:textId="77777777" w:rsidR="007454DC" w:rsidRPr="0031514B" w:rsidRDefault="007454DC" w:rsidP="003255C4">
      <w:pPr>
        <w:pStyle w:val="ListParagraph"/>
        <w:spacing w:after="240"/>
        <w:ind w:left="709"/>
        <w:jc w:val="both"/>
        <w:rPr>
          <w:b/>
          <w:sz w:val="20"/>
          <w:szCs w:val="20"/>
        </w:rPr>
      </w:pPr>
      <w:r w:rsidRPr="0031514B">
        <w:rPr>
          <w:b/>
          <w:bCs/>
          <w:sz w:val="20"/>
          <w:szCs w:val="20"/>
        </w:rPr>
        <w:t>The Colombian State</w:t>
      </w:r>
    </w:p>
    <w:p w14:paraId="47029D8B" w14:textId="77777777" w:rsidR="007454DC" w:rsidRPr="0031514B" w:rsidRDefault="007454DC" w:rsidP="003255C4">
      <w:pPr>
        <w:pStyle w:val="ListParagraph"/>
        <w:numPr>
          <w:ilvl w:val="0"/>
          <w:numId w:val="2"/>
        </w:numPr>
        <w:spacing w:after="240"/>
        <w:ind w:left="0" w:firstLine="709"/>
        <w:jc w:val="both"/>
        <w:rPr>
          <w:sz w:val="20"/>
          <w:szCs w:val="20"/>
        </w:rPr>
      </w:pPr>
      <w:r w:rsidRPr="0031514B">
        <w:rPr>
          <w:sz w:val="20"/>
          <w:szCs w:val="20"/>
        </w:rPr>
        <w:t>Colombia confirms the way in which the proceedings in the contentious-administrative and constitutional jurisdictions unfolded and agrees with the sense of the rulings described in the petition.</w:t>
      </w:r>
    </w:p>
    <w:p w14:paraId="4A62C891" w14:textId="77777777" w:rsidR="007454DC" w:rsidRPr="0031514B" w:rsidRDefault="007454DC" w:rsidP="003255C4">
      <w:pPr>
        <w:pStyle w:val="ListParagraph"/>
        <w:numPr>
          <w:ilvl w:val="0"/>
          <w:numId w:val="2"/>
        </w:numPr>
        <w:spacing w:after="240"/>
        <w:ind w:left="0" w:firstLine="709"/>
        <w:jc w:val="both"/>
        <w:rPr>
          <w:sz w:val="20"/>
          <w:szCs w:val="20"/>
        </w:rPr>
      </w:pPr>
      <w:r w:rsidRPr="0031514B">
        <w:rPr>
          <w:sz w:val="20"/>
          <w:szCs w:val="20"/>
        </w:rPr>
        <w:t xml:space="preserve">It also requests the IACHR to declare this petition inadmissible in that it amounts to a situation of a fourth international instance, arguing that the petitioners intend that the IACHR review decisions issued by domestic courts within their authority and in observance of judicial guarantees, in which no violation of their rights under the Convention can be inferred, making it nothing more than a disagreement with the outcome on the part of the petitioners. Accordingly, it requests that the petition be declared inadmissible under Article 47(b) of the American Convention. </w:t>
      </w:r>
    </w:p>
    <w:p w14:paraId="4AB5522B" w14:textId="77777777" w:rsidR="007454DC" w:rsidRPr="0031514B" w:rsidRDefault="007454DC" w:rsidP="003255C4">
      <w:pPr>
        <w:tabs>
          <w:tab w:val="clear" w:pos="720"/>
          <w:tab w:val="clear" w:pos="1440"/>
          <w:tab w:val="clear" w:pos="2160"/>
          <w:tab w:val="clear" w:pos="2880"/>
          <w:tab w:val="clear" w:pos="3600"/>
          <w:tab w:val="clear" w:pos="4320"/>
          <w:tab w:val="clear" w:pos="5760"/>
          <w:tab w:val="clear" w:pos="6480"/>
          <w:tab w:val="clear" w:pos="7200"/>
          <w:tab w:val="clear" w:pos="7920"/>
        </w:tabs>
        <w:spacing w:after="240"/>
        <w:ind w:firstLine="720"/>
        <w:rPr>
          <w:rFonts w:ascii="Cambria" w:hAnsi="Cambria"/>
          <w:sz w:val="20"/>
        </w:rPr>
      </w:pPr>
      <w:r w:rsidRPr="0031514B">
        <w:rPr>
          <w:rFonts w:ascii="Cambria" w:hAnsi="Cambria"/>
          <w:b/>
          <w:bCs/>
          <w:color w:val="000000"/>
          <w:sz w:val="20"/>
          <w:u w:color="000000"/>
        </w:rPr>
        <w:t>VI.</w:t>
      </w:r>
      <w:r w:rsidRPr="0031514B">
        <w:rPr>
          <w:rFonts w:ascii="Cambria" w:hAnsi="Cambria"/>
          <w:b/>
          <w:bCs/>
          <w:color w:val="000000"/>
          <w:sz w:val="20"/>
          <w:u w:color="000000"/>
        </w:rPr>
        <w:tab/>
      </w:r>
      <w:r w:rsidRPr="0031514B">
        <w:rPr>
          <w:rFonts w:ascii="Cambria" w:hAnsi="Cambria"/>
          <w:b/>
          <w:bCs/>
          <w:sz w:val="20"/>
        </w:rPr>
        <w:t>ANALYSIS OF EXHAUSTION OF DOMESTIC REMEDIES AND TIMELINESS OF THE PETITION</w:t>
      </w:r>
      <w:r w:rsidRPr="0031514B">
        <w:rPr>
          <w:rFonts w:ascii="Cambria" w:hAnsi="Cambria"/>
          <w:b/>
          <w:bCs/>
          <w:color w:val="000000"/>
          <w:sz w:val="20"/>
          <w:u w:color="000000"/>
        </w:rPr>
        <w:t xml:space="preserve"> </w:t>
      </w:r>
    </w:p>
    <w:p w14:paraId="291E2040" w14:textId="77777777" w:rsidR="007454DC" w:rsidRPr="0031514B" w:rsidRDefault="007454DC" w:rsidP="003255C4">
      <w:pPr>
        <w:pStyle w:val="ListParagraph"/>
        <w:numPr>
          <w:ilvl w:val="0"/>
          <w:numId w:val="2"/>
        </w:numPr>
        <w:spacing w:after="240"/>
        <w:ind w:left="0" w:firstLine="709"/>
        <w:jc w:val="both"/>
        <w:rPr>
          <w:sz w:val="20"/>
          <w:szCs w:val="20"/>
        </w:rPr>
      </w:pPr>
      <w:r w:rsidRPr="0031514B">
        <w:rPr>
          <w:sz w:val="20"/>
          <w:szCs w:val="20"/>
        </w:rPr>
        <w:t>The main subject matter of the petition concerns the alleged arbitrary dismissal of Virgilio Joya Bueno and Artemo Fontalvo Granados as employees of the Ministry of Finance and Public Credit. They also charge delays in the contentious-administrative proceeding that they jointly initiated, since the judgment on the extraordinary appeal for review was issued more than 13 years after it was filed.</w:t>
      </w:r>
    </w:p>
    <w:p w14:paraId="03C80EEC" w14:textId="77777777" w:rsidR="007454DC" w:rsidRPr="0031514B" w:rsidRDefault="007454DC" w:rsidP="003255C4">
      <w:pPr>
        <w:pStyle w:val="ListParagraph"/>
        <w:numPr>
          <w:ilvl w:val="0"/>
          <w:numId w:val="2"/>
        </w:numPr>
        <w:spacing w:after="240"/>
        <w:ind w:left="0" w:firstLine="709"/>
        <w:jc w:val="both"/>
        <w:rPr>
          <w:sz w:val="20"/>
          <w:szCs w:val="20"/>
        </w:rPr>
      </w:pPr>
      <w:r w:rsidRPr="0031514B">
        <w:rPr>
          <w:sz w:val="20"/>
          <w:szCs w:val="20"/>
        </w:rPr>
        <w:t>The Inter-American Commission has established that the appropriate remedies to be exhausted in cases in which violations of due process and other human rights are alleged in the course of judicial proceedings are alleged are, as a rule, the means that domestic procedural law provides to enable actions and decisions adopted in the course of proceedings to be challenged, in particular, the ordinary judicial remedies available, or extraordinary remedies if the latter are filed by alleged victims in order to assert their rights. Likewise, the Commission has established as a general criterion that if the petitioner invoked such subsequent, additional, or—as the case may be—extraordinary remedies in the reasonable expectation that they will obtain a favorable result, then these should be deemed validly exhausted remedies when determining a petition’s compliance with the admissibility requirements. In addition, the IACHR takes into consideration the fact that such remedies have been admitted for processing and adjudicated by the respective courts, and not rejected as inadmissible, as an important indication of their relevance or appropriateness.</w:t>
      </w:r>
      <w:r w:rsidRPr="003255C4">
        <w:rPr>
          <w:rStyle w:val="FootnoteReference"/>
          <w:sz w:val="20"/>
          <w:szCs w:val="20"/>
          <w:vertAlign w:val="superscript"/>
        </w:rPr>
        <w:footnoteReference w:id="5"/>
      </w:r>
      <w:r w:rsidRPr="003255C4">
        <w:rPr>
          <w:sz w:val="20"/>
          <w:szCs w:val="20"/>
          <w:vertAlign w:val="superscript"/>
        </w:rPr>
        <w:t xml:space="preserve"> </w:t>
      </w:r>
    </w:p>
    <w:p w14:paraId="2CF114C7" w14:textId="77777777" w:rsidR="007454DC" w:rsidRPr="0031514B" w:rsidRDefault="007454DC" w:rsidP="003255C4">
      <w:pPr>
        <w:pStyle w:val="ListParagraph"/>
        <w:numPr>
          <w:ilvl w:val="0"/>
          <w:numId w:val="2"/>
        </w:numPr>
        <w:spacing w:after="240"/>
        <w:ind w:left="0" w:firstLine="709"/>
        <w:jc w:val="both"/>
        <w:rPr>
          <w:rFonts w:eastAsia="Arial Unicode MS"/>
          <w:sz w:val="20"/>
          <w:szCs w:val="20"/>
        </w:rPr>
      </w:pPr>
      <w:r w:rsidRPr="0031514B">
        <w:rPr>
          <w:sz w:val="20"/>
          <w:szCs w:val="20"/>
        </w:rPr>
        <w:t xml:space="preserve">Based on the information provided by the parties, the petitioners jointly filed an action to vacate and restore rights, requesting the abrogation of the administrative resolution that dismissed them. On December 11, 1997, the Contentious Administrative Court of Atlántico Department annulled the aforementioned resolution and ordered them to be reinstated in their jobs. In view of this, the Ministry of </w:t>
      </w:r>
      <w:r w:rsidRPr="0031514B">
        <w:rPr>
          <w:sz w:val="20"/>
          <w:szCs w:val="20"/>
        </w:rPr>
        <w:lastRenderedPageBreak/>
        <w:t xml:space="preserve">Finance and Public Credit appealed the decision, and on August 26, 1999, Subsection A of the Second Section of the of the Administrative Chamber of the Council of State revoked the decision at first instance. </w:t>
      </w:r>
    </w:p>
    <w:p w14:paraId="37B6F41B" w14:textId="77777777" w:rsidR="007454DC" w:rsidRPr="0031514B" w:rsidRDefault="007454DC" w:rsidP="003255C4">
      <w:pPr>
        <w:pStyle w:val="ListParagraph"/>
        <w:numPr>
          <w:ilvl w:val="0"/>
          <w:numId w:val="2"/>
        </w:numPr>
        <w:spacing w:after="240"/>
        <w:ind w:left="0" w:firstLine="709"/>
        <w:jc w:val="both"/>
        <w:rPr>
          <w:rFonts w:eastAsia="Arial Unicode MS"/>
          <w:sz w:val="20"/>
          <w:szCs w:val="20"/>
        </w:rPr>
      </w:pPr>
      <w:r w:rsidRPr="0031514B">
        <w:rPr>
          <w:sz w:val="20"/>
          <w:szCs w:val="20"/>
        </w:rPr>
        <w:t xml:space="preserve">Subsequently, on July 30 and August 13, 2001, Mr. Joya and Mr. Fontalvo separately filed an extraordinary appeal for review with the Council of State On February 3, 2015, 13 years later, the Contentious-Administrative Chamber of the Council of State rejected the appeal. For his part, on August 13, 2015, Mr. Joya separately filed a tutela action with the Council of State, which rejected it on December 10, 2015. In view of this, he filed an appeal, and in a judgment of April 7, 2016, the Fifth Section of the Contentious Administrative Chamber of the Council of State upheld the appealed judgment. </w:t>
      </w:r>
    </w:p>
    <w:p w14:paraId="00BF732C" w14:textId="77777777" w:rsidR="007454DC" w:rsidRPr="0031514B" w:rsidRDefault="007454DC" w:rsidP="003255C4">
      <w:pPr>
        <w:pStyle w:val="ListParagraph"/>
        <w:numPr>
          <w:ilvl w:val="0"/>
          <w:numId w:val="2"/>
        </w:numPr>
        <w:spacing w:after="240"/>
        <w:ind w:left="0" w:firstLine="709"/>
        <w:jc w:val="both"/>
        <w:rPr>
          <w:sz w:val="20"/>
          <w:szCs w:val="20"/>
        </w:rPr>
      </w:pPr>
      <w:r w:rsidRPr="0031514B">
        <w:rPr>
          <w:sz w:val="20"/>
          <w:szCs w:val="20"/>
        </w:rPr>
        <w:t xml:space="preserve">In light of the foregoing, the IACHR will analyze—with respect to each of the petitioners—if domestic remedies were exhausted and if the petition was lodged in a </w:t>
      </w:r>
      <w:r w:rsidR="0031514B" w:rsidRPr="0031514B">
        <w:rPr>
          <w:sz w:val="20"/>
          <w:szCs w:val="20"/>
        </w:rPr>
        <w:t>timely</w:t>
      </w:r>
      <w:r w:rsidRPr="0031514B">
        <w:rPr>
          <w:sz w:val="20"/>
          <w:szCs w:val="20"/>
        </w:rPr>
        <w:t xml:space="preserve"> manner. On the one hand, it notes, in the case of Mr. Fontalvo, that domestic remedies were exhausted on February 3, 2015, specifically with the Council of State’s rejection of the extraordinary appeal for review. On the other hand, in relation to Mr. Joya, it notes that domestic remedies concluded on April 7, 2016, with the confirmation of the judgment that rejected the </w:t>
      </w:r>
      <w:r w:rsidRPr="0031514B">
        <w:rPr>
          <w:i/>
          <w:iCs/>
          <w:sz w:val="20"/>
          <w:szCs w:val="20"/>
        </w:rPr>
        <w:t xml:space="preserve">tutela </w:t>
      </w:r>
      <w:r w:rsidRPr="0031514B">
        <w:rPr>
          <w:sz w:val="20"/>
          <w:szCs w:val="20"/>
        </w:rPr>
        <w:t xml:space="preserve">action. The State, for its part, does not allege failure to exhaust domestic remedies or improper exhaustion of domestic remedies. Therefore, the Commission concludes that both petitioners meet the exhaustion requirement set forth in Article 46(1)(a) of the American Convention. </w:t>
      </w:r>
    </w:p>
    <w:p w14:paraId="4BB21DC6" w14:textId="77777777" w:rsidR="007454DC" w:rsidRPr="0031514B" w:rsidRDefault="007454DC" w:rsidP="003255C4">
      <w:pPr>
        <w:pStyle w:val="ListParagraph"/>
        <w:numPr>
          <w:ilvl w:val="0"/>
          <w:numId w:val="2"/>
        </w:numPr>
        <w:spacing w:after="240"/>
        <w:ind w:left="0" w:firstLine="709"/>
        <w:jc w:val="both"/>
        <w:rPr>
          <w:sz w:val="20"/>
          <w:szCs w:val="20"/>
        </w:rPr>
      </w:pPr>
      <w:r w:rsidRPr="0031514B">
        <w:rPr>
          <w:sz w:val="20"/>
          <w:szCs w:val="20"/>
        </w:rPr>
        <w:t xml:space="preserve">Regarding the timeliness of the petition, taking into account that the last remedy invoked at the domestic level by Mr. Fontalvo was disposed of on February 3, 2015, and that with respect to Mr. Joya it was decided on April 7, 2016, and taking into account that the Executive Secretariat of the IACHR received the petition on June 26, 2014, that is, while the petition was in the examination stage, the Commission likewise concludes that the provisions of Article 46(1)(b) of the Convention have been met. </w:t>
      </w:r>
    </w:p>
    <w:p w14:paraId="0B2D1704" w14:textId="77777777" w:rsidR="007454DC" w:rsidRPr="0031514B" w:rsidRDefault="007454DC" w:rsidP="003255C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after="240"/>
        <w:ind w:firstLine="720"/>
        <w:rPr>
          <w:rFonts w:ascii="Cambria" w:hAnsi="Cambria"/>
          <w:b/>
          <w:bCs/>
          <w:sz w:val="20"/>
        </w:rPr>
      </w:pPr>
      <w:r w:rsidRPr="0031514B">
        <w:rPr>
          <w:rFonts w:ascii="Cambria" w:hAnsi="Cambria"/>
          <w:b/>
          <w:bCs/>
          <w:sz w:val="20"/>
        </w:rPr>
        <w:t xml:space="preserve">VII. </w:t>
      </w:r>
      <w:r w:rsidRPr="0031514B">
        <w:rPr>
          <w:rFonts w:ascii="Cambria" w:hAnsi="Cambria"/>
          <w:sz w:val="20"/>
        </w:rPr>
        <w:tab/>
      </w:r>
      <w:r w:rsidRPr="0031514B">
        <w:rPr>
          <w:rFonts w:ascii="Cambria" w:hAnsi="Cambria"/>
          <w:b/>
          <w:bCs/>
          <w:sz w:val="20"/>
        </w:rPr>
        <w:t>ANALYSIS OF COLORABLE CLAIM</w:t>
      </w:r>
    </w:p>
    <w:p w14:paraId="5BD8AA7A" w14:textId="77777777" w:rsidR="007454DC" w:rsidRPr="0031514B" w:rsidRDefault="007454DC" w:rsidP="003255C4">
      <w:pPr>
        <w:pStyle w:val="ListParagraph"/>
        <w:numPr>
          <w:ilvl w:val="0"/>
          <w:numId w:val="2"/>
        </w:numPr>
        <w:spacing w:after="240"/>
        <w:ind w:left="0" w:firstLine="709"/>
        <w:jc w:val="both"/>
        <w:rPr>
          <w:sz w:val="20"/>
          <w:szCs w:val="20"/>
        </w:rPr>
      </w:pPr>
      <w:r w:rsidRPr="0031514B">
        <w:rPr>
          <w:sz w:val="20"/>
          <w:szCs w:val="20"/>
        </w:rPr>
        <w:t>First, the Commission reiterates that the standard by which these requirements are assessed at the admissibility stage is different from that needed to decide the merits of a petition. At this stage, the Commission must perform a prima facie evaluation and determine whether the petition provides grounds for an apparent or potential violation of a right guaranteed by the Convention, although not whether the violation has in fact occurred. This examination of the colorability of an alleged violation of the American Convention is a summary analysis that does not imply a prejudgment or preliminary opinion on the merits. For the purposes of admissibility, the IACHR must decide, pursuant to Article 47(b) of the American Convention, whether the facts alleged, if proven, could characterize a violation of rights, or whether, pursuant to paragraph (c) of the same article, the petition is “manifestly groundless” or “obviously out of order.”</w:t>
      </w:r>
    </w:p>
    <w:p w14:paraId="2210E2BD" w14:textId="77777777" w:rsidR="007454DC" w:rsidRPr="0031514B" w:rsidRDefault="007454DC" w:rsidP="003255C4">
      <w:pPr>
        <w:pStyle w:val="ListParagraph"/>
        <w:numPr>
          <w:ilvl w:val="0"/>
          <w:numId w:val="2"/>
        </w:numPr>
        <w:spacing w:after="240"/>
        <w:ind w:left="0" w:firstLine="709"/>
        <w:jc w:val="both"/>
        <w:rPr>
          <w:sz w:val="20"/>
          <w:szCs w:val="20"/>
        </w:rPr>
      </w:pPr>
      <w:r w:rsidRPr="0031514B">
        <w:rPr>
          <w:sz w:val="20"/>
          <w:szCs w:val="20"/>
        </w:rPr>
        <w:t xml:space="preserve">In this regard, the IACHR notes that the Contentious Administrative Chamber of the Council of State took more than 13 years to rule on the extraordinary appeal for review filed by the petitioners. The Commission also finds, with regard to that appeal, that for the first five years there was no procedural activity, which only occurred upon the joinder of the two appeals. Therefore, the Commission will analyze in the merits stage whether the conduct of the judicial authorities caused an undue delay with respect to this pronouncement. </w:t>
      </w:r>
    </w:p>
    <w:p w14:paraId="7CD72D05" w14:textId="77777777" w:rsidR="007454DC" w:rsidRPr="0031514B" w:rsidRDefault="007454DC" w:rsidP="003255C4">
      <w:pPr>
        <w:pStyle w:val="ListParagraph"/>
        <w:numPr>
          <w:ilvl w:val="0"/>
          <w:numId w:val="2"/>
        </w:numPr>
        <w:spacing w:after="240"/>
        <w:ind w:left="0" w:firstLine="709"/>
        <w:jc w:val="both"/>
        <w:rPr>
          <w:sz w:val="20"/>
          <w:szCs w:val="20"/>
        </w:rPr>
      </w:pPr>
      <w:r w:rsidRPr="0031514B">
        <w:rPr>
          <w:sz w:val="20"/>
          <w:szCs w:val="20"/>
        </w:rPr>
        <w:t>At the same time, the IACHR recalls that Article 26 of the American Convention protects the right to work in both the public and private spheres,</w:t>
      </w:r>
      <w:r w:rsidRPr="003255C4">
        <w:rPr>
          <w:rStyle w:val="FootnoteReference"/>
          <w:sz w:val="20"/>
          <w:szCs w:val="20"/>
          <w:vertAlign w:val="superscript"/>
        </w:rPr>
        <w:footnoteReference w:id="6"/>
      </w:r>
      <w:r w:rsidRPr="0031514B">
        <w:rPr>
          <w:sz w:val="20"/>
          <w:szCs w:val="20"/>
        </w:rPr>
        <w:t xml:space="preserve"> and that the guarantee of job security derives from that right,</w:t>
      </w:r>
      <w:r w:rsidRPr="003255C4">
        <w:rPr>
          <w:rStyle w:val="FootnoteReference"/>
          <w:sz w:val="20"/>
          <w:szCs w:val="20"/>
          <w:vertAlign w:val="superscript"/>
        </w:rPr>
        <w:footnoteReference w:id="7"/>
      </w:r>
      <w:r w:rsidRPr="0031514B">
        <w:rPr>
          <w:sz w:val="20"/>
          <w:szCs w:val="20"/>
        </w:rPr>
        <w:t xml:space="preserve"> which, in turn, implies that if a person is dismissed from their position, it must be on the basis of a duly reasoned decision.</w:t>
      </w:r>
      <w:r w:rsidRPr="003255C4">
        <w:rPr>
          <w:rStyle w:val="FootnoteReference"/>
          <w:sz w:val="20"/>
          <w:szCs w:val="20"/>
          <w:vertAlign w:val="subscript"/>
        </w:rPr>
        <w:footnoteReference w:id="8"/>
      </w:r>
      <w:r w:rsidRPr="0031514B">
        <w:rPr>
          <w:sz w:val="20"/>
          <w:szCs w:val="20"/>
        </w:rPr>
        <w:t xml:space="preserve"> In the case of public sector employees, the right to job stability must be interpreted in conjunction with the right to have tenured access under general conditions of equality, to the public service of one’s country, as enshrined in Article 23(1)(c) of the American Convention. In that connection, the IACHR notes </w:t>
      </w:r>
      <w:r w:rsidRPr="0031514B">
        <w:rPr>
          <w:sz w:val="20"/>
          <w:szCs w:val="20"/>
        </w:rPr>
        <w:lastRenderedPageBreak/>
        <w:t xml:space="preserve">that the domestic courts found that </w:t>
      </w:r>
      <w:r w:rsidR="00D33CA6">
        <w:rPr>
          <w:sz w:val="20"/>
          <w:szCs w:val="20"/>
        </w:rPr>
        <w:t>the petitioner’s</w:t>
      </w:r>
      <w:r w:rsidRPr="0031514B">
        <w:rPr>
          <w:sz w:val="20"/>
          <w:szCs w:val="20"/>
        </w:rPr>
        <w:t xml:space="preserve"> termination was in accordance with the provisions of domestic law, specifically, the discretionary power granted to administrative entities to remove public servants from their posts. </w:t>
      </w:r>
    </w:p>
    <w:p w14:paraId="65E71A24" w14:textId="77777777" w:rsidR="007454DC" w:rsidRPr="0031514B" w:rsidRDefault="007454DC" w:rsidP="003255C4">
      <w:pPr>
        <w:pStyle w:val="ListParagraph"/>
        <w:numPr>
          <w:ilvl w:val="0"/>
          <w:numId w:val="2"/>
        </w:numPr>
        <w:spacing w:after="240"/>
        <w:ind w:left="0" w:firstLine="709"/>
        <w:jc w:val="both"/>
        <w:rPr>
          <w:sz w:val="20"/>
          <w:szCs w:val="20"/>
        </w:rPr>
      </w:pPr>
      <w:r w:rsidRPr="0031514B">
        <w:rPr>
          <w:sz w:val="20"/>
          <w:szCs w:val="20"/>
        </w:rPr>
        <w:t xml:space="preserve">In light of these considerations, the Commission finds that the facts claimed in the petition are not manifestly groundless, since the alleged facts, if confirmed as true, could amount </w:t>
      </w:r>
      <w:r w:rsidRPr="0031514B">
        <w:rPr>
          <w:i/>
          <w:iCs/>
          <w:sz w:val="20"/>
          <w:szCs w:val="20"/>
        </w:rPr>
        <w:t>prima facie</w:t>
      </w:r>
      <w:r w:rsidRPr="0031514B">
        <w:rPr>
          <w:sz w:val="20"/>
          <w:szCs w:val="20"/>
        </w:rPr>
        <w:t xml:space="preserve"> to violations of Articles 8 (right to a fair trial), 23 (right to participate in government), 25 (right to judicial protection) and 26 (right to work) of the American Convention, in conjunction with Article 1(1) (obligation to respect rights) thereof to the detriment of Mr. Virgilio Joya Bueno and Mr. Artemo Fontalvo Granados. </w:t>
      </w:r>
    </w:p>
    <w:p w14:paraId="6DE2C4B2" w14:textId="77777777" w:rsidR="007454DC" w:rsidRPr="0031514B" w:rsidRDefault="007454DC" w:rsidP="003255C4">
      <w:pPr>
        <w:pStyle w:val="ListParagraph"/>
        <w:numPr>
          <w:ilvl w:val="0"/>
          <w:numId w:val="2"/>
        </w:numPr>
        <w:spacing w:after="240"/>
        <w:ind w:left="0" w:firstLine="709"/>
        <w:jc w:val="both"/>
        <w:rPr>
          <w:sz w:val="20"/>
          <w:szCs w:val="20"/>
        </w:rPr>
      </w:pPr>
      <w:r w:rsidRPr="0031514B">
        <w:rPr>
          <w:sz w:val="20"/>
          <w:szCs w:val="20"/>
        </w:rPr>
        <w:t xml:space="preserve">Lastly, regarding the alleged violations of Article 24 (right to equal protection) of the Convention, the Commission notes that the petitioner does not offer any submissions or basis to establish, </w:t>
      </w:r>
      <w:r w:rsidRPr="0031514B">
        <w:rPr>
          <w:i/>
          <w:iCs/>
          <w:sz w:val="20"/>
          <w:szCs w:val="20"/>
        </w:rPr>
        <w:t>prima facie</w:t>
      </w:r>
      <w:r w:rsidRPr="0031514B">
        <w:rPr>
          <w:sz w:val="20"/>
          <w:szCs w:val="20"/>
        </w:rPr>
        <w:t>, a possible violation.</w:t>
      </w:r>
    </w:p>
    <w:p w14:paraId="2FA0D6E7" w14:textId="77777777" w:rsidR="007454DC" w:rsidRPr="0031514B" w:rsidRDefault="007454DC" w:rsidP="003255C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after="240"/>
        <w:ind w:firstLine="720"/>
        <w:rPr>
          <w:rFonts w:ascii="Cambria" w:hAnsi="Cambria"/>
          <w:b/>
          <w:bCs/>
          <w:sz w:val="20"/>
        </w:rPr>
      </w:pPr>
      <w:r w:rsidRPr="0031514B">
        <w:rPr>
          <w:rFonts w:ascii="Cambria" w:hAnsi="Cambria"/>
          <w:b/>
          <w:bCs/>
          <w:sz w:val="20"/>
        </w:rPr>
        <w:t>V</w:t>
      </w:r>
      <w:r w:rsidR="006558F0">
        <w:rPr>
          <w:rFonts w:ascii="Cambria" w:hAnsi="Cambria"/>
          <w:b/>
          <w:bCs/>
          <w:sz w:val="20"/>
        </w:rPr>
        <w:t>I</w:t>
      </w:r>
      <w:r w:rsidRPr="0031514B">
        <w:rPr>
          <w:rFonts w:ascii="Cambria" w:hAnsi="Cambria"/>
          <w:b/>
          <w:bCs/>
          <w:sz w:val="20"/>
        </w:rPr>
        <w:t xml:space="preserve">II. </w:t>
      </w:r>
      <w:r w:rsidRPr="0031514B">
        <w:rPr>
          <w:rFonts w:ascii="Cambria" w:hAnsi="Cambria"/>
          <w:sz w:val="20"/>
        </w:rPr>
        <w:tab/>
      </w:r>
      <w:r w:rsidRPr="0031514B">
        <w:rPr>
          <w:rFonts w:ascii="Cambria" w:hAnsi="Cambria"/>
          <w:b/>
          <w:bCs/>
          <w:sz w:val="20"/>
        </w:rPr>
        <w:t>DECISION</w:t>
      </w:r>
    </w:p>
    <w:p w14:paraId="486127AC" w14:textId="77777777" w:rsidR="007454DC" w:rsidRPr="0031514B" w:rsidRDefault="007454DC" w:rsidP="003255C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after="240"/>
        <w:rPr>
          <w:rFonts w:ascii="Cambria" w:hAnsi="Cambria"/>
          <w:sz w:val="20"/>
        </w:rPr>
      </w:pPr>
      <w:r w:rsidRPr="0031514B">
        <w:rPr>
          <w:rFonts w:ascii="Cambria" w:hAnsi="Cambria"/>
          <w:sz w:val="20"/>
        </w:rPr>
        <w:t xml:space="preserve">To declare this petition admissible in relation to Articles 8, 23, 25, and 26 of the American Convention, in connection with Article 1(1) thereof. </w:t>
      </w:r>
    </w:p>
    <w:p w14:paraId="523BBD76" w14:textId="77777777" w:rsidR="007454DC" w:rsidRPr="0031514B" w:rsidRDefault="007454DC" w:rsidP="003255C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after="240"/>
        <w:rPr>
          <w:rFonts w:ascii="Cambria" w:hAnsi="Cambria"/>
          <w:sz w:val="20"/>
        </w:rPr>
      </w:pPr>
      <w:r w:rsidRPr="0031514B">
        <w:rPr>
          <w:rFonts w:ascii="Cambria" w:hAnsi="Cambria"/>
          <w:sz w:val="20"/>
        </w:rPr>
        <w:t>To declare this petition inadmissible in relation to Article 24 of the American Convention.</w:t>
      </w:r>
    </w:p>
    <w:p w14:paraId="58E038C0" w14:textId="77777777" w:rsidR="007454DC" w:rsidRPr="0031514B" w:rsidRDefault="007454DC" w:rsidP="003255C4">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after="240"/>
        <w:rPr>
          <w:rFonts w:ascii="Cambria" w:hAnsi="Cambria"/>
          <w:sz w:val="20"/>
        </w:rPr>
      </w:pPr>
      <w:r w:rsidRPr="0031514B">
        <w:rPr>
          <w:rFonts w:ascii="Cambria" w:hAnsi="Cambria"/>
          <w:sz w:val="20"/>
        </w:rPr>
        <w:t xml:space="preserve">To notify the parties of this decision, to </w:t>
      </w:r>
      <w:r w:rsidR="00D33CA6">
        <w:rPr>
          <w:rFonts w:ascii="Cambria" w:hAnsi="Cambria"/>
          <w:sz w:val="20"/>
        </w:rPr>
        <w:t>proceed</w:t>
      </w:r>
      <w:r w:rsidRPr="0031514B">
        <w:rPr>
          <w:rFonts w:ascii="Cambria" w:hAnsi="Cambria"/>
          <w:sz w:val="20"/>
        </w:rPr>
        <w:t xml:space="preserve"> </w:t>
      </w:r>
      <w:r w:rsidR="00D33CA6">
        <w:rPr>
          <w:rFonts w:ascii="Cambria" w:hAnsi="Cambria"/>
          <w:sz w:val="20"/>
        </w:rPr>
        <w:t>to</w:t>
      </w:r>
      <w:r w:rsidRPr="0031514B">
        <w:rPr>
          <w:rFonts w:ascii="Cambria" w:hAnsi="Cambria"/>
          <w:sz w:val="20"/>
        </w:rPr>
        <w:t xml:space="preserve"> the analysis of the merits, and to publish this decision and include it in its Annual Report to the General Assembly of the Organization of American States.</w:t>
      </w:r>
    </w:p>
    <w:p w14:paraId="2CEDF245" w14:textId="77777777" w:rsidR="006558F0" w:rsidRDefault="006558F0" w:rsidP="006558F0">
      <w:pPr>
        <w:suppressAutoHyphens/>
        <w:ind w:firstLine="720"/>
        <w:rPr>
          <w:rStyle w:val="normaltextrun"/>
          <w:rFonts w:ascii="Cambria" w:hAnsi="Cambria" w:cs="Segoe UI"/>
          <w:sz w:val="20"/>
        </w:rPr>
      </w:pPr>
      <w:r w:rsidRPr="006D25D7">
        <w:rPr>
          <w:rFonts w:ascii="Cambria" w:hAnsi="Cambria"/>
          <w:spacing w:val="-2"/>
          <w:sz w:val="20"/>
        </w:rPr>
        <w:t xml:space="preserve">Approved by the Inter-American Commission on Human Rights on the </w:t>
      </w:r>
      <w:r w:rsidR="00A504AF">
        <w:rPr>
          <w:rFonts w:ascii="Cambria" w:hAnsi="Cambria"/>
          <w:spacing w:val="-2"/>
          <w:sz w:val="20"/>
        </w:rPr>
        <w:t>18</w:t>
      </w:r>
      <w:r w:rsidR="00A504AF" w:rsidRPr="00A504AF">
        <w:rPr>
          <w:rFonts w:ascii="Cambria" w:hAnsi="Cambria"/>
          <w:spacing w:val="-2"/>
          <w:sz w:val="20"/>
          <w:vertAlign w:val="superscript"/>
        </w:rPr>
        <w:t>th</w:t>
      </w:r>
      <w:r w:rsidR="00A504AF">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A504AF">
        <w:rPr>
          <w:rFonts w:ascii="Cambria" w:hAnsi="Cambria"/>
          <w:spacing w:val="-2"/>
          <w:sz w:val="20"/>
        </w:rPr>
        <w:t>October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rPr>
        <w:t>Roberta Clarke</w:t>
      </w:r>
      <w:r w:rsidRPr="00CA3324">
        <w:rPr>
          <w:rStyle w:val="normaltextrun"/>
          <w:rFonts w:ascii="Cambria" w:hAnsi="Cambria" w:cs="Segoe UI"/>
          <w:sz w:val="20"/>
        </w:rPr>
        <w:t xml:space="preserve">, President; </w:t>
      </w:r>
      <w:r>
        <w:rPr>
          <w:rStyle w:val="normaltextrun"/>
          <w:rFonts w:ascii="Cambria" w:hAnsi="Cambria" w:cs="Segoe UI"/>
          <w:sz w:val="20"/>
        </w:rPr>
        <w:t>José Luis Caballero Ochoa</w:t>
      </w:r>
      <w:r w:rsidRPr="00CA3324">
        <w:rPr>
          <w:rStyle w:val="normaltextrun"/>
          <w:rFonts w:ascii="Cambria" w:hAnsi="Cambria" w:cs="Segoe UI"/>
          <w:sz w:val="20"/>
        </w:rPr>
        <w:t>, Se</w:t>
      </w:r>
      <w:r>
        <w:rPr>
          <w:rStyle w:val="normaltextrun"/>
          <w:rFonts w:ascii="Cambria" w:hAnsi="Cambria" w:cs="Segoe UI"/>
          <w:sz w:val="20"/>
        </w:rPr>
        <w:t>cond</w:t>
      </w:r>
      <w:r w:rsidRPr="00CA3324">
        <w:rPr>
          <w:rStyle w:val="normaltextrun"/>
          <w:rFonts w:ascii="Cambria" w:hAnsi="Cambria" w:cs="Segoe UI"/>
          <w:sz w:val="20"/>
        </w:rPr>
        <w:t xml:space="preserve"> Vice</w:t>
      </w:r>
      <w:r>
        <w:rPr>
          <w:rStyle w:val="normaltextrun"/>
          <w:rFonts w:ascii="Cambria" w:hAnsi="Cambria" w:cs="Segoe UI"/>
          <w:sz w:val="20"/>
        </w:rPr>
        <w:t xml:space="preserve"> P</w:t>
      </w:r>
      <w:r w:rsidRPr="00CA3324">
        <w:rPr>
          <w:rStyle w:val="normaltextrun"/>
          <w:rFonts w:ascii="Cambria" w:hAnsi="Cambria" w:cs="Segoe UI"/>
          <w:sz w:val="20"/>
        </w:rPr>
        <w:t xml:space="preserve">resident; </w:t>
      </w:r>
      <w:r>
        <w:rPr>
          <w:rStyle w:val="normaltextrun"/>
          <w:rFonts w:ascii="Cambria" w:hAnsi="Cambria" w:cs="Segoe UI"/>
          <w:sz w:val="20"/>
        </w:rPr>
        <w:t>Arif Bulkan</w:t>
      </w:r>
      <w:r w:rsidRPr="00CA3324">
        <w:rPr>
          <w:rStyle w:val="normaltextrun"/>
          <w:rFonts w:ascii="Cambria" w:hAnsi="Cambria" w:cs="Segoe UI"/>
          <w:sz w:val="20"/>
        </w:rPr>
        <w:t>,</w:t>
      </w:r>
      <w:r>
        <w:rPr>
          <w:rStyle w:val="normaltextrun"/>
          <w:rFonts w:ascii="Cambria" w:hAnsi="Cambria" w:cs="Segoe UI"/>
          <w:sz w:val="20"/>
        </w:rPr>
        <w:t xml:space="preserve"> and Gloria Monique de Mees,</w:t>
      </w:r>
      <w:r w:rsidRPr="00CA3324">
        <w:rPr>
          <w:rStyle w:val="normaltextrun"/>
          <w:rFonts w:ascii="Cambria" w:hAnsi="Cambria" w:cs="Segoe UI"/>
          <w:sz w:val="20"/>
        </w:rPr>
        <w:t xml:space="preserve"> Commissioners</w:t>
      </w:r>
      <w:r>
        <w:rPr>
          <w:rStyle w:val="normaltextrun"/>
          <w:rFonts w:ascii="Cambria" w:hAnsi="Cambria" w:cs="Segoe UI"/>
          <w:sz w:val="20"/>
        </w:rPr>
        <w:t>.</w:t>
      </w:r>
    </w:p>
    <w:p w14:paraId="3F7416B6" w14:textId="77777777" w:rsidR="00473170" w:rsidRPr="0031514B" w:rsidRDefault="00473170" w:rsidP="00F365ED">
      <w:pPr>
        <w:rPr>
          <w:rStyle w:val="FootnoteReference"/>
          <w:rFonts w:ascii="Cambria" w:hAnsi="Cambria"/>
        </w:rPr>
      </w:pPr>
    </w:p>
    <w:sectPr w:rsidR="00473170" w:rsidRPr="0031514B" w:rsidSect="00F365ED">
      <w:headerReference w:type="default" r:id="rId13"/>
      <w:footerReference w:type="default" r:id="rId14"/>
      <w:headerReference w:type="first" r:id="rId15"/>
      <w:endnotePr>
        <w:numFmt w:val="decimal"/>
      </w:endnotePr>
      <w:pgSz w:w="12240" w:h="15840" w:code="1"/>
      <w:pgMar w:top="1440" w:right="1440" w:bottom="1440" w:left="1440" w:header="720" w:footer="129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F69C" w14:textId="77777777" w:rsidR="00C36282" w:rsidRPr="0031514B" w:rsidRDefault="00C36282">
      <w:pPr>
        <w:spacing w:line="20" w:lineRule="exact"/>
      </w:pPr>
    </w:p>
  </w:endnote>
  <w:endnote w:type="continuationSeparator" w:id="0">
    <w:p w14:paraId="203F0A9E" w14:textId="77777777" w:rsidR="00C36282" w:rsidRPr="0031514B" w:rsidRDefault="00C36282">
      <w:r w:rsidRPr="0031514B">
        <w:t xml:space="preserve"> </w:t>
      </w:r>
    </w:p>
  </w:endnote>
  <w:endnote w:type="continuationNotice" w:id="1">
    <w:p w14:paraId="321E1F2C" w14:textId="77777777" w:rsidR="00C36282" w:rsidRPr="0031514B" w:rsidRDefault="00C36282">
      <w:r w:rsidRPr="0031514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D80E" w14:textId="77777777" w:rsidR="007454DC" w:rsidRPr="000546C2" w:rsidRDefault="007454DC" w:rsidP="00F365ED">
    <w:pPr>
      <w:pStyle w:val="Footer"/>
      <w:jc w:val="right"/>
      <w:rPr>
        <w:rFonts w:ascii="Cambria" w:hAnsi="Cambria" w:cs="Calibri Light"/>
        <w:sz w:val="20"/>
      </w:rPr>
    </w:pPr>
    <w:r w:rsidRPr="000546C2">
      <w:rPr>
        <w:rFonts w:ascii="Cambria" w:hAnsi="Cambria" w:cs="Calibri Light"/>
        <w:sz w:val="20"/>
      </w:rPr>
      <w:fldChar w:fldCharType="begin"/>
    </w:r>
    <w:r w:rsidRPr="000546C2">
      <w:rPr>
        <w:rFonts w:ascii="Cambria" w:hAnsi="Cambria" w:cs="Calibri Light"/>
        <w:sz w:val="20"/>
      </w:rPr>
      <w:instrText xml:space="preserve"> PAGE   \* MERGEFORMAT </w:instrText>
    </w:r>
    <w:r w:rsidRPr="000546C2">
      <w:rPr>
        <w:rFonts w:ascii="Cambria" w:hAnsi="Cambria" w:cs="Calibri Light"/>
        <w:sz w:val="20"/>
      </w:rPr>
      <w:fldChar w:fldCharType="separate"/>
    </w:r>
    <w:r w:rsidRPr="000546C2">
      <w:rPr>
        <w:rFonts w:ascii="Cambria" w:hAnsi="Cambria" w:cs="Calibri Light"/>
        <w:sz w:val="20"/>
      </w:rPr>
      <w:t>2</w:t>
    </w:r>
    <w:r w:rsidRPr="000546C2">
      <w:rPr>
        <w:rFonts w:ascii="Cambria" w:hAnsi="Cambria" w:cs="Calibri Light"/>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7A6E" w14:textId="77777777" w:rsidR="007454DC" w:rsidRPr="0031514B" w:rsidRDefault="007454DC">
    <w:pPr>
      <w:pStyle w:val="Footer"/>
      <w:jc w:val="center"/>
      <w:rPr>
        <w:sz w:val="16"/>
        <w:szCs w:val="22"/>
      </w:rPr>
    </w:pPr>
  </w:p>
  <w:p w14:paraId="7A699F68" w14:textId="77777777" w:rsidR="007454DC" w:rsidRPr="0031514B" w:rsidRDefault="00745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AA99" w14:textId="77777777" w:rsidR="000C470A" w:rsidRPr="000C470A" w:rsidRDefault="000C470A">
    <w:pPr>
      <w:pStyle w:val="Footer"/>
      <w:jc w:val="center"/>
      <w:rPr>
        <w:rFonts w:ascii="Cambria" w:hAnsi="Cambria"/>
        <w:sz w:val="16"/>
        <w:szCs w:val="16"/>
      </w:rPr>
    </w:pPr>
    <w:r w:rsidRPr="000C470A">
      <w:rPr>
        <w:rFonts w:ascii="Cambria" w:hAnsi="Cambria"/>
        <w:sz w:val="16"/>
        <w:szCs w:val="16"/>
      </w:rPr>
      <w:fldChar w:fldCharType="begin"/>
    </w:r>
    <w:r w:rsidRPr="000C470A">
      <w:rPr>
        <w:rFonts w:ascii="Cambria" w:hAnsi="Cambria"/>
        <w:sz w:val="16"/>
        <w:szCs w:val="16"/>
      </w:rPr>
      <w:instrText xml:space="preserve"> PAGE   \* MERGEFORMAT </w:instrText>
    </w:r>
    <w:r w:rsidRPr="000C470A">
      <w:rPr>
        <w:rFonts w:ascii="Cambria" w:hAnsi="Cambria"/>
        <w:sz w:val="16"/>
        <w:szCs w:val="16"/>
      </w:rPr>
      <w:fldChar w:fldCharType="separate"/>
    </w:r>
    <w:r w:rsidRPr="000C470A">
      <w:rPr>
        <w:rFonts w:ascii="Cambria" w:hAnsi="Cambria"/>
        <w:noProof/>
        <w:sz w:val="16"/>
        <w:szCs w:val="16"/>
      </w:rPr>
      <w:t>2</w:t>
    </w:r>
    <w:r w:rsidRPr="000C470A">
      <w:rPr>
        <w:rFonts w:ascii="Cambria" w:hAnsi="Cambria"/>
        <w:noProof/>
        <w:sz w:val="16"/>
        <w:szCs w:val="16"/>
      </w:rPr>
      <w:fldChar w:fldCharType="end"/>
    </w:r>
  </w:p>
  <w:p w14:paraId="3C9834AD" w14:textId="4472DE3D" w:rsidR="00F365ED" w:rsidRPr="000546C2" w:rsidRDefault="00F365ED" w:rsidP="00F365ED">
    <w:pPr>
      <w:pStyle w:val="Footer"/>
      <w:jc w:val="right"/>
      <w:rPr>
        <w:rFonts w:ascii="Cambria" w:hAnsi="Cambria" w:cs="Calibri Ligh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17BA" w14:textId="77777777" w:rsidR="00C36282" w:rsidRPr="0031514B" w:rsidRDefault="00C36282">
      <w:r w:rsidRPr="0031514B">
        <w:separator/>
      </w:r>
    </w:p>
  </w:footnote>
  <w:footnote w:type="continuationSeparator" w:id="0">
    <w:p w14:paraId="2FF3B3C2" w14:textId="77777777" w:rsidR="00C36282" w:rsidRPr="0031514B" w:rsidRDefault="00C36282">
      <w:r w:rsidRPr="0031514B">
        <w:continuationSeparator/>
      </w:r>
    </w:p>
  </w:footnote>
  <w:footnote w:type="continuationNotice" w:id="1">
    <w:p w14:paraId="7046F415" w14:textId="77777777" w:rsidR="00003152" w:rsidRDefault="00003152"/>
  </w:footnote>
  <w:footnote w:id="2">
    <w:p w14:paraId="5DDBDE91" w14:textId="77777777" w:rsidR="007454DC" w:rsidRPr="003255C4" w:rsidRDefault="007454DC" w:rsidP="003255C4">
      <w:pPr>
        <w:pStyle w:val="FootnoteText"/>
        <w:tabs>
          <w:tab w:val="clear" w:pos="360"/>
        </w:tabs>
        <w:ind w:firstLine="720"/>
        <w:rPr>
          <w:rFonts w:ascii="Cambria" w:hAnsi="Cambria"/>
          <w:sz w:val="16"/>
          <w:szCs w:val="16"/>
        </w:rPr>
      </w:pPr>
      <w:r w:rsidRPr="003255C4">
        <w:rPr>
          <w:rStyle w:val="FootnoteReference"/>
          <w:rFonts w:ascii="Cambria" w:hAnsi="Cambria"/>
          <w:sz w:val="16"/>
          <w:szCs w:val="16"/>
          <w:vertAlign w:val="superscript"/>
        </w:rPr>
        <w:footnoteRef/>
      </w:r>
      <w:r w:rsidRPr="003255C4">
        <w:rPr>
          <w:rFonts w:ascii="Cambria" w:hAnsi="Cambria"/>
          <w:sz w:val="16"/>
          <w:szCs w:val="16"/>
          <w:vertAlign w:val="superscript"/>
        </w:rPr>
        <w:t xml:space="preserve"> </w:t>
      </w:r>
      <w:r w:rsidRPr="003255C4">
        <w:rPr>
          <w:rFonts w:ascii="Cambria" w:hAnsi="Cambria"/>
          <w:sz w:val="16"/>
          <w:szCs w:val="16"/>
        </w:rPr>
        <w:t>Pursuant to Article 17(2)(a) of the Commission’s Rules of Procedure, Commissioner Carlos Bernal Pulido, a Colombian national, did not participate in the discussion or decision in this matter.</w:t>
      </w:r>
    </w:p>
  </w:footnote>
  <w:footnote w:id="3">
    <w:p w14:paraId="56F637AB" w14:textId="77777777" w:rsidR="007454DC" w:rsidRPr="003255C4" w:rsidRDefault="007454DC" w:rsidP="003255C4">
      <w:pPr>
        <w:pStyle w:val="FootnoteText"/>
        <w:tabs>
          <w:tab w:val="clear" w:pos="360"/>
        </w:tabs>
        <w:ind w:firstLine="720"/>
        <w:rPr>
          <w:rFonts w:ascii="Cambria" w:hAnsi="Cambria"/>
          <w:sz w:val="16"/>
          <w:szCs w:val="16"/>
        </w:rPr>
      </w:pPr>
      <w:r w:rsidRPr="003255C4">
        <w:rPr>
          <w:rFonts w:ascii="Cambria" w:hAnsi="Cambria"/>
          <w:sz w:val="16"/>
          <w:szCs w:val="16"/>
          <w:vertAlign w:val="superscript"/>
        </w:rPr>
        <w:footnoteRef/>
      </w:r>
      <w:r w:rsidRPr="003255C4">
        <w:rPr>
          <w:rFonts w:ascii="Cambria" w:hAnsi="Cambria"/>
          <w:sz w:val="16"/>
          <w:szCs w:val="16"/>
        </w:rPr>
        <w:t xml:space="preserve"> Hereinafter “American Convention” or “Convention.” </w:t>
      </w:r>
    </w:p>
  </w:footnote>
  <w:footnote w:id="4">
    <w:p w14:paraId="3EC2708A" w14:textId="77777777" w:rsidR="007454DC" w:rsidRPr="003255C4" w:rsidRDefault="007454DC" w:rsidP="003255C4">
      <w:pPr>
        <w:pStyle w:val="FootnoteText"/>
        <w:tabs>
          <w:tab w:val="clear" w:pos="360"/>
        </w:tabs>
        <w:ind w:firstLine="720"/>
        <w:rPr>
          <w:rFonts w:ascii="Cambria" w:hAnsi="Cambria"/>
          <w:sz w:val="16"/>
          <w:szCs w:val="16"/>
        </w:rPr>
      </w:pPr>
      <w:r w:rsidRPr="003255C4">
        <w:rPr>
          <w:rStyle w:val="FootnoteReference"/>
          <w:rFonts w:ascii="Cambria" w:hAnsi="Cambria"/>
          <w:sz w:val="16"/>
          <w:szCs w:val="16"/>
          <w:vertAlign w:val="superscript"/>
        </w:rPr>
        <w:footnoteRef/>
      </w:r>
      <w:r w:rsidRPr="003255C4">
        <w:rPr>
          <w:rFonts w:ascii="Cambria" w:hAnsi="Cambria"/>
          <w:sz w:val="16"/>
          <w:szCs w:val="16"/>
          <w:vertAlign w:val="superscript"/>
        </w:rPr>
        <w:t xml:space="preserve"> </w:t>
      </w:r>
      <w:r w:rsidRPr="003255C4">
        <w:rPr>
          <w:rFonts w:ascii="Cambria" w:hAnsi="Cambria"/>
          <w:sz w:val="16"/>
          <w:szCs w:val="16"/>
        </w:rPr>
        <w:t xml:space="preserve">The observations of either party were duly forwarded to the opposing party. In a communication dated April 22, 2022, the petitioner expressed its interest in the petition being processed. </w:t>
      </w:r>
    </w:p>
  </w:footnote>
  <w:footnote w:id="5">
    <w:p w14:paraId="44643AAB" w14:textId="77777777" w:rsidR="007454DC" w:rsidRPr="003255C4" w:rsidRDefault="007454DC" w:rsidP="003255C4">
      <w:pPr>
        <w:pStyle w:val="FootnoteText"/>
        <w:tabs>
          <w:tab w:val="clear" w:pos="360"/>
        </w:tabs>
        <w:ind w:firstLine="720"/>
        <w:rPr>
          <w:rFonts w:ascii="Cambria" w:hAnsi="Cambria"/>
        </w:rPr>
      </w:pPr>
      <w:r w:rsidRPr="003255C4">
        <w:rPr>
          <w:rFonts w:ascii="Cambria" w:hAnsi="Cambria"/>
          <w:sz w:val="16"/>
          <w:szCs w:val="16"/>
          <w:vertAlign w:val="superscript"/>
        </w:rPr>
        <w:footnoteRef/>
      </w:r>
      <w:r w:rsidRPr="003255C4">
        <w:rPr>
          <w:rFonts w:ascii="Cambria" w:hAnsi="Cambria"/>
          <w:sz w:val="16"/>
          <w:szCs w:val="16"/>
        </w:rPr>
        <w:t xml:space="preserve"> IACHR, Report No. 156/17, Petition 585-08, Admissibility, Carlos Alfonso Fonseca Murillo, Ecuador, November 30, 2017, para. 17; and IACHR, Report No. 27/16, Petition 30-04, Inadmissibility, Luis Alexsander Santillan Hermoza, Peru, April 15, 2016, paras. 25 and 26.</w:t>
      </w:r>
    </w:p>
  </w:footnote>
  <w:footnote w:id="6">
    <w:p w14:paraId="542B9879" w14:textId="77777777" w:rsidR="007454DC" w:rsidRPr="003255C4" w:rsidRDefault="007454DC" w:rsidP="003255C4">
      <w:pPr>
        <w:pStyle w:val="FootnoteText"/>
        <w:tabs>
          <w:tab w:val="clear" w:pos="360"/>
        </w:tabs>
        <w:ind w:firstLine="720"/>
        <w:rPr>
          <w:rFonts w:ascii="Cambria" w:hAnsi="Cambria"/>
        </w:rPr>
      </w:pPr>
      <w:r w:rsidRPr="003255C4">
        <w:rPr>
          <w:rFonts w:ascii="Cambria" w:hAnsi="Cambria"/>
          <w:sz w:val="16"/>
          <w:szCs w:val="16"/>
          <w:vertAlign w:val="superscript"/>
        </w:rPr>
        <w:footnoteRef/>
      </w:r>
      <w:r w:rsidRPr="003255C4">
        <w:rPr>
          <w:rFonts w:ascii="Cambria" w:hAnsi="Cambria"/>
          <w:sz w:val="16"/>
          <w:szCs w:val="16"/>
        </w:rPr>
        <w:t xml:space="preserve"> IACHR, Report No. 169/19, Case 12.396, Merits, Leonidas Bendezú Tuncar, Peru, November 9, 2019, para. 70.</w:t>
      </w:r>
    </w:p>
  </w:footnote>
  <w:footnote w:id="7">
    <w:p w14:paraId="27853872" w14:textId="77777777" w:rsidR="007454DC" w:rsidRPr="003255C4" w:rsidRDefault="007454DC" w:rsidP="003255C4">
      <w:pPr>
        <w:pStyle w:val="FootnoteText"/>
        <w:tabs>
          <w:tab w:val="clear" w:pos="360"/>
        </w:tabs>
        <w:ind w:firstLine="720"/>
        <w:rPr>
          <w:rFonts w:ascii="Cambria" w:hAnsi="Cambria"/>
        </w:rPr>
      </w:pPr>
      <w:r w:rsidRPr="003255C4">
        <w:rPr>
          <w:rStyle w:val="FootnoteReference"/>
          <w:rFonts w:ascii="Cambria" w:hAnsi="Cambria"/>
          <w:sz w:val="16"/>
          <w:szCs w:val="16"/>
        </w:rPr>
        <w:footnoteRef/>
      </w:r>
      <w:r w:rsidRPr="003255C4">
        <w:rPr>
          <w:rFonts w:ascii="Cambria" w:hAnsi="Cambria"/>
        </w:rPr>
        <w:t xml:space="preserve"> </w:t>
      </w:r>
      <w:r w:rsidRPr="003255C4">
        <w:rPr>
          <w:rFonts w:ascii="Cambria" w:hAnsi="Cambria"/>
          <w:i/>
          <w:iCs/>
          <w:sz w:val="16"/>
          <w:szCs w:val="16"/>
        </w:rPr>
        <w:t>Ibid.</w:t>
      </w:r>
      <w:r w:rsidRPr="003255C4">
        <w:rPr>
          <w:rFonts w:ascii="Cambria" w:hAnsi="Cambria"/>
          <w:sz w:val="16"/>
          <w:szCs w:val="16"/>
        </w:rPr>
        <w:t>, para. 75.</w:t>
      </w:r>
    </w:p>
  </w:footnote>
  <w:footnote w:id="8">
    <w:p w14:paraId="3CD322C3" w14:textId="77777777" w:rsidR="007454DC" w:rsidRPr="003255C4" w:rsidRDefault="007454DC" w:rsidP="003255C4">
      <w:pPr>
        <w:pStyle w:val="FootnoteText"/>
        <w:tabs>
          <w:tab w:val="clear" w:pos="360"/>
        </w:tabs>
        <w:ind w:firstLine="720"/>
        <w:rPr>
          <w:rFonts w:ascii="Cambria" w:hAnsi="Cambria"/>
        </w:rPr>
      </w:pPr>
      <w:r w:rsidRPr="003255C4">
        <w:rPr>
          <w:rStyle w:val="FootnoteReference"/>
          <w:rFonts w:ascii="Cambria" w:hAnsi="Cambria"/>
          <w:sz w:val="16"/>
          <w:szCs w:val="16"/>
        </w:rPr>
        <w:footnoteRef/>
      </w:r>
      <w:r w:rsidRPr="003255C4">
        <w:rPr>
          <w:rFonts w:ascii="Cambria" w:hAnsi="Cambria"/>
        </w:rPr>
        <w:t xml:space="preserve"> </w:t>
      </w:r>
      <w:r w:rsidRPr="003255C4">
        <w:rPr>
          <w:rFonts w:ascii="Cambria" w:hAnsi="Cambria"/>
          <w:i/>
          <w:iCs/>
          <w:sz w:val="16"/>
          <w:szCs w:val="16"/>
        </w:rPr>
        <w:t>Ibid.</w:t>
      </w:r>
      <w:r w:rsidRPr="003255C4">
        <w:rPr>
          <w:rFonts w:ascii="Cambria" w:hAnsi="Cambria"/>
          <w:sz w:val="16"/>
          <w:szCs w:val="16"/>
        </w:rPr>
        <w:t>, paras. 76 and 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4C39" w14:textId="77777777" w:rsidR="007454DC" w:rsidRPr="0031514B" w:rsidRDefault="007454DC" w:rsidP="00473170">
    <w:pPr>
      <w:pStyle w:val="Header"/>
      <w:framePr w:wrap="around" w:vAnchor="text" w:hAnchor="margin" w:xAlign="center" w:y="1"/>
      <w:rPr>
        <w:rStyle w:val="PageNumber"/>
        <w:rFonts w:eastAsia="Trebuchet MS"/>
      </w:rPr>
    </w:pPr>
    <w:r w:rsidRPr="0031514B">
      <w:rPr>
        <w:rStyle w:val="PageNumber"/>
        <w:rFonts w:eastAsia="Trebuchet MS"/>
      </w:rPr>
      <w:fldChar w:fldCharType="begin"/>
    </w:r>
    <w:r w:rsidRPr="0031514B">
      <w:rPr>
        <w:rStyle w:val="PageNumber"/>
        <w:rFonts w:eastAsia="Trebuchet MS"/>
      </w:rPr>
      <w:instrText xml:space="preserve">PAGE  </w:instrText>
    </w:r>
    <w:r w:rsidRPr="0031514B">
      <w:rPr>
        <w:rStyle w:val="PageNumber"/>
        <w:rFonts w:eastAsia="Trebuchet MS"/>
      </w:rPr>
      <w:fldChar w:fldCharType="end"/>
    </w:r>
  </w:p>
  <w:p w14:paraId="5FAF00FE" w14:textId="77777777" w:rsidR="007454DC" w:rsidRPr="0031514B" w:rsidRDefault="00745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D223" w14:textId="6EBABD04" w:rsidR="007454DC" w:rsidRPr="0031514B" w:rsidRDefault="00EF3C35" w:rsidP="00473170">
    <w:pPr>
      <w:pStyle w:val="Header"/>
      <w:tabs>
        <w:tab w:val="clear" w:pos="4320"/>
        <w:tab w:val="clear" w:pos="8640"/>
      </w:tabs>
      <w:jc w:val="center"/>
      <w:rPr>
        <w:szCs w:val="22"/>
      </w:rPr>
    </w:pPr>
    <w:r>
      <w:rPr>
        <w:noProof/>
        <w:szCs w:val="22"/>
      </w:rPr>
      <w:drawing>
        <wp:inline distT="0" distB="0" distL="0" distR="0" wp14:anchorId="52E16BA3" wp14:editId="4ED57A1E">
          <wp:extent cx="1971675" cy="104775"/>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04337F8E" w14:textId="77777777" w:rsidR="007454DC" w:rsidRPr="0031514B" w:rsidRDefault="00320E85" w:rsidP="00473170">
    <w:pPr>
      <w:pStyle w:val="Header"/>
      <w:tabs>
        <w:tab w:val="clear" w:pos="4320"/>
        <w:tab w:val="clear" w:pos="8640"/>
      </w:tabs>
      <w:jc w:val="center"/>
      <w:rPr>
        <w:szCs w:val="22"/>
      </w:rPr>
    </w:pPr>
    <w:r>
      <w:rPr>
        <w:noProof/>
        <w:szCs w:val="22"/>
      </w:rPr>
      <w:pict w14:anchorId="2CEB35A4">
        <v:rect id="_x0000_i1025" style="width:468pt;height:.0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5239" w14:textId="7665FF6A" w:rsidR="00F365ED" w:rsidRDefault="00EF3C35" w:rsidP="00F365ED">
    <w:pPr>
      <w:pStyle w:val="Header"/>
      <w:tabs>
        <w:tab w:val="clear" w:pos="4320"/>
        <w:tab w:val="clear" w:pos="8640"/>
      </w:tabs>
      <w:jc w:val="center"/>
      <w:rPr>
        <w:szCs w:val="22"/>
      </w:rPr>
    </w:pPr>
    <w:r>
      <w:rPr>
        <w:noProof/>
        <w:szCs w:val="22"/>
      </w:rPr>
      <w:drawing>
        <wp:inline distT="0" distB="0" distL="0" distR="0" wp14:anchorId="56759DDB" wp14:editId="285C423E">
          <wp:extent cx="2209800" cy="123825"/>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23825"/>
                  </a:xfrm>
                  <a:prstGeom prst="rect">
                    <a:avLst/>
                  </a:prstGeom>
                  <a:noFill/>
                  <a:ln>
                    <a:noFill/>
                  </a:ln>
                </pic:spPr>
              </pic:pic>
            </a:graphicData>
          </a:graphic>
        </wp:inline>
      </w:drawing>
    </w:r>
  </w:p>
  <w:p w14:paraId="3DEF53A3" w14:textId="77777777" w:rsidR="00473170" w:rsidRPr="00F365ED" w:rsidRDefault="00320E85" w:rsidP="00F365ED">
    <w:pPr>
      <w:pStyle w:val="Header"/>
      <w:tabs>
        <w:tab w:val="clear" w:pos="4320"/>
        <w:tab w:val="clear" w:pos="8640"/>
      </w:tabs>
      <w:jc w:val="center"/>
      <w:rPr>
        <w:szCs w:val="22"/>
      </w:rPr>
    </w:pPr>
    <w:r>
      <w:rPr>
        <w:noProof/>
        <w:szCs w:val="22"/>
      </w:rPr>
      <w:pict w14:anchorId="7935CD1F">
        <v:rect id="_x0000_i1026" style="width:468pt;height:.05pt"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12A5" w14:textId="4C30AEF2" w:rsidR="00BF22E5" w:rsidRDefault="00EF3C35" w:rsidP="00BF22E5">
    <w:pPr>
      <w:pStyle w:val="Header"/>
      <w:tabs>
        <w:tab w:val="clear" w:pos="4320"/>
        <w:tab w:val="clear" w:pos="8640"/>
      </w:tabs>
      <w:jc w:val="center"/>
      <w:rPr>
        <w:szCs w:val="22"/>
      </w:rPr>
    </w:pPr>
    <w:r>
      <w:rPr>
        <w:noProof/>
        <w:szCs w:val="22"/>
      </w:rPr>
      <w:drawing>
        <wp:inline distT="0" distB="0" distL="0" distR="0" wp14:anchorId="200B140D" wp14:editId="48C86DFF">
          <wp:extent cx="2209800" cy="1238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23825"/>
                  </a:xfrm>
                  <a:prstGeom prst="rect">
                    <a:avLst/>
                  </a:prstGeom>
                  <a:noFill/>
                  <a:ln>
                    <a:noFill/>
                  </a:ln>
                </pic:spPr>
              </pic:pic>
            </a:graphicData>
          </a:graphic>
        </wp:inline>
      </w:drawing>
    </w:r>
  </w:p>
  <w:p w14:paraId="06DC3B4E" w14:textId="77777777" w:rsidR="00473170" w:rsidRPr="00BF22E5" w:rsidRDefault="00320E85" w:rsidP="00BF22E5">
    <w:pPr>
      <w:pStyle w:val="Header"/>
      <w:tabs>
        <w:tab w:val="clear" w:pos="4320"/>
        <w:tab w:val="clear" w:pos="8640"/>
      </w:tabs>
      <w:jc w:val="center"/>
      <w:rPr>
        <w:szCs w:val="22"/>
      </w:rPr>
    </w:pPr>
    <w:r>
      <w:rPr>
        <w:noProof/>
        <w:szCs w:val="22"/>
      </w:rPr>
      <w:pict w14:anchorId="5D4FEA49">
        <v:rect id="_x0000_i1027"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065"/>
    <w:multiLevelType w:val="hybridMultilevel"/>
    <w:tmpl w:val="3A1219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856612"/>
    <w:multiLevelType w:val="singleLevel"/>
    <w:tmpl w:val="1D546C84"/>
    <w:lvl w:ilvl="0">
      <w:numFmt w:val="decimal"/>
      <w:lvlText w:val="%1"/>
      <w:legacy w:legacy="1" w:legacySpace="0" w:legacyIndent="0"/>
      <w:lvlJc w:val="left"/>
    </w:lvl>
  </w:abstractNum>
  <w:abstractNum w:abstractNumId="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6333806">
    <w:abstractNumId w:val="3"/>
  </w:num>
  <w:num w:numId="2" w16cid:durableId="1386563313">
    <w:abstractNumId w:val="2"/>
  </w:num>
  <w:num w:numId="3" w16cid:durableId="1264848418">
    <w:abstractNumId w:val="1"/>
  </w:num>
  <w:num w:numId="4" w16cid:durableId="158892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9AD3BAE-5FCD-462B-9B68-AF65FD3BE9FC}"/>
    <w:docVar w:name="dgnword-eventsink" w:val="1302691280720"/>
  </w:docVars>
  <w:rsids>
    <w:rsidRoot w:val="007454DC"/>
    <w:rsid w:val="00003152"/>
    <w:rsid w:val="000546C2"/>
    <w:rsid w:val="000C470A"/>
    <w:rsid w:val="00172330"/>
    <w:rsid w:val="001A768D"/>
    <w:rsid w:val="00203256"/>
    <w:rsid w:val="0031514B"/>
    <w:rsid w:val="00320E85"/>
    <w:rsid w:val="003255C4"/>
    <w:rsid w:val="004525AB"/>
    <w:rsid w:val="004561C0"/>
    <w:rsid w:val="00473170"/>
    <w:rsid w:val="00516D20"/>
    <w:rsid w:val="00556A94"/>
    <w:rsid w:val="00582343"/>
    <w:rsid w:val="005D4CEF"/>
    <w:rsid w:val="006558F0"/>
    <w:rsid w:val="00660C60"/>
    <w:rsid w:val="006E6EDD"/>
    <w:rsid w:val="007454DC"/>
    <w:rsid w:val="00826F92"/>
    <w:rsid w:val="008871A5"/>
    <w:rsid w:val="00905A44"/>
    <w:rsid w:val="00913AC9"/>
    <w:rsid w:val="009E5D43"/>
    <w:rsid w:val="00A504AF"/>
    <w:rsid w:val="00B17439"/>
    <w:rsid w:val="00BF22E5"/>
    <w:rsid w:val="00C36282"/>
    <w:rsid w:val="00CD4AD0"/>
    <w:rsid w:val="00D33CA6"/>
    <w:rsid w:val="00D5261F"/>
    <w:rsid w:val="00D96323"/>
    <w:rsid w:val="00EF3C35"/>
    <w:rsid w:val="00F3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41A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basedOn w:val="Normal"/>
    <w:link w:val="FootnoteTextChar"/>
    <w:qFormat/>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Char2"/>
    <w:qFormat/>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aliases w:val="encabezado"/>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lang w:val="pt-PT"/>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lang w:val="pt-PT"/>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rsid w:val="007454DC"/>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HeaderChar">
    <w:name w:val="Header Char"/>
    <w:aliases w:val="encabezado Char"/>
    <w:link w:val="Header"/>
    <w:uiPriority w:val="99"/>
    <w:rsid w:val="007454DC"/>
    <w:rPr>
      <w:rFonts w:ascii="CG Times" w:hAnsi="CG Times"/>
      <w:sz w:val="22"/>
      <w:lang w:val="es-ES"/>
    </w:rPr>
  </w:style>
  <w:style w:type="character" w:customStyle="1" w:styleId="FooterChar">
    <w:name w:val="Footer Char"/>
    <w:link w:val="Footer"/>
    <w:uiPriority w:val="99"/>
    <w:rsid w:val="007454DC"/>
    <w:rPr>
      <w:rFonts w:ascii="CG Times" w:hAnsi="CG Times"/>
      <w:sz w:val="22"/>
      <w:lang w:val="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7454DC"/>
    <w:rPr>
      <w:rFonts w:ascii="CG Times" w:hAnsi="CG Times"/>
      <w:sz w:val="18"/>
      <w:lang w:val="es-ES"/>
    </w:rPr>
  </w:style>
  <w:style w:type="table" w:styleId="TableGrid">
    <w:name w:val="Table Grid"/>
    <w:basedOn w:val="TableNormal"/>
    <w:uiPriority w:val="59"/>
    <w:rsid w:val="007454DC"/>
    <w:pPr>
      <w:pBdr>
        <w:top w:val="nil"/>
        <w:left w:val="nil"/>
        <w:bottom w:val="nil"/>
        <w:right w:val="nil"/>
        <w:between w:val="nil"/>
        <w:bar w:val="nil"/>
      </w:pBdr>
    </w:pPr>
    <w:rPr>
      <w:rFonts w:eastAsia="Arial Unicode MS"/>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7454DC"/>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160" w:line="240" w:lineRule="exact"/>
      <w:jc w:val="left"/>
    </w:pPr>
    <w:rPr>
      <w:rFonts w:ascii="Times New Roman" w:hAnsi="Times New Roman"/>
      <w:sz w:val="20"/>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7454DC"/>
    <w:rPr>
      <w:rFonts w:ascii="Cambria" w:eastAsia="Cambria" w:hAnsi="Cambria" w:cs="Cambria"/>
      <w:color w:val="000000"/>
      <w:sz w:val="24"/>
      <w:szCs w:val="24"/>
      <w:u w:color="000000"/>
      <w:bdr w:val="nil"/>
      <w:lang w:eastAsia="es-ES"/>
    </w:rPr>
  </w:style>
  <w:style w:type="character" w:customStyle="1" w:styleId="normaltextrun">
    <w:name w:val="normaltextrun"/>
    <w:basedOn w:val="DefaultParagraphFont"/>
    <w:rsid w:val="0065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2353</Words>
  <Characters>13415</Characters>
  <Application>Microsoft Office Word</Application>
  <DocSecurity>0</DocSecurity>
  <Lines>111</Lines>
  <Paragraphs>31</Paragraphs>
  <ScaleCrop>false</ScaleCrop>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2025-01-09T15:49:00Z</dcterms:created>
  <dcterms:modified xsi:type="dcterms:W3CDTF">2025-01-09T15:49:00Z</dcterms:modified>
</cp:coreProperties>
</file>