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DA90A" w14:textId="4E220EAE" w:rsidR="00A24E80" w:rsidRPr="00072C3D" w:rsidRDefault="00BA1813" w:rsidP="002B2646">
      <w:pPr>
        <w:pBdr>
          <w:top w:val="nil"/>
          <w:left w:val="nil"/>
          <w:bottom w:val="nil"/>
          <w:right w:val="nil"/>
          <w:between w:val="nil"/>
          <w:bar w:val="nil"/>
        </w:pBdr>
        <w:spacing w:after="0" w:line="240" w:lineRule="auto"/>
        <w:jc w:val="both"/>
        <w:rPr>
          <w:rFonts w:ascii="Cambria" w:eastAsia="Arial Unicode MS" w:hAnsi="Cambria" w:cs="Univers"/>
          <w:b/>
          <w:bCs/>
          <w:kern w:val="0"/>
          <w:sz w:val="22"/>
          <w:szCs w:val="22"/>
          <w:bdr w:val="nil"/>
          <w:lang w:eastAsia="en-US"/>
        </w:rPr>
      </w:pPr>
      <w:r>
        <w:rPr>
          <w:rFonts w:ascii="Cambria" w:eastAsia="Arial Unicode MS" w:hAnsi="Cambria" w:cs="Times New Roman"/>
          <w:noProof/>
          <w:kern w:val="0"/>
          <w:bdr w:val="nil"/>
          <w:lang w:eastAsia="en-US"/>
        </w:rPr>
        <mc:AlternateContent>
          <mc:Choice Requires="wps">
            <w:drawing>
              <wp:anchor distT="0" distB="0" distL="114300" distR="114300" simplePos="0" relativeHeight="251659264" behindDoc="0" locked="0" layoutInCell="1" allowOverlap="1" wp14:anchorId="23112C32" wp14:editId="590C7645">
                <wp:simplePos x="0" y="0"/>
                <wp:positionH relativeFrom="column">
                  <wp:posOffset>-377825</wp:posOffset>
                </wp:positionH>
                <wp:positionV relativeFrom="paragraph">
                  <wp:posOffset>-290195</wp:posOffset>
                </wp:positionV>
                <wp:extent cx="1409700" cy="8412480"/>
                <wp:effectExtent l="3175" t="0" r="0" b="2540"/>
                <wp:wrapNone/>
                <wp:docPr id="1231360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8412480"/>
                        </a:xfrm>
                        <a:prstGeom prst="rect">
                          <a:avLst/>
                        </a:prstGeom>
                        <a:solidFill>
                          <a:srgbClr val="67AE3C"/>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559EFDC2" id="Rectangle 1" o:spid="_x0000_s1026" style="position:absolute;margin-left:-29.75pt;margin-top:-22.85pt;width:111pt;height:66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" fillcolor="#67ae3c" stroked="f" strokeweight="1pt"/>
            </w:pict>
          </mc:Fallback>
        </mc:AlternateContent>
      </w:r>
      <w:r>
        <w:rPr>
          <w:rFonts w:ascii="Cambria" w:eastAsia="Arial Unicode MS" w:hAnsi="Cambria" w:cs="Times New Roman"/>
          <w:noProof/>
          <w:kern w:val="0"/>
          <w:bdr w:val="nil"/>
          <w:lang w:eastAsia="en-US"/>
        </w:rPr>
        <mc:AlternateContent>
          <mc:Choice Requires="wps">
            <w:drawing>
              <wp:anchor distT="0" distB="0" distL="114300" distR="114300" simplePos="0" relativeHeight="251663360" behindDoc="0" locked="0" layoutInCell="1" allowOverlap="1" wp14:anchorId="64D933C8" wp14:editId="141D8729">
                <wp:simplePos x="0" y="0"/>
                <wp:positionH relativeFrom="column">
                  <wp:posOffset>1143000</wp:posOffset>
                </wp:positionH>
                <wp:positionV relativeFrom="paragraph">
                  <wp:posOffset>-371475</wp:posOffset>
                </wp:positionV>
                <wp:extent cx="4486275" cy="752475"/>
                <wp:effectExtent l="0" t="0" r="0" b="0"/>
                <wp:wrapNone/>
                <wp:docPr id="179222638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C91320" w14:textId="77777777" w:rsidR="00A24E80" w:rsidRPr="00723329" w:rsidRDefault="00A24E80" w:rsidP="00A24E80">
                            <w:r w:rsidRPr="00723329">
                              <w:rPr>
                                <w:noProof/>
                              </w:rPr>
                              <w:drawing>
                                <wp:inline distT="0" distB="0" distL="0" distR="0" wp14:anchorId="55E94C03" wp14:editId="5F789020">
                                  <wp:extent cx="2523744" cy="484632"/>
                                  <wp:effectExtent l="0" t="0" r="0" b="0"/>
                                  <wp:docPr id="15" name="Picture 15" descr="C:\Users\mfontana\Documents\Eva Fontana\GRAFICA CIDH\cartas\logos\cidh-e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3744" cy="484632"/>
                                          </a:xfrm>
                                          <a:prstGeom prst="rect">
                                            <a:avLst/>
                                          </a:prstGeom>
                                          <a:noFill/>
                                          <a:ln>
                                            <a:noFill/>
                                          </a:ln>
                                        </pic:spPr>
                                      </pic:pic>
                                    </a:graphicData>
                                  </a:graphic>
                                </wp:inline>
                              </w:drawing>
                            </w:r>
                            <w:r w:rsidRPr="00723329">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933C8" id="_x0000_t202" coordsize="21600,21600" o:spt="202" path="m,l,21600r21600,l21600,xe">
                <v:stroke joinstyle="miter"/>
                <v:path gradientshapeok="t" o:connecttype="rect"/>
              </v:shapetype>
              <v:shape id="Text Box 7" o:spid="_x0000_s1026" type="#_x0000_t202" style="position:absolute;left:0;text-align:left;margin-left:90pt;margin-top:-29.25pt;width:353.2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" filled="f" stroked="f" strokeweight=".5pt">
                <v:textbox>
                  <w:txbxContent>
                    <w:p w14:paraId="4FC91320" w14:textId="77777777" w:rsidR="00A24E80" w:rsidRPr="00723329" w:rsidRDefault="00A24E80" w:rsidP="00A24E80">
                      <w:r w:rsidRPr="00723329">
                        <w:rPr>
                          <w:noProof/>
                        </w:rPr>
                        <w:drawing>
                          <wp:inline distT="0" distB="0" distL="0" distR="0" wp14:anchorId="55E94C03" wp14:editId="5F789020">
                            <wp:extent cx="2523744" cy="484632"/>
                            <wp:effectExtent l="0" t="0" r="0" b="0"/>
                            <wp:docPr id="15" name="Picture 15" descr="C:\Users\mfontana\Documents\Eva Fontana\GRAFICA CIDH\cartas\logos\cidh-e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3744" cy="484632"/>
                                    </a:xfrm>
                                    <a:prstGeom prst="rect">
                                      <a:avLst/>
                                    </a:prstGeom>
                                    <a:noFill/>
                                    <a:ln>
                                      <a:noFill/>
                                    </a:ln>
                                  </pic:spPr>
                                </pic:pic>
                              </a:graphicData>
                            </a:graphic>
                          </wp:inline>
                        </w:drawing>
                      </w:r>
                      <w:r w:rsidRPr="00723329">
                        <w:t xml:space="preserve">                                               </w:t>
                      </w:r>
                    </w:p>
                  </w:txbxContent>
                </v:textbox>
              </v:shape>
            </w:pict>
          </mc:Fallback>
        </mc:AlternateContent>
      </w:r>
    </w:p>
    <w:p w14:paraId="702AC1B1" w14:textId="77777777" w:rsidR="00A24E80" w:rsidRPr="00072C3D" w:rsidRDefault="00A24E80" w:rsidP="002B2646">
      <w:pPr>
        <w:pBdr>
          <w:top w:val="nil"/>
          <w:left w:val="nil"/>
          <w:bottom w:val="nil"/>
          <w:right w:val="nil"/>
          <w:between w:val="nil"/>
          <w:bar w:val="nil"/>
        </w:pBdr>
        <w:tabs>
          <w:tab w:val="center" w:pos="5400"/>
        </w:tabs>
        <w:suppressAutoHyphens/>
        <w:spacing w:after="0" w:line="240" w:lineRule="auto"/>
        <w:jc w:val="both"/>
        <w:rPr>
          <w:rFonts w:ascii="Cambria" w:eastAsia="Arial Unicode MS" w:hAnsi="Cambria" w:cs="Times New Roman"/>
          <w:kern w:val="0"/>
          <w:sz w:val="22"/>
          <w:szCs w:val="22"/>
          <w:bdr w:val="nil"/>
          <w:lang w:eastAsia="en-US"/>
        </w:rPr>
      </w:pPr>
    </w:p>
    <w:p w14:paraId="33559412" w14:textId="77777777" w:rsidR="00A24E80" w:rsidRPr="00072C3D" w:rsidRDefault="00A24E80" w:rsidP="002B2646">
      <w:pPr>
        <w:pBdr>
          <w:top w:val="nil"/>
          <w:left w:val="nil"/>
          <w:bottom w:val="nil"/>
          <w:right w:val="nil"/>
          <w:between w:val="nil"/>
          <w:bar w:val="nil"/>
        </w:pBdr>
        <w:tabs>
          <w:tab w:val="center" w:pos="5400"/>
        </w:tabs>
        <w:suppressAutoHyphens/>
        <w:spacing w:after="0" w:line="240" w:lineRule="auto"/>
        <w:jc w:val="both"/>
        <w:rPr>
          <w:rFonts w:ascii="Cambria" w:eastAsia="Arial Unicode MS" w:hAnsi="Cambria" w:cs="Times New Roman"/>
          <w:kern w:val="0"/>
          <w:sz w:val="22"/>
          <w:szCs w:val="22"/>
          <w:bdr w:val="nil"/>
          <w:lang w:eastAsia="en-US"/>
        </w:rPr>
      </w:pPr>
    </w:p>
    <w:p w14:paraId="751E3840" w14:textId="77777777" w:rsidR="00A24E80" w:rsidRPr="00072C3D" w:rsidRDefault="00A24E80" w:rsidP="002B2646">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kern w:val="0"/>
          <w:sz w:val="22"/>
          <w:szCs w:val="22"/>
          <w:bdr w:val="nil"/>
          <w:lang w:eastAsia="en-US"/>
        </w:rPr>
      </w:pPr>
    </w:p>
    <w:p w14:paraId="2360D48E" w14:textId="77777777" w:rsidR="00A24E80" w:rsidRPr="00072C3D" w:rsidRDefault="00A24E80" w:rsidP="002B2646">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kern w:val="0"/>
          <w:sz w:val="22"/>
          <w:szCs w:val="22"/>
          <w:bdr w:val="nil"/>
          <w:lang w:eastAsia="en-US"/>
        </w:rPr>
      </w:pPr>
    </w:p>
    <w:p w14:paraId="54C7153D" w14:textId="77777777" w:rsidR="00A24E80" w:rsidRPr="00072C3D" w:rsidRDefault="00A24E80" w:rsidP="002B2646">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kern w:val="0"/>
          <w:sz w:val="22"/>
          <w:szCs w:val="22"/>
          <w:bdr w:val="nil"/>
          <w:lang w:eastAsia="en-US"/>
        </w:rPr>
      </w:pPr>
    </w:p>
    <w:p w14:paraId="7486B433" w14:textId="77777777" w:rsidR="00A24E80" w:rsidRPr="00072C3D" w:rsidRDefault="00A24E80" w:rsidP="002B2646">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kern w:val="0"/>
          <w:sz w:val="22"/>
          <w:szCs w:val="22"/>
          <w:bdr w:val="nil"/>
          <w:lang w:eastAsia="en-US"/>
        </w:rPr>
      </w:pPr>
    </w:p>
    <w:p w14:paraId="6EBC1012" w14:textId="77777777" w:rsidR="00A24E80" w:rsidRPr="00072C3D" w:rsidRDefault="00A24E80" w:rsidP="002B2646">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kern w:val="0"/>
          <w:sz w:val="22"/>
          <w:szCs w:val="22"/>
          <w:bdr w:val="nil"/>
          <w:lang w:eastAsia="en-US"/>
        </w:rPr>
      </w:pPr>
    </w:p>
    <w:p w14:paraId="3FC17302" w14:textId="77777777" w:rsidR="00A24E80" w:rsidRPr="00072C3D" w:rsidRDefault="00A24E80" w:rsidP="002B2646">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kern w:val="0"/>
          <w:sz w:val="22"/>
          <w:szCs w:val="22"/>
          <w:bdr w:val="nil"/>
          <w:lang w:eastAsia="en-US"/>
        </w:rPr>
      </w:pPr>
    </w:p>
    <w:p w14:paraId="7B65DFED" w14:textId="77777777" w:rsidR="00A24E80" w:rsidRPr="00072C3D" w:rsidRDefault="00A24E80" w:rsidP="002B2646">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kern w:val="0"/>
          <w:sz w:val="22"/>
          <w:szCs w:val="22"/>
          <w:bdr w:val="nil"/>
          <w:lang w:eastAsia="en-US"/>
        </w:rPr>
      </w:pPr>
    </w:p>
    <w:p w14:paraId="0E4C7CE3" w14:textId="77777777" w:rsidR="00A24E80" w:rsidRPr="00072C3D" w:rsidRDefault="00A24E80" w:rsidP="002B2646">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kern w:val="0"/>
          <w:sz w:val="22"/>
          <w:szCs w:val="22"/>
          <w:bdr w:val="nil"/>
          <w:lang w:eastAsia="en-US"/>
        </w:rPr>
      </w:pPr>
    </w:p>
    <w:p w14:paraId="275FD89F" w14:textId="77777777" w:rsidR="00A24E80" w:rsidRPr="00072C3D" w:rsidRDefault="00A24E80" w:rsidP="002B2646">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kern w:val="0"/>
          <w:sz w:val="22"/>
          <w:szCs w:val="22"/>
          <w:bdr w:val="nil"/>
          <w:lang w:eastAsia="en-US"/>
        </w:rPr>
      </w:pPr>
    </w:p>
    <w:p w14:paraId="23062288" w14:textId="77777777" w:rsidR="00A24E80" w:rsidRPr="00072C3D" w:rsidRDefault="00A24E80" w:rsidP="002B2646">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kern w:val="0"/>
          <w:sz w:val="22"/>
          <w:szCs w:val="22"/>
          <w:bdr w:val="nil"/>
          <w:lang w:eastAsia="en-US"/>
        </w:rPr>
      </w:pPr>
    </w:p>
    <w:p w14:paraId="3D677BEC" w14:textId="77777777" w:rsidR="00A24E80" w:rsidRPr="00072C3D" w:rsidRDefault="00A24E80" w:rsidP="002B2646">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kern w:val="0"/>
          <w:sz w:val="22"/>
          <w:szCs w:val="22"/>
          <w:bdr w:val="nil"/>
          <w:lang w:eastAsia="en-US"/>
        </w:rPr>
      </w:pPr>
    </w:p>
    <w:p w14:paraId="4609CF45" w14:textId="3E855A3D" w:rsidR="00A24E80" w:rsidRPr="00072C3D" w:rsidRDefault="00BA1813" w:rsidP="002B2646">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r>
        <w:rPr>
          <w:rFonts w:ascii="Cambria" w:eastAsia="Arial Unicode MS" w:hAnsi="Cambria" w:cstheme="majorBidi"/>
          <w:noProof/>
          <w:kern w:val="0"/>
          <w:bdr w:val="nil"/>
          <w:lang w:eastAsia="en-US"/>
        </w:rPr>
        <mc:AlternateContent>
          <mc:Choice Requires="wps">
            <w:drawing>
              <wp:anchor distT="0" distB="0" distL="114300" distR="114300" simplePos="0" relativeHeight="251662336" behindDoc="0" locked="0" layoutInCell="1" allowOverlap="1" wp14:anchorId="6EF561AC" wp14:editId="32032A95">
                <wp:simplePos x="0" y="0"/>
                <wp:positionH relativeFrom="column">
                  <wp:posOffset>-377825</wp:posOffset>
                </wp:positionH>
                <wp:positionV relativeFrom="paragraph">
                  <wp:posOffset>127000</wp:posOffset>
                </wp:positionV>
                <wp:extent cx="1334135" cy="1377315"/>
                <wp:effectExtent l="0" t="0" r="0" b="0"/>
                <wp:wrapNone/>
                <wp:docPr id="102986219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08EEB" w14:textId="762C357B" w:rsidR="00A24E80" w:rsidRPr="002B2646" w:rsidRDefault="00A24E80" w:rsidP="00B96903">
                            <w:pPr>
                              <w:spacing w:after="0"/>
                              <w:jc w:val="right"/>
                              <w:rPr>
                                <w:color w:val="FFFFFF" w:themeColor="background1"/>
                                <w:sz w:val="22"/>
                                <w:lang w:val="pt-BR"/>
                              </w:rPr>
                            </w:pPr>
                            <w:r w:rsidRPr="002B2646">
                              <w:rPr>
                                <w:color w:val="FFFFFF" w:themeColor="background1"/>
                                <w:sz w:val="22"/>
                                <w:lang w:val="pt-BR"/>
                              </w:rPr>
                              <w:t>OAS/Ser.L/V/II</w:t>
                            </w:r>
                          </w:p>
                          <w:p w14:paraId="40A7AE2E" w14:textId="3ED79E98" w:rsidR="00A24E80" w:rsidRPr="00DB76B7" w:rsidRDefault="00A24E80" w:rsidP="00B96903">
                            <w:pPr>
                              <w:spacing w:after="0"/>
                              <w:jc w:val="right"/>
                              <w:rPr>
                                <w:color w:val="FFFFFF" w:themeColor="background1"/>
                                <w:sz w:val="22"/>
                                <w:lang w:val="pt-BR"/>
                              </w:rPr>
                            </w:pPr>
                            <w:r w:rsidRPr="00DB76B7">
                              <w:rPr>
                                <w:color w:val="FFFFFF" w:themeColor="background1"/>
                                <w:sz w:val="22"/>
                                <w:lang w:val="pt-BR"/>
                              </w:rPr>
                              <w:t xml:space="preserve">Doc. </w:t>
                            </w:r>
                            <w:r w:rsidR="009D6A54" w:rsidRPr="00DB76B7">
                              <w:rPr>
                                <w:color w:val="FFFFFF" w:themeColor="background1"/>
                                <w:sz w:val="22"/>
                                <w:lang w:val="pt-BR"/>
                              </w:rPr>
                              <w:t>222</w:t>
                            </w:r>
                          </w:p>
                          <w:p w14:paraId="7BD1E842" w14:textId="2605E238" w:rsidR="00A24E80" w:rsidRPr="00723329" w:rsidRDefault="009D6A54" w:rsidP="00B96903">
                            <w:pPr>
                              <w:spacing w:after="0"/>
                              <w:jc w:val="right"/>
                              <w:rPr>
                                <w:color w:val="FFFFFF" w:themeColor="background1"/>
                                <w:sz w:val="22"/>
                              </w:rPr>
                            </w:pPr>
                            <w:r>
                              <w:rPr>
                                <w:color w:val="FFFFFF" w:themeColor="background1"/>
                                <w:sz w:val="22"/>
                              </w:rPr>
                              <w:t>27 November</w:t>
                            </w:r>
                            <w:r w:rsidR="00A24E80" w:rsidRPr="00723329">
                              <w:rPr>
                                <w:color w:val="FFFFFF" w:themeColor="background1"/>
                                <w:sz w:val="22"/>
                              </w:rPr>
                              <w:t xml:space="preserve"> 2024</w:t>
                            </w:r>
                          </w:p>
                          <w:p w14:paraId="3EC82C1B" w14:textId="77777777" w:rsidR="00A24E80" w:rsidRPr="00723329" w:rsidRDefault="00A24E80" w:rsidP="00B96903">
                            <w:pPr>
                              <w:spacing w:after="0"/>
                              <w:jc w:val="right"/>
                              <w:rPr>
                                <w:color w:val="FFFFFF" w:themeColor="background1"/>
                                <w:sz w:val="22"/>
                              </w:rPr>
                            </w:pPr>
                            <w:r w:rsidRPr="00723329">
                              <w:rPr>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561AC" id="Text Box 6" o:spid="_x0000_s1027" type="#_x0000_t202" style="position:absolute;left:0;text-align:left;margin-left:-29.75pt;margin-top:10pt;width:105.0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" filled="f" stroked="f" strokeweight=".5pt">
                <v:textbox>
                  <w:txbxContent>
                    <w:p w14:paraId="6DF08EEB" w14:textId="762C357B" w:rsidR="00A24E80" w:rsidRPr="002B2646" w:rsidRDefault="00A24E80" w:rsidP="00B96903">
                      <w:pPr>
                        <w:spacing w:after="0"/>
                        <w:jc w:val="right"/>
                        <w:rPr>
                          <w:color w:val="FFFFFF" w:themeColor="background1"/>
                          <w:sz w:val="22"/>
                          <w:lang w:val="pt-BR"/>
                        </w:rPr>
                      </w:pPr>
                      <w:r w:rsidRPr="002B2646">
                        <w:rPr>
                          <w:color w:val="FFFFFF" w:themeColor="background1"/>
                          <w:sz w:val="22"/>
                          <w:lang w:val="pt-BR"/>
                        </w:rPr>
                        <w:t>OAS/Ser.L/V/II</w:t>
                      </w:r>
                    </w:p>
                    <w:p w14:paraId="40A7AE2E" w14:textId="3ED79E98" w:rsidR="00A24E80" w:rsidRPr="00DB76B7" w:rsidRDefault="00A24E80" w:rsidP="00B96903">
                      <w:pPr>
                        <w:spacing w:after="0"/>
                        <w:jc w:val="right"/>
                        <w:rPr>
                          <w:color w:val="FFFFFF" w:themeColor="background1"/>
                          <w:sz w:val="22"/>
                          <w:lang w:val="pt-BR"/>
                        </w:rPr>
                      </w:pPr>
                      <w:r w:rsidRPr="00DB76B7">
                        <w:rPr>
                          <w:color w:val="FFFFFF" w:themeColor="background1"/>
                          <w:sz w:val="22"/>
                          <w:lang w:val="pt-BR"/>
                        </w:rPr>
                        <w:t xml:space="preserve">Doc. </w:t>
                      </w:r>
                      <w:r w:rsidR="009D6A54" w:rsidRPr="00DB76B7">
                        <w:rPr>
                          <w:color w:val="FFFFFF" w:themeColor="background1"/>
                          <w:sz w:val="22"/>
                          <w:lang w:val="pt-BR"/>
                        </w:rPr>
                        <w:t>222</w:t>
                      </w:r>
                    </w:p>
                    <w:p w14:paraId="7BD1E842" w14:textId="2605E238" w:rsidR="00A24E80" w:rsidRPr="00723329" w:rsidRDefault="009D6A54" w:rsidP="00B96903">
                      <w:pPr>
                        <w:spacing w:after="0"/>
                        <w:jc w:val="right"/>
                        <w:rPr>
                          <w:color w:val="FFFFFF" w:themeColor="background1"/>
                          <w:sz w:val="22"/>
                        </w:rPr>
                      </w:pPr>
                      <w:r>
                        <w:rPr>
                          <w:color w:val="FFFFFF" w:themeColor="background1"/>
                          <w:sz w:val="22"/>
                        </w:rPr>
                        <w:t>27 November</w:t>
                      </w:r>
                      <w:r w:rsidR="00A24E80" w:rsidRPr="00723329">
                        <w:rPr>
                          <w:color w:val="FFFFFF" w:themeColor="background1"/>
                          <w:sz w:val="22"/>
                        </w:rPr>
                        <w:t xml:space="preserve"> 2024</w:t>
                      </w:r>
                    </w:p>
                    <w:p w14:paraId="3EC82C1B" w14:textId="77777777" w:rsidR="00A24E80" w:rsidRPr="00723329" w:rsidRDefault="00A24E80" w:rsidP="00B96903">
                      <w:pPr>
                        <w:spacing w:after="0"/>
                        <w:jc w:val="right"/>
                        <w:rPr>
                          <w:color w:val="FFFFFF" w:themeColor="background1"/>
                          <w:sz w:val="22"/>
                        </w:rPr>
                      </w:pPr>
                      <w:r w:rsidRPr="00723329">
                        <w:rPr>
                          <w:color w:val="FFFFFF" w:themeColor="background1"/>
                          <w:sz w:val="22"/>
                        </w:rPr>
                        <w:t>Original: Spanish</w:t>
                      </w:r>
                    </w:p>
                  </w:txbxContent>
                </v:textbox>
              </v:shape>
            </w:pict>
          </mc:Fallback>
        </mc:AlternateContent>
      </w:r>
      <w:r>
        <w:rPr>
          <w:rFonts w:ascii="Cambria" w:eastAsia="Arial Unicode MS" w:hAnsi="Cambria" w:cstheme="majorBidi"/>
          <w:noProof/>
          <w:kern w:val="0"/>
          <w:bdr w:val="nil"/>
          <w:lang w:eastAsia="en-US"/>
        </w:rPr>
        <mc:AlternateContent>
          <mc:Choice Requires="wps">
            <w:drawing>
              <wp:anchor distT="0" distB="0" distL="114300" distR="114300" simplePos="0" relativeHeight="251660288" behindDoc="0" locked="0" layoutInCell="1" allowOverlap="1" wp14:anchorId="7BA473A4" wp14:editId="44772CB8">
                <wp:simplePos x="0" y="0"/>
                <wp:positionH relativeFrom="column">
                  <wp:posOffset>1209675</wp:posOffset>
                </wp:positionH>
                <wp:positionV relativeFrom="paragraph">
                  <wp:posOffset>79375</wp:posOffset>
                </wp:positionV>
                <wp:extent cx="4333875" cy="2350770"/>
                <wp:effectExtent l="0" t="0" r="0" b="0"/>
                <wp:wrapNone/>
                <wp:docPr id="6527511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7345AF" w14:textId="6A8BCBA9" w:rsidR="00A24E80" w:rsidRPr="00723329" w:rsidRDefault="00A24E80" w:rsidP="00303E8A">
                            <w:pPr>
                              <w:spacing w:after="0" w:line="276" w:lineRule="auto"/>
                              <w:rPr>
                                <w:rFonts w:ascii="Cambria" w:hAnsi="Cambria" w:cstheme="majorBidi"/>
                                <w:b/>
                                <w:bCs/>
                                <w:color w:val="0D0D0D" w:themeColor="text1" w:themeTint="F2"/>
                                <w:sz w:val="36"/>
                                <w:szCs w:val="40"/>
                              </w:rPr>
                            </w:pPr>
                            <w:r w:rsidRPr="00723329">
                              <w:rPr>
                                <w:rFonts w:ascii="Cambria" w:hAnsi="Cambria" w:cstheme="majorBidi"/>
                                <w:b/>
                                <w:bCs/>
                                <w:color w:val="0D0D0D" w:themeColor="text1" w:themeTint="F2"/>
                                <w:sz w:val="36"/>
                                <w:szCs w:val="40"/>
                              </w:rPr>
                              <w:t xml:space="preserve">REPORT No. </w:t>
                            </w:r>
                            <w:r w:rsidR="00931917">
                              <w:rPr>
                                <w:rFonts w:ascii="Cambria" w:hAnsi="Cambria" w:cstheme="majorBidi"/>
                                <w:b/>
                                <w:bCs/>
                                <w:color w:val="0D0D0D" w:themeColor="text1" w:themeTint="F2"/>
                                <w:sz w:val="36"/>
                                <w:szCs w:val="40"/>
                              </w:rPr>
                              <w:t>213</w:t>
                            </w:r>
                            <w:r w:rsidRPr="00723329">
                              <w:rPr>
                                <w:rFonts w:ascii="Cambria" w:hAnsi="Cambria" w:cstheme="majorBidi"/>
                                <w:b/>
                                <w:bCs/>
                                <w:color w:val="0D0D0D" w:themeColor="text1" w:themeTint="F2"/>
                                <w:sz w:val="36"/>
                                <w:szCs w:val="40"/>
                              </w:rPr>
                              <w:t>/24</w:t>
                            </w:r>
                          </w:p>
                          <w:p w14:paraId="5A452F34" w14:textId="2C1EDE28" w:rsidR="00A24E80" w:rsidRPr="00723329" w:rsidRDefault="00A24E80" w:rsidP="00303E8A">
                            <w:pPr>
                              <w:spacing w:after="0" w:line="276" w:lineRule="auto"/>
                              <w:rPr>
                                <w:rFonts w:ascii="Cambria" w:hAnsi="Cambria" w:cstheme="majorBidi"/>
                                <w:b/>
                                <w:bCs/>
                                <w:color w:val="0D0D0D" w:themeColor="text1" w:themeTint="F2"/>
                                <w:sz w:val="36"/>
                                <w:szCs w:val="40"/>
                              </w:rPr>
                            </w:pPr>
                            <w:r w:rsidRPr="00723329">
                              <w:rPr>
                                <w:rFonts w:ascii="Cambria" w:hAnsi="Cambria" w:cstheme="majorBidi"/>
                                <w:b/>
                                <w:bCs/>
                                <w:color w:val="0D0D0D" w:themeColor="text1" w:themeTint="F2"/>
                                <w:sz w:val="36"/>
                                <w:szCs w:val="40"/>
                              </w:rPr>
                              <w:t xml:space="preserve">PETITION </w:t>
                            </w:r>
                            <w:r w:rsidR="00514186">
                              <w:rPr>
                                <w:rFonts w:ascii="Cambria" w:hAnsi="Cambria" w:cstheme="majorBidi"/>
                                <w:b/>
                                <w:bCs/>
                                <w:color w:val="0D0D0D" w:themeColor="text1" w:themeTint="F2"/>
                                <w:sz w:val="36"/>
                                <w:szCs w:val="40"/>
                              </w:rPr>
                              <w:t>16</w:t>
                            </w:r>
                            <w:r w:rsidRPr="00723329">
                              <w:rPr>
                                <w:rFonts w:ascii="Cambria" w:hAnsi="Cambria" w:cstheme="majorBidi"/>
                                <w:b/>
                                <w:bCs/>
                                <w:color w:val="0D0D0D" w:themeColor="text1" w:themeTint="F2"/>
                                <w:sz w:val="36"/>
                                <w:szCs w:val="40"/>
                              </w:rPr>
                              <w:t>00-1</w:t>
                            </w:r>
                            <w:r w:rsidR="00514186">
                              <w:rPr>
                                <w:rFonts w:ascii="Cambria" w:hAnsi="Cambria" w:cstheme="majorBidi"/>
                                <w:b/>
                                <w:bCs/>
                                <w:color w:val="0D0D0D" w:themeColor="text1" w:themeTint="F2"/>
                                <w:sz w:val="36"/>
                                <w:szCs w:val="40"/>
                              </w:rPr>
                              <w:t>4</w:t>
                            </w:r>
                          </w:p>
                          <w:p w14:paraId="2B30B58F" w14:textId="4433EB8F" w:rsidR="00A24E80" w:rsidRPr="00723329" w:rsidRDefault="00A24E80" w:rsidP="00A24E80">
                            <w:pPr>
                              <w:spacing w:line="276" w:lineRule="auto"/>
                              <w:rPr>
                                <w:rFonts w:ascii="Cambria" w:hAnsi="Cambria" w:cstheme="majorBidi"/>
                                <w:color w:val="0D0D0D" w:themeColor="text1" w:themeTint="F2"/>
                                <w:szCs w:val="22"/>
                              </w:rPr>
                            </w:pPr>
                            <w:r w:rsidRPr="00723329">
                              <w:rPr>
                                <w:rFonts w:ascii="Cambria" w:hAnsi="Cambria" w:cstheme="majorBidi"/>
                                <w:color w:val="0D0D0D" w:themeColor="text1" w:themeTint="F2"/>
                                <w:szCs w:val="22"/>
                              </w:rPr>
                              <w:t xml:space="preserve">REPORT ON INADMISSIBILITY </w:t>
                            </w:r>
                          </w:p>
                          <w:p w14:paraId="2C26866B" w14:textId="77777777" w:rsidR="009D6A54" w:rsidRDefault="009D6A54" w:rsidP="00A24E80">
                            <w:pPr>
                              <w:spacing w:after="0" w:line="276" w:lineRule="auto"/>
                              <w:rPr>
                                <w:rFonts w:ascii="Cambria" w:hAnsi="Cambria" w:cstheme="majorBidi"/>
                                <w:bCs/>
                                <w:color w:val="0D0D0D" w:themeColor="text1" w:themeTint="F2"/>
                                <w:szCs w:val="22"/>
                              </w:rPr>
                            </w:pPr>
                          </w:p>
                          <w:p w14:paraId="7444DEDE" w14:textId="412E66B2" w:rsidR="00A24E80" w:rsidRPr="00723329" w:rsidRDefault="0051048D" w:rsidP="00A24E80">
                            <w:pPr>
                              <w:spacing w:after="0" w:line="276" w:lineRule="auto"/>
                              <w:rPr>
                                <w:rFonts w:ascii="Cambria" w:hAnsi="Cambria" w:cstheme="majorBidi"/>
                                <w:bCs/>
                                <w:color w:val="0D0D0D" w:themeColor="text1" w:themeTint="F2"/>
                                <w:szCs w:val="22"/>
                              </w:rPr>
                            </w:pPr>
                            <w:r>
                              <w:rPr>
                                <w:rFonts w:ascii="Cambria" w:hAnsi="Cambria" w:cstheme="majorBidi"/>
                                <w:bCs/>
                                <w:color w:val="0D0D0D" w:themeColor="text1" w:themeTint="F2"/>
                                <w:szCs w:val="22"/>
                              </w:rPr>
                              <w:t>JAMES COLIN MCNAUGHTON</w:t>
                            </w:r>
                            <w:r w:rsidR="00A24E80">
                              <w:rPr>
                                <w:rFonts w:ascii="Cambria" w:hAnsi="Cambria" w:cstheme="majorBidi"/>
                                <w:bCs/>
                                <w:color w:val="0D0D0D" w:themeColor="text1" w:themeTint="F2"/>
                                <w:szCs w:val="22"/>
                              </w:rPr>
                              <w:t xml:space="preserve"> </w:t>
                            </w:r>
                          </w:p>
                          <w:p w14:paraId="1126D460" w14:textId="77777777" w:rsidR="00A24E80" w:rsidRPr="00723329" w:rsidRDefault="00A24E80" w:rsidP="00A24E80">
                            <w:pPr>
                              <w:spacing w:after="0" w:line="276" w:lineRule="auto"/>
                              <w:rPr>
                                <w:rFonts w:asciiTheme="majorHAnsi" w:hAnsiTheme="majorHAnsi"/>
                                <w:color w:val="0D0D0D" w:themeColor="text1" w:themeTint="F2"/>
                              </w:rPr>
                            </w:pPr>
                            <w:r w:rsidRPr="00723329">
                              <w:rPr>
                                <w:rFonts w:ascii="Cambria" w:hAnsi="Cambria" w:cstheme="majorBidi"/>
                                <w:bCs/>
                                <w:color w:val="0D0D0D" w:themeColor="text1" w:themeTint="F2"/>
                                <w:szCs w:val="22"/>
                              </w:rPr>
                              <w:t>COLOMBIA</w:t>
                            </w:r>
                          </w:p>
                          <w:p w14:paraId="19AE25BE" w14:textId="77777777" w:rsidR="00A24E80" w:rsidRPr="00723329" w:rsidRDefault="00A24E80" w:rsidP="00A24E80">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473A4" id="Text Box 5" o:spid="_x0000_s1028" type="#_x0000_t202" style="position:absolute;left:0;text-align:left;margin-left:95.25pt;margin-top:6.25pt;width:341.25pt;height:18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" filled="f" stroked="f" strokeweight=".5pt">
                <v:textbox>
                  <w:txbxContent>
                    <w:p w14:paraId="4D7345AF" w14:textId="6A8BCBA9" w:rsidR="00A24E80" w:rsidRPr="00723329" w:rsidRDefault="00A24E80" w:rsidP="00303E8A">
                      <w:pPr>
                        <w:spacing w:after="0" w:line="276" w:lineRule="auto"/>
                        <w:rPr>
                          <w:rFonts w:ascii="Cambria" w:hAnsi="Cambria" w:cstheme="majorBidi"/>
                          <w:b/>
                          <w:bCs/>
                          <w:color w:val="0D0D0D" w:themeColor="text1" w:themeTint="F2"/>
                          <w:sz w:val="36"/>
                          <w:szCs w:val="40"/>
                        </w:rPr>
                      </w:pPr>
                      <w:r w:rsidRPr="00723329">
                        <w:rPr>
                          <w:rFonts w:ascii="Cambria" w:hAnsi="Cambria" w:cstheme="majorBidi"/>
                          <w:b/>
                          <w:bCs/>
                          <w:color w:val="0D0D0D" w:themeColor="text1" w:themeTint="F2"/>
                          <w:sz w:val="36"/>
                          <w:szCs w:val="40"/>
                        </w:rPr>
                        <w:t xml:space="preserve">REPORT No. </w:t>
                      </w:r>
                      <w:r w:rsidR="00931917">
                        <w:rPr>
                          <w:rFonts w:ascii="Cambria" w:hAnsi="Cambria" w:cstheme="majorBidi"/>
                          <w:b/>
                          <w:bCs/>
                          <w:color w:val="0D0D0D" w:themeColor="text1" w:themeTint="F2"/>
                          <w:sz w:val="36"/>
                          <w:szCs w:val="40"/>
                        </w:rPr>
                        <w:t>213</w:t>
                      </w:r>
                      <w:r w:rsidRPr="00723329">
                        <w:rPr>
                          <w:rFonts w:ascii="Cambria" w:hAnsi="Cambria" w:cstheme="majorBidi"/>
                          <w:b/>
                          <w:bCs/>
                          <w:color w:val="0D0D0D" w:themeColor="text1" w:themeTint="F2"/>
                          <w:sz w:val="36"/>
                          <w:szCs w:val="40"/>
                        </w:rPr>
                        <w:t>/24</w:t>
                      </w:r>
                    </w:p>
                    <w:p w14:paraId="5A452F34" w14:textId="2C1EDE28" w:rsidR="00A24E80" w:rsidRPr="00723329" w:rsidRDefault="00A24E80" w:rsidP="00303E8A">
                      <w:pPr>
                        <w:spacing w:after="0" w:line="276" w:lineRule="auto"/>
                        <w:rPr>
                          <w:rFonts w:ascii="Cambria" w:hAnsi="Cambria" w:cstheme="majorBidi"/>
                          <w:b/>
                          <w:bCs/>
                          <w:color w:val="0D0D0D" w:themeColor="text1" w:themeTint="F2"/>
                          <w:sz w:val="36"/>
                          <w:szCs w:val="40"/>
                        </w:rPr>
                      </w:pPr>
                      <w:r w:rsidRPr="00723329">
                        <w:rPr>
                          <w:rFonts w:ascii="Cambria" w:hAnsi="Cambria" w:cstheme="majorBidi"/>
                          <w:b/>
                          <w:bCs/>
                          <w:color w:val="0D0D0D" w:themeColor="text1" w:themeTint="F2"/>
                          <w:sz w:val="36"/>
                          <w:szCs w:val="40"/>
                        </w:rPr>
                        <w:t xml:space="preserve">PETITION </w:t>
                      </w:r>
                      <w:r w:rsidR="00514186">
                        <w:rPr>
                          <w:rFonts w:ascii="Cambria" w:hAnsi="Cambria" w:cstheme="majorBidi"/>
                          <w:b/>
                          <w:bCs/>
                          <w:color w:val="0D0D0D" w:themeColor="text1" w:themeTint="F2"/>
                          <w:sz w:val="36"/>
                          <w:szCs w:val="40"/>
                        </w:rPr>
                        <w:t>16</w:t>
                      </w:r>
                      <w:r w:rsidRPr="00723329">
                        <w:rPr>
                          <w:rFonts w:ascii="Cambria" w:hAnsi="Cambria" w:cstheme="majorBidi"/>
                          <w:b/>
                          <w:bCs/>
                          <w:color w:val="0D0D0D" w:themeColor="text1" w:themeTint="F2"/>
                          <w:sz w:val="36"/>
                          <w:szCs w:val="40"/>
                        </w:rPr>
                        <w:t>00-1</w:t>
                      </w:r>
                      <w:r w:rsidR="00514186">
                        <w:rPr>
                          <w:rFonts w:ascii="Cambria" w:hAnsi="Cambria" w:cstheme="majorBidi"/>
                          <w:b/>
                          <w:bCs/>
                          <w:color w:val="0D0D0D" w:themeColor="text1" w:themeTint="F2"/>
                          <w:sz w:val="36"/>
                          <w:szCs w:val="40"/>
                        </w:rPr>
                        <w:t>4</w:t>
                      </w:r>
                    </w:p>
                    <w:p w14:paraId="2B30B58F" w14:textId="4433EB8F" w:rsidR="00A24E80" w:rsidRPr="00723329" w:rsidRDefault="00A24E80" w:rsidP="00A24E80">
                      <w:pPr>
                        <w:spacing w:line="276" w:lineRule="auto"/>
                        <w:rPr>
                          <w:rFonts w:ascii="Cambria" w:hAnsi="Cambria" w:cstheme="majorBidi"/>
                          <w:color w:val="0D0D0D" w:themeColor="text1" w:themeTint="F2"/>
                          <w:szCs w:val="22"/>
                        </w:rPr>
                      </w:pPr>
                      <w:r w:rsidRPr="00723329">
                        <w:rPr>
                          <w:rFonts w:ascii="Cambria" w:hAnsi="Cambria" w:cstheme="majorBidi"/>
                          <w:color w:val="0D0D0D" w:themeColor="text1" w:themeTint="F2"/>
                          <w:szCs w:val="22"/>
                        </w:rPr>
                        <w:t xml:space="preserve">REPORT ON INADMISSIBILITY </w:t>
                      </w:r>
                    </w:p>
                    <w:p w14:paraId="2C26866B" w14:textId="77777777" w:rsidR="009D6A54" w:rsidRDefault="009D6A54" w:rsidP="00A24E80">
                      <w:pPr>
                        <w:spacing w:after="0" w:line="276" w:lineRule="auto"/>
                        <w:rPr>
                          <w:rFonts w:ascii="Cambria" w:hAnsi="Cambria" w:cstheme="majorBidi"/>
                          <w:bCs/>
                          <w:color w:val="0D0D0D" w:themeColor="text1" w:themeTint="F2"/>
                          <w:szCs w:val="22"/>
                        </w:rPr>
                      </w:pPr>
                    </w:p>
                    <w:p w14:paraId="7444DEDE" w14:textId="412E66B2" w:rsidR="00A24E80" w:rsidRPr="00723329" w:rsidRDefault="0051048D" w:rsidP="00A24E80">
                      <w:pPr>
                        <w:spacing w:after="0" w:line="276" w:lineRule="auto"/>
                        <w:rPr>
                          <w:rFonts w:ascii="Cambria" w:hAnsi="Cambria" w:cstheme="majorBidi"/>
                          <w:bCs/>
                          <w:color w:val="0D0D0D" w:themeColor="text1" w:themeTint="F2"/>
                          <w:szCs w:val="22"/>
                        </w:rPr>
                      </w:pPr>
                      <w:r>
                        <w:rPr>
                          <w:rFonts w:ascii="Cambria" w:hAnsi="Cambria" w:cstheme="majorBidi"/>
                          <w:bCs/>
                          <w:color w:val="0D0D0D" w:themeColor="text1" w:themeTint="F2"/>
                          <w:szCs w:val="22"/>
                        </w:rPr>
                        <w:t>JAMES COLIN MCNAUGHTON</w:t>
                      </w:r>
                      <w:r w:rsidR="00A24E80">
                        <w:rPr>
                          <w:rFonts w:ascii="Cambria" w:hAnsi="Cambria" w:cstheme="majorBidi"/>
                          <w:bCs/>
                          <w:color w:val="0D0D0D" w:themeColor="text1" w:themeTint="F2"/>
                          <w:szCs w:val="22"/>
                        </w:rPr>
                        <w:t xml:space="preserve"> </w:t>
                      </w:r>
                    </w:p>
                    <w:p w14:paraId="1126D460" w14:textId="77777777" w:rsidR="00A24E80" w:rsidRPr="00723329" w:rsidRDefault="00A24E80" w:rsidP="00A24E80">
                      <w:pPr>
                        <w:spacing w:after="0" w:line="276" w:lineRule="auto"/>
                        <w:rPr>
                          <w:rFonts w:asciiTheme="majorHAnsi" w:hAnsiTheme="majorHAnsi"/>
                          <w:color w:val="0D0D0D" w:themeColor="text1" w:themeTint="F2"/>
                        </w:rPr>
                      </w:pPr>
                      <w:r w:rsidRPr="00723329">
                        <w:rPr>
                          <w:rFonts w:ascii="Cambria" w:hAnsi="Cambria" w:cstheme="majorBidi"/>
                          <w:bCs/>
                          <w:color w:val="0D0D0D" w:themeColor="text1" w:themeTint="F2"/>
                          <w:szCs w:val="22"/>
                        </w:rPr>
                        <w:t>COLOMBIA</w:t>
                      </w:r>
                    </w:p>
                    <w:p w14:paraId="19AE25BE" w14:textId="77777777" w:rsidR="00A24E80" w:rsidRPr="00723329" w:rsidRDefault="00A24E80" w:rsidP="00A24E80">
                      <w:pPr>
                        <w:spacing w:line="276" w:lineRule="auto"/>
                        <w:rPr>
                          <w:rFonts w:asciiTheme="majorHAnsi" w:hAnsiTheme="majorHAnsi"/>
                          <w:color w:val="0D0D0D" w:themeColor="text1" w:themeTint="F2"/>
                        </w:rPr>
                      </w:pPr>
                    </w:p>
                  </w:txbxContent>
                </v:textbox>
              </v:shape>
            </w:pict>
          </mc:Fallback>
        </mc:AlternateContent>
      </w:r>
    </w:p>
    <w:p w14:paraId="01616F4C" w14:textId="77777777" w:rsidR="00A24E80" w:rsidRPr="00072C3D" w:rsidRDefault="00A24E80" w:rsidP="002B2646">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11F7794C" w14:textId="77777777" w:rsidR="00A24E80" w:rsidRPr="00072C3D" w:rsidRDefault="00A24E80" w:rsidP="002B2646">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5DF52569" w14:textId="77777777" w:rsidR="00A24E80" w:rsidRPr="00072C3D" w:rsidRDefault="00A24E80" w:rsidP="002B2646">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20A91975" w14:textId="77777777" w:rsidR="00A24E80" w:rsidRPr="00072C3D" w:rsidRDefault="00A24E80" w:rsidP="002B2646">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1242534E" w14:textId="77777777" w:rsidR="00A24E80" w:rsidRPr="00072C3D" w:rsidRDefault="00A24E80" w:rsidP="002B2646">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15829AD9" w14:textId="77777777" w:rsidR="00A24E80" w:rsidRPr="00072C3D" w:rsidRDefault="00A24E80" w:rsidP="002B2646">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4E7B438F" w14:textId="77777777" w:rsidR="00A24E80" w:rsidRPr="00072C3D" w:rsidRDefault="00A24E80" w:rsidP="002B2646">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69DB9EC9" w14:textId="77777777" w:rsidR="00A24E80" w:rsidRPr="00072C3D" w:rsidRDefault="00A24E80" w:rsidP="002B2646">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29677D0E" w14:textId="77777777" w:rsidR="00A24E80" w:rsidRPr="00072C3D" w:rsidRDefault="00A24E80" w:rsidP="002B2646">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02355B7B" w14:textId="77777777" w:rsidR="00A24E80" w:rsidRPr="00072C3D" w:rsidRDefault="00A24E80" w:rsidP="002B2646">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5403258B" w14:textId="77777777" w:rsidR="00A24E80" w:rsidRPr="00072C3D" w:rsidRDefault="00A24E80" w:rsidP="002B2646">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17C4379E" w14:textId="77777777" w:rsidR="00A24E80" w:rsidRPr="00072C3D" w:rsidRDefault="00A24E80" w:rsidP="002B2646">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5D966504" w14:textId="77777777" w:rsidR="00A24E80" w:rsidRPr="00072C3D" w:rsidRDefault="00A24E80" w:rsidP="002B2646">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6DAE2244" w14:textId="77777777" w:rsidR="00A24E80" w:rsidRPr="00072C3D" w:rsidRDefault="00A24E80" w:rsidP="002B2646">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4C658669" w14:textId="77777777" w:rsidR="00A24E80" w:rsidRPr="00072C3D" w:rsidRDefault="00A24E80" w:rsidP="002B2646">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6DE23FC9" w14:textId="77777777" w:rsidR="00A24E80" w:rsidRPr="00072C3D" w:rsidRDefault="00A24E80" w:rsidP="002B2646">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1BB5F377" w14:textId="77777777" w:rsidR="00A24E80" w:rsidRPr="00072C3D" w:rsidRDefault="00A24E80" w:rsidP="002B2646">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2E49D002" w14:textId="77777777" w:rsidR="00A24E80" w:rsidRPr="00072C3D" w:rsidRDefault="00A24E80" w:rsidP="002B2646">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60BDA3E8" w14:textId="77777777" w:rsidR="00A24E80" w:rsidRPr="00072C3D" w:rsidRDefault="00A24E80" w:rsidP="002B2646">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6645EA8C" w14:textId="77777777" w:rsidR="00A24E80" w:rsidRPr="00072C3D" w:rsidRDefault="00A24E80" w:rsidP="002B2646">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2343F2F3" w14:textId="77777777" w:rsidR="00A24E80" w:rsidRPr="00072C3D" w:rsidRDefault="00A24E80" w:rsidP="002B2646">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00CC11F3" w14:textId="77777777" w:rsidR="00A24E80" w:rsidRPr="00072C3D" w:rsidRDefault="00A24E80" w:rsidP="002B2646">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2FD93733" w14:textId="77777777" w:rsidR="00A24E80" w:rsidRPr="00072C3D" w:rsidRDefault="00A24E80" w:rsidP="002B2646">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3B27618A" w14:textId="77777777" w:rsidR="00A24E80" w:rsidRPr="00072C3D" w:rsidRDefault="00A24E80" w:rsidP="002B2646">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70D5D172" w14:textId="77777777" w:rsidR="00A24E80" w:rsidRPr="00072C3D" w:rsidRDefault="00A24E80" w:rsidP="002B2646">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55D0F08F" w14:textId="0862664F" w:rsidR="00A24E80" w:rsidRPr="00072C3D" w:rsidRDefault="00BA1813" w:rsidP="002B2646">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r>
        <w:rPr>
          <w:rFonts w:ascii="Cambria" w:eastAsia="Arial Unicode MS" w:hAnsi="Cambria" w:cstheme="majorBidi"/>
          <w:noProof/>
          <w:kern w:val="0"/>
          <w:bdr w:val="nil"/>
          <w:lang w:eastAsia="en-US"/>
        </w:rPr>
        <mc:AlternateContent>
          <mc:Choice Requires="wps">
            <w:drawing>
              <wp:anchor distT="0" distB="0" distL="114300" distR="114300" simplePos="0" relativeHeight="251661312" behindDoc="0" locked="0" layoutInCell="1" allowOverlap="1" wp14:anchorId="56B0F081" wp14:editId="56A16311">
                <wp:simplePos x="0" y="0"/>
                <wp:positionH relativeFrom="column">
                  <wp:posOffset>1202690</wp:posOffset>
                </wp:positionH>
                <wp:positionV relativeFrom="paragraph">
                  <wp:posOffset>57150</wp:posOffset>
                </wp:positionV>
                <wp:extent cx="4595495" cy="695325"/>
                <wp:effectExtent l="0" t="0" r="0" b="0"/>
                <wp:wrapNone/>
                <wp:docPr id="11323923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C48C13" w14:textId="72233B6A" w:rsidR="00A24E80" w:rsidRPr="00723329" w:rsidRDefault="00A24E80" w:rsidP="00A24E80">
                            <w:pPr>
                              <w:tabs>
                                <w:tab w:val="center" w:pos="5400"/>
                              </w:tabs>
                              <w:suppressAutoHyphens/>
                              <w:spacing w:before="60"/>
                              <w:rPr>
                                <w:rFonts w:asciiTheme="majorHAnsi" w:hAnsiTheme="majorHAnsi"/>
                                <w:color w:val="0D0D0D" w:themeColor="text1" w:themeTint="F2"/>
                                <w:sz w:val="18"/>
                                <w:szCs w:val="22"/>
                              </w:rPr>
                            </w:pPr>
                            <w:r w:rsidRPr="00723329">
                              <w:rPr>
                                <w:rFonts w:ascii="Cambria" w:hAnsi="Cambria"/>
                                <w:color w:val="0D0D0D" w:themeColor="text1" w:themeTint="F2"/>
                                <w:sz w:val="18"/>
                                <w:szCs w:val="22"/>
                              </w:rPr>
                              <w:t xml:space="preserve">Approved electronically by the Commission on </w:t>
                            </w:r>
                            <w:r w:rsidR="009D6A54">
                              <w:rPr>
                                <w:rFonts w:ascii="Cambria" w:hAnsi="Cambria"/>
                                <w:color w:val="0D0D0D" w:themeColor="text1" w:themeTint="F2"/>
                                <w:sz w:val="18"/>
                                <w:szCs w:val="22"/>
                              </w:rPr>
                              <w:t>November 27</w:t>
                            </w:r>
                            <w:r w:rsidRPr="00723329">
                              <w:rPr>
                                <w:rFonts w:ascii="Cambria" w:hAnsi="Cambria"/>
                                <w:color w:val="0D0D0D" w:themeColor="text1" w:themeTint="F2"/>
                                <w:sz w:val="18"/>
                                <w:szCs w:val="22"/>
                              </w:rPr>
                              <w:t>, 2024</w:t>
                            </w:r>
                            <w:r w:rsidR="009D6A54">
                              <w:rPr>
                                <w:rFonts w:ascii="Cambria" w:hAnsi="Cambria"/>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0F081" id="Text Box 4" o:spid="_x0000_s1029" type="#_x0000_t202" style="position:absolute;left:0;text-align:left;margin-left:94.7pt;margin-top:4.5pt;width:361.8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" filled="f" stroked="f" strokeweight=".5pt">
                <v:textbox>
                  <w:txbxContent>
                    <w:p w14:paraId="5DC48C13" w14:textId="72233B6A" w:rsidR="00A24E80" w:rsidRPr="00723329" w:rsidRDefault="00A24E80" w:rsidP="00A24E80">
                      <w:pPr>
                        <w:tabs>
                          <w:tab w:val="center" w:pos="5400"/>
                        </w:tabs>
                        <w:suppressAutoHyphens/>
                        <w:spacing w:before="60"/>
                        <w:rPr>
                          <w:rFonts w:asciiTheme="majorHAnsi" w:hAnsiTheme="majorHAnsi"/>
                          <w:color w:val="0D0D0D" w:themeColor="text1" w:themeTint="F2"/>
                          <w:sz w:val="18"/>
                          <w:szCs w:val="22"/>
                        </w:rPr>
                      </w:pPr>
                      <w:r w:rsidRPr="00723329">
                        <w:rPr>
                          <w:rFonts w:ascii="Cambria" w:hAnsi="Cambria"/>
                          <w:color w:val="0D0D0D" w:themeColor="text1" w:themeTint="F2"/>
                          <w:sz w:val="18"/>
                          <w:szCs w:val="22"/>
                        </w:rPr>
                        <w:t xml:space="preserve">Approved electronically by the Commission on </w:t>
                      </w:r>
                      <w:r w:rsidR="009D6A54">
                        <w:rPr>
                          <w:rFonts w:ascii="Cambria" w:hAnsi="Cambria"/>
                          <w:color w:val="0D0D0D" w:themeColor="text1" w:themeTint="F2"/>
                          <w:sz w:val="18"/>
                          <w:szCs w:val="22"/>
                        </w:rPr>
                        <w:t>November 27</w:t>
                      </w:r>
                      <w:r w:rsidRPr="00723329">
                        <w:rPr>
                          <w:rFonts w:ascii="Cambria" w:hAnsi="Cambria"/>
                          <w:color w:val="0D0D0D" w:themeColor="text1" w:themeTint="F2"/>
                          <w:sz w:val="18"/>
                          <w:szCs w:val="22"/>
                        </w:rPr>
                        <w:t>, 2024</w:t>
                      </w:r>
                      <w:r w:rsidR="009D6A54">
                        <w:rPr>
                          <w:rFonts w:ascii="Cambria" w:hAnsi="Cambria"/>
                          <w:color w:val="0D0D0D" w:themeColor="text1" w:themeTint="F2"/>
                          <w:sz w:val="18"/>
                          <w:szCs w:val="22"/>
                        </w:rPr>
                        <w:t>.</w:t>
                      </w:r>
                    </w:p>
                  </w:txbxContent>
                </v:textbox>
              </v:shape>
            </w:pict>
          </mc:Fallback>
        </mc:AlternateContent>
      </w:r>
    </w:p>
    <w:p w14:paraId="4BA97863" w14:textId="77777777" w:rsidR="00A24E80" w:rsidRPr="00072C3D" w:rsidRDefault="00A24E80" w:rsidP="002B2646">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3F7C5105" w14:textId="77777777" w:rsidR="00A24E80" w:rsidRPr="00072C3D" w:rsidRDefault="00A24E80" w:rsidP="002B2646">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1F3D0B9A" w14:textId="77777777" w:rsidR="00A24E80" w:rsidRPr="00072C3D" w:rsidRDefault="00A24E80" w:rsidP="002B2646">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03F2E42C" w14:textId="77777777" w:rsidR="00A24E80" w:rsidRPr="00072C3D" w:rsidRDefault="00A24E80" w:rsidP="002B2646">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18281B91" w14:textId="42059708" w:rsidR="00A24E80" w:rsidRPr="00072C3D" w:rsidRDefault="00BA1813" w:rsidP="002B2646">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r>
        <w:rPr>
          <w:rFonts w:ascii="Cambria" w:eastAsia="Arial Unicode MS" w:hAnsi="Cambria" w:cstheme="majorBidi"/>
          <w:noProof/>
          <w:kern w:val="0"/>
          <w:bdr w:val="nil"/>
          <w:lang w:eastAsia="en-US"/>
        </w:rPr>
        <mc:AlternateContent>
          <mc:Choice Requires="wps">
            <w:drawing>
              <wp:anchor distT="0" distB="0" distL="114300" distR="114300" simplePos="0" relativeHeight="251664384" behindDoc="0" locked="0" layoutInCell="1" allowOverlap="1" wp14:anchorId="5D0769CA" wp14:editId="192A33B1">
                <wp:simplePos x="0" y="0"/>
                <wp:positionH relativeFrom="column">
                  <wp:posOffset>1209675</wp:posOffset>
                </wp:positionH>
                <wp:positionV relativeFrom="paragraph">
                  <wp:posOffset>92075</wp:posOffset>
                </wp:positionV>
                <wp:extent cx="4824095" cy="609600"/>
                <wp:effectExtent l="0" t="0" r="0" b="0"/>
                <wp:wrapNone/>
                <wp:docPr id="71502456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3E0F6B" w14:textId="4615E769" w:rsidR="00A24E80" w:rsidRPr="00723329" w:rsidRDefault="00A24E80" w:rsidP="00A24E80">
                            <w:pPr>
                              <w:spacing w:line="276" w:lineRule="auto"/>
                              <w:rPr>
                                <w:rFonts w:ascii="Cambria" w:hAnsi="Cambria"/>
                                <w:color w:val="595959" w:themeColor="text1" w:themeTint="A6"/>
                                <w:sz w:val="18"/>
                              </w:rPr>
                            </w:pPr>
                            <w:r w:rsidRPr="00723329">
                              <w:rPr>
                                <w:rFonts w:ascii="Cambria" w:hAnsi="Cambria"/>
                                <w:b/>
                                <w:color w:val="595959" w:themeColor="text1" w:themeTint="A6"/>
                                <w:sz w:val="18"/>
                              </w:rPr>
                              <w:t xml:space="preserve">Cite as: </w:t>
                            </w:r>
                            <w:r w:rsidRPr="00723329">
                              <w:rPr>
                                <w:rFonts w:ascii="Cambria" w:hAnsi="Cambria"/>
                                <w:color w:val="595959" w:themeColor="text1" w:themeTint="A6"/>
                                <w:sz w:val="18"/>
                              </w:rPr>
                              <w:t xml:space="preserve">IACHR, Report No. </w:t>
                            </w:r>
                            <w:r w:rsidR="009D6A54">
                              <w:rPr>
                                <w:rFonts w:ascii="Cambria" w:hAnsi="Cambria"/>
                                <w:color w:val="595959" w:themeColor="text1" w:themeTint="A6"/>
                                <w:sz w:val="18"/>
                              </w:rPr>
                              <w:t>213</w:t>
                            </w:r>
                            <w:r w:rsidRPr="00723329">
                              <w:rPr>
                                <w:rFonts w:ascii="Cambria" w:hAnsi="Cambria"/>
                                <w:color w:val="595959" w:themeColor="text1" w:themeTint="A6"/>
                                <w:sz w:val="18"/>
                              </w:rPr>
                              <w:t>/</w:t>
                            </w:r>
                            <w:r w:rsidR="009D6A54">
                              <w:rPr>
                                <w:rFonts w:ascii="Cambria" w:hAnsi="Cambria"/>
                                <w:color w:val="595959" w:themeColor="text1" w:themeTint="A6"/>
                                <w:sz w:val="18"/>
                              </w:rPr>
                              <w:t>24</w:t>
                            </w:r>
                            <w:r w:rsidRPr="00723329">
                              <w:rPr>
                                <w:rFonts w:ascii="Cambria" w:hAnsi="Cambria"/>
                                <w:color w:val="595959" w:themeColor="text1" w:themeTint="A6"/>
                                <w:sz w:val="18"/>
                              </w:rPr>
                              <w:t xml:space="preserve">, Petition </w:t>
                            </w:r>
                            <w:r w:rsidR="00524786">
                              <w:rPr>
                                <w:rFonts w:ascii="Cambria" w:hAnsi="Cambria"/>
                                <w:color w:val="595959" w:themeColor="text1" w:themeTint="A6"/>
                                <w:sz w:val="18"/>
                              </w:rPr>
                              <w:t>16</w:t>
                            </w:r>
                            <w:r w:rsidRPr="00723329">
                              <w:rPr>
                                <w:rFonts w:ascii="Cambria" w:hAnsi="Cambria"/>
                                <w:color w:val="595959" w:themeColor="text1" w:themeTint="A6"/>
                                <w:sz w:val="18"/>
                              </w:rPr>
                              <w:t>00-1</w:t>
                            </w:r>
                            <w:r w:rsidR="00524786">
                              <w:rPr>
                                <w:rFonts w:ascii="Cambria" w:hAnsi="Cambria"/>
                                <w:color w:val="595959" w:themeColor="text1" w:themeTint="A6"/>
                                <w:sz w:val="18"/>
                              </w:rPr>
                              <w:t>4</w:t>
                            </w:r>
                            <w:r w:rsidRPr="00723329">
                              <w:rPr>
                                <w:rFonts w:ascii="Cambria" w:hAnsi="Cambria"/>
                                <w:color w:val="595959" w:themeColor="text1" w:themeTint="A6"/>
                                <w:sz w:val="18"/>
                              </w:rPr>
                              <w:t xml:space="preserve">. Inadmissibility. </w:t>
                            </w:r>
                            <w:r w:rsidR="00935920">
                              <w:rPr>
                                <w:rFonts w:ascii="Cambria" w:hAnsi="Cambria"/>
                                <w:color w:val="595959" w:themeColor="text1" w:themeTint="A6"/>
                                <w:sz w:val="18"/>
                              </w:rPr>
                              <w:t>James Colin McNaughton</w:t>
                            </w:r>
                            <w:r w:rsidRPr="00723329">
                              <w:rPr>
                                <w:rFonts w:ascii="Cambria" w:hAnsi="Cambria"/>
                                <w:color w:val="595959" w:themeColor="text1" w:themeTint="A6"/>
                                <w:sz w:val="18"/>
                              </w:rPr>
                              <w:t xml:space="preserve">. Colombia. </w:t>
                            </w:r>
                            <w:r w:rsidR="009D6A54">
                              <w:rPr>
                                <w:rFonts w:ascii="Cambria" w:hAnsi="Cambria"/>
                                <w:color w:val="595959" w:themeColor="text1" w:themeTint="A6"/>
                                <w:sz w:val="18"/>
                              </w:rPr>
                              <w:t>November 27, 2024</w:t>
                            </w:r>
                            <w:r w:rsidRPr="00723329">
                              <w:rPr>
                                <w:rFonts w:ascii="Cambria" w:hAnsi="Cambria"/>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769CA" id="Text Box 3" o:spid="_x0000_s1030" type="#_x0000_t202" style="position:absolute;left:0;text-align:left;margin-left:95.25pt;margin-top:7.25pt;width:379.8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" filled="f" stroked="f" strokeweight=".5pt">
                <v:textbox>
                  <w:txbxContent>
                    <w:p w14:paraId="773E0F6B" w14:textId="4615E769" w:rsidR="00A24E80" w:rsidRPr="00723329" w:rsidRDefault="00A24E80" w:rsidP="00A24E80">
                      <w:pPr>
                        <w:spacing w:line="276" w:lineRule="auto"/>
                        <w:rPr>
                          <w:rFonts w:ascii="Cambria" w:hAnsi="Cambria"/>
                          <w:color w:val="595959" w:themeColor="text1" w:themeTint="A6"/>
                          <w:sz w:val="18"/>
                        </w:rPr>
                      </w:pPr>
                      <w:r w:rsidRPr="00723329">
                        <w:rPr>
                          <w:rFonts w:ascii="Cambria" w:hAnsi="Cambria"/>
                          <w:b/>
                          <w:color w:val="595959" w:themeColor="text1" w:themeTint="A6"/>
                          <w:sz w:val="18"/>
                        </w:rPr>
                        <w:t xml:space="preserve">Cite as: </w:t>
                      </w:r>
                      <w:r w:rsidRPr="00723329">
                        <w:rPr>
                          <w:rFonts w:ascii="Cambria" w:hAnsi="Cambria"/>
                          <w:color w:val="595959" w:themeColor="text1" w:themeTint="A6"/>
                          <w:sz w:val="18"/>
                        </w:rPr>
                        <w:t xml:space="preserve">IACHR, Report No. </w:t>
                      </w:r>
                      <w:r w:rsidR="009D6A54">
                        <w:rPr>
                          <w:rFonts w:ascii="Cambria" w:hAnsi="Cambria"/>
                          <w:color w:val="595959" w:themeColor="text1" w:themeTint="A6"/>
                          <w:sz w:val="18"/>
                        </w:rPr>
                        <w:t>213</w:t>
                      </w:r>
                      <w:r w:rsidRPr="00723329">
                        <w:rPr>
                          <w:rFonts w:ascii="Cambria" w:hAnsi="Cambria"/>
                          <w:color w:val="595959" w:themeColor="text1" w:themeTint="A6"/>
                          <w:sz w:val="18"/>
                        </w:rPr>
                        <w:t>/</w:t>
                      </w:r>
                      <w:r w:rsidR="009D6A54">
                        <w:rPr>
                          <w:rFonts w:ascii="Cambria" w:hAnsi="Cambria"/>
                          <w:color w:val="595959" w:themeColor="text1" w:themeTint="A6"/>
                          <w:sz w:val="18"/>
                        </w:rPr>
                        <w:t>24</w:t>
                      </w:r>
                      <w:r w:rsidRPr="00723329">
                        <w:rPr>
                          <w:rFonts w:ascii="Cambria" w:hAnsi="Cambria"/>
                          <w:color w:val="595959" w:themeColor="text1" w:themeTint="A6"/>
                          <w:sz w:val="18"/>
                        </w:rPr>
                        <w:t xml:space="preserve">, Petition </w:t>
                      </w:r>
                      <w:r w:rsidR="00524786">
                        <w:rPr>
                          <w:rFonts w:ascii="Cambria" w:hAnsi="Cambria"/>
                          <w:color w:val="595959" w:themeColor="text1" w:themeTint="A6"/>
                          <w:sz w:val="18"/>
                        </w:rPr>
                        <w:t>16</w:t>
                      </w:r>
                      <w:r w:rsidRPr="00723329">
                        <w:rPr>
                          <w:rFonts w:ascii="Cambria" w:hAnsi="Cambria"/>
                          <w:color w:val="595959" w:themeColor="text1" w:themeTint="A6"/>
                          <w:sz w:val="18"/>
                        </w:rPr>
                        <w:t>00-1</w:t>
                      </w:r>
                      <w:r w:rsidR="00524786">
                        <w:rPr>
                          <w:rFonts w:ascii="Cambria" w:hAnsi="Cambria"/>
                          <w:color w:val="595959" w:themeColor="text1" w:themeTint="A6"/>
                          <w:sz w:val="18"/>
                        </w:rPr>
                        <w:t>4</w:t>
                      </w:r>
                      <w:r w:rsidRPr="00723329">
                        <w:rPr>
                          <w:rFonts w:ascii="Cambria" w:hAnsi="Cambria"/>
                          <w:color w:val="595959" w:themeColor="text1" w:themeTint="A6"/>
                          <w:sz w:val="18"/>
                        </w:rPr>
                        <w:t xml:space="preserve">. Inadmissibility. </w:t>
                      </w:r>
                      <w:r w:rsidR="00935920">
                        <w:rPr>
                          <w:rFonts w:ascii="Cambria" w:hAnsi="Cambria"/>
                          <w:color w:val="595959" w:themeColor="text1" w:themeTint="A6"/>
                          <w:sz w:val="18"/>
                        </w:rPr>
                        <w:t>James Colin McNaughton</w:t>
                      </w:r>
                      <w:r w:rsidRPr="00723329">
                        <w:rPr>
                          <w:rFonts w:ascii="Cambria" w:hAnsi="Cambria"/>
                          <w:color w:val="595959" w:themeColor="text1" w:themeTint="A6"/>
                          <w:sz w:val="18"/>
                        </w:rPr>
                        <w:t xml:space="preserve">. Colombia. </w:t>
                      </w:r>
                      <w:r w:rsidR="009D6A54">
                        <w:rPr>
                          <w:rFonts w:ascii="Cambria" w:hAnsi="Cambria"/>
                          <w:color w:val="595959" w:themeColor="text1" w:themeTint="A6"/>
                          <w:sz w:val="18"/>
                        </w:rPr>
                        <w:t>November 27, 2024</w:t>
                      </w:r>
                      <w:r w:rsidRPr="00723329">
                        <w:rPr>
                          <w:rFonts w:ascii="Cambria" w:hAnsi="Cambria"/>
                          <w:color w:val="595959" w:themeColor="text1" w:themeTint="A6"/>
                          <w:sz w:val="18"/>
                        </w:rPr>
                        <w:t>.</w:t>
                      </w:r>
                    </w:p>
                  </w:txbxContent>
                </v:textbox>
              </v:shape>
            </w:pict>
          </mc:Fallback>
        </mc:AlternateContent>
      </w:r>
    </w:p>
    <w:p w14:paraId="55B64A43" w14:textId="77777777" w:rsidR="00A24E80" w:rsidRPr="00072C3D" w:rsidRDefault="00A24E80" w:rsidP="002B2646">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4D4BDC35" w14:textId="77777777" w:rsidR="00A24E80" w:rsidRPr="00072C3D" w:rsidRDefault="00A24E80" w:rsidP="002B2646">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724BBE5C" w14:textId="128EEBFE" w:rsidR="00A24E80" w:rsidRPr="00072C3D" w:rsidRDefault="00A24E80" w:rsidP="002B2646">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5ED2B8D8" w14:textId="4DF890A3" w:rsidR="00A24E80" w:rsidRPr="00072C3D" w:rsidRDefault="009D6A54" w:rsidP="002B2646">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r w:rsidRPr="00723329">
        <w:rPr>
          <w:noProof/>
        </w:rPr>
        <w:drawing>
          <wp:anchor distT="0" distB="0" distL="114300" distR="114300" simplePos="0" relativeHeight="251658240" behindDoc="0" locked="0" layoutInCell="1" allowOverlap="1" wp14:anchorId="54D7AA0E" wp14:editId="61AD8898">
            <wp:simplePos x="0" y="0"/>
            <wp:positionH relativeFrom="column">
              <wp:posOffset>1276513</wp:posOffset>
            </wp:positionH>
            <wp:positionV relativeFrom="paragraph">
              <wp:posOffset>283845</wp:posOffset>
            </wp:positionV>
            <wp:extent cx="1581150" cy="400050"/>
            <wp:effectExtent l="0" t="0" r="0" b="0"/>
            <wp:wrapSquare wrapText="bothSides"/>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eastAsia="Arial Unicode MS" w:hAnsi="Cambria" w:cstheme="majorBidi"/>
          <w:noProof/>
          <w:kern w:val="0"/>
          <w:bdr w:val="nil"/>
          <w:lang w:eastAsia="en-US"/>
        </w:rPr>
        <mc:AlternateContent>
          <mc:Choice Requires="wps">
            <w:drawing>
              <wp:anchor distT="0" distB="0" distL="114300" distR="114300" simplePos="0" relativeHeight="251666432" behindDoc="0" locked="0" layoutInCell="1" allowOverlap="1" wp14:anchorId="00725DED" wp14:editId="53D19927">
                <wp:simplePos x="0" y="0"/>
                <wp:positionH relativeFrom="column">
                  <wp:posOffset>-262890</wp:posOffset>
                </wp:positionH>
                <wp:positionV relativeFrom="paragraph">
                  <wp:posOffset>328458</wp:posOffset>
                </wp:positionV>
                <wp:extent cx="1181100" cy="332740"/>
                <wp:effectExtent l="0" t="0" r="0" b="0"/>
                <wp:wrapNone/>
                <wp:docPr id="7329288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17D2B7" w14:textId="0A636BEB" w:rsidR="00A24E80" w:rsidRPr="00723329" w:rsidRDefault="00A24E80" w:rsidP="00A24E80">
                            <w:pPr>
                              <w:jc w:val="center"/>
                              <w:rPr>
                                <w:b/>
                                <w:color w:val="FFFFFF" w:themeColor="background1"/>
                              </w:rPr>
                            </w:pPr>
                            <w:r w:rsidRPr="00723329">
                              <w:rPr>
                                <w:b/>
                                <w:color w:val="FFFFFF" w:themeColor="background1"/>
                              </w:rPr>
                              <w:t>www.</w:t>
                            </w:r>
                            <w:r w:rsidR="009D6A54">
                              <w:rPr>
                                <w:b/>
                                <w:color w:val="FFFFFF" w:themeColor="background1"/>
                              </w:rPr>
                              <w:t>cidh</w:t>
                            </w:r>
                            <w:r w:rsidRPr="00723329">
                              <w:rPr>
                                <w:b/>
                                <w:color w:val="FFFFFF" w:themeColor="background1"/>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25DED" id="Text Box 2" o:spid="_x0000_s1031" type="#_x0000_t202" style="position:absolute;left:0;text-align:left;margin-left:-20.7pt;margin-top:25.8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36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" filled="f" stroked="f" strokeweight=".5pt">
                <v:textbox>
                  <w:txbxContent>
                    <w:p w14:paraId="6617D2B7" w14:textId="0A636BEB" w:rsidR="00A24E80" w:rsidRPr="00723329" w:rsidRDefault="00A24E80" w:rsidP="00A24E80">
                      <w:pPr>
                        <w:jc w:val="center"/>
                        <w:rPr>
                          <w:b/>
                          <w:color w:val="FFFFFF" w:themeColor="background1"/>
                        </w:rPr>
                      </w:pPr>
                      <w:r w:rsidRPr="00723329">
                        <w:rPr>
                          <w:b/>
                          <w:color w:val="FFFFFF" w:themeColor="background1"/>
                        </w:rPr>
                        <w:t>www.</w:t>
                      </w:r>
                      <w:r w:rsidR="009D6A54">
                        <w:rPr>
                          <w:b/>
                          <w:color w:val="FFFFFF" w:themeColor="background1"/>
                        </w:rPr>
                        <w:t>cidh</w:t>
                      </w:r>
                      <w:r w:rsidRPr="00723329">
                        <w:rPr>
                          <w:b/>
                          <w:color w:val="FFFFFF" w:themeColor="background1"/>
                        </w:rPr>
                        <w:t>.org</w:t>
                      </w:r>
                    </w:p>
                  </w:txbxContent>
                </v:textbox>
              </v:shape>
            </w:pict>
          </mc:Fallback>
        </mc:AlternateContent>
      </w:r>
      <w:r w:rsidR="00BA1813">
        <w:rPr>
          <w:rFonts w:ascii="Cambria" w:eastAsia="Arial Unicode MS" w:hAnsi="Cambria" w:cstheme="majorBidi"/>
          <w:noProof/>
          <w:kern w:val="0"/>
          <w:bdr w:val="nil"/>
          <w:lang w:eastAsia="en-US"/>
        </w:rPr>
        <mc:AlternateContent>
          <mc:Choice Requires="wps">
            <w:drawing>
              <wp:anchor distT="0" distB="0" distL="114300" distR="114300" simplePos="0" relativeHeight="251665408" behindDoc="0" locked="0" layoutInCell="1" allowOverlap="1" wp14:anchorId="3E8A0405" wp14:editId="3F8C1A94">
                <wp:simplePos x="0" y="0"/>
                <wp:positionH relativeFrom="column">
                  <wp:posOffset>1208405</wp:posOffset>
                </wp:positionH>
                <wp:positionV relativeFrom="paragraph">
                  <wp:posOffset>722630</wp:posOffset>
                </wp:positionV>
                <wp:extent cx="2085975" cy="485775"/>
                <wp:effectExtent l="0" t="0" r="0" b="0"/>
                <wp:wrapNone/>
                <wp:docPr id="5111347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FC0A09" w14:textId="585FFAA5" w:rsidR="00A24E80" w:rsidRPr="00723329" w:rsidRDefault="00A24E80" w:rsidP="00A24E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A0405" id="Text Box 1" o:spid="_x0000_s1032" type="#_x0000_t202" style="position:absolute;left:0;text-align:left;margin-left:95.15pt;margin-top:56.9pt;width:164.2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" fillcolor="white [3201]" stroked="f" strokeweight=".5pt">
                <v:textbox>
                  <w:txbxContent>
                    <w:p w14:paraId="5FFC0A09" w14:textId="585FFAA5" w:rsidR="00A24E80" w:rsidRPr="00723329" w:rsidRDefault="00A24E80" w:rsidP="00A24E80"/>
                  </w:txbxContent>
                </v:textbox>
              </v:shape>
            </w:pict>
          </mc:Fallback>
        </mc:AlternateContent>
      </w:r>
    </w:p>
    <w:p w14:paraId="550A2630" w14:textId="77777777" w:rsidR="00A24E80" w:rsidRPr="00072C3D" w:rsidRDefault="00A24E80" w:rsidP="002B2646">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sectPr w:rsidR="00A24E80" w:rsidRPr="00072C3D" w:rsidSect="00A24E80">
          <w:headerReference w:type="even" r:id="rId10"/>
          <w:headerReference w:type="default" r:id="rId11"/>
          <w:footerReference w:type="default" r:id="rId12"/>
          <w:footerReference w:type="first" r:id="rId13"/>
          <w:pgSz w:w="12240" w:h="15840"/>
          <w:pgMar w:top="1440" w:right="1440" w:bottom="1440" w:left="1440" w:header="720" w:footer="720" w:gutter="0"/>
          <w:pgNumType w:start="0"/>
          <w:cols w:space="720"/>
          <w:titlePg/>
          <w:docGrid w:linePitch="326"/>
        </w:sectPr>
      </w:pPr>
    </w:p>
    <w:p w14:paraId="0167D29D" w14:textId="77777777" w:rsidR="00A24E80" w:rsidRPr="00072C3D" w:rsidRDefault="00A24E80" w:rsidP="002B2646">
      <w:pPr>
        <w:pBdr>
          <w:top w:val="nil"/>
          <w:left w:val="nil"/>
          <w:bottom w:val="nil"/>
          <w:right w:val="nil"/>
          <w:between w:val="nil"/>
          <w:bar w:val="nil"/>
        </w:pBdr>
        <w:spacing w:after="240" w:line="240" w:lineRule="auto"/>
        <w:ind w:firstLine="720"/>
        <w:jc w:val="both"/>
        <w:rPr>
          <w:rFonts w:ascii="Cambria" w:eastAsia="Arial Unicode MS" w:hAnsi="Cambria" w:cstheme="majorBidi"/>
          <w:b/>
          <w:bCs/>
          <w:kern w:val="0"/>
          <w:sz w:val="20"/>
          <w:szCs w:val="20"/>
          <w:bdr w:val="nil"/>
          <w:lang w:eastAsia="en-US"/>
        </w:rPr>
      </w:pPr>
      <w:r w:rsidRPr="00072C3D">
        <w:rPr>
          <w:rFonts w:ascii="Cambria" w:eastAsia="Arial Unicode MS" w:hAnsi="Cambria" w:cstheme="majorBidi"/>
          <w:b/>
          <w:bCs/>
          <w:kern w:val="0"/>
          <w:sz w:val="20"/>
          <w:szCs w:val="20"/>
          <w:bdr w:val="nil"/>
          <w:lang w:eastAsia="en-US"/>
        </w:rPr>
        <w:lastRenderedPageBreak/>
        <w:t>I.</w:t>
      </w:r>
      <w:r w:rsidRPr="00072C3D">
        <w:rPr>
          <w:rFonts w:ascii="Cambria" w:eastAsia="Arial Unicode MS" w:hAnsi="Cambria" w:cstheme="majorBidi"/>
          <w:b/>
          <w:bCs/>
          <w:kern w:val="0"/>
          <w:sz w:val="20"/>
          <w:szCs w:val="20"/>
          <w:bdr w:val="nil"/>
          <w:lang w:eastAsia="en-US"/>
        </w:rPr>
        <w:tab/>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A24E80" w:rsidRPr="00072C3D" w14:paraId="42F11B71" w14:textId="77777777" w:rsidTr="00DF2124">
        <w:tc>
          <w:tcPr>
            <w:tcW w:w="3690" w:type="dxa"/>
            <w:tcBorders>
              <w:top w:val="single" w:sz="4" w:space="0" w:color="auto"/>
              <w:bottom w:val="single" w:sz="6" w:space="0" w:color="auto"/>
            </w:tcBorders>
            <w:shd w:val="clear" w:color="auto" w:fill="67AE3C"/>
            <w:vAlign w:val="center"/>
          </w:tcPr>
          <w:p w14:paraId="070775FB" w14:textId="77777777" w:rsidR="00A24E80" w:rsidRPr="00072C3D" w:rsidRDefault="00A24E80" w:rsidP="002B2646">
            <w:pPr>
              <w:jc w:val="center"/>
              <w:rPr>
                <w:rFonts w:ascii="Cambria" w:hAnsi="Cambria" w:cstheme="majorBidi"/>
                <w:b/>
                <w:bCs/>
                <w:color w:val="FFFFFF" w:themeColor="background1"/>
                <w:lang w:val="en-US" w:eastAsia="en-US"/>
              </w:rPr>
            </w:pPr>
            <w:r w:rsidRPr="00072C3D">
              <w:rPr>
                <w:rFonts w:ascii="Cambria" w:hAnsi="Cambria" w:cstheme="majorBidi"/>
                <w:b/>
                <w:bCs/>
                <w:color w:val="FFFFFF" w:themeColor="background1"/>
                <w:lang w:val="en-US" w:eastAsia="en-US"/>
              </w:rPr>
              <w:t>Petitioner:</w:t>
            </w:r>
          </w:p>
        </w:tc>
        <w:tc>
          <w:tcPr>
            <w:tcW w:w="5670" w:type="dxa"/>
            <w:vAlign w:val="center"/>
          </w:tcPr>
          <w:p w14:paraId="4445C05A" w14:textId="656A70E4" w:rsidR="00A24E80" w:rsidRPr="00072C3D" w:rsidRDefault="00935920" w:rsidP="002B2646">
            <w:pPr>
              <w:jc w:val="both"/>
              <w:rPr>
                <w:rFonts w:ascii="Cambria" w:hAnsi="Cambria" w:cstheme="majorBidi"/>
                <w:bCs/>
                <w:lang w:val="en-US" w:eastAsia="en-US"/>
              </w:rPr>
            </w:pPr>
            <w:r>
              <w:rPr>
                <w:rFonts w:ascii="Cambria" w:hAnsi="Cambria" w:cstheme="majorBidi"/>
                <w:bCs/>
                <w:lang w:val="en-US" w:eastAsia="en-US"/>
              </w:rPr>
              <w:t>James Colin McNaughton</w:t>
            </w:r>
          </w:p>
        </w:tc>
      </w:tr>
      <w:tr w:rsidR="00A24E80" w:rsidRPr="00072C3D" w14:paraId="4C926E81" w14:textId="77777777" w:rsidTr="00DF2124">
        <w:tc>
          <w:tcPr>
            <w:tcW w:w="3690" w:type="dxa"/>
            <w:tcBorders>
              <w:top w:val="single" w:sz="6" w:space="0" w:color="auto"/>
              <w:bottom w:val="single" w:sz="6" w:space="0" w:color="auto"/>
            </w:tcBorders>
            <w:shd w:val="clear" w:color="auto" w:fill="67AE3C"/>
            <w:vAlign w:val="center"/>
          </w:tcPr>
          <w:p w14:paraId="36B69F02" w14:textId="77777777" w:rsidR="00A24E80" w:rsidRPr="00072C3D" w:rsidRDefault="004B0934" w:rsidP="002B2646">
            <w:pPr>
              <w:jc w:val="center"/>
              <w:rPr>
                <w:rFonts w:ascii="Cambria" w:hAnsi="Cambria" w:cstheme="majorBidi"/>
                <w:b/>
                <w:bCs/>
                <w:color w:val="FFFFFF" w:themeColor="background1"/>
                <w:lang w:val="en-US" w:eastAsia="en-US"/>
              </w:rPr>
            </w:pPr>
            <w:sdt>
              <w:sdtPr>
                <w:rPr>
                  <w:rFonts w:ascii="Cambria" w:hAnsi="Cambria" w:cstheme="majorBidi"/>
                  <w:b/>
                  <w:bCs/>
                  <w:color w:val="FFFFFF" w:themeColor="background1"/>
                  <w:lang w:eastAsia="en-US"/>
                </w:rPr>
                <w:alias w:val="Elegir una opción"/>
                <w:tag w:val="Elegir una opción"/>
                <w:id w:val="931095713"/>
                <w:placeholder>
                  <w:docPart w:val="CF7F170D4C684C0FBA52E84646CC65CF"/>
                </w:placeholder>
                <w:dropDownList>
                  <w:listItem w:value="Choose an item."/>
                  <w:listItem w:displayText="Alleged victim" w:value="Alleged victim"/>
                  <w:listItem w:displayText="Alleged victims" w:value="Alleged victims"/>
                </w:dropDownList>
              </w:sdtPr>
              <w:sdtEndPr/>
              <w:sdtContent>
                <w:r w:rsidR="00A24E80" w:rsidRPr="00072C3D">
                  <w:rPr>
                    <w:rFonts w:ascii="Cambria" w:hAnsi="Cambria" w:cstheme="majorBidi"/>
                    <w:b/>
                    <w:bCs/>
                    <w:color w:val="FFFFFF" w:themeColor="background1"/>
                    <w:lang w:val="en-US" w:eastAsia="en-US"/>
                  </w:rPr>
                  <w:t>Alleged victims</w:t>
                </w:r>
              </w:sdtContent>
            </w:sdt>
            <w:r w:rsidR="00A24E80" w:rsidRPr="00072C3D">
              <w:rPr>
                <w:rFonts w:ascii="Cambria" w:hAnsi="Cambria" w:cstheme="majorBidi"/>
                <w:b/>
                <w:bCs/>
                <w:color w:val="FFFFFF" w:themeColor="background1"/>
                <w:lang w:val="en-US" w:eastAsia="en-US"/>
              </w:rPr>
              <w:t>:</w:t>
            </w:r>
          </w:p>
        </w:tc>
        <w:tc>
          <w:tcPr>
            <w:tcW w:w="5670" w:type="dxa"/>
            <w:vAlign w:val="center"/>
          </w:tcPr>
          <w:p w14:paraId="16FEEB38" w14:textId="3A659240" w:rsidR="00A24E80" w:rsidRPr="00072C3D" w:rsidRDefault="00935920" w:rsidP="002B2646">
            <w:pPr>
              <w:jc w:val="both"/>
              <w:rPr>
                <w:rFonts w:ascii="Cambria" w:hAnsi="Cambria" w:cstheme="majorBidi"/>
                <w:bCs/>
                <w:lang w:val="en-US" w:eastAsia="en-US"/>
              </w:rPr>
            </w:pPr>
            <w:r>
              <w:rPr>
                <w:rFonts w:ascii="Cambria" w:hAnsi="Cambria" w:cstheme="majorBidi"/>
                <w:bCs/>
                <w:lang w:val="en-US" w:eastAsia="en-US"/>
              </w:rPr>
              <w:t>James Colin McNaughton</w:t>
            </w:r>
          </w:p>
        </w:tc>
      </w:tr>
      <w:tr w:rsidR="00A24E80" w:rsidRPr="00072C3D" w14:paraId="1ADCD732" w14:textId="77777777" w:rsidTr="00DF2124">
        <w:tc>
          <w:tcPr>
            <w:tcW w:w="3690" w:type="dxa"/>
            <w:tcBorders>
              <w:top w:val="single" w:sz="6" w:space="0" w:color="auto"/>
              <w:bottom w:val="single" w:sz="6" w:space="0" w:color="auto"/>
            </w:tcBorders>
            <w:shd w:val="clear" w:color="auto" w:fill="67AE3C"/>
            <w:vAlign w:val="center"/>
          </w:tcPr>
          <w:p w14:paraId="28A61651" w14:textId="77777777" w:rsidR="00A24E80" w:rsidRPr="00072C3D" w:rsidRDefault="00A24E80" w:rsidP="002B2646">
            <w:pPr>
              <w:jc w:val="center"/>
              <w:rPr>
                <w:rFonts w:ascii="Cambria" w:hAnsi="Cambria" w:cstheme="majorBidi"/>
                <w:b/>
                <w:bCs/>
                <w:color w:val="FFFFFF" w:themeColor="background1"/>
                <w:lang w:val="en-US" w:eastAsia="en-US"/>
              </w:rPr>
            </w:pPr>
            <w:r w:rsidRPr="00072C3D">
              <w:rPr>
                <w:rFonts w:ascii="Cambria" w:hAnsi="Cambria" w:cstheme="majorBidi"/>
                <w:b/>
                <w:bCs/>
                <w:color w:val="FFFFFF" w:themeColor="background1"/>
                <w:lang w:val="en-US" w:eastAsia="en-US"/>
              </w:rPr>
              <w:t>Respondent State:</w:t>
            </w:r>
          </w:p>
        </w:tc>
        <w:tc>
          <w:tcPr>
            <w:tcW w:w="5670" w:type="dxa"/>
            <w:vAlign w:val="center"/>
          </w:tcPr>
          <w:p w14:paraId="06B2F7E6" w14:textId="77777777" w:rsidR="00A24E80" w:rsidRPr="00072C3D" w:rsidRDefault="00A24E80" w:rsidP="002B2646">
            <w:pPr>
              <w:jc w:val="both"/>
              <w:rPr>
                <w:rFonts w:ascii="Cambria" w:hAnsi="Cambria" w:cstheme="majorBidi"/>
                <w:bCs/>
                <w:lang w:val="en-US" w:eastAsia="en-US"/>
              </w:rPr>
            </w:pPr>
            <w:r w:rsidRPr="00072C3D">
              <w:rPr>
                <w:rFonts w:ascii="Cambria" w:hAnsi="Cambria" w:cstheme="majorBidi"/>
                <w:bCs/>
                <w:lang w:val="en-US" w:eastAsia="en-US"/>
              </w:rPr>
              <w:t>Colombia</w:t>
            </w:r>
            <w:r w:rsidRPr="00072C3D">
              <w:rPr>
                <w:rFonts w:ascii="Cambria" w:hAnsi="Cambria" w:cstheme="majorBidi"/>
                <w:bCs/>
                <w:vertAlign w:val="superscript"/>
                <w:lang w:val="en-US" w:eastAsia="en-US"/>
              </w:rPr>
              <w:footnoteReference w:id="1"/>
            </w:r>
          </w:p>
        </w:tc>
      </w:tr>
      <w:tr w:rsidR="00A24E80" w:rsidRPr="00072C3D" w14:paraId="5BC5F19B" w14:textId="77777777" w:rsidTr="00DF2124">
        <w:tc>
          <w:tcPr>
            <w:tcW w:w="3690" w:type="dxa"/>
            <w:tcBorders>
              <w:top w:val="single" w:sz="6" w:space="0" w:color="auto"/>
              <w:bottom w:val="single" w:sz="6" w:space="0" w:color="auto"/>
            </w:tcBorders>
            <w:shd w:val="clear" w:color="auto" w:fill="67AE3C"/>
            <w:vAlign w:val="center"/>
          </w:tcPr>
          <w:p w14:paraId="25386C30" w14:textId="77777777" w:rsidR="00A24E80" w:rsidRPr="00072C3D" w:rsidRDefault="00A24E80" w:rsidP="002B2646">
            <w:pPr>
              <w:jc w:val="center"/>
              <w:rPr>
                <w:rFonts w:ascii="Cambria" w:hAnsi="Cambria" w:cstheme="majorBidi"/>
                <w:b/>
                <w:bCs/>
                <w:color w:val="FFFFFF" w:themeColor="background1"/>
                <w:lang w:val="en-US" w:eastAsia="en-US"/>
              </w:rPr>
            </w:pPr>
            <w:r w:rsidRPr="00072C3D">
              <w:rPr>
                <w:rFonts w:ascii="Cambria" w:hAnsi="Cambria" w:cstheme="majorBidi"/>
                <w:b/>
                <w:bCs/>
                <w:color w:val="FFFFFF" w:themeColor="background1"/>
                <w:lang w:val="en-US" w:eastAsia="en-US"/>
              </w:rPr>
              <w:t>Rights invoked:</w:t>
            </w:r>
          </w:p>
        </w:tc>
        <w:tc>
          <w:tcPr>
            <w:tcW w:w="5670" w:type="dxa"/>
            <w:vAlign w:val="center"/>
          </w:tcPr>
          <w:p w14:paraId="009B2ACF" w14:textId="099485B5" w:rsidR="00A24E80" w:rsidRPr="00072C3D" w:rsidRDefault="00A24E80" w:rsidP="002B2646">
            <w:pPr>
              <w:jc w:val="both"/>
              <w:rPr>
                <w:rFonts w:ascii="Cambria" w:hAnsi="Cambria" w:cstheme="majorBidi"/>
                <w:bCs/>
                <w:lang w:val="en-US" w:eastAsia="en-US"/>
              </w:rPr>
            </w:pPr>
            <w:r w:rsidRPr="00072C3D">
              <w:rPr>
                <w:rFonts w:ascii="Cambria" w:hAnsi="Cambria" w:cstheme="majorBidi"/>
                <w:bCs/>
                <w:lang w:val="en-US" w:eastAsia="en-US"/>
              </w:rPr>
              <w:t xml:space="preserve">Articles </w:t>
            </w:r>
            <w:r w:rsidRPr="00CB3C0E">
              <w:rPr>
                <w:rFonts w:ascii="Cambria" w:hAnsi="Cambria" w:cstheme="majorBidi"/>
                <w:bCs/>
                <w:lang w:val="en-US" w:eastAsia="en-US"/>
              </w:rPr>
              <w:t>7 (personal liberty), 8</w:t>
            </w:r>
            <w:r w:rsidR="00303E8A">
              <w:rPr>
                <w:rFonts w:ascii="Cambria" w:hAnsi="Cambria" w:cstheme="majorBidi"/>
                <w:bCs/>
                <w:lang w:val="en-US" w:eastAsia="en-US"/>
              </w:rPr>
              <w:t xml:space="preserve"> </w:t>
            </w:r>
            <w:r w:rsidRPr="00072C3D">
              <w:rPr>
                <w:rFonts w:ascii="Cambria" w:hAnsi="Cambria" w:cstheme="majorBidi"/>
                <w:bCs/>
                <w:lang w:val="en-US" w:eastAsia="en-US"/>
              </w:rPr>
              <w:t xml:space="preserve">(judicial guarantees), </w:t>
            </w:r>
            <w:r w:rsidRPr="00CB3C0E">
              <w:rPr>
                <w:rFonts w:ascii="Cambria" w:hAnsi="Cambria" w:cstheme="majorBidi"/>
                <w:bCs/>
                <w:lang w:val="en-US" w:eastAsia="en-US"/>
              </w:rPr>
              <w:t>1</w:t>
            </w:r>
            <w:r w:rsidR="00022EE4">
              <w:rPr>
                <w:rFonts w:ascii="Cambria" w:hAnsi="Cambria" w:cstheme="majorBidi"/>
                <w:bCs/>
                <w:lang w:val="en-US" w:eastAsia="en-US"/>
              </w:rPr>
              <w:t>1</w:t>
            </w:r>
            <w:r w:rsidRPr="00CB3C0E">
              <w:rPr>
                <w:rFonts w:ascii="Cambria" w:hAnsi="Cambria" w:cstheme="majorBidi"/>
                <w:bCs/>
                <w:lang w:val="en-US" w:eastAsia="en-US"/>
              </w:rPr>
              <w:t xml:space="preserve"> (</w:t>
            </w:r>
            <w:r w:rsidR="00022EE4">
              <w:rPr>
                <w:rFonts w:ascii="Cambria" w:hAnsi="Cambria" w:cstheme="majorBidi"/>
                <w:bCs/>
                <w:lang w:val="en-US" w:eastAsia="en-US"/>
              </w:rPr>
              <w:t>protection of honor and dignity</w:t>
            </w:r>
            <w:r w:rsidRPr="00CB3C0E">
              <w:rPr>
                <w:rFonts w:ascii="Cambria" w:hAnsi="Cambria" w:cstheme="majorBidi"/>
                <w:bCs/>
                <w:lang w:val="en-US" w:eastAsia="en-US"/>
              </w:rPr>
              <w:t>), 22 (movement and residence)</w:t>
            </w:r>
            <w:r w:rsidR="00381129">
              <w:rPr>
                <w:rFonts w:ascii="Cambria" w:hAnsi="Cambria" w:cstheme="majorBidi"/>
                <w:bCs/>
                <w:lang w:val="en-US" w:eastAsia="en-US"/>
              </w:rPr>
              <w:t>, 24 (equality before the law),</w:t>
            </w:r>
            <w:r w:rsidRPr="00CB3C0E">
              <w:rPr>
                <w:rFonts w:ascii="Cambria" w:hAnsi="Cambria" w:cstheme="majorBidi"/>
                <w:bCs/>
                <w:lang w:val="en-US" w:eastAsia="en-US"/>
              </w:rPr>
              <w:t xml:space="preserve"> and 25 (judicial protection) </w:t>
            </w:r>
            <w:r w:rsidRPr="00072C3D">
              <w:rPr>
                <w:rFonts w:ascii="Cambria" w:hAnsi="Cambria" w:cstheme="majorBidi"/>
                <w:bCs/>
                <w:lang w:val="en-US" w:eastAsia="en-US"/>
              </w:rPr>
              <w:t>of the American Convention on Human Rights,</w:t>
            </w:r>
            <w:r w:rsidRPr="00072C3D">
              <w:rPr>
                <w:rFonts w:ascii="Cambria" w:hAnsi="Cambria" w:cstheme="majorBidi"/>
                <w:vertAlign w:val="superscript"/>
                <w:lang w:val="en-US" w:eastAsia="en-US"/>
              </w:rPr>
              <w:footnoteReference w:id="2"/>
            </w:r>
            <w:r w:rsidRPr="00072C3D">
              <w:rPr>
                <w:rFonts w:ascii="Cambria" w:hAnsi="Cambria" w:cstheme="majorBidi"/>
                <w:bCs/>
                <w:lang w:val="en-US" w:eastAsia="en-US"/>
              </w:rPr>
              <w:t xml:space="preserve"> in relation to its Article</w:t>
            </w:r>
            <w:r w:rsidR="00381129">
              <w:rPr>
                <w:rFonts w:ascii="Cambria" w:hAnsi="Cambria" w:cstheme="majorBidi"/>
                <w:bCs/>
                <w:lang w:val="en-US" w:eastAsia="en-US"/>
              </w:rPr>
              <w:t>s</w:t>
            </w:r>
            <w:r w:rsidRPr="00072C3D">
              <w:rPr>
                <w:rFonts w:ascii="Cambria" w:hAnsi="Cambria" w:cstheme="majorBidi"/>
                <w:bCs/>
                <w:lang w:val="en-US" w:eastAsia="en-US"/>
              </w:rPr>
              <w:t xml:space="preserve"> 1</w:t>
            </w:r>
            <w:r w:rsidR="00381129">
              <w:rPr>
                <w:rFonts w:ascii="Cambria" w:hAnsi="Cambria" w:cstheme="majorBidi"/>
                <w:bCs/>
                <w:lang w:val="en-US" w:eastAsia="en-US"/>
              </w:rPr>
              <w:t xml:space="preserve">(1) and 2; Articles V, IX, XVII, XVIII, XXV, and XXVI of the American Declaration of the Rights and Duties of Man </w:t>
            </w:r>
          </w:p>
        </w:tc>
      </w:tr>
    </w:tbl>
    <w:p w14:paraId="53D2C02B" w14:textId="77777777" w:rsidR="00A24E80" w:rsidRPr="00072C3D" w:rsidRDefault="00A24E80" w:rsidP="002B2646">
      <w:pPr>
        <w:pBdr>
          <w:top w:val="nil"/>
          <w:left w:val="nil"/>
          <w:bottom w:val="nil"/>
          <w:right w:val="nil"/>
          <w:between w:val="nil"/>
          <w:bar w:val="nil"/>
        </w:pBdr>
        <w:spacing w:before="240" w:after="240" w:line="240" w:lineRule="auto"/>
        <w:ind w:firstLine="720"/>
        <w:jc w:val="both"/>
        <w:rPr>
          <w:rFonts w:ascii="Cambria" w:eastAsia="Arial Unicode MS" w:hAnsi="Cambria" w:cstheme="majorBidi"/>
          <w:b/>
          <w:bCs/>
          <w:kern w:val="0"/>
          <w:sz w:val="20"/>
          <w:szCs w:val="20"/>
          <w:bdr w:val="nil"/>
          <w:lang w:eastAsia="en-US"/>
        </w:rPr>
      </w:pPr>
      <w:r w:rsidRPr="00072C3D">
        <w:rPr>
          <w:rFonts w:ascii="Cambria" w:eastAsia="Arial Unicode MS" w:hAnsi="Cambria" w:cstheme="majorBidi"/>
          <w:b/>
          <w:bCs/>
          <w:kern w:val="0"/>
          <w:sz w:val="20"/>
          <w:szCs w:val="20"/>
          <w:bdr w:val="nil"/>
          <w:lang w:eastAsia="en-US"/>
        </w:rPr>
        <w:t>II.</w:t>
      </w:r>
      <w:r w:rsidRPr="00072C3D">
        <w:rPr>
          <w:rFonts w:ascii="Cambria" w:eastAsia="Arial Unicode MS" w:hAnsi="Cambria" w:cstheme="majorBidi"/>
          <w:b/>
          <w:bCs/>
          <w:kern w:val="0"/>
          <w:sz w:val="20"/>
          <w:szCs w:val="20"/>
          <w:bdr w:val="nil"/>
          <w:lang w:eastAsia="en-US"/>
        </w:rPr>
        <w:tab/>
        <w:t>PROCEEDINGS BEFORE THE IACHR</w:t>
      </w:r>
      <w:r w:rsidRPr="00072C3D">
        <w:rPr>
          <w:rFonts w:ascii="Cambria" w:eastAsia="Arial Unicode MS" w:hAnsi="Cambria" w:cstheme="majorBidi"/>
          <w:b/>
          <w:kern w:val="0"/>
          <w:sz w:val="20"/>
          <w:szCs w:val="20"/>
          <w:bdr w:val="nil"/>
          <w:vertAlign w:val="superscript"/>
          <w:lang w:eastAsia="en-U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A24E80" w:rsidRPr="00072C3D" w14:paraId="5F010E8F" w14:textId="77777777" w:rsidTr="00DF2124">
        <w:tc>
          <w:tcPr>
            <w:tcW w:w="3690" w:type="dxa"/>
            <w:tcBorders>
              <w:top w:val="single" w:sz="6" w:space="0" w:color="auto"/>
              <w:bottom w:val="single" w:sz="6" w:space="0" w:color="auto"/>
            </w:tcBorders>
            <w:shd w:val="clear" w:color="auto" w:fill="67AE3C"/>
            <w:vAlign w:val="center"/>
          </w:tcPr>
          <w:p w14:paraId="57231666" w14:textId="77777777" w:rsidR="00A24E80" w:rsidRPr="00072C3D" w:rsidRDefault="00A24E80" w:rsidP="002B2646">
            <w:pPr>
              <w:jc w:val="center"/>
              <w:rPr>
                <w:rFonts w:ascii="Cambria" w:hAnsi="Cambria" w:cstheme="majorBidi"/>
                <w:b/>
                <w:bCs/>
                <w:color w:val="FFFFFF" w:themeColor="background1"/>
                <w:lang w:val="en-US" w:eastAsia="en-US"/>
              </w:rPr>
            </w:pPr>
            <w:r w:rsidRPr="00072C3D">
              <w:rPr>
                <w:rFonts w:ascii="Cambria" w:hAnsi="Cambria" w:cstheme="majorBidi"/>
                <w:b/>
                <w:bCs/>
                <w:color w:val="FFFFFF" w:themeColor="background1"/>
                <w:lang w:val="en-US" w:eastAsia="en-US"/>
              </w:rPr>
              <w:t>Filing of the petition:</w:t>
            </w:r>
          </w:p>
        </w:tc>
        <w:tc>
          <w:tcPr>
            <w:tcW w:w="5670" w:type="dxa"/>
            <w:vAlign w:val="center"/>
          </w:tcPr>
          <w:p w14:paraId="781F2CA8" w14:textId="594906AD" w:rsidR="00A24E80" w:rsidRPr="00072C3D" w:rsidRDefault="00533742" w:rsidP="002B2646">
            <w:pPr>
              <w:jc w:val="both"/>
              <w:rPr>
                <w:rFonts w:ascii="Cambria" w:hAnsi="Cambria" w:cstheme="majorBidi"/>
                <w:bCs/>
                <w:lang w:val="en-US" w:eastAsia="en-US"/>
              </w:rPr>
            </w:pPr>
            <w:r>
              <w:rPr>
                <w:rFonts w:ascii="Cambria" w:hAnsi="Cambria" w:cstheme="majorBidi"/>
                <w:bCs/>
                <w:lang w:val="en-US" w:eastAsia="en-US"/>
              </w:rPr>
              <w:t>November 21, 2014</w:t>
            </w:r>
          </w:p>
        </w:tc>
      </w:tr>
      <w:tr w:rsidR="00A24E80" w:rsidRPr="00CB3C0E" w14:paraId="3E04CB7A" w14:textId="77777777" w:rsidTr="00DF2124">
        <w:tc>
          <w:tcPr>
            <w:tcW w:w="3690" w:type="dxa"/>
            <w:tcBorders>
              <w:top w:val="single" w:sz="6" w:space="0" w:color="auto"/>
              <w:bottom w:val="single" w:sz="6" w:space="0" w:color="auto"/>
            </w:tcBorders>
            <w:shd w:val="clear" w:color="auto" w:fill="67AE3C"/>
            <w:vAlign w:val="center"/>
          </w:tcPr>
          <w:p w14:paraId="46986295" w14:textId="7B61CB4D" w:rsidR="00A24E80" w:rsidRPr="00CB3C0E" w:rsidRDefault="00033B20" w:rsidP="002B2646">
            <w:pPr>
              <w:jc w:val="center"/>
              <w:rPr>
                <w:rFonts w:ascii="Cambria" w:hAnsi="Cambria" w:cstheme="majorBidi"/>
                <w:b/>
                <w:bCs/>
                <w:color w:val="FFFFFF" w:themeColor="background1"/>
                <w:lang w:val="en-US" w:eastAsia="en-US"/>
              </w:rPr>
            </w:pPr>
            <w:r>
              <w:rPr>
                <w:rFonts w:ascii="Cambria" w:hAnsi="Cambria" w:cstheme="majorBidi"/>
                <w:b/>
                <w:bCs/>
                <w:color w:val="FFFFFF" w:themeColor="background1"/>
                <w:lang w:val="en-US" w:eastAsia="en-US"/>
              </w:rPr>
              <w:t>Additional information received during the initial review stage</w:t>
            </w:r>
            <w:r w:rsidR="00303E8A">
              <w:rPr>
                <w:rFonts w:ascii="Cambria" w:hAnsi="Cambria" w:cstheme="majorBidi"/>
                <w:b/>
                <w:bCs/>
                <w:color w:val="FFFFFF" w:themeColor="background1"/>
                <w:lang w:val="en-US" w:eastAsia="en-US"/>
              </w:rPr>
              <w:t>:</w:t>
            </w:r>
          </w:p>
        </w:tc>
        <w:tc>
          <w:tcPr>
            <w:tcW w:w="5670" w:type="dxa"/>
            <w:vAlign w:val="center"/>
          </w:tcPr>
          <w:p w14:paraId="5F0AD7C7" w14:textId="4C66B9BA" w:rsidR="00A24E80" w:rsidRPr="00CB3C0E" w:rsidRDefault="00A24E80" w:rsidP="002B2646">
            <w:pPr>
              <w:jc w:val="both"/>
              <w:rPr>
                <w:rFonts w:ascii="Cambria" w:hAnsi="Cambria" w:cstheme="majorBidi"/>
                <w:bCs/>
                <w:lang w:val="en-US" w:eastAsia="en-US"/>
              </w:rPr>
            </w:pPr>
            <w:r w:rsidRPr="00CB3C0E">
              <w:rPr>
                <w:rFonts w:ascii="Cambria" w:hAnsi="Cambria" w:cstheme="majorBidi"/>
                <w:bCs/>
                <w:lang w:val="en-US" w:eastAsia="en-US"/>
              </w:rPr>
              <w:t xml:space="preserve">May </w:t>
            </w:r>
            <w:r w:rsidR="00033B20">
              <w:rPr>
                <w:rFonts w:ascii="Cambria" w:hAnsi="Cambria" w:cstheme="majorBidi"/>
                <w:bCs/>
                <w:lang w:val="en-US" w:eastAsia="en-US"/>
              </w:rPr>
              <w:t>9</w:t>
            </w:r>
            <w:r w:rsidRPr="00CB3C0E">
              <w:rPr>
                <w:rFonts w:ascii="Cambria" w:hAnsi="Cambria" w:cstheme="majorBidi"/>
                <w:bCs/>
                <w:lang w:val="en-US" w:eastAsia="en-US"/>
              </w:rPr>
              <w:t>, 2017</w:t>
            </w:r>
            <w:r w:rsidR="00033B20">
              <w:rPr>
                <w:rFonts w:ascii="Cambria" w:hAnsi="Cambria" w:cstheme="majorBidi"/>
                <w:bCs/>
                <w:lang w:val="en-US" w:eastAsia="en-US"/>
              </w:rPr>
              <w:t xml:space="preserve"> and March 14, 2018</w:t>
            </w:r>
          </w:p>
        </w:tc>
      </w:tr>
      <w:tr w:rsidR="00A24E80" w:rsidRPr="00072C3D" w14:paraId="0B73A387" w14:textId="77777777" w:rsidTr="00DF2124">
        <w:tc>
          <w:tcPr>
            <w:tcW w:w="3690" w:type="dxa"/>
            <w:tcBorders>
              <w:top w:val="single" w:sz="6" w:space="0" w:color="auto"/>
              <w:bottom w:val="single" w:sz="6" w:space="0" w:color="auto"/>
            </w:tcBorders>
            <w:shd w:val="clear" w:color="auto" w:fill="67AE3C"/>
            <w:vAlign w:val="center"/>
          </w:tcPr>
          <w:p w14:paraId="540A5ADB" w14:textId="77777777" w:rsidR="00A24E80" w:rsidRPr="00072C3D" w:rsidRDefault="00A24E80" w:rsidP="002B2646">
            <w:pPr>
              <w:jc w:val="center"/>
              <w:rPr>
                <w:rFonts w:ascii="Cambria" w:hAnsi="Cambria" w:cstheme="majorBidi"/>
                <w:b/>
                <w:bCs/>
                <w:color w:val="FFFFFF" w:themeColor="background1"/>
                <w:lang w:val="en-US" w:eastAsia="en-US"/>
              </w:rPr>
            </w:pPr>
            <w:r w:rsidRPr="00072C3D">
              <w:rPr>
                <w:rFonts w:ascii="Cambria" w:hAnsi="Cambria" w:cstheme="majorBidi"/>
                <w:b/>
                <w:color w:val="FFFFFF" w:themeColor="background1"/>
                <w:lang w:val="en-US" w:eastAsia="en-US"/>
              </w:rPr>
              <w:t>Notification of the petition to the State:</w:t>
            </w:r>
          </w:p>
        </w:tc>
        <w:tc>
          <w:tcPr>
            <w:tcW w:w="5670" w:type="dxa"/>
            <w:vAlign w:val="center"/>
          </w:tcPr>
          <w:p w14:paraId="2C4C700E" w14:textId="4CEAD05D" w:rsidR="00A24E80" w:rsidRPr="00072C3D" w:rsidRDefault="00033B20" w:rsidP="002B2646">
            <w:pPr>
              <w:jc w:val="both"/>
              <w:rPr>
                <w:rFonts w:ascii="Cambria" w:hAnsi="Cambria" w:cstheme="majorBidi"/>
                <w:bCs/>
                <w:lang w:val="en-US" w:eastAsia="en-US"/>
              </w:rPr>
            </w:pPr>
            <w:r>
              <w:rPr>
                <w:rFonts w:ascii="Cambria" w:hAnsi="Cambria" w:cstheme="majorBidi"/>
                <w:bCs/>
                <w:lang w:val="en-US" w:eastAsia="en-US"/>
              </w:rPr>
              <w:t xml:space="preserve">November 4, </w:t>
            </w:r>
            <w:r w:rsidR="00A24E80" w:rsidRPr="00072C3D">
              <w:rPr>
                <w:rFonts w:ascii="Cambria" w:hAnsi="Cambria" w:cstheme="majorBidi"/>
                <w:bCs/>
                <w:lang w:val="en-US" w:eastAsia="en-US"/>
              </w:rPr>
              <w:t xml:space="preserve">2019 </w:t>
            </w:r>
          </w:p>
        </w:tc>
      </w:tr>
      <w:tr w:rsidR="00A24E80" w:rsidRPr="00CB3C0E" w14:paraId="667213ED" w14:textId="77777777" w:rsidTr="00DF2124">
        <w:tc>
          <w:tcPr>
            <w:tcW w:w="3690" w:type="dxa"/>
            <w:tcBorders>
              <w:top w:val="single" w:sz="6" w:space="0" w:color="auto"/>
              <w:bottom w:val="single" w:sz="6" w:space="0" w:color="auto"/>
            </w:tcBorders>
            <w:shd w:val="clear" w:color="auto" w:fill="67AE3C"/>
            <w:vAlign w:val="center"/>
          </w:tcPr>
          <w:p w14:paraId="6E552EBB" w14:textId="77777777" w:rsidR="00A24E80" w:rsidRPr="00CB3C0E" w:rsidRDefault="00A24E80" w:rsidP="002B2646">
            <w:pPr>
              <w:jc w:val="center"/>
              <w:rPr>
                <w:rFonts w:ascii="Cambria" w:hAnsi="Cambria" w:cstheme="majorBidi"/>
                <w:b/>
                <w:color w:val="FFFFFF" w:themeColor="background1"/>
                <w:lang w:val="en-US" w:eastAsia="en-US"/>
              </w:rPr>
            </w:pPr>
            <w:r w:rsidRPr="00CB3C0E">
              <w:rPr>
                <w:rFonts w:ascii="Cambria" w:hAnsi="Cambria" w:cstheme="majorBidi"/>
                <w:b/>
                <w:color w:val="FFFFFF" w:themeColor="background1"/>
                <w:lang w:val="en-US" w:eastAsia="en-US"/>
              </w:rPr>
              <w:t xml:space="preserve">Request for extension: </w:t>
            </w:r>
          </w:p>
        </w:tc>
        <w:tc>
          <w:tcPr>
            <w:tcW w:w="5670" w:type="dxa"/>
            <w:vAlign w:val="center"/>
          </w:tcPr>
          <w:p w14:paraId="54EEC115" w14:textId="3A99749C" w:rsidR="00A24E80" w:rsidRPr="00CB3C0E" w:rsidRDefault="00033B20" w:rsidP="002B2646">
            <w:pPr>
              <w:jc w:val="both"/>
              <w:rPr>
                <w:rFonts w:ascii="Cambria" w:hAnsi="Cambria" w:cstheme="majorBidi"/>
                <w:bCs/>
                <w:lang w:val="en-US" w:eastAsia="en-US"/>
              </w:rPr>
            </w:pPr>
            <w:r>
              <w:rPr>
                <w:rFonts w:ascii="Cambria" w:hAnsi="Cambria" w:cstheme="majorBidi"/>
                <w:bCs/>
                <w:lang w:val="en-US" w:eastAsia="en-US"/>
              </w:rPr>
              <w:t xml:space="preserve">February 21, 2020 </w:t>
            </w:r>
          </w:p>
        </w:tc>
      </w:tr>
      <w:tr w:rsidR="00A24E80" w:rsidRPr="00072C3D" w14:paraId="1B91D2D5" w14:textId="77777777" w:rsidTr="00DF2124">
        <w:trPr>
          <w:trHeight w:val="264"/>
        </w:trPr>
        <w:tc>
          <w:tcPr>
            <w:tcW w:w="3690" w:type="dxa"/>
            <w:tcBorders>
              <w:top w:val="single" w:sz="6" w:space="0" w:color="auto"/>
              <w:bottom w:val="single" w:sz="6" w:space="0" w:color="auto"/>
            </w:tcBorders>
            <w:shd w:val="clear" w:color="auto" w:fill="67AE3C"/>
            <w:vAlign w:val="center"/>
          </w:tcPr>
          <w:p w14:paraId="41734802" w14:textId="77777777" w:rsidR="00A24E80" w:rsidRPr="00072C3D" w:rsidRDefault="00A24E80" w:rsidP="002B2646">
            <w:pPr>
              <w:jc w:val="center"/>
              <w:rPr>
                <w:rFonts w:ascii="Cambria" w:hAnsi="Cambria" w:cstheme="majorBidi"/>
                <w:b/>
                <w:bCs/>
                <w:color w:val="FFFFFF" w:themeColor="background1"/>
                <w:lang w:val="en-US" w:eastAsia="en-US"/>
              </w:rPr>
            </w:pPr>
            <w:r w:rsidRPr="00072C3D">
              <w:rPr>
                <w:rFonts w:ascii="Cambria" w:hAnsi="Cambria" w:cstheme="majorBidi"/>
                <w:b/>
                <w:color w:val="FFFFFF" w:themeColor="background1"/>
                <w:lang w:val="en-US" w:eastAsia="en-US"/>
              </w:rPr>
              <w:t>State’s first response:</w:t>
            </w:r>
          </w:p>
        </w:tc>
        <w:tc>
          <w:tcPr>
            <w:tcW w:w="5670" w:type="dxa"/>
            <w:vAlign w:val="center"/>
          </w:tcPr>
          <w:p w14:paraId="7E9E578E" w14:textId="46881BE3" w:rsidR="00A24E80" w:rsidRPr="00072C3D" w:rsidRDefault="00033B20" w:rsidP="002B2646">
            <w:pPr>
              <w:jc w:val="both"/>
              <w:rPr>
                <w:rFonts w:ascii="Cambria" w:hAnsi="Cambria" w:cstheme="majorBidi"/>
                <w:bCs/>
                <w:lang w:val="en-US" w:eastAsia="en-US"/>
              </w:rPr>
            </w:pPr>
            <w:r>
              <w:rPr>
                <w:rFonts w:ascii="Cambria" w:hAnsi="Cambria" w:cstheme="majorBidi"/>
                <w:bCs/>
                <w:lang w:val="en-US" w:eastAsia="en-US"/>
              </w:rPr>
              <w:t xml:space="preserve">August 28, 2020 </w:t>
            </w:r>
          </w:p>
        </w:tc>
      </w:tr>
      <w:tr w:rsidR="00A24E80" w:rsidRPr="00072C3D" w14:paraId="5BC09223" w14:textId="77777777" w:rsidTr="00DF2124">
        <w:tc>
          <w:tcPr>
            <w:tcW w:w="3690" w:type="dxa"/>
            <w:tcBorders>
              <w:top w:val="single" w:sz="6" w:space="0" w:color="auto"/>
              <w:bottom w:val="single" w:sz="6" w:space="0" w:color="auto"/>
            </w:tcBorders>
            <w:shd w:val="clear" w:color="auto" w:fill="67AE3C"/>
            <w:vAlign w:val="center"/>
          </w:tcPr>
          <w:p w14:paraId="4451ECC0" w14:textId="6D16836B" w:rsidR="00A24E80" w:rsidRPr="00072C3D" w:rsidRDefault="00033B20" w:rsidP="002B2646">
            <w:pPr>
              <w:jc w:val="center"/>
              <w:rPr>
                <w:rFonts w:ascii="Cambria" w:hAnsi="Cambria" w:cstheme="majorBidi"/>
                <w:b/>
                <w:bCs/>
                <w:color w:val="FFFFFF" w:themeColor="background1"/>
                <w:lang w:val="en-US" w:eastAsia="en-US"/>
              </w:rPr>
            </w:pPr>
            <w:r>
              <w:rPr>
                <w:rFonts w:ascii="Cambria" w:hAnsi="Cambria" w:cstheme="majorBidi"/>
                <w:b/>
                <w:bCs/>
                <w:color w:val="FFFFFF" w:themeColor="background1"/>
                <w:lang w:val="en-US" w:eastAsia="en-US"/>
              </w:rPr>
              <w:t>Additional observations by the petitioner</w:t>
            </w:r>
            <w:r w:rsidR="00A24E80" w:rsidRPr="00072C3D">
              <w:rPr>
                <w:rFonts w:ascii="Cambria" w:hAnsi="Cambria" w:cstheme="majorBidi"/>
                <w:b/>
                <w:bCs/>
                <w:color w:val="FFFFFF" w:themeColor="background1"/>
                <w:lang w:val="en-US" w:eastAsia="en-US"/>
              </w:rPr>
              <w:t>:</w:t>
            </w:r>
          </w:p>
        </w:tc>
        <w:tc>
          <w:tcPr>
            <w:tcW w:w="5670" w:type="dxa"/>
            <w:vAlign w:val="center"/>
          </w:tcPr>
          <w:p w14:paraId="15F46482" w14:textId="06EA3B87" w:rsidR="00A24E80" w:rsidRPr="00072C3D" w:rsidRDefault="00033B20" w:rsidP="002B2646">
            <w:pPr>
              <w:jc w:val="both"/>
              <w:rPr>
                <w:rFonts w:ascii="Cambria" w:hAnsi="Cambria" w:cstheme="majorBidi"/>
                <w:bCs/>
                <w:lang w:val="en-US" w:eastAsia="en-US"/>
              </w:rPr>
            </w:pPr>
            <w:r>
              <w:rPr>
                <w:rFonts w:ascii="Cambria" w:hAnsi="Cambria" w:cstheme="majorBidi"/>
                <w:bCs/>
                <w:lang w:val="en-US" w:eastAsia="en-US"/>
              </w:rPr>
              <w:t xml:space="preserve">September 21, 2020 and December 16, 2020 </w:t>
            </w:r>
          </w:p>
        </w:tc>
      </w:tr>
      <w:tr w:rsidR="00A24E80" w:rsidRPr="00072C3D" w14:paraId="58D0F2E2" w14:textId="77777777" w:rsidTr="00DF2124">
        <w:tc>
          <w:tcPr>
            <w:tcW w:w="3690" w:type="dxa"/>
            <w:tcBorders>
              <w:top w:val="single" w:sz="6" w:space="0" w:color="auto"/>
              <w:bottom w:val="single" w:sz="6" w:space="0" w:color="auto"/>
            </w:tcBorders>
            <w:shd w:val="clear" w:color="auto" w:fill="67AE3C"/>
            <w:vAlign w:val="center"/>
          </w:tcPr>
          <w:p w14:paraId="05B32A6D" w14:textId="245F2B87" w:rsidR="00A24E80" w:rsidRPr="00072C3D" w:rsidRDefault="00033B20" w:rsidP="002B2646">
            <w:pPr>
              <w:jc w:val="center"/>
              <w:rPr>
                <w:rFonts w:ascii="Cambria" w:hAnsi="Cambria" w:cstheme="majorBidi"/>
                <w:b/>
                <w:bCs/>
                <w:color w:val="FFFFFF" w:themeColor="background1"/>
                <w:lang w:val="en-US" w:eastAsia="en-US"/>
              </w:rPr>
            </w:pPr>
            <w:r>
              <w:rPr>
                <w:rFonts w:ascii="Cambria" w:hAnsi="Cambria" w:cstheme="majorBidi"/>
                <w:b/>
                <w:bCs/>
                <w:color w:val="FFFFFF" w:themeColor="background1"/>
                <w:lang w:val="en-US" w:eastAsia="en-US"/>
              </w:rPr>
              <w:t>Additional observations on the part of the State</w:t>
            </w:r>
            <w:r w:rsidR="00A24E80" w:rsidRPr="00072C3D">
              <w:rPr>
                <w:rFonts w:ascii="Cambria" w:hAnsi="Cambria" w:cstheme="majorBidi"/>
                <w:b/>
                <w:bCs/>
                <w:color w:val="FFFFFF" w:themeColor="background1"/>
                <w:lang w:val="en-US" w:eastAsia="en-US"/>
              </w:rPr>
              <w:t>:</w:t>
            </w:r>
          </w:p>
        </w:tc>
        <w:tc>
          <w:tcPr>
            <w:tcW w:w="5670" w:type="dxa"/>
            <w:vAlign w:val="center"/>
          </w:tcPr>
          <w:p w14:paraId="456F45AE" w14:textId="65F0E93F" w:rsidR="00A24E80" w:rsidRPr="00072C3D" w:rsidRDefault="00033B20" w:rsidP="002B2646">
            <w:pPr>
              <w:jc w:val="both"/>
              <w:rPr>
                <w:rFonts w:ascii="Cambria" w:hAnsi="Cambria" w:cstheme="majorBidi"/>
                <w:bCs/>
                <w:lang w:val="en-US" w:eastAsia="en-US"/>
              </w:rPr>
            </w:pPr>
            <w:r>
              <w:rPr>
                <w:rFonts w:ascii="Cambria" w:hAnsi="Cambria" w:cstheme="majorBidi"/>
                <w:bCs/>
                <w:lang w:val="en-US" w:eastAsia="en-US"/>
              </w:rPr>
              <w:t>May 6, 2021</w:t>
            </w:r>
          </w:p>
        </w:tc>
      </w:tr>
    </w:tbl>
    <w:p w14:paraId="6302BDAA" w14:textId="77777777" w:rsidR="00A24E80" w:rsidRPr="00072C3D" w:rsidRDefault="00A24E80" w:rsidP="002B2646">
      <w:pPr>
        <w:pBdr>
          <w:top w:val="nil"/>
          <w:left w:val="nil"/>
          <w:bottom w:val="nil"/>
          <w:right w:val="nil"/>
          <w:between w:val="nil"/>
          <w:bar w:val="nil"/>
        </w:pBdr>
        <w:spacing w:before="240" w:after="240" w:line="240" w:lineRule="auto"/>
        <w:ind w:firstLine="720"/>
        <w:jc w:val="both"/>
        <w:rPr>
          <w:rFonts w:ascii="Cambria" w:eastAsia="Arial Unicode MS" w:hAnsi="Cambria" w:cstheme="majorBidi"/>
          <w:b/>
          <w:bCs/>
          <w:kern w:val="0"/>
          <w:sz w:val="20"/>
          <w:szCs w:val="20"/>
          <w:bdr w:val="nil"/>
          <w:lang w:eastAsia="en-US"/>
        </w:rPr>
      </w:pPr>
      <w:r w:rsidRPr="00072C3D">
        <w:rPr>
          <w:rFonts w:ascii="Cambria" w:eastAsia="Arial Unicode MS" w:hAnsi="Cambria" w:cstheme="majorBidi"/>
          <w:b/>
          <w:bCs/>
          <w:kern w:val="0"/>
          <w:sz w:val="20"/>
          <w:szCs w:val="20"/>
          <w:bdr w:val="nil"/>
          <w:lang w:eastAsia="en-US"/>
        </w:rPr>
        <w:t xml:space="preserve">III. </w:t>
      </w:r>
      <w:r w:rsidRPr="00072C3D">
        <w:rPr>
          <w:rFonts w:ascii="Cambria" w:eastAsia="Arial Unicode MS" w:hAnsi="Cambria" w:cstheme="majorBidi"/>
          <w:b/>
          <w:bCs/>
          <w:kern w:val="0"/>
          <w:sz w:val="20"/>
          <w:szCs w:val="20"/>
          <w:bdr w:val="nil"/>
          <w:lang w:eastAsia="en-US"/>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A24E80" w:rsidRPr="00072C3D" w14:paraId="5DAD9867" w14:textId="77777777" w:rsidTr="00DF2124">
        <w:trPr>
          <w:cantSplit/>
        </w:trPr>
        <w:tc>
          <w:tcPr>
            <w:tcW w:w="3690" w:type="dxa"/>
            <w:tcBorders>
              <w:top w:val="single" w:sz="4" w:space="0" w:color="auto"/>
              <w:bottom w:val="single" w:sz="6" w:space="0" w:color="auto"/>
            </w:tcBorders>
            <w:shd w:val="clear" w:color="auto" w:fill="67AE3C"/>
            <w:vAlign w:val="center"/>
          </w:tcPr>
          <w:p w14:paraId="7B32FC5E" w14:textId="77777777" w:rsidR="00A24E80" w:rsidRPr="00072C3D" w:rsidRDefault="00A24E80" w:rsidP="002B2646">
            <w:pPr>
              <w:jc w:val="center"/>
              <w:rPr>
                <w:rFonts w:ascii="Cambria" w:hAnsi="Cambria" w:cstheme="majorBidi"/>
                <w:b/>
                <w:bCs/>
                <w:i/>
                <w:color w:val="FFFFFF" w:themeColor="background1"/>
                <w:lang w:val="en-US" w:eastAsia="en-US"/>
              </w:rPr>
            </w:pPr>
            <w:r w:rsidRPr="00072C3D">
              <w:rPr>
                <w:rFonts w:ascii="Cambria" w:hAnsi="Cambria" w:cstheme="majorBidi"/>
                <w:b/>
                <w:bCs/>
                <w:color w:val="FFFFFF" w:themeColor="background1"/>
                <w:lang w:val="en-US" w:eastAsia="en-US"/>
              </w:rPr>
              <w:t>Competence</w:t>
            </w:r>
            <w:r w:rsidRPr="00072C3D">
              <w:rPr>
                <w:rFonts w:ascii="Cambria" w:hAnsi="Cambria" w:cstheme="majorBidi"/>
                <w:b/>
                <w:bCs/>
                <w:i/>
                <w:color w:val="FFFFFF" w:themeColor="background1"/>
                <w:lang w:val="en-US" w:eastAsia="en-US"/>
              </w:rPr>
              <w:t xml:space="preserve"> Ratione personae:</w:t>
            </w:r>
          </w:p>
        </w:tc>
        <w:tc>
          <w:tcPr>
            <w:tcW w:w="5670" w:type="dxa"/>
            <w:vAlign w:val="center"/>
          </w:tcPr>
          <w:p w14:paraId="6E08ABA4" w14:textId="77777777" w:rsidR="00A24E80" w:rsidRPr="00072C3D" w:rsidRDefault="00A24E80" w:rsidP="002B2646">
            <w:pPr>
              <w:rPr>
                <w:rFonts w:ascii="Cambria" w:hAnsi="Cambria" w:cstheme="majorBidi"/>
                <w:bCs/>
                <w:lang w:val="en-US" w:eastAsia="en-US"/>
              </w:rPr>
            </w:pPr>
            <w:r w:rsidRPr="00072C3D">
              <w:rPr>
                <w:rFonts w:ascii="Cambria" w:hAnsi="Cambria" w:cstheme="majorBidi"/>
                <w:bCs/>
                <w:lang w:val="en-US" w:eastAsia="en-US"/>
              </w:rPr>
              <w:t>Yes</w:t>
            </w:r>
          </w:p>
        </w:tc>
      </w:tr>
      <w:tr w:rsidR="00A24E80" w:rsidRPr="00072C3D" w14:paraId="7E6E1C05" w14:textId="77777777" w:rsidTr="00DF2124">
        <w:trPr>
          <w:cantSplit/>
        </w:trPr>
        <w:tc>
          <w:tcPr>
            <w:tcW w:w="3690" w:type="dxa"/>
            <w:tcBorders>
              <w:top w:val="single" w:sz="6" w:space="0" w:color="auto"/>
              <w:bottom w:val="single" w:sz="6" w:space="0" w:color="auto"/>
            </w:tcBorders>
            <w:shd w:val="clear" w:color="auto" w:fill="67AE3C"/>
            <w:vAlign w:val="center"/>
          </w:tcPr>
          <w:p w14:paraId="67BCA1EC" w14:textId="77777777" w:rsidR="00A24E80" w:rsidRPr="00072C3D" w:rsidRDefault="00A24E80" w:rsidP="002B2646">
            <w:pPr>
              <w:jc w:val="center"/>
              <w:rPr>
                <w:rFonts w:ascii="Cambria" w:hAnsi="Cambria" w:cstheme="majorBidi"/>
                <w:b/>
                <w:bCs/>
                <w:color w:val="FFFFFF" w:themeColor="background1"/>
                <w:lang w:val="en-US" w:eastAsia="en-US"/>
              </w:rPr>
            </w:pPr>
            <w:r w:rsidRPr="00072C3D">
              <w:rPr>
                <w:rFonts w:ascii="Cambria" w:hAnsi="Cambria" w:cstheme="majorBidi"/>
                <w:b/>
                <w:bCs/>
                <w:color w:val="FFFFFF" w:themeColor="background1"/>
                <w:lang w:val="en-US" w:eastAsia="en-US"/>
              </w:rPr>
              <w:t>Competence</w:t>
            </w:r>
            <w:r w:rsidRPr="00072C3D">
              <w:rPr>
                <w:rFonts w:ascii="Cambria" w:hAnsi="Cambria" w:cstheme="majorBidi"/>
                <w:b/>
                <w:bCs/>
                <w:i/>
                <w:color w:val="FFFFFF" w:themeColor="background1"/>
                <w:lang w:val="en-US" w:eastAsia="en-US"/>
              </w:rPr>
              <w:t xml:space="preserve"> Ratione loci</w:t>
            </w:r>
            <w:r w:rsidRPr="00072C3D">
              <w:rPr>
                <w:rFonts w:ascii="Cambria" w:hAnsi="Cambria" w:cstheme="majorBidi"/>
                <w:b/>
                <w:bCs/>
                <w:color w:val="FFFFFF" w:themeColor="background1"/>
                <w:lang w:val="en-US" w:eastAsia="en-US"/>
              </w:rPr>
              <w:t>:</w:t>
            </w:r>
          </w:p>
        </w:tc>
        <w:tc>
          <w:tcPr>
            <w:tcW w:w="5670" w:type="dxa"/>
            <w:vAlign w:val="center"/>
          </w:tcPr>
          <w:p w14:paraId="4A9CDA43" w14:textId="77777777" w:rsidR="00A24E80" w:rsidRPr="00072C3D" w:rsidRDefault="00A24E80" w:rsidP="002B2646">
            <w:pPr>
              <w:rPr>
                <w:rFonts w:ascii="Cambria" w:hAnsi="Cambria" w:cstheme="majorBidi"/>
                <w:bCs/>
                <w:lang w:val="en-US" w:eastAsia="en-US"/>
              </w:rPr>
            </w:pPr>
            <w:r w:rsidRPr="00072C3D">
              <w:rPr>
                <w:rFonts w:ascii="Cambria" w:hAnsi="Cambria" w:cstheme="majorBidi"/>
                <w:bCs/>
                <w:lang w:val="en-US" w:eastAsia="en-US"/>
              </w:rPr>
              <w:t>Yes</w:t>
            </w:r>
          </w:p>
        </w:tc>
      </w:tr>
      <w:tr w:rsidR="00A24E80" w:rsidRPr="00072C3D" w14:paraId="40D20A51" w14:textId="77777777" w:rsidTr="00DF2124">
        <w:trPr>
          <w:cantSplit/>
        </w:trPr>
        <w:tc>
          <w:tcPr>
            <w:tcW w:w="3690" w:type="dxa"/>
            <w:tcBorders>
              <w:top w:val="single" w:sz="6" w:space="0" w:color="auto"/>
              <w:bottom w:val="single" w:sz="6" w:space="0" w:color="auto"/>
            </w:tcBorders>
            <w:shd w:val="clear" w:color="auto" w:fill="67AE3C"/>
            <w:vAlign w:val="center"/>
          </w:tcPr>
          <w:p w14:paraId="6135EA4B" w14:textId="77777777" w:rsidR="00A24E80" w:rsidRPr="00072C3D" w:rsidRDefault="00A24E80" w:rsidP="002B2646">
            <w:pPr>
              <w:jc w:val="center"/>
              <w:rPr>
                <w:rFonts w:ascii="Cambria" w:hAnsi="Cambria" w:cstheme="majorBidi"/>
                <w:b/>
                <w:bCs/>
                <w:color w:val="FFFFFF" w:themeColor="background1"/>
                <w:lang w:val="en-US" w:eastAsia="en-US"/>
              </w:rPr>
            </w:pPr>
            <w:r w:rsidRPr="00072C3D">
              <w:rPr>
                <w:rFonts w:ascii="Cambria" w:hAnsi="Cambria" w:cstheme="majorBidi"/>
                <w:b/>
                <w:bCs/>
                <w:color w:val="FFFFFF" w:themeColor="background1"/>
                <w:lang w:val="en-US" w:eastAsia="en-US"/>
              </w:rPr>
              <w:t>Competence</w:t>
            </w:r>
            <w:r w:rsidRPr="00072C3D">
              <w:rPr>
                <w:rFonts w:ascii="Cambria" w:hAnsi="Cambria" w:cstheme="majorBidi"/>
                <w:b/>
                <w:bCs/>
                <w:i/>
                <w:color w:val="FFFFFF" w:themeColor="background1"/>
                <w:lang w:val="en-US" w:eastAsia="en-US"/>
              </w:rPr>
              <w:t xml:space="preserve"> Ratione temporis</w:t>
            </w:r>
            <w:r w:rsidRPr="00072C3D">
              <w:rPr>
                <w:rFonts w:ascii="Cambria" w:hAnsi="Cambria" w:cstheme="majorBidi"/>
                <w:b/>
                <w:bCs/>
                <w:color w:val="FFFFFF" w:themeColor="background1"/>
                <w:lang w:val="en-US" w:eastAsia="en-US"/>
              </w:rPr>
              <w:t>:</w:t>
            </w:r>
          </w:p>
        </w:tc>
        <w:tc>
          <w:tcPr>
            <w:tcW w:w="5670" w:type="dxa"/>
            <w:vAlign w:val="center"/>
          </w:tcPr>
          <w:p w14:paraId="6C6A3076" w14:textId="77777777" w:rsidR="00A24E80" w:rsidRPr="00072C3D" w:rsidRDefault="00A24E80" w:rsidP="002B2646">
            <w:pPr>
              <w:rPr>
                <w:rFonts w:ascii="Cambria" w:hAnsi="Cambria" w:cstheme="majorBidi"/>
                <w:bCs/>
                <w:lang w:val="en-US" w:eastAsia="en-US"/>
              </w:rPr>
            </w:pPr>
            <w:r w:rsidRPr="00072C3D">
              <w:rPr>
                <w:rFonts w:ascii="Cambria" w:hAnsi="Cambria" w:cstheme="majorBidi"/>
                <w:bCs/>
                <w:lang w:val="en-US" w:eastAsia="en-US"/>
              </w:rPr>
              <w:t>Yes</w:t>
            </w:r>
          </w:p>
        </w:tc>
      </w:tr>
      <w:tr w:rsidR="00A24E80" w:rsidRPr="00072C3D" w14:paraId="015DF292" w14:textId="77777777" w:rsidTr="00DF2124">
        <w:trPr>
          <w:cantSplit/>
        </w:trPr>
        <w:tc>
          <w:tcPr>
            <w:tcW w:w="3690" w:type="dxa"/>
            <w:tcBorders>
              <w:top w:val="single" w:sz="6" w:space="0" w:color="auto"/>
              <w:bottom w:val="single" w:sz="6" w:space="0" w:color="auto"/>
            </w:tcBorders>
            <w:shd w:val="clear" w:color="auto" w:fill="67AE3C"/>
            <w:vAlign w:val="center"/>
          </w:tcPr>
          <w:p w14:paraId="54E28B2F" w14:textId="77777777" w:rsidR="00A24E80" w:rsidRPr="00072C3D" w:rsidRDefault="00A24E80" w:rsidP="002B2646">
            <w:pPr>
              <w:jc w:val="center"/>
              <w:rPr>
                <w:rFonts w:ascii="Cambria" w:hAnsi="Cambria" w:cstheme="majorBidi"/>
                <w:b/>
                <w:bCs/>
                <w:color w:val="FFFFFF" w:themeColor="background1"/>
                <w:lang w:val="en-US" w:eastAsia="en-US"/>
              </w:rPr>
            </w:pPr>
            <w:r w:rsidRPr="00072C3D">
              <w:rPr>
                <w:rFonts w:ascii="Cambria" w:hAnsi="Cambria" w:cstheme="majorBidi"/>
                <w:b/>
                <w:bCs/>
                <w:color w:val="FFFFFF" w:themeColor="background1"/>
                <w:lang w:val="en-US" w:eastAsia="en-US"/>
              </w:rPr>
              <w:t>Competence</w:t>
            </w:r>
            <w:r w:rsidRPr="00072C3D">
              <w:rPr>
                <w:rFonts w:ascii="Cambria" w:hAnsi="Cambria" w:cstheme="majorBidi"/>
                <w:b/>
                <w:bCs/>
                <w:i/>
                <w:color w:val="FFFFFF" w:themeColor="background1"/>
                <w:lang w:val="en-US" w:eastAsia="en-US"/>
              </w:rPr>
              <w:t xml:space="preserve"> Ratione materiae</w:t>
            </w:r>
            <w:r w:rsidRPr="00072C3D">
              <w:rPr>
                <w:rFonts w:ascii="Cambria" w:hAnsi="Cambria" w:cstheme="majorBidi"/>
                <w:b/>
                <w:bCs/>
                <w:color w:val="FFFFFF" w:themeColor="background1"/>
                <w:lang w:val="en-US" w:eastAsia="en-US"/>
              </w:rPr>
              <w:t>:</w:t>
            </w:r>
          </w:p>
        </w:tc>
        <w:tc>
          <w:tcPr>
            <w:tcW w:w="5670" w:type="dxa"/>
            <w:vAlign w:val="center"/>
          </w:tcPr>
          <w:p w14:paraId="1202680A" w14:textId="77777777" w:rsidR="00A24E80" w:rsidRPr="00072C3D" w:rsidRDefault="00A24E80" w:rsidP="002B2646">
            <w:pPr>
              <w:jc w:val="both"/>
              <w:rPr>
                <w:rFonts w:ascii="Cambria" w:hAnsi="Cambria" w:cstheme="majorBidi"/>
                <w:bCs/>
                <w:lang w:val="en-US" w:eastAsia="en-US"/>
              </w:rPr>
            </w:pPr>
            <w:r w:rsidRPr="00072C3D">
              <w:rPr>
                <w:rFonts w:ascii="Cambria" w:hAnsi="Cambria" w:cstheme="majorBidi"/>
                <w:bCs/>
                <w:lang w:val="en-US" w:eastAsia="en-US"/>
              </w:rPr>
              <w:t>Yes, American Convention (deposit of instrument of ratification done July 31, 1973)</w:t>
            </w:r>
          </w:p>
        </w:tc>
      </w:tr>
    </w:tbl>
    <w:p w14:paraId="0C2F8197" w14:textId="77777777" w:rsidR="00A24E80" w:rsidRPr="00072C3D" w:rsidRDefault="00A24E80" w:rsidP="002B2646">
      <w:pPr>
        <w:pBdr>
          <w:top w:val="nil"/>
          <w:left w:val="nil"/>
          <w:bottom w:val="nil"/>
          <w:right w:val="nil"/>
          <w:between w:val="nil"/>
          <w:bar w:val="nil"/>
        </w:pBdr>
        <w:spacing w:before="240" w:after="240" w:line="240" w:lineRule="auto"/>
        <w:ind w:firstLine="720"/>
        <w:jc w:val="both"/>
        <w:rPr>
          <w:rFonts w:ascii="Cambria" w:eastAsia="Arial Unicode MS" w:hAnsi="Cambria" w:cstheme="majorBidi"/>
          <w:b/>
          <w:bCs/>
          <w:kern w:val="0"/>
          <w:sz w:val="20"/>
          <w:szCs w:val="20"/>
          <w:bdr w:val="nil"/>
          <w:lang w:eastAsia="en-US"/>
        </w:rPr>
      </w:pPr>
      <w:r w:rsidRPr="00072C3D">
        <w:rPr>
          <w:rFonts w:ascii="Cambria" w:eastAsia="Arial Unicode MS" w:hAnsi="Cambria" w:cstheme="majorBidi"/>
          <w:b/>
          <w:bCs/>
          <w:kern w:val="0"/>
          <w:sz w:val="20"/>
          <w:szCs w:val="20"/>
          <w:bdr w:val="nil"/>
          <w:lang w:eastAsia="en-US"/>
        </w:rPr>
        <w:t xml:space="preserve">IV. </w:t>
      </w:r>
      <w:r w:rsidRPr="00072C3D">
        <w:rPr>
          <w:rFonts w:ascii="Cambria" w:eastAsia="Arial Unicode MS" w:hAnsi="Cambria" w:cstheme="majorBidi"/>
          <w:b/>
          <w:bCs/>
          <w:kern w:val="0"/>
          <w:sz w:val="20"/>
          <w:szCs w:val="20"/>
          <w:bdr w:val="nil"/>
          <w:lang w:eastAsia="en-US"/>
        </w:rPr>
        <w:tab/>
        <w:t xml:space="preserve">DUPLICATION OF PROCEDURES AND INTERNATIONAL </w:t>
      </w:r>
      <w:r w:rsidRPr="00072C3D">
        <w:rPr>
          <w:rFonts w:ascii="Cambria" w:eastAsia="Arial Unicode MS" w:hAnsi="Cambria" w:cstheme="majorBidi"/>
          <w:b/>
          <w:bCs/>
          <w:i/>
          <w:kern w:val="0"/>
          <w:sz w:val="20"/>
          <w:szCs w:val="20"/>
          <w:bdr w:val="nil"/>
          <w:lang w:eastAsia="en-US"/>
        </w:rPr>
        <w:t>RES JUDICATA</w:t>
      </w:r>
      <w:r w:rsidRPr="00072C3D">
        <w:rPr>
          <w:rFonts w:ascii="Cambria" w:eastAsia="Arial Unicode MS" w:hAnsi="Cambria" w:cstheme="majorBidi"/>
          <w:b/>
          <w:bCs/>
          <w:kern w:val="0"/>
          <w:sz w:val="20"/>
          <w:szCs w:val="20"/>
          <w:bdr w:val="nil"/>
          <w:lang w:eastAsia="en-US"/>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3"/>
        <w:gridCol w:w="5589"/>
      </w:tblGrid>
      <w:tr w:rsidR="00A24E80" w:rsidRPr="00072C3D" w14:paraId="2DAFE8A4" w14:textId="77777777" w:rsidTr="00DF2124">
        <w:trPr>
          <w:cantSplit/>
        </w:trPr>
        <w:tc>
          <w:tcPr>
            <w:tcW w:w="3690" w:type="dxa"/>
            <w:tcBorders>
              <w:top w:val="single" w:sz="4" w:space="0" w:color="auto"/>
              <w:bottom w:val="single" w:sz="6" w:space="0" w:color="auto"/>
            </w:tcBorders>
            <w:shd w:val="clear" w:color="auto" w:fill="67AE3C"/>
            <w:vAlign w:val="center"/>
          </w:tcPr>
          <w:p w14:paraId="158B3A54" w14:textId="77777777" w:rsidR="00A24E80" w:rsidRPr="00072C3D" w:rsidRDefault="00A24E80" w:rsidP="002B2646">
            <w:pPr>
              <w:jc w:val="center"/>
              <w:rPr>
                <w:rFonts w:ascii="Cambria" w:hAnsi="Cambria" w:cstheme="majorBidi"/>
                <w:b/>
                <w:bCs/>
                <w:color w:val="FFFFFF" w:themeColor="background1"/>
                <w:lang w:val="en-US" w:eastAsia="en-US"/>
              </w:rPr>
            </w:pPr>
            <w:r w:rsidRPr="00072C3D">
              <w:rPr>
                <w:rFonts w:ascii="Cambria" w:hAnsi="Cambria" w:cstheme="majorBidi"/>
                <w:b/>
                <w:bCs/>
                <w:color w:val="FFFFFF" w:themeColor="background1"/>
                <w:lang w:val="en-US" w:eastAsia="en-US"/>
              </w:rPr>
              <w:t xml:space="preserve">Duplication of procedures and International </w:t>
            </w:r>
            <w:r w:rsidRPr="00072C3D">
              <w:rPr>
                <w:rFonts w:ascii="Cambria" w:hAnsi="Cambria" w:cstheme="majorBidi"/>
                <w:b/>
                <w:bCs/>
                <w:i/>
                <w:color w:val="FFFFFF" w:themeColor="background1"/>
                <w:lang w:val="en-US" w:eastAsia="en-US"/>
              </w:rPr>
              <w:t>res judicata</w:t>
            </w:r>
            <w:r w:rsidRPr="00072C3D">
              <w:rPr>
                <w:rFonts w:ascii="Cambria" w:hAnsi="Cambria" w:cstheme="majorBidi"/>
                <w:b/>
                <w:bCs/>
                <w:color w:val="FFFFFF" w:themeColor="background1"/>
                <w:lang w:val="en-US" w:eastAsia="en-US"/>
              </w:rPr>
              <w:t>:</w:t>
            </w:r>
          </w:p>
        </w:tc>
        <w:tc>
          <w:tcPr>
            <w:tcW w:w="5670" w:type="dxa"/>
            <w:vAlign w:val="center"/>
          </w:tcPr>
          <w:p w14:paraId="19495789" w14:textId="77777777" w:rsidR="00A24E80" w:rsidRPr="00072C3D" w:rsidRDefault="00A24E80" w:rsidP="002B2646">
            <w:pPr>
              <w:jc w:val="both"/>
              <w:rPr>
                <w:rFonts w:ascii="Cambria" w:hAnsi="Cambria" w:cstheme="majorBidi"/>
                <w:bCs/>
                <w:lang w:val="en-US" w:eastAsia="en-US"/>
              </w:rPr>
            </w:pPr>
            <w:r w:rsidRPr="00072C3D">
              <w:rPr>
                <w:rFonts w:ascii="Cambria" w:hAnsi="Cambria" w:cstheme="majorBidi"/>
                <w:bCs/>
                <w:lang w:val="en-US" w:eastAsia="en-US"/>
              </w:rPr>
              <w:t>No</w:t>
            </w:r>
          </w:p>
        </w:tc>
      </w:tr>
      <w:tr w:rsidR="00A24E80" w:rsidRPr="00072C3D" w14:paraId="0D998CA7" w14:textId="77777777" w:rsidTr="00DF2124">
        <w:trPr>
          <w:cantSplit/>
        </w:trPr>
        <w:tc>
          <w:tcPr>
            <w:tcW w:w="3690" w:type="dxa"/>
            <w:tcBorders>
              <w:top w:val="single" w:sz="6" w:space="0" w:color="auto"/>
              <w:bottom w:val="single" w:sz="6" w:space="0" w:color="auto"/>
            </w:tcBorders>
            <w:shd w:val="clear" w:color="auto" w:fill="67AE3C"/>
            <w:vAlign w:val="center"/>
          </w:tcPr>
          <w:p w14:paraId="507CB0CF" w14:textId="77777777" w:rsidR="00A24E80" w:rsidRPr="00072C3D" w:rsidRDefault="00A24E80" w:rsidP="002B2646">
            <w:pPr>
              <w:jc w:val="center"/>
              <w:rPr>
                <w:rFonts w:ascii="Cambria" w:hAnsi="Cambria" w:cstheme="majorBidi"/>
                <w:b/>
                <w:bCs/>
                <w:i/>
                <w:color w:val="FFFFFF" w:themeColor="background1"/>
                <w:lang w:val="en-US" w:eastAsia="en-US"/>
              </w:rPr>
            </w:pPr>
            <w:r w:rsidRPr="00072C3D">
              <w:rPr>
                <w:rFonts w:ascii="Cambria" w:hAnsi="Cambria" w:cstheme="majorBidi"/>
                <w:b/>
                <w:bCs/>
                <w:color w:val="FFFFFF" w:themeColor="background1"/>
                <w:lang w:val="en-US" w:eastAsia="en-US"/>
              </w:rPr>
              <w:t>Rights declared admissible</w:t>
            </w:r>
          </w:p>
        </w:tc>
        <w:tc>
          <w:tcPr>
            <w:tcW w:w="5670" w:type="dxa"/>
            <w:vAlign w:val="center"/>
          </w:tcPr>
          <w:p w14:paraId="5A97D37F" w14:textId="376F3E62" w:rsidR="00A24E80" w:rsidRPr="00072C3D" w:rsidRDefault="00A24E80" w:rsidP="002B2646">
            <w:pPr>
              <w:jc w:val="both"/>
              <w:rPr>
                <w:rFonts w:ascii="Cambria" w:hAnsi="Cambria" w:cstheme="majorBidi"/>
                <w:bCs/>
                <w:lang w:val="en-US" w:eastAsia="en-US"/>
              </w:rPr>
            </w:pPr>
            <w:r w:rsidRPr="00CB3C0E">
              <w:rPr>
                <w:rFonts w:ascii="Cambria" w:hAnsi="Cambria" w:cstheme="majorBidi"/>
                <w:bCs/>
                <w:lang w:val="en-US" w:eastAsia="en-US"/>
              </w:rPr>
              <w:t>None</w:t>
            </w:r>
          </w:p>
        </w:tc>
      </w:tr>
      <w:tr w:rsidR="00A24E80" w:rsidRPr="00072C3D" w14:paraId="51D2F1E1" w14:textId="77777777" w:rsidTr="00DF2124">
        <w:trPr>
          <w:cantSplit/>
        </w:trPr>
        <w:tc>
          <w:tcPr>
            <w:tcW w:w="3690" w:type="dxa"/>
            <w:tcBorders>
              <w:top w:val="single" w:sz="6" w:space="0" w:color="auto"/>
              <w:bottom w:val="single" w:sz="6" w:space="0" w:color="auto"/>
            </w:tcBorders>
            <w:shd w:val="clear" w:color="auto" w:fill="67AE3C"/>
            <w:vAlign w:val="center"/>
          </w:tcPr>
          <w:p w14:paraId="56B58A27" w14:textId="77777777" w:rsidR="00A24E80" w:rsidRPr="00072C3D" w:rsidRDefault="00A24E80" w:rsidP="002B2646">
            <w:pPr>
              <w:jc w:val="center"/>
              <w:rPr>
                <w:rFonts w:ascii="Cambria" w:hAnsi="Cambria" w:cstheme="majorBidi"/>
                <w:b/>
                <w:bCs/>
                <w:color w:val="FFFFFF" w:themeColor="background1"/>
                <w:lang w:val="en-US" w:eastAsia="en-US"/>
              </w:rPr>
            </w:pPr>
            <w:r w:rsidRPr="00072C3D">
              <w:rPr>
                <w:rFonts w:ascii="Cambria" w:hAnsi="Cambria" w:cstheme="majorBidi"/>
                <w:b/>
                <w:bCs/>
                <w:color w:val="FFFFFF" w:themeColor="background1"/>
                <w:lang w:val="en-US" w:eastAsia="en-US"/>
              </w:rPr>
              <w:t>Exhaustion of domestic remedies or applicability of an exception to the rule:</w:t>
            </w:r>
          </w:p>
        </w:tc>
        <w:tc>
          <w:tcPr>
            <w:tcW w:w="5670" w:type="dxa"/>
            <w:vAlign w:val="center"/>
          </w:tcPr>
          <w:p w14:paraId="0D81EFCF" w14:textId="03126E93" w:rsidR="00A24E80" w:rsidRPr="00072C3D" w:rsidRDefault="00A24E80" w:rsidP="002B2646">
            <w:pPr>
              <w:rPr>
                <w:rFonts w:ascii="Cambria" w:hAnsi="Cambria" w:cstheme="majorBidi"/>
                <w:bCs/>
                <w:lang w:val="en-US" w:eastAsia="en-US"/>
              </w:rPr>
            </w:pPr>
            <w:r w:rsidRPr="00CB3C0E">
              <w:rPr>
                <w:rFonts w:ascii="Cambria" w:hAnsi="Cambria" w:cstheme="majorBidi"/>
                <w:bCs/>
                <w:lang w:val="en-US" w:eastAsia="en-US"/>
              </w:rPr>
              <w:t>No</w:t>
            </w:r>
            <w:r w:rsidRPr="00072C3D">
              <w:rPr>
                <w:rFonts w:ascii="Cambria" w:hAnsi="Cambria" w:cstheme="majorBidi"/>
                <w:bCs/>
                <w:lang w:val="en-US" w:eastAsia="en-US"/>
              </w:rPr>
              <w:t xml:space="preserve"> </w:t>
            </w:r>
          </w:p>
          <w:p w14:paraId="4CD9926B" w14:textId="77777777" w:rsidR="00A24E80" w:rsidRPr="00072C3D" w:rsidRDefault="00A24E80" w:rsidP="002B2646">
            <w:pPr>
              <w:rPr>
                <w:rFonts w:ascii="Cambria" w:hAnsi="Cambria" w:cstheme="majorBidi"/>
                <w:bCs/>
                <w:lang w:val="en-US" w:eastAsia="en-US"/>
              </w:rPr>
            </w:pPr>
          </w:p>
        </w:tc>
      </w:tr>
      <w:tr w:rsidR="00A24E80" w:rsidRPr="00072C3D" w14:paraId="3DCDA925" w14:textId="77777777" w:rsidTr="00DF2124">
        <w:trPr>
          <w:cantSplit/>
        </w:trPr>
        <w:tc>
          <w:tcPr>
            <w:tcW w:w="3690" w:type="dxa"/>
            <w:tcBorders>
              <w:top w:val="single" w:sz="6" w:space="0" w:color="auto"/>
              <w:bottom w:val="single" w:sz="6" w:space="0" w:color="auto"/>
            </w:tcBorders>
            <w:shd w:val="clear" w:color="auto" w:fill="67AE3C"/>
            <w:vAlign w:val="center"/>
          </w:tcPr>
          <w:p w14:paraId="24962ADE" w14:textId="77777777" w:rsidR="00A24E80" w:rsidRPr="00072C3D" w:rsidRDefault="00A24E80" w:rsidP="002B2646">
            <w:pPr>
              <w:jc w:val="center"/>
              <w:rPr>
                <w:rFonts w:ascii="Cambria" w:hAnsi="Cambria" w:cstheme="majorBidi"/>
                <w:b/>
                <w:bCs/>
                <w:color w:val="FFFFFF" w:themeColor="background1"/>
                <w:lang w:val="en-US" w:eastAsia="en-US"/>
              </w:rPr>
            </w:pPr>
            <w:r w:rsidRPr="00072C3D">
              <w:rPr>
                <w:rFonts w:ascii="Cambria" w:hAnsi="Cambria" w:cstheme="majorBidi"/>
                <w:b/>
                <w:bCs/>
                <w:color w:val="FFFFFF" w:themeColor="background1"/>
                <w:lang w:val="en-US" w:eastAsia="en-US"/>
              </w:rPr>
              <w:t>Timeliness of the petition:</w:t>
            </w:r>
          </w:p>
        </w:tc>
        <w:tc>
          <w:tcPr>
            <w:tcW w:w="5670" w:type="dxa"/>
            <w:vAlign w:val="center"/>
          </w:tcPr>
          <w:p w14:paraId="2FF7503B" w14:textId="7528C089" w:rsidR="00A24E80" w:rsidRPr="00072C3D" w:rsidRDefault="00A24E80" w:rsidP="002B2646">
            <w:pPr>
              <w:rPr>
                <w:rFonts w:ascii="Cambria" w:hAnsi="Cambria" w:cstheme="majorBidi"/>
                <w:bCs/>
                <w:lang w:val="en-US" w:eastAsia="en-US"/>
              </w:rPr>
            </w:pPr>
            <w:r w:rsidRPr="00CB3C0E">
              <w:rPr>
                <w:rFonts w:ascii="Cambria" w:hAnsi="Cambria" w:cstheme="majorBidi"/>
                <w:bCs/>
                <w:lang w:val="en-US" w:eastAsia="en-US"/>
              </w:rPr>
              <w:t>No</w:t>
            </w:r>
          </w:p>
        </w:tc>
      </w:tr>
    </w:tbl>
    <w:p w14:paraId="15DED5BF" w14:textId="77777777" w:rsidR="00A24E80" w:rsidRPr="00072C3D" w:rsidRDefault="00A24E80" w:rsidP="002B2646">
      <w:pPr>
        <w:pBdr>
          <w:top w:val="nil"/>
          <w:left w:val="nil"/>
          <w:bottom w:val="nil"/>
          <w:right w:val="nil"/>
          <w:between w:val="nil"/>
          <w:bar w:val="nil"/>
        </w:pBdr>
        <w:spacing w:after="0" w:line="240" w:lineRule="auto"/>
        <w:rPr>
          <w:rFonts w:ascii="Cambria" w:eastAsia="Arial Unicode MS" w:hAnsi="Cambria" w:cs="Times New Roman"/>
          <w:kern w:val="0"/>
          <w:bdr w:val="nil"/>
          <w:lang w:eastAsia="en-US"/>
        </w:rPr>
      </w:pPr>
    </w:p>
    <w:p w14:paraId="3C77BF82" w14:textId="77777777" w:rsidR="003A491E" w:rsidRDefault="003A491E" w:rsidP="002B2646"/>
    <w:p w14:paraId="23899BDF" w14:textId="13C92ACE" w:rsidR="00033B20" w:rsidRPr="00033B20" w:rsidRDefault="00033B20" w:rsidP="002B2646">
      <w:pPr>
        <w:spacing w:after="240"/>
        <w:ind w:left="720"/>
        <w:jc w:val="both"/>
        <w:rPr>
          <w:rFonts w:ascii="Cambria" w:hAnsi="Cambria"/>
          <w:b/>
          <w:sz w:val="20"/>
          <w:szCs w:val="20"/>
        </w:rPr>
      </w:pPr>
      <w:r w:rsidRPr="00033B20">
        <w:rPr>
          <w:rFonts w:ascii="Cambria" w:hAnsi="Cambria"/>
          <w:b/>
          <w:sz w:val="20"/>
          <w:szCs w:val="20"/>
        </w:rPr>
        <w:lastRenderedPageBreak/>
        <w:t xml:space="preserve">V. </w:t>
      </w:r>
      <w:r w:rsidRPr="00033B20">
        <w:rPr>
          <w:rFonts w:ascii="Cambria" w:hAnsi="Cambria"/>
          <w:b/>
          <w:sz w:val="20"/>
          <w:szCs w:val="20"/>
        </w:rPr>
        <w:tab/>
        <w:t>THE PARTIES’ POSITION</w:t>
      </w:r>
      <w:r>
        <w:rPr>
          <w:rFonts w:ascii="Cambria" w:hAnsi="Cambria"/>
          <w:b/>
          <w:sz w:val="20"/>
          <w:szCs w:val="20"/>
        </w:rPr>
        <w:t>S</w:t>
      </w:r>
      <w:r w:rsidRPr="00033B20">
        <w:rPr>
          <w:rFonts w:ascii="Cambria" w:hAnsi="Cambria"/>
          <w:b/>
          <w:sz w:val="20"/>
          <w:szCs w:val="20"/>
        </w:rPr>
        <w:t xml:space="preserve"> </w:t>
      </w:r>
    </w:p>
    <w:p w14:paraId="712D8A8F" w14:textId="77777777" w:rsidR="00033B20" w:rsidRPr="00033B20" w:rsidRDefault="00033B20" w:rsidP="002B2646">
      <w:pPr>
        <w:autoSpaceDE w:val="0"/>
        <w:autoSpaceDN w:val="0"/>
        <w:spacing w:after="240"/>
        <w:ind w:firstLine="720"/>
        <w:jc w:val="both"/>
        <w:rPr>
          <w:rFonts w:ascii="Cambria" w:hAnsi="Cambria"/>
          <w:i/>
          <w:iCs/>
          <w:sz w:val="20"/>
          <w:szCs w:val="20"/>
        </w:rPr>
      </w:pPr>
      <w:r w:rsidRPr="00033B20">
        <w:rPr>
          <w:rFonts w:ascii="Cambria" w:hAnsi="Cambria"/>
          <w:i/>
          <w:iCs/>
          <w:sz w:val="20"/>
          <w:szCs w:val="20"/>
        </w:rPr>
        <w:t xml:space="preserve">Petitioner </w:t>
      </w:r>
    </w:p>
    <w:p w14:paraId="7B2973E6" w14:textId="77777777" w:rsidR="00033B20" w:rsidRPr="00033B20" w:rsidRDefault="00033B20" w:rsidP="002B2646">
      <w:pPr>
        <w:pStyle w:val="ListParagraph"/>
        <w:numPr>
          <w:ilvl w:val="0"/>
          <w:numId w:val="1"/>
        </w:numPr>
        <w:pBdr>
          <w:top w:val="nil"/>
          <w:left w:val="nil"/>
          <w:bottom w:val="nil"/>
          <w:right w:val="nil"/>
          <w:between w:val="nil"/>
          <w:bar w:val="nil"/>
        </w:pBdr>
        <w:spacing w:after="240" w:line="240" w:lineRule="auto"/>
        <w:ind w:left="0" w:firstLine="720"/>
        <w:contextualSpacing w:val="0"/>
        <w:jc w:val="both"/>
        <w:rPr>
          <w:rFonts w:ascii="Cambria" w:hAnsi="Cambria"/>
          <w:sz w:val="20"/>
          <w:szCs w:val="20"/>
        </w:rPr>
      </w:pPr>
      <w:r w:rsidRPr="00033B20">
        <w:rPr>
          <w:rFonts w:ascii="Cambria" w:hAnsi="Cambria"/>
          <w:sz w:val="20"/>
          <w:szCs w:val="20"/>
        </w:rPr>
        <w:t xml:space="preserve">The petitioner and alleged victim, a U.S. citizen who was residing in Colombia, alleged he was arrested without a judicial warrant, kept from communicating with the consulate, and arbitrarily expelled from the country. </w:t>
      </w:r>
    </w:p>
    <w:p w14:paraId="00504AC0" w14:textId="77777777" w:rsidR="00033B20" w:rsidRPr="00033B20" w:rsidRDefault="00033B20" w:rsidP="002B2646">
      <w:pPr>
        <w:pStyle w:val="ListParagraph"/>
        <w:numPr>
          <w:ilvl w:val="0"/>
          <w:numId w:val="1"/>
        </w:numPr>
        <w:pBdr>
          <w:top w:val="nil"/>
          <w:left w:val="nil"/>
          <w:bottom w:val="nil"/>
          <w:right w:val="nil"/>
          <w:between w:val="nil"/>
          <w:bar w:val="nil"/>
        </w:pBdr>
        <w:spacing w:after="240" w:line="240" w:lineRule="auto"/>
        <w:ind w:left="0" w:firstLine="720"/>
        <w:contextualSpacing w:val="0"/>
        <w:jc w:val="both"/>
        <w:rPr>
          <w:rFonts w:ascii="Cambria" w:hAnsi="Cambria"/>
          <w:sz w:val="20"/>
          <w:szCs w:val="20"/>
        </w:rPr>
      </w:pPr>
      <w:r w:rsidRPr="00033B20">
        <w:rPr>
          <w:rFonts w:ascii="Cambria" w:hAnsi="Cambria"/>
          <w:sz w:val="20"/>
          <w:szCs w:val="20"/>
        </w:rPr>
        <w:t xml:space="preserve">The petitioner alleged that he lived in Colombia continuously, without having left the country, from February 11, 2003, and was granted a resident visa with no expiration date on June 28, 2006. He was intending to apply for Colombian nationality. Nonetheless, on Monday, April 28, 2014, at approximately 9:00 AM, he was at his home where he had lived for two weeks in the town of Taganga, Santa Marta, with the iron gate door closed, when two officials came from the immigration agency Migración Colombia and four officers from the Taganga police. </w:t>
      </w:r>
    </w:p>
    <w:p w14:paraId="23505589" w14:textId="1CE789E5" w:rsidR="00033B20" w:rsidRPr="00033B20" w:rsidRDefault="00033B20" w:rsidP="002B2646">
      <w:pPr>
        <w:pStyle w:val="ListParagraph"/>
        <w:numPr>
          <w:ilvl w:val="0"/>
          <w:numId w:val="1"/>
        </w:numPr>
        <w:pBdr>
          <w:top w:val="nil"/>
          <w:left w:val="nil"/>
          <w:bottom w:val="nil"/>
          <w:right w:val="nil"/>
          <w:between w:val="nil"/>
          <w:bar w:val="nil"/>
        </w:pBdr>
        <w:spacing w:after="240" w:line="240" w:lineRule="auto"/>
        <w:ind w:left="0" w:firstLine="720"/>
        <w:contextualSpacing w:val="0"/>
        <w:jc w:val="both"/>
        <w:rPr>
          <w:rFonts w:ascii="Cambria" w:hAnsi="Cambria"/>
          <w:sz w:val="20"/>
          <w:szCs w:val="20"/>
        </w:rPr>
      </w:pPr>
      <w:r w:rsidRPr="00033B20">
        <w:rPr>
          <w:rFonts w:ascii="Cambria" w:hAnsi="Cambria"/>
          <w:sz w:val="20"/>
          <w:szCs w:val="20"/>
        </w:rPr>
        <w:t xml:space="preserve">According to his account, the immigration officer informed him that he had to go with them to the office to read a document on the computer. The petitioner requested that they print the document and give him a copy. The officer said that it wasn’t possible, and that he should accompany them. Seconds later, without an arrest warrant, a search warrant, or his consent, the officers entered his house and removed him by force, barefoot, and wearing only pants. The officers searched his home, apparently looking for identification papers. They left the house with his current U.S. passport and three other passports, all expired. They </w:t>
      </w:r>
      <w:r w:rsidR="00365B02">
        <w:rPr>
          <w:rFonts w:ascii="Cambria" w:hAnsi="Cambria"/>
          <w:sz w:val="20"/>
          <w:szCs w:val="20"/>
        </w:rPr>
        <w:t>gav</w:t>
      </w:r>
      <w:r w:rsidRPr="00033B20">
        <w:rPr>
          <w:rFonts w:ascii="Cambria" w:hAnsi="Cambria"/>
          <w:sz w:val="20"/>
          <w:szCs w:val="20"/>
        </w:rPr>
        <w:t xml:space="preserve">e him a pair of shoes and a shirt taken from his house. He was transferred in the back of a car of the immigration officers, where he was threatened with an electronic pistol and handcuffed. The immigration and police officers took him to the office of Migración Colombia in Santa Marta. </w:t>
      </w:r>
    </w:p>
    <w:p w14:paraId="5BEE1B92" w14:textId="703D2310" w:rsidR="00033B20" w:rsidRPr="00033B20" w:rsidRDefault="00033B20" w:rsidP="002B2646">
      <w:pPr>
        <w:pStyle w:val="ListParagraph"/>
        <w:numPr>
          <w:ilvl w:val="0"/>
          <w:numId w:val="1"/>
        </w:numPr>
        <w:pBdr>
          <w:top w:val="nil"/>
          <w:left w:val="nil"/>
          <w:bottom w:val="nil"/>
          <w:right w:val="nil"/>
          <w:between w:val="nil"/>
          <w:bar w:val="nil"/>
        </w:pBdr>
        <w:spacing w:after="240" w:line="240" w:lineRule="auto"/>
        <w:ind w:left="0" w:firstLine="720"/>
        <w:contextualSpacing w:val="0"/>
        <w:jc w:val="both"/>
        <w:rPr>
          <w:rFonts w:ascii="Cambria" w:hAnsi="Cambria"/>
          <w:sz w:val="20"/>
          <w:szCs w:val="20"/>
        </w:rPr>
      </w:pPr>
      <w:r w:rsidRPr="00033B20">
        <w:rPr>
          <w:rFonts w:ascii="Cambria" w:hAnsi="Cambria"/>
          <w:sz w:val="20"/>
          <w:szCs w:val="20"/>
        </w:rPr>
        <w:t xml:space="preserve">The petitioner alleges that he asked to make a phone call to the consular agent of the United States in Barranquilla, whose number he had in his wallet. Nonetheless, the officer informed him that he had already notified U.S. authorities by email, and did not allow him to make any phone call. He further alleges that he was held incommunicado for 23 hours. They asked him for his ID card and presented him with a seven-page document, asking him to sign the last page. The document, Resolution No. 19160 of April 7, 2014, contained complaints and accusations of which the petitioner had no knowledge, and in relation to which he had no opportunity to defend himself. A public defender was present while the petitioner once again asked to place a call to the consulate, yet the request was denied. </w:t>
      </w:r>
    </w:p>
    <w:p w14:paraId="58A49E1C" w14:textId="65D8C903" w:rsidR="00033B20" w:rsidRPr="00033B20" w:rsidRDefault="00033B20" w:rsidP="002B2646">
      <w:pPr>
        <w:pStyle w:val="ListParagraph"/>
        <w:numPr>
          <w:ilvl w:val="0"/>
          <w:numId w:val="1"/>
        </w:numPr>
        <w:pBdr>
          <w:top w:val="nil"/>
          <w:left w:val="nil"/>
          <w:bottom w:val="nil"/>
          <w:right w:val="nil"/>
          <w:between w:val="nil"/>
          <w:bar w:val="nil"/>
        </w:pBdr>
        <w:spacing w:after="240" w:line="240" w:lineRule="auto"/>
        <w:ind w:left="0" w:firstLine="720"/>
        <w:contextualSpacing w:val="0"/>
        <w:jc w:val="both"/>
        <w:rPr>
          <w:rFonts w:ascii="Cambria" w:hAnsi="Cambria"/>
          <w:sz w:val="20"/>
          <w:szCs w:val="20"/>
        </w:rPr>
      </w:pPr>
      <w:r w:rsidRPr="00033B20">
        <w:rPr>
          <w:rFonts w:ascii="Cambria" w:hAnsi="Cambria"/>
          <w:sz w:val="20"/>
          <w:szCs w:val="20"/>
        </w:rPr>
        <w:t xml:space="preserve">At 4:30 PM he was taken to the Santa Marta airport and forced to board Avianca flight #9767 to Bogotá. During the flight he asked to borrow a cell phone and called the U.S. consular agent, who promised to contact the U.S. embassy. In Bogotá, Migración Colombia placed him in solitary confinement at the airport and subsequently </w:t>
      </w:r>
      <w:r w:rsidR="00365B02">
        <w:rPr>
          <w:rFonts w:ascii="Cambria" w:hAnsi="Cambria"/>
          <w:sz w:val="20"/>
          <w:szCs w:val="20"/>
        </w:rPr>
        <w:t xml:space="preserve">put him </w:t>
      </w:r>
      <w:r w:rsidRPr="00033B20">
        <w:rPr>
          <w:rFonts w:ascii="Cambria" w:hAnsi="Cambria"/>
          <w:sz w:val="20"/>
          <w:szCs w:val="20"/>
        </w:rPr>
        <w:t xml:space="preserve">onto another flight, to Miami. They did not return two of his expired passports. He states that he had applied for asylum, but once again he was held in </w:t>
      </w:r>
      <w:r w:rsidR="0077148F">
        <w:rPr>
          <w:rFonts w:ascii="Cambria" w:hAnsi="Cambria"/>
          <w:sz w:val="20"/>
          <w:szCs w:val="20"/>
        </w:rPr>
        <w:t xml:space="preserve">incommunicado detention </w:t>
      </w:r>
      <w:r w:rsidR="00365B02">
        <w:rPr>
          <w:rFonts w:ascii="Cambria" w:hAnsi="Cambria"/>
          <w:sz w:val="20"/>
          <w:szCs w:val="20"/>
        </w:rPr>
        <w:t xml:space="preserve">and </w:t>
      </w:r>
      <w:r w:rsidRPr="00033B20">
        <w:rPr>
          <w:rFonts w:ascii="Cambria" w:hAnsi="Cambria"/>
          <w:sz w:val="20"/>
          <w:szCs w:val="20"/>
        </w:rPr>
        <w:t xml:space="preserve">he was forced to board the flight to Miami, where he arrived without money or belongings. </w:t>
      </w:r>
    </w:p>
    <w:p w14:paraId="3E526B7E" w14:textId="77777777" w:rsidR="00033B20" w:rsidRPr="00033B20" w:rsidRDefault="00033B20" w:rsidP="002B2646">
      <w:pPr>
        <w:pStyle w:val="ListParagraph"/>
        <w:numPr>
          <w:ilvl w:val="0"/>
          <w:numId w:val="1"/>
        </w:numPr>
        <w:pBdr>
          <w:top w:val="nil"/>
          <w:left w:val="nil"/>
          <w:bottom w:val="nil"/>
          <w:right w:val="nil"/>
          <w:between w:val="nil"/>
          <w:bar w:val="nil"/>
        </w:pBdr>
        <w:spacing w:after="240" w:line="240" w:lineRule="auto"/>
        <w:ind w:left="0" w:firstLine="720"/>
        <w:contextualSpacing w:val="0"/>
        <w:jc w:val="both"/>
        <w:rPr>
          <w:rFonts w:ascii="Cambria" w:hAnsi="Cambria"/>
          <w:sz w:val="20"/>
          <w:szCs w:val="20"/>
        </w:rPr>
      </w:pPr>
      <w:r w:rsidRPr="00033B20">
        <w:rPr>
          <w:rFonts w:ascii="Cambria" w:hAnsi="Cambria"/>
          <w:sz w:val="20"/>
          <w:szCs w:val="20"/>
        </w:rPr>
        <w:t xml:space="preserve">As regards the judicial remedies aimed at resolving the facts alleged, the petitioner argues in generic terms that it was not possible to exhaust them because there are no domestic laws that ensure due process of law nor was there a judicial investigation. </w:t>
      </w:r>
    </w:p>
    <w:p w14:paraId="7AF29A02" w14:textId="48BA686D" w:rsidR="00033B20" w:rsidRPr="00033B20" w:rsidRDefault="00033B20" w:rsidP="002B2646">
      <w:pPr>
        <w:pStyle w:val="ListParagraph"/>
        <w:numPr>
          <w:ilvl w:val="0"/>
          <w:numId w:val="1"/>
        </w:numPr>
        <w:pBdr>
          <w:top w:val="nil"/>
          <w:left w:val="nil"/>
          <w:bottom w:val="nil"/>
          <w:right w:val="nil"/>
          <w:between w:val="nil"/>
          <w:bar w:val="nil"/>
        </w:pBdr>
        <w:spacing w:after="240" w:line="240" w:lineRule="auto"/>
        <w:ind w:left="0" w:firstLine="720"/>
        <w:contextualSpacing w:val="0"/>
        <w:jc w:val="both"/>
        <w:rPr>
          <w:rFonts w:ascii="Cambria" w:hAnsi="Cambria"/>
          <w:sz w:val="20"/>
          <w:szCs w:val="20"/>
        </w:rPr>
      </w:pPr>
      <w:r w:rsidRPr="00033B20">
        <w:rPr>
          <w:rFonts w:ascii="Cambria" w:hAnsi="Cambria"/>
          <w:sz w:val="20"/>
          <w:szCs w:val="20"/>
        </w:rPr>
        <w:t xml:space="preserve">With respect to the processing of the petition before the IACHR, in his additional observations the petitioner argues that he filed the petition with the IACHR on October 15, 2014, within the time for filing. And he further argues that the State did not comply with the regulatory deadline of three months for filing its first response after the petition was forwarded to it. </w:t>
      </w:r>
    </w:p>
    <w:p w14:paraId="480B4BBE" w14:textId="77777777" w:rsidR="00033B20" w:rsidRDefault="00033B20" w:rsidP="002B2646">
      <w:pPr>
        <w:pStyle w:val="ListParagraph"/>
        <w:spacing w:after="240"/>
        <w:ind w:left="0" w:firstLine="720"/>
        <w:jc w:val="both"/>
        <w:rPr>
          <w:rFonts w:ascii="Cambria" w:hAnsi="Cambria"/>
          <w:i/>
          <w:iCs/>
          <w:sz w:val="20"/>
          <w:szCs w:val="20"/>
        </w:rPr>
      </w:pPr>
      <w:r w:rsidRPr="00033B20">
        <w:rPr>
          <w:rFonts w:ascii="Cambria" w:hAnsi="Cambria"/>
          <w:i/>
          <w:iCs/>
          <w:sz w:val="20"/>
          <w:szCs w:val="20"/>
        </w:rPr>
        <w:t xml:space="preserve">The Colombian State </w:t>
      </w:r>
    </w:p>
    <w:p w14:paraId="7C025EB3" w14:textId="77777777" w:rsidR="00704B28" w:rsidRPr="00033B20" w:rsidRDefault="00704B28" w:rsidP="002B2646">
      <w:pPr>
        <w:pStyle w:val="ListParagraph"/>
        <w:spacing w:after="240"/>
        <w:ind w:left="0" w:firstLine="720"/>
        <w:jc w:val="both"/>
        <w:rPr>
          <w:rFonts w:ascii="Cambria" w:hAnsi="Cambria"/>
          <w:i/>
          <w:iCs/>
          <w:sz w:val="20"/>
          <w:szCs w:val="20"/>
        </w:rPr>
      </w:pPr>
    </w:p>
    <w:p w14:paraId="74658C2A" w14:textId="40CE2B15" w:rsidR="00033B20" w:rsidRPr="00033B20" w:rsidRDefault="00033B20" w:rsidP="002B2646">
      <w:pPr>
        <w:pStyle w:val="ListParagraph"/>
        <w:numPr>
          <w:ilvl w:val="0"/>
          <w:numId w:val="1"/>
        </w:numPr>
        <w:pBdr>
          <w:top w:val="nil"/>
          <w:left w:val="nil"/>
          <w:bottom w:val="nil"/>
          <w:right w:val="nil"/>
          <w:between w:val="nil"/>
          <w:bar w:val="nil"/>
        </w:pBdr>
        <w:spacing w:after="240" w:line="240" w:lineRule="auto"/>
        <w:ind w:left="0" w:firstLine="720"/>
        <w:contextualSpacing w:val="0"/>
        <w:jc w:val="both"/>
        <w:rPr>
          <w:rFonts w:ascii="Cambria" w:hAnsi="Cambria"/>
          <w:sz w:val="20"/>
          <w:szCs w:val="20"/>
        </w:rPr>
      </w:pPr>
      <w:r w:rsidRPr="00033B20">
        <w:rPr>
          <w:rFonts w:ascii="Cambria" w:hAnsi="Cambria"/>
          <w:sz w:val="20"/>
          <w:szCs w:val="20"/>
        </w:rPr>
        <w:t xml:space="preserve">The State filed a detailed account of the administrative process that led to the expulsion of U.S. citizen James Colin McNaughton from Colombia. The expulsion was based on his aggressive and erratic behavior </w:t>
      </w:r>
      <w:r w:rsidRPr="00033B20">
        <w:rPr>
          <w:rFonts w:ascii="Cambria" w:hAnsi="Cambria"/>
          <w:sz w:val="20"/>
          <w:szCs w:val="20"/>
        </w:rPr>
        <w:lastRenderedPageBreak/>
        <w:t xml:space="preserve">towards the members of the community of Taganga, Santa Marta. According to the State, the petitioner exhibited aggressive conduct, made constant threats to many persons, and habitually consumed hallucinogenic substances. These actions had a serious negative impact on the peaceful coexistence, tranquility, and security of the inhabitants of the region, disturbing public order and putting at risk his life and the lives of </w:t>
      </w:r>
      <w:r w:rsidR="00BF4E71">
        <w:rPr>
          <w:rFonts w:ascii="Cambria" w:hAnsi="Cambria"/>
          <w:sz w:val="20"/>
          <w:szCs w:val="20"/>
        </w:rPr>
        <w:t xml:space="preserve">the </w:t>
      </w:r>
      <w:r w:rsidRPr="00033B20">
        <w:rPr>
          <w:rFonts w:ascii="Cambria" w:hAnsi="Cambria"/>
          <w:sz w:val="20"/>
          <w:szCs w:val="20"/>
        </w:rPr>
        <w:t>other</w:t>
      </w:r>
      <w:r w:rsidR="00BF4E71">
        <w:rPr>
          <w:rFonts w:ascii="Cambria" w:hAnsi="Cambria"/>
          <w:sz w:val="20"/>
          <w:szCs w:val="20"/>
        </w:rPr>
        <w:t>s</w:t>
      </w:r>
      <w:r w:rsidRPr="00033B20">
        <w:rPr>
          <w:rFonts w:ascii="Cambria" w:hAnsi="Cambria"/>
          <w:sz w:val="20"/>
          <w:szCs w:val="20"/>
        </w:rPr>
        <w:t xml:space="preserve">. In response, Migración Colombia initiated an administrative procedure in keeping with Decree 4000 of 2004 and Decree 834 of 2013. This process culminated in Resolution No. 19160 of April 7, 2014, which ordered the expulsion of Mr. McNaughton from Colombian territory. </w:t>
      </w:r>
    </w:p>
    <w:p w14:paraId="76BF26C8" w14:textId="2C2E53F6" w:rsidR="00033B20" w:rsidRPr="00033B20" w:rsidRDefault="00033B20" w:rsidP="002B2646">
      <w:pPr>
        <w:pStyle w:val="ListParagraph"/>
        <w:numPr>
          <w:ilvl w:val="0"/>
          <w:numId w:val="1"/>
        </w:numPr>
        <w:pBdr>
          <w:top w:val="nil"/>
          <w:left w:val="nil"/>
          <w:bottom w:val="nil"/>
          <w:right w:val="nil"/>
          <w:between w:val="nil"/>
          <w:bar w:val="nil"/>
        </w:pBdr>
        <w:spacing w:after="240" w:line="240" w:lineRule="auto"/>
        <w:ind w:left="0" w:firstLine="720"/>
        <w:contextualSpacing w:val="0"/>
        <w:jc w:val="both"/>
        <w:rPr>
          <w:rFonts w:ascii="Cambria" w:hAnsi="Cambria"/>
          <w:sz w:val="20"/>
          <w:szCs w:val="20"/>
        </w:rPr>
      </w:pPr>
      <w:r w:rsidRPr="00033B20">
        <w:rPr>
          <w:rFonts w:ascii="Cambria" w:hAnsi="Cambria"/>
          <w:sz w:val="20"/>
          <w:szCs w:val="20"/>
        </w:rPr>
        <w:t xml:space="preserve">The State emphasizes that the functions of the Special Administrative Unit Migración Colombia (UAEMC) are based on the principle of protection of the State and in its power to guarantee that both nationals and foreigners comply with constitutional and statutory provisions in the national territory. Migración Colombia states that in all migration-related administrative proceedings due process </w:t>
      </w:r>
      <w:r w:rsidR="00173FF8">
        <w:rPr>
          <w:rFonts w:ascii="Cambria" w:hAnsi="Cambria"/>
          <w:sz w:val="20"/>
          <w:szCs w:val="20"/>
        </w:rPr>
        <w:t xml:space="preserve">is </w:t>
      </w:r>
      <w:r w:rsidRPr="00033B20">
        <w:rPr>
          <w:rFonts w:ascii="Cambria" w:hAnsi="Cambria"/>
          <w:sz w:val="20"/>
          <w:szCs w:val="20"/>
        </w:rPr>
        <w:t xml:space="preserve">respected and guaranteed, </w:t>
      </w:r>
      <w:r w:rsidR="00173FF8">
        <w:rPr>
          <w:rFonts w:ascii="Cambria" w:hAnsi="Cambria"/>
          <w:sz w:val="20"/>
          <w:szCs w:val="20"/>
        </w:rPr>
        <w:t xml:space="preserve">along with </w:t>
      </w:r>
      <w:r w:rsidRPr="00033B20">
        <w:rPr>
          <w:rFonts w:ascii="Cambria" w:hAnsi="Cambria"/>
          <w:sz w:val="20"/>
          <w:szCs w:val="20"/>
        </w:rPr>
        <w:t>foreigners’ rights to defense and to respond to the arguments of the State, strictly abiding by the laws regulat</w:t>
      </w:r>
      <w:r w:rsidR="000D5027">
        <w:rPr>
          <w:rFonts w:ascii="Cambria" w:hAnsi="Cambria"/>
          <w:sz w:val="20"/>
          <w:szCs w:val="20"/>
        </w:rPr>
        <w:t>ing</w:t>
      </w:r>
      <w:r w:rsidRPr="00033B20">
        <w:rPr>
          <w:rFonts w:ascii="Cambria" w:hAnsi="Cambria"/>
          <w:sz w:val="20"/>
          <w:szCs w:val="20"/>
        </w:rPr>
        <w:t xml:space="preserve"> that power. </w:t>
      </w:r>
    </w:p>
    <w:p w14:paraId="1E3FCCDB" w14:textId="3AD5B4EA" w:rsidR="00033B20" w:rsidRPr="00033B20" w:rsidRDefault="00033B20" w:rsidP="002B2646">
      <w:pPr>
        <w:pStyle w:val="ListParagraph"/>
        <w:numPr>
          <w:ilvl w:val="0"/>
          <w:numId w:val="1"/>
        </w:numPr>
        <w:pBdr>
          <w:top w:val="nil"/>
          <w:left w:val="nil"/>
          <w:bottom w:val="nil"/>
          <w:right w:val="nil"/>
          <w:between w:val="nil"/>
          <w:bar w:val="nil"/>
        </w:pBdr>
        <w:spacing w:after="240" w:line="240" w:lineRule="auto"/>
        <w:ind w:left="0" w:firstLine="720"/>
        <w:contextualSpacing w:val="0"/>
        <w:jc w:val="both"/>
        <w:rPr>
          <w:rFonts w:ascii="Cambria" w:hAnsi="Cambria"/>
          <w:sz w:val="20"/>
          <w:szCs w:val="20"/>
        </w:rPr>
      </w:pPr>
      <w:r w:rsidRPr="00033B20">
        <w:rPr>
          <w:rFonts w:ascii="Cambria" w:hAnsi="Cambria"/>
          <w:sz w:val="20"/>
          <w:szCs w:val="20"/>
        </w:rPr>
        <w:t xml:space="preserve">The State argues that according to Article 100 of the 1991 Constitution, equality of rights between nationals and foreigners is not absolute and may be limited by the Constitution and statute law. The Constitutional Court, in Judgment SU-677 of 2017, affirmed that the recognition of foreigners’ rights also gives rise to the requirements to comply with the Constitution and </w:t>
      </w:r>
      <w:r w:rsidR="00541665">
        <w:rPr>
          <w:rFonts w:ascii="Cambria" w:hAnsi="Cambria"/>
          <w:sz w:val="20"/>
          <w:szCs w:val="20"/>
        </w:rPr>
        <w:t xml:space="preserve">Colombian </w:t>
      </w:r>
      <w:r w:rsidRPr="00033B20">
        <w:rPr>
          <w:rFonts w:ascii="Cambria" w:hAnsi="Cambria"/>
          <w:sz w:val="20"/>
          <w:szCs w:val="20"/>
        </w:rPr>
        <w:t>statute law. In this context, any administrative act that determines the expulsion of a foreigner must meet with the standard of “sufficient reason” (</w:t>
      </w:r>
      <w:r w:rsidR="00541665">
        <w:rPr>
          <w:rFonts w:ascii="Cambria" w:hAnsi="Cambria"/>
          <w:sz w:val="20"/>
          <w:szCs w:val="20"/>
        </w:rPr>
        <w:t>“</w:t>
      </w:r>
      <w:r w:rsidRPr="00541665">
        <w:rPr>
          <w:rFonts w:ascii="Cambria" w:hAnsi="Cambria"/>
          <w:i/>
          <w:iCs/>
          <w:sz w:val="20"/>
          <w:szCs w:val="20"/>
        </w:rPr>
        <w:t>razón suficiente</w:t>
      </w:r>
      <w:r w:rsidR="00541665">
        <w:rPr>
          <w:rFonts w:ascii="Cambria" w:hAnsi="Cambria"/>
          <w:sz w:val="20"/>
          <w:szCs w:val="20"/>
        </w:rPr>
        <w:t>”</w:t>
      </w:r>
      <w:r w:rsidRPr="00033B20">
        <w:rPr>
          <w:rFonts w:ascii="Cambria" w:hAnsi="Cambria"/>
          <w:sz w:val="20"/>
          <w:szCs w:val="20"/>
        </w:rPr>
        <w:t xml:space="preserve">) that is evidenced by </w:t>
      </w:r>
      <w:r w:rsidR="0080137C">
        <w:rPr>
          <w:rFonts w:ascii="Cambria" w:hAnsi="Cambria"/>
          <w:sz w:val="20"/>
          <w:szCs w:val="20"/>
        </w:rPr>
        <w:t xml:space="preserve">breaching a state </w:t>
      </w:r>
      <w:r w:rsidR="0077148F">
        <w:rPr>
          <w:rFonts w:ascii="Cambria" w:hAnsi="Cambria"/>
          <w:sz w:val="20"/>
          <w:szCs w:val="20"/>
        </w:rPr>
        <w:t xml:space="preserve">mandate. </w:t>
      </w:r>
      <w:r w:rsidRPr="00033B20">
        <w:rPr>
          <w:rFonts w:ascii="Cambria" w:hAnsi="Cambria"/>
          <w:sz w:val="20"/>
          <w:szCs w:val="20"/>
        </w:rPr>
        <w:t xml:space="preserve">These </w:t>
      </w:r>
      <w:r w:rsidR="0077148F">
        <w:rPr>
          <w:rFonts w:ascii="Cambria" w:hAnsi="Cambria"/>
          <w:sz w:val="20"/>
          <w:szCs w:val="20"/>
        </w:rPr>
        <w:t xml:space="preserve">mandates </w:t>
      </w:r>
      <w:r w:rsidRPr="00033B20">
        <w:rPr>
          <w:rFonts w:ascii="Cambria" w:hAnsi="Cambria"/>
          <w:sz w:val="20"/>
          <w:szCs w:val="20"/>
        </w:rPr>
        <w:t xml:space="preserve">include not only preserving the life, honor, and property of the citizens, but also preserving peace and tranquility. The State argues that the conduct of Mr. McNaughton went against these principles. </w:t>
      </w:r>
    </w:p>
    <w:p w14:paraId="10A2AD53" w14:textId="3086A4C4" w:rsidR="00033B20" w:rsidRPr="00033B20" w:rsidRDefault="00033B20" w:rsidP="002B2646">
      <w:pPr>
        <w:pStyle w:val="ListParagraph"/>
        <w:numPr>
          <w:ilvl w:val="0"/>
          <w:numId w:val="1"/>
        </w:numPr>
        <w:pBdr>
          <w:top w:val="nil"/>
          <w:left w:val="nil"/>
          <w:bottom w:val="nil"/>
          <w:right w:val="nil"/>
          <w:between w:val="nil"/>
          <w:bar w:val="nil"/>
        </w:pBdr>
        <w:spacing w:after="240" w:line="240" w:lineRule="auto"/>
        <w:ind w:left="0" w:firstLine="720"/>
        <w:contextualSpacing w:val="0"/>
        <w:jc w:val="both"/>
        <w:rPr>
          <w:rFonts w:ascii="Cambria" w:hAnsi="Cambria"/>
          <w:sz w:val="20"/>
          <w:szCs w:val="20"/>
        </w:rPr>
      </w:pPr>
      <w:r w:rsidRPr="00033B20">
        <w:rPr>
          <w:rFonts w:ascii="Cambria" w:hAnsi="Cambria"/>
          <w:sz w:val="20"/>
          <w:szCs w:val="20"/>
        </w:rPr>
        <w:t xml:space="preserve">The facts that motivated the decision to expel him included that in November 2013 approximately 40 residents of Taganga lodged complaints against Mr. McNaughton because of his aggressive and erratic behavior, </w:t>
      </w:r>
      <w:r w:rsidR="006766E8">
        <w:rPr>
          <w:rFonts w:ascii="Cambria" w:hAnsi="Cambria"/>
          <w:sz w:val="20"/>
          <w:szCs w:val="20"/>
        </w:rPr>
        <w:t xml:space="preserve">disturbing the peace </w:t>
      </w:r>
      <w:r w:rsidRPr="00033B20">
        <w:rPr>
          <w:rFonts w:ascii="Cambria" w:hAnsi="Cambria"/>
          <w:sz w:val="20"/>
          <w:szCs w:val="20"/>
        </w:rPr>
        <w:t>(</w:t>
      </w:r>
      <w:r w:rsidRPr="00DB558D">
        <w:rPr>
          <w:rFonts w:ascii="Cambria" w:hAnsi="Cambria"/>
          <w:i/>
          <w:iCs/>
          <w:sz w:val="20"/>
          <w:szCs w:val="20"/>
        </w:rPr>
        <w:t>perturbación de la convivencia</w:t>
      </w:r>
      <w:r w:rsidRPr="00033B20">
        <w:rPr>
          <w:rFonts w:ascii="Cambria" w:hAnsi="Cambria"/>
          <w:sz w:val="20"/>
          <w:szCs w:val="20"/>
        </w:rPr>
        <w:t>)</w:t>
      </w:r>
      <w:r w:rsidR="00DB558D">
        <w:rPr>
          <w:rFonts w:ascii="Cambria" w:hAnsi="Cambria"/>
          <w:sz w:val="20"/>
          <w:szCs w:val="20"/>
        </w:rPr>
        <w:t>,</w:t>
      </w:r>
      <w:r w:rsidRPr="00033B20">
        <w:rPr>
          <w:rFonts w:ascii="Cambria" w:hAnsi="Cambria"/>
          <w:sz w:val="20"/>
          <w:szCs w:val="20"/>
        </w:rPr>
        <w:t xml:space="preserve"> and </w:t>
      </w:r>
      <w:r w:rsidR="002060F4">
        <w:rPr>
          <w:rFonts w:ascii="Cambria" w:hAnsi="Cambria"/>
          <w:sz w:val="20"/>
          <w:szCs w:val="20"/>
        </w:rPr>
        <w:t xml:space="preserve">his </w:t>
      </w:r>
      <w:r w:rsidRPr="00033B20">
        <w:rPr>
          <w:rFonts w:ascii="Cambria" w:hAnsi="Cambria"/>
          <w:sz w:val="20"/>
          <w:szCs w:val="20"/>
        </w:rPr>
        <w:t>use of hallucinogenic substances. The complainants included neighbors and the owner of the room he had rented. The complaints indicated that Mr. McNaughton had threatened them with a knife on multiple occasions. In response to these complaints, officials of Migración Colombia carried out work orders No. 6766/173 of December 18, 2013 and No. 7289 of January 16, 2014, with the objective of verifying the situation denounced and Mr. McNaughton’s immigration status. After these verifications, the Caribbean Regional Office of Migración Colombia suggested beginning an administration action that could lea</w:t>
      </w:r>
      <w:r w:rsidR="00EE2E95">
        <w:rPr>
          <w:rFonts w:ascii="Cambria" w:hAnsi="Cambria"/>
          <w:sz w:val="20"/>
          <w:szCs w:val="20"/>
        </w:rPr>
        <w:t>d</w:t>
      </w:r>
      <w:r w:rsidRPr="00033B20">
        <w:rPr>
          <w:rFonts w:ascii="Cambria" w:hAnsi="Cambria"/>
          <w:sz w:val="20"/>
          <w:szCs w:val="20"/>
        </w:rPr>
        <w:t xml:space="preserve"> to a possible sanction of deportation or expulsion. </w:t>
      </w:r>
    </w:p>
    <w:p w14:paraId="4BE012BB" w14:textId="5550ADB4" w:rsidR="00033B20" w:rsidRPr="00033B20" w:rsidRDefault="00033B20" w:rsidP="002B2646">
      <w:pPr>
        <w:pStyle w:val="ListParagraph"/>
        <w:numPr>
          <w:ilvl w:val="0"/>
          <w:numId w:val="1"/>
        </w:numPr>
        <w:pBdr>
          <w:top w:val="nil"/>
          <w:left w:val="nil"/>
          <w:bottom w:val="nil"/>
          <w:right w:val="nil"/>
          <w:between w:val="nil"/>
          <w:bar w:val="nil"/>
        </w:pBdr>
        <w:spacing w:after="240" w:line="240" w:lineRule="auto"/>
        <w:ind w:left="0" w:firstLine="720"/>
        <w:contextualSpacing w:val="0"/>
        <w:jc w:val="both"/>
        <w:rPr>
          <w:rFonts w:ascii="Cambria" w:hAnsi="Cambria"/>
          <w:sz w:val="20"/>
          <w:szCs w:val="20"/>
        </w:rPr>
      </w:pPr>
      <w:r w:rsidRPr="00033B20">
        <w:rPr>
          <w:rFonts w:ascii="Cambria" w:hAnsi="Cambria"/>
          <w:sz w:val="20"/>
          <w:szCs w:val="20"/>
        </w:rPr>
        <w:t xml:space="preserve">On January 28, 2014 Migration Colombia issued Order No. 30269, in </w:t>
      </w:r>
      <w:r w:rsidR="00EE2E95">
        <w:rPr>
          <w:rFonts w:ascii="Cambria" w:hAnsi="Cambria"/>
          <w:sz w:val="20"/>
          <w:szCs w:val="20"/>
        </w:rPr>
        <w:t xml:space="preserve">case </w:t>
      </w:r>
      <w:r w:rsidRPr="00033B20">
        <w:rPr>
          <w:rFonts w:ascii="Cambria" w:hAnsi="Cambria"/>
          <w:sz w:val="20"/>
          <w:szCs w:val="20"/>
        </w:rPr>
        <w:t xml:space="preserve">No. 2013-44724-198193, ordering that an immigration-related administrative action be initiated to establish possible infractions by Mr. McNaughton. On March 7, 2014, the authorities proceeded to notify him of the order initiating an administrative action. Nonetheless, </w:t>
      </w:r>
      <w:r w:rsidR="005D25D3">
        <w:rPr>
          <w:rFonts w:ascii="Cambria" w:hAnsi="Cambria"/>
          <w:sz w:val="20"/>
          <w:szCs w:val="20"/>
        </w:rPr>
        <w:t xml:space="preserve">when agents went </w:t>
      </w:r>
      <w:r w:rsidRPr="00033B20">
        <w:rPr>
          <w:rFonts w:ascii="Cambria" w:hAnsi="Cambria"/>
          <w:sz w:val="20"/>
          <w:szCs w:val="20"/>
        </w:rPr>
        <w:t>to the address where he presumably resided, it was apparent that Mr. McNaughton was not living there</w:t>
      </w:r>
      <w:r w:rsidR="00B67317">
        <w:rPr>
          <w:rFonts w:ascii="Cambria" w:hAnsi="Cambria"/>
          <w:sz w:val="20"/>
          <w:szCs w:val="20"/>
        </w:rPr>
        <w:t xml:space="preserve"> </w:t>
      </w:r>
      <w:r w:rsidRPr="00033B20">
        <w:rPr>
          <w:rFonts w:ascii="Cambria" w:hAnsi="Cambria"/>
          <w:sz w:val="20"/>
          <w:szCs w:val="20"/>
        </w:rPr>
        <w:t xml:space="preserve">and was living as an indigent in the streets. Upon being notified of the order, he refused to sign the communication, accordingly five inhabitants of the zone served as witnesses. The administrative act was not appealed by Mr. McNaughton, </w:t>
      </w:r>
      <w:r w:rsidR="00063FA5">
        <w:rPr>
          <w:rFonts w:ascii="Cambria" w:hAnsi="Cambria"/>
          <w:sz w:val="20"/>
          <w:szCs w:val="20"/>
        </w:rPr>
        <w:t xml:space="preserve">even though he could have filed </w:t>
      </w:r>
      <w:r w:rsidRPr="00033B20">
        <w:rPr>
          <w:rFonts w:ascii="Cambria" w:hAnsi="Cambria"/>
          <w:sz w:val="20"/>
          <w:szCs w:val="20"/>
        </w:rPr>
        <w:t xml:space="preserve">a motion for reconsideration. </w:t>
      </w:r>
    </w:p>
    <w:p w14:paraId="6E3B7802" w14:textId="5C2A48FE" w:rsidR="00033B20" w:rsidRPr="00033B20" w:rsidRDefault="00033B20" w:rsidP="002B2646">
      <w:pPr>
        <w:pStyle w:val="ListParagraph"/>
        <w:numPr>
          <w:ilvl w:val="0"/>
          <w:numId w:val="1"/>
        </w:numPr>
        <w:pBdr>
          <w:top w:val="nil"/>
          <w:left w:val="nil"/>
          <w:bottom w:val="nil"/>
          <w:right w:val="nil"/>
          <w:between w:val="nil"/>
          <w:bar w:val="nil"/>
        </w:pBdr>
        <w:spacing w:after="240" w:line="240" w:lineRule="auto"/>
        <w:ind w:left="0" w:firstLine="720"/>
        <w:contextualSpacing w:val="0"/>
        <w:jc w:val="both"/>
        <w:rPr>
          <w:rFonts w:ascii="Cambria" w:hAnsi="Cambria"/>
          <w:sz w:val="20"/>
          <w:szCs w:val="20"/>
        </w:rPr>
      </w:pPr>
      <w:r w:rsidRPr="00033B20">
        <w:rPr>
          <w:rFonts w:ascii="Cambria" w:hAnsi="Cambria"/>
          <w:sz w:val="20"/>
          <w:szCs w:val="20"/>
        </w:rPr>
        <w:t xml:space="preserve">The immigration authorities corroborated the negative impact on public order, public health, and social peace by the petitioner. Therefore, they considered the expulsion measure urgent; accordingly, on April 7, 2014, they handed down Resolution No. 19160, by which it was decided to expel Mr. McNaughton from Colombian territory. This resolution was duly reasoned, in light of the facts narrated, and considered, among other aspects, the constitutional principle of the sovereignty of the State, the discretional authority of the National Government to authorize the entry and stay of foreigners in the country, and the power of the State to oversee compliance with constitutional and statutory provisions by nationals and foreigners in the national territory, especially in migration-related matters. </w:t>
      </w:r>
    </w:p>
    <w:p w14:paraId="7A77CA07" w14:textId="2C3FA36B" w:rsidR="00033B20" w:rsidRPr="00033B20" w:rsidRDefault="00033B20" w:rsidP="002B2646">
      <w:pPr>
        <w:pStyle w:val="ListParagraph"/>
        <w:numPr>
          <w:ilvl w:val="0"/>
          <w:numId w:val="1"/>
        </w:numPr>
        <w:pBdr>
          <w:top w:val="nil"/>
          <w:left w:val="nil"/>
          <w:bottom w:val="nil"/>
          <w:right w:val="nil"/>
          <w:between w:val="nil"/>
          <w:bar w:val="nil"/>
        </w:pBdr>
        <w:spacing w:after="240" w:line="240" w:lineRule="auto"/>
        <w:ind w:left="0" w:firstLine="720"/>
        <w:contextualSpacing w:val="0"/>
        <w:jc w:val="both"/>
        <w:rPr>
          <w:rFonts w:ascii="Cambria" w:hAnsi="Cambria"/>
          <w:sz w:val="20"/>
          <w:szCs w:val="20"/>
        </w:rPr>
      </w:pPr>
      <w:r w:rsidRPr="00033B20">
        <w:rPr>
          <w:rFonts w:ascii="Cambria" w:hAnsi="Cambria"/>
          <w:sz w:val="20"/>
          <w:szCs w:val="20"/>
        </w:rPr>
        <w:t xml:space="preserve">On April 28, 2014, notice of the above-mentioned Resolution No. 19160 was given to Mr. McNaughton, who was given an explanation of the contents, and it was then read. The </w:t>
      </w:r>
      <w:r w:rsidR="00D76B8E">
        <w:rPr>
          <w:rFonts w:ascii="Cambria" w:hAnsi="Cambria"/>
          <w:sz w:val="20"/>
          <w:szCs w:val="20"/>
        </w:rPr>
        <w:t>c</w:t>
      </w:r>
      <w:r w:rsidRPr="00033B20">
        <w:rPr>
          <w:rFonts w:ascii="Cambria" w:hAnsi="Cambria"/>
          <w:sz w:val="20"/>
          <w:szCs w:val="20"/>
        </w:rPr>
        <w:t xml:space="preserve">onsular </w:t>
      </w:r>
      <w:r w:rsidR="00D76B8E">
        <w:rPr>
          <w:rFonts w:ascii="Cambria" w:hAnsi="Cambria"/>
          <w:sz w:val="20"/>
          <w:szCs w:val="20"/>
        </w:rPr>
        <w:t>a</w:t>
      </w:r>
      <w:r w:rsidRPr="00033B20">
        <w:rPr>
          <w:rFonts w:ascii="Cambria" w:hAnsi="Cambria"/>
          <w:sz w:val="20"/>
          <w:szCs w:val="20"/>
        </w:rPr>
        <w:t xml:space="preserve">gent of the United States was also informed of the situation of the U.S. citizen. Nonetheless, once again Mr. McNaughton </w:t>
      </w:r>
      <w:r w:rsidRPr="00033B20">
        <w:rPr>
          <w:rFonts w:ascii="Cambria" w:hAnsi="Cambria"/>
          <w:sz w:val="20"/>
          <w:szCs w:val="20"/>
        </w:rPr>
        <w:lastRenderedPageBreak/>
        <w:t xml:space="preserve">refused to sign the notice, accordingly three witnesses signed it. Although no </w:t>
      </w:r>
      <w:r w:rsidR="00CD6DB4">
        <w:rPr>
          <w:rFonts w:ascii="Cambria" w:hAnsi="Cambria"/>
          <w:sz w:val="20"/>
          <w:szCs w:val="20"/>
        </w:rPr>
        <w:t xml:space="preserve">administrative </w:t>
      </w:r>
      <w:r w:rsidRPr="00033B20">
        <w:rPr>
          <w:rFonts w:ascii="Cambria" w:hAnsi="Cambria"/>
          <w:sz w:val="20"/>
          <w:szCs w:val="20"/>
        </w:rPr>
        <w:t xml:space="preserve">remedies were in order, Mr. McNaughton did not file any regular remedy before the contentious-administrative courts nor a </w:t>
      </w:r>
      <w:r w:rsidRPr="00F11C22">
        <w:rPr>
          <w:rFonts w:ascii="Cambria" w:hAnsi="Cambria"/>
          <w:i/>
          <w:iCs/>
          <w:sz w:val="20"/>
          <w:szCs w:val="20"/>
        </w:rPr>
        <w:t>tutela</w:t>
      </w:r>
      <w:r w:rsidRPr="00033B20">
        <w:rPr>
          <w:rFonts w:ascii="Cambria" w:hAnsi="Cambria"/>
          <w:sz w:val="20"/>
          <w:szCs w:val="20"/>
        </w:rPr>
        <w:t xml:space="preserve"> action. </w:t>
      </w:r>
    </w:p>
    <w:p w14:paraId="608E5E8F" w14:textId="4443A4AD" w:rsidR="00033B20" w:rsidRPr="00033B20" w:rsidRDefault="00033B20" w:rsidP="002B2646">
      <w:pPr>
        <w:pStyle w:val="ListParagraph"/>
        <w:numPr>
          <w:ilvl w:val="0"/>
          <w:numId w:val="1"/>
        </w:numPr>
        <w:pBdr>
          <w:top w:val="nil"/>
          <w:left w:val="nil"/>
          <w:bottom w:val="nil"/>
          <w:right w:val="nil"/>
          <w:between w:val="nil"/>
          <w:bar w:val="nil"/>
        </w:pBdr>
        <w:spacing w:after="240" w:line="240" w:lineRule="auto"/>
        <w:ind w:left="0" w:firstLine="720"/>
        <w:contextualSpacing w:val="0"/>
        <w:jc w:val="both"/>
        <w:rPr>
          <w:rFonts w:ascii="Cambria" w:hAnsi="Cambria"/>
          <w:sz w:val="20"/>
          <w:szCs w:val="20"/>
        </w:rPr>
      </w:pPr>
      <w:r w:rsidRPr="00033B20">
        <w:rPr>
          <w:rFonts w:ascii="Cambria" w:hAnsi="Cambria"/>
          <w:sz w:val="20"/>
          <w:szCs w:val="20"/>
        </w:rPr>
        <w:t xml:space="preserve">Pursuant to the expulsion resolution, the national authorities held Mr. McNaughton on a </w:t>
      </w:r>
      <w:r w:rsidR="00F11C22">
        <w:rPr>
          <w:rFonts w:ascii="Cambria" w:hAnsi="Cambria"/>
          <w:sz w:val="20"/>
          <w:szCs w:val="20"/>
        </w:rPr>
        <w:t xml:space="preserve">preventive </w:t>
      </w:r>
      <w:r w:rsidRPr="00033B20">
        <w:rPr>
          <w:rFonts w:ascii="Cambria" w:hAnsi="Cambria"/>
          <w:sz w:val="20"/>
          <w:szCs w:val="20"/>
        </w:rPr>
        <w:t xml:space="preserve">basis. The petitioner was taken to the offices of the Migratory Services Facilitating Center-Caribbean Regional Center, in Santa Marta. He refused to sign the preventive hold document. This situation was reported immediately to the </w:t>
      </w:r>
      <w:r w:rsidR="007C1150">
        <w:rPr>
          <w:rFonts w:ascii="Cambria" w:hAnsi="Cambria"/>
          <w:sz w:val="20"/>
          <w:szCs w:val="20"/>
        </w:rPr>
        <w:t>c</w:t>
      </w:r>
      <w:r w:rsidRPr="00033B20">
        <w:rPr>
          <w:rFonts w:ascii="Cambria" w:hAnsi="Cambria"/>
          <w:sz w:val="20"/>
          <w:szCs w:val="20"/>
        </w:rPr>
        <w:t xml:space="preserve">onsular </w:t>
      </w:r>
      <w:r w:rsidR="007C1150">
        <w:rPr>
          <w:rFonts w:ascii="Cambria" w:hAnsi="Cambria"/>
          <w:sz w:val="20"/>
          <w:szCs w:val="20"/>
        </w:rPr>
        <w:t>a</w:t>
      </w:r>
      <w:r w:rsidRPr="00033B20">
        <w:rPr>
          <w:rFonts w:ascii="Cambria" w:hAnsi="Cambria"/>
          <w:sz w:val="20"/>
          <w:szCs w:val="20"/>
        </w:rPr>
        <w:t>gent of the United States. Both Mr. McNaughton and the Embassy of the United States in Colombia were informed of the administrative acts issued by the Colombian authorities on migration matters, which were duly motivated in the legislation in force and in the facts of the case.</w:t>
      </w:r>
    </w:p>
    <w:p w14:paraId="50CE8311" w14:textId="7C0DA043" w:rsidR="00033B20" w:rsidRPr="00033B20" w:rsidRDefault="00D67709" w:rsidP="002B2646">
      <w:pPr>
        <w:pStyle w:val="ListParagraph"/>
        <w:numPr>
          <w:ilvl w:val="0"/>
          <w:numId w:val="1"/>
        </w:numPr>
        <w:pBdr>
          <w:top w:val="nil"/>
          <w:left w:val="nil"/>
          <w:bottom w:val="nil"/>
          <w:right w:val="nil"/>
          <w:between w:val="nil"/>
          <w:bar w:val="nil"/>
        </w:pBdr>
        <w:spacing w:after="240" w:line="240" w:lineRule="auto"/>
        <w:ind w:left="0" w:firstLine="720"/>
        <w:contextualSpacing w:val="0"/>
        <w:jc w:val="both"/>
        <w:rPr>
          <w:rFonts w:ascii="Cambria" w:hAnsi="Cambria"/>
          <w:sz w:val="20"/>
          <w:szCs w:val="20"/>
        </w:rPr>
      </w:pPr>
      <w:r>
        <w:rPr>
          <w:rFonts w:ascii="Cambria" w:hAnsi="Cambria"/>
          <w:sz w:val="20"/>
          <w:szCs w:val="20"/>
        </w:rPr>
        <w:t xml:space="preserve">According to the </w:t>
      </w:r>
      <w:r w:rsidR="00033B20" w:rsidRPr="00033B20">
        <w:rPr>
          <w:rFonts w:ascii="Cambria" w:hAnsi="Cambria"/>
          <w:sz w:val="20"/>
          <w:szCs w:val="20"/>
        </w:rPr>
        <w:t>State</w:t>
      </w:r>
      <w:r>
        <w:rPr>
          <w:rFonts w:ascii="Cambria" w:hAnsi="Cambria"/>
          <w:sz w:val="20"/>
          <w:szCs w:val="20"/>
        </w:rPr>
        <w:t>,</w:t>
      </w:r>
      <w:r w:rsidR="00033B20" w:rsidRPr="00033B20">
        <w:rPr>
          <w:rFonts w:ascii="Cambria" w:hAnsi="Cambria"/>
          <w:sz w:val="20"/>
          <w:szCs w:val="20"/>
        </w:rPr>
        <w:t xml:space="preserve"> due process and the right to defense</w:t>
      </w:r>
      <w:r w:rsidR="00DB76B7">
        <w:rPr>
          <w:rFonts w:ascii="Cambria" w:hAnsi="Cambria"/>
          <w:sz w:val="20"/>
          <w:szCs w:val="20"/>
        </w:rPr>
        <w:t xml:space="preserve"> </w:t>
      </w:r>
      <w:r w:rsidR="00033B20" w:rsidRPr="00033B20">
        <w:rPr>
          <w:rFonts w:ascii="Cambria" w:hAnsi="Cambria"/>
          <w:sz w:val="20"/>
          <w:szCs w:val="20"/>
        </w:rPr>
        <w:t>of the foreign citizen were respected at all times; and he had an opportunity to respond within 15 days to citizens’ complaints against him. Nonetheless, Mr. McNaughton did not collaborate and refused to sign the notice of the order to initiate the administrative action. In addition, he had the opportunity to bring domestic actions as he considered relevant for remedying the infractions alleged internationally, but did not do so. He merely refused to sign any notice and to las</w:t>
      </w:r>
      <w:r w:rsidR="007A7DA2">
        <w:rPr>
          <w:rFonts w:ascii="Cambria" w:hAnsi="Cambria"/>
          <w:sz w:val="20"/>
          <w:szCs w:val="20"/>
        </w:rPr>
        <w:t>h</w:t>
      </w:r>
      <w:r w:rsidR="00033B20" w:rsidRPr="00033B20">
        <w:rPr>
          <w:rFonts w:ascii="Cambria" w:hAnsi="Cambria"/>
          <w:sz w:val="20"/>
          <w:szCs w:val="20"/>
        </w:rPr>
        <w:t xml:space="preserve"> out at the officials. </w:t>
      </w:r>
    </w:p>
    <w:p w14:paraId="1D870B54" w14:textId="3BEFB273" w:rsidR="00033B20" w:rsidRPr="00033B20" w:rsidRDefault="00033B20" w:rsidP="002B2646">
      <w:pPr>
        <w:pStyle w:val="ListParagraph"/>
        <w:numPr>
          <w:ilvl w:val="0"/>
          <w:numId w:val="1"/>
        </w:numPr>
        <w:pBdr>
          <w:top w:val="nil"/>
          <w:left w:val="nil"/>
          <w:bottom w:val="nil"/>
          <w:right w:val="nil"/>
          <w:between w:val="nil"/>
          <w:bar w:val="nil"/>
        </w:pBdr>
        <w:spacing w:after="240" w:line="240" w:lineRule="auto"/>
        <w:ind w:left="0" w:firstLine="720"/>
        <w:contextualSpacing w:val="0"/>
        <w:jc w:val="both"/>
        <w:rPr>
          <w:rFonts w:ascii="Cambria" w:hAnsi="Cambria"/>
          <w:sz w:val="20"/>
          <w:szCs w:val="20"/>
        </w:rPr>
      </w:pPr>
      <w:r w:rsidRPr="00033B20">
        <w:rPr>
          <w:rFonts w:ascii="Cambria" w:hAnsi="Cambria"/>
          <w:sz w:val="20"/>
          <w:szCs w:val="20"/>
        </w:rPr>
        <w:t xml:space="preserve">On April 28, 2014, Mr. McNaughton was transferred to Bogotá on a commercial flight for the purpose of embarking him on a flight to Miami, United States. Nonetheless, his violent attitude impeded it, thus the trip was rescheduled and carried out on April 29, 2014, finalizing the process of his expulsion from Colombia. Mr. McNaughton returned to his country; Colombia followed the protocols in terms of paying for the tickets and ensuring he be kept in custody by Migración Colombia, after communicating with the </w:t>
      </w:r>
      <w:r w:rsidR="007B0ACD">
        <w:rPr>
          <w:rFonts w:ascii="Cambria" w:hAnsi="Cambria"/>
          <w:sz w:val="20"/>
          <w:szCs w:val="20"/>
        </w:rPr>
        <w:t>c</w:t>
      </w:r>
      <w:r w:rsidRPr="00033B20">
        <w:rPr>
          <w:rFonts w:ascii="Cambria" w:hAnsi="Cambria"/>
          <w:sz w:val="20"/>
          <w:szCs w:val="20"/>
        </w:rPr>
        <w:t xml:space="preserve">onsular </w:t>
      </w:r>
      <w:r w:rsidR="007B0ACD">
        <w:rPr>
          <w:rFonts w:ascii="Cambria" w:hAnsi="Cambria"/>
          <w:sz w:val="20"/>
          <w:szCs w:val="20"/>
        </w:rPr>
        <w:t>a</w:t>
      </w:r>
      <w:r w:rsidRPr="00033B20">
        <w:rPr>
          <w:rFonts w:ascii="Cambria" w:hAnsi="Cambria"/>
          <w:sz w:val="20"/>
          <w:szCs w:val="20"/>
        </w:rPr>
        <w:t>gen</w:t>
      </w:r>
      <w:r w:rsidR="007B0ACD">
        <w:rPr>
          <w:rFonts w:ascii="Cambria" w:hAnsi="Cambria"/>
          <w:sz w:val="20"/>
          <w:szCs w:val="20"/>
        </w:rPr>
        <w:t xml:space="preserve">t </w:t>
      </w:r>
      <w:r w:rsidRPr="00033B20">
        <w:rPr>
          <w:rFonts w:ascii="Cambria" w:hAnsi="Cambria"/>
          <w:sz w:val="20"/>
          <w:szCs w:val="20"/>
        </w:rPr>
        <w:t xml:space="preserve">of the United States. </w:t>
      </w:r>
    </w:p>
    <w:p w14:paraId="60CA5B6C" w14:textId="6888E423" w:rsidR="00033B20" w:rsidRPr="00033B20" w:rsidRDefault="00033B20" w:rsidP="002B2646">
      <w:pPr>
        <w:pStyle w:val="ListParagraph"/>
        <w:numPr>
          <w:ilvl w:val="0"/>
          <w:numId w:val="1"/>
        </w:numPr>
        <w:pBdr>
          <w:top w:val="nil"/>
          <w:left w:val="nil"/>
          <w:bottom w:val="nil"/>
          <w:right w:val="nil"/>
          <w:between w:val="nil"/>
          <w:bar w:val="nil"/>
        </w:pBdr>
        <w:spacing w:after="240" w:line="240" w:lineRule="auto"/>
        <w:ind w:left="0" w:firstLine="720"/>
        <w:contextualSpacing w:val="0"/>
        <w:jc w:val="both"/>
        <w:rPr>
          <w:rFonts w:ascii="Cambria" w:hAnsi="Cambria"/>
          <w:sz w:val="20"/>
          <w:szCs w:val="20"/>
        </w:rPr>
      </w:pPr>
      <w:r w:rsidRPr="00033B20">
        <w:rPr>
          <w:rFonts w:ascii="Cambria" w:hAnsi="Cambria"/>
          <w:sz w:val="20"/>
          <w:szCs w:val="20"/>
        </w:rPr>
        <w:t>After concluding the expulsion process, there was no request, claim, or complaint by Mr. McNaughton before any Colombian agenc</w:t>
      </w:r>
      <w:r w:rsidR="001E6AC3">
        <w:rPr>
          <w:rFonts w:ascii="Cambria" w:hAnsi="Cambria"/>
          <w:sz w:val="20"/>
          <w:szCs w:val="20"/>
        </w:rPr>
        <w:t>y</w:t>
      </w:r>
      <w:r w:rsidRPr="00033B20">
        <w:rPr>
          <w:rFonts w:ascii="Cambria" w:hAnsi="Cambria"/>
          <w:sz w:val="20"/>
          <w:szCs w:val="20"/>
        </w:rPr>
        <w:t xml:space="preserve">. The Ministry of National Defense reported that, having consulted the National Legal System for the National Police, no records were found of contentious-administrative actions against the National Police for these facts. Nor was any action filed against the Ministry of Foreign Relations or Migración Colombia. The Office of the Procurator General of the Nation (Procuraduría General de la Nación) reported that after consulting the databases of the GEDIS and SIME information systems, no record was found on the filing of complaints, petitions, or applications, nor the initiation of </w:t>
      </w:r>
      <w:r w:rsidRPr="00033B20">
        <w:rPr>
          <w:rFonts w:ascii="Cambria" w:hAnsi="Cambria"/>
          <w:i/>
          <w:iCs/>
          <w:sz w:val="20"/>
          <w:szCs w:val="20"/>
        </w:rPr>
        <w:t>sua sponte</w:t>
      </w:r>
      <w:r w:rsidRPr="00033B20">
        <w:rPr>
          <w:rFonts w:ascii="Cambria" w:hAnsi="Cambria"/>
          <w:sz w:val="20"/>
          <w:szCs w:val="20"/>
        </w:rPr>
        <w:t xml:space="preserve"> disciplinary actions with the data produced. Similarly, the Office of the Human Rights Ombudsperson (Defensoría del Pueblo) reported that there were no complaints </w:t>
      </w:r>
      <w:r w:rsidR="005D438D">
        <w:rPr>
          <w:rFonts w:ascii="Cambria" w:hAnsi="Cambria"/>
          <w:sz w:val="20"/>
          <w:szCs w:val="20"/>
        </w:rPr>
        <w:t xml:space="preserve">lodged </w:t>
      </w:r>
      <w:r w:rsidRPr="00033B20">
        <w:rPr>
          <w:rFonts w:ascii="Cambria" w:hAnsi="Cambria"/>
          <w:sz w:val="20"/>
          <w:szCs w:val="20"/>
        </w:rPr>
        <w:t>or remedies</w:t>
      </w:r>
      <w:r w:rsidR="005D438D">
        <w:rPr>
          <w:rFonts w:ascii="Cambria" w:hAnsi="Cambria"/>
          <w:sz w:val="20"/>
          <w:szCs w:val="20"/>
        </w:rPr>
        <w:t xml:space="preserve"> pursued</w:t>
      </w:r>
      <w:r w:rsidRPr="00033B20">
        <w:rPr>
          <w:rFonts w:ascii="Cambria" w:hAnsi="Cambria"/>
          <w:sz w:val="20"/>
          <w:szCs w:val="20"/>
        </w:rPr>
        <w:t xml:space="preserve"> for the facts narrated. </w:t>
      </w:r>
    </w:p>
    <w:p w14:paraId="4E222A21" w14:textId="77777777" w:rsidR="00033B20" w:rsidRPr="00033B20" w:rsidRDefault="00033B20" w:rsidP="002B2646">
      <w:pPr>
        <w:pStyle w:val="ListParagraph"/>
        <w:numPr>
          <w:ilvl w:val="0"/>
          <w:numId w:val="1"/>
        </w:numPr>
        <w:pBdr>
          <w:top w:val="nil"/>
          <w:left w:val="nil"/>
          <w:bottom w:val="nil"/>
          <w:right w:val="nil"/>
          <w:between w:val="nil"/>
          <w:bar w:val="nil"/>
        </w:pBdr>
        <w:spacing w:after="240" w:line="240" w:lineRule="auto"/>
        <w:ind w:left="0" w:firstLine="720"/>
        <w:contextualSpacing w:val="0"/>
        <w:jc w:val="both"/>
        <w:rPr>
          <w:rFonts w:ascii="Cambria" w:hAnsi="Cambria"/>
          <w:sz w:val="20"/>
          <w:szCs w:val="20"/>
        </w:rPr>
      </w:pPr>
      <w:r w:rsidRPr="00033B20">
        <w:rPr>
          <w:rFonts w:ascii="Cambria" w:hAnsi="Cambria"/>
          <w:sz w:val="20"/>
          <w:szCs w:val="20"/>
        </w:rPr>
        <w:t>The State asks the Commission, first, to find that it is not competent in respect of the subject matter to take cognizance of alleged violations of Articles V, IX, XVII, XVIII, XXV, and XXVI of the American Declaration, invoked by the petitioner, considering that Colombia is a party to the American Convention, that the facts occurred after its entry into force, and that the alleged violations are related to rights recognized in the Convention.</w:t>
      </w:r>
    </w:p>
    <w:p w14:paraId="0FB72369" w14:textId="759DAAB5" w:rsidR="00033B20" w:rsidRPr="00033B20" w:rsidRDefault="00033B20" w:rsidP="002B2646">
      <w:pPr>
        <w:pStyle w:val="ListParagraph"/>
        <w:numPr>
          <w:ilvl w:val="0"/>
          <w:numId w:val="1"/>
        </w:numPr>
        <w:pBdr>
          <w:top w:val="nil"/>
          <w:left w:val="nil"/>
          <w:bottom w:val="nil"/>
          <w:right w:val="nil"/>
          <w:between w:val="nil"/>
          <w:bar w:val="nil"/>
        </w:pBdr>
        <w:spacing w:after="240" w:line="240" w:lineRule="auto"/>
        <w:ind w:left="0" w:firstLine="720"/>
        <w:contextualSpacing w:val="0"/>
        <w:jc w:val="both"/>
        <w:rPr>
          <w:rFonts w:ascii="Cambria" w:hAnsi="Cambria"/>
          <w:sz w:val="20"/>
          <w:szCs w:val="20"/>
        </w:rPr>
      </w:pPr>
      <w:r w:rsidRPr="00033B20">
        <w:rPr>
          <w:rFonts w:ascii="Cambria" w:hAnsi="Cambria"/>
          <w:sz w:val="20"/>
          <w:szCs w:val="20"/>
        </w:rPr>
        <w:t xml:space="preserve">In addition, it asks that the petition be found inadmissible due to the failure to exhaust domestic remedies. It notes that Mr. McNaughton had an opportunity to challenge the expulsion through two domestic mechanisms: an action for nullity and reestablishment of the right, and a </w:t>
      </w:r>
      <w:r w:rsidRPr="008335B5">
        <w:rPr>
          <w:rFonts w:ascii="Cambria" w:hAnsi="Cambria"/>
          <w:i/>
          <w:iCs/>
          <w:sz w:val="20"/>
          <w:szCs w:val="20"/>
        </w:rPr>
        <w:t>tutela</w:t>
      </w:r>
      <w:r w:rsidRPr="00033B20">
        <w:rPr>
          <w:rFonts w:ascii="Cambria" w:hAnsi="Cambria"/>
          <w:sz w:val="20"/>
          <w:szCs w:val="20"/>
        </w:rPr>
        <w:t xml:space="preserve"> action. It explains that administrative acts that affect general or particular interests are subject to judicial review through such actions, established in Articles 84 and 85 of the Contentious-Administrative Code, and enshrined once again in Articles 137 and 138 of Law 1437 of 2011 (Code of Administrative and Contentious-Administrative Procedure). It cites case law from the Constitutional Court, such as Judgment C-199/97, which recognizes that a person harmed by an act of the administration may go before the contentious-administrative courts to seek its annulment and the reestablishment of his or her right. It also mentions Judgment T-500/2018, which recognizes that persons sanction</w:t>
      </w:r>
      <w:r w:rsidR="0002735F">
        <w:rPr>
          <w:rFonts w:ascii="Cambria" w:hAnsi="Cambria"/>
          <w:sz w:val="20"/>
          <w:szCs w:val="20"/>
        </w:rPr>
        <w:t>ed</w:t>
      </w:r>
      <w:r w:rsidRPr="00033B20">
        <w:rPr>
          <w:rFonts w:ascii="Cambria" w:hAnsi="Cambria"/>
          <w:sz w:val="20"/>
          <w:szCs w:val="20"/>
        </w:rPr>
        <w:t xml:space="preserve"> with expulsion may request precautionary measures before admission of the action to provisionally protect the </w:t>
      </w:r>
      <w:r w:rsidR="005A0237">
        <w:rPr>
          <w:rFonts w:ascii="Cambria" w:hAnsi="Cambria"/>
          <w:sz w:val="20"/>
          <w:szCs w:val="20"/>
        </w:rPr>
        <w:t xml:space="preserve">subject matter </w:t>
      </w:r>
      <w:r w:rsidRPr="00033B20">
        <w:rPr>
          <w:rFonts w:ascii="Cambria" w:hAnsi="Cambria"/>
          <w:sz w:val="20"/>
          <w:szCs w:val="20"/>
        </w:rPr>
        <w:t xml:space="preserve">of the proceeding, and the effectiveness of the judgment. Even so, Mr. McNaughton did not pursue any legal defense in Colombia. </w:t>
      </w:r>
    </w:p>
    <w:p w14:paraId="7FD62A70" w14:textId="3761D788" w:rsidR="00033B20" w:rsidRPr="00033B20" w:rsidRDefault="00033B20" w:rsidP="002B2646">
      <w:pPr>
        <w:pStyle w:val="ListParagraph"/>
        <w:numPr>
          <w:ilvl w:val="0"/>
          <w:numId w:val="1"/>
        </w:numPr>
        <w:pBdr>
          <w:top w:val="nil"/>
          <w:left w:val="nil"/>
          <w:bottom w:val="nil"/>
          <w:right w:val="nil"/>
          <w:between w:val="nil"/>
          <w:bar w:val="nil"/>
        </w:pBdr>
        <w:spacing w:after="240" w:line="240" w:lineRule="auto"/>
        <w:ind w:left="0" w:firstLine="720"/>
        <w:contextualSpacing w:val="0"/>
        <w:jc w:val="both"/>
        <w:rPr>
          <w:rFonts w:ascii="Cambria" w:hAnsi="Cambria"/>
          <w:sz w:val="20"/>
          <w:szCs w:val="20"/>
        </w:rPr>
      </w:pPr>
      <w:r w:rsidRPr="00033B20">
        <w:rPr>
          <w:rFonts w:ascii="Cambria" w:hAnsi="Cambria"/>
          <w:sz w:val="20"/>
          <w:szCs w:val="20"/>
        </w:rPr>
        <w:lastRenderedPageBreak/>
        <w:t xml:space="preserve">In addition, the State emphasizes that none of the grounds exempting one from exhausting domestic remedies established at Article 46(2) of the American Convention applies, since there are adequate and effective remedies that are handled respecting due process, and no showing has been made of the existence of obstacles that kept Mr. McNaughton from accessing such remedies. </w:t>
      </w:r>
    </w:p>
    <w:p w14:paraId="56270CD6" w14:textId="77777777" w:rsidR="00033B20" w:rsidRPr="00033B20" w:rsidRDefault="00033B20" w:rsidP="002B2646">
      <w:pPr>
        <w:pStyle w:val="ListParagraph"/>
        <w:numPr>
          <w:ilvl w:val="0"/>
          <w:numId w:val="1"/>
        </w:numPr>
        <w:pBdr>
          <w:top w:val="nil"/>
          <w:left w:val="nil"/>
          <w:bottom w:val="nil"/>
          <w:right w:val="nil"/>
          <w:between w:val="nil"/>
          <w:bar w:val="nil"/>
        </w:pBdr>
        <w:spacing w:after="240" w:line="240" w:lineRule="auto"/>
        <w:ind w:left="0" w:firstLine="720"/>
        <w:contextualSpacing w:val="0"/>
        <w:jc w:val="both"/>
        <w:rPr>
          <w:rFonts w:ascii="Cambria" w:hAnsi="Cambria"/>
          <w:sz w:val="20"/>
          <w:szCs w:val="20"/>
        </w:rPr>
      </w:pPr>
      <w:r w:rsidRPr="00033B20">
        <w:rPr>
          <w:rFonts w:ascii="Cambria" w:hAnsi="Cambria"/>
          <w:sz w:val="20"/>
          <w:szCs w:val="20"/>
        </w:rPr>
        <w:t xml:space="preserve">The State also argues that if Mr. McNaughton considered that the immigration-related administrative acts involved errors that negatively affected his fundamental rights, he could have filed a </w:t>
      </w:r>
      <w:r w:rsidRPr="00EC03F5">
        <w:rPr>
          <w:rFonts w:ascii="Cambria" w:hAnsi="Cambria"/>
          <w:i/>
          <w:iCs/>
          <w:sz w:val="20"/>
          <w:szCs w:val="20"/>
        </w:rPr>
        <w:t>tutela</w:t>
      </w:r>
      <w:r w:rsidRPr="00033B20">
        <w:rPr>
          <w:rFonts w:ascii="Cambria" w:hAnsi="Cambria"/>
          <w:sz w:val="20"/>
          <w:szCs w:val="20"/>
        </w:rPr>
        <w:t xml:space="preserve"> action, whose aim is the immediate judicial protection of fundamental rights when they are violated or threatened by act or omission of any authority. Mr. McNaughton could have filed a </w:t>
      </w:r>
      <w:r w:rsidRPr="00033B20">
        <w:rPr>
          <w:rFonts w:ascii="Cambria" w:hAnsi="Cambria"/>
          <w:i/>
          <w:iCs/>
          <w:sz w:val="20"/>
          <w:szCs w:val="20"/>
        </w:rPr>
        <w:t>tutela</w:t>
      </w:r>
      <w:r w:rsidRPr="00033B20">
        <w:rPr>
          <w:rFonts w:ascii="Cambria" w:hAnsi="Cambria"/>
          <w:sz w:val="20"/>
          <w:szCs w:val="20"/>
        </w:rPr>
        <w:t xml:space="preserve"> action to challenge the administrative acts that defined his immigration status in Colombia, triggering expeditious judicial intervention. Nonetheless, he did not use this mechanism. </w:t>
      </w:r>
    </w:p>
    <w:p w14:paraId="33245B37" w14:textId="611D13DC" w:rsidR="00033B20" w:rsidRPr="00033B20" w:rsidRDefault="00033B20" w:rsidP="002B2646">
      <w:pPr>
        <w:pStyle w:val="ListParagraph"/>
        <w:numPr>
          <w:ilvl w:val="0"/>
          <w:numId w:val="1"/>
        </w:numPr>
        <w:pBdr>
          <w:top w:val="nil"/>
          <w:left w:val="nil"/>
          <w:bottom w:val="nil"/>
          <w:right w:val="nil"/>
          <w:between w:val="nil"/>
          <w:bar w:val="nil"/>
        </w:pBdr>
        <w:spacing w:after="240" w:line="240" w:lineRule="auto"/>
        <w:ind w:left="0" w:firstLine="720"/>
        <w:contextualSpacing w:val="0"/>
        <w:jc w:val="both"/>
        <w:rPr>
          <w:rFonts w:ascii="Cambria" w:hAnsi="Cambria"/>
          <w:sz w:val="20"/>
          <w:szCs w:val="20"/>
        </w:rPr>
      </w:pPr>
      <w:r w:rsidRPr="00033B20">
        <w:rPr>
          <w:rFonts w:ascii="Cambria" w:hAnsi="Cambria"/>
          <w:sz w:val="20"/>
          <w:szCs w:val="20"/>
        </w:rPr>
        <w:t xml:space="preserve">The State also argues that the petition is inadmissible due to the failure to respect the rule on timeliness of the filing of the petition. It notes that Resolution No. 19160 of 2014 was notified on April 28, 2014, and </w:t>
      </w:r>
      <w:r w:rsidR="006D66DF">
        <w:rPr>
          <w:rFonts w:ascii="Cambria" w:hAnsi="Cambria"/>
          <w:sz w:val="20"/>
          <w:szCs w:val="20"/>
        </w:rPr>
        <w:t xml:space="preserve">that </w:t>
      </w:r>
      <w:r w:rsidRPr="00033B20">
        <w:rPr>
          <w:rFonts w:ascii="Cambria" w:hAnsi="Cambria"/>
          <w:sz w:val="20"/>
          <w:szCs w:val="20"/>
        </w:rPr>
        <w:t xml:space="preserve">from that moment </w:t>
      </w:r>
      <w:r w:rsidR="006D66DF">
        <w:rPr>
          <w:rFonts w:ascii="Cambria" w:hAnsi="Cambria"/>
          <w:sz w:val="20"/>
          <w:szCs w:val="20"/>
        </w:rPr>
        <w:t xml:space="preserve">it </w:t>
      </w:r>
      <w:r w:rsidRPr="00033B20">
        <w:rPr>
          <w:rFonts w:ascii="Cambria" w:hAnsi="Cambria"/>
          <w:sz w:val="20"/>
          <w:szCs w:val="20"/>
        </w:rPr>
        <w:t xml:space="preserve">was </w:t>
      </w:r>
      <w:r w:rsidR="00A30133">
        <w:rPr>
          <w:rFonts w:ascii="Cambria" w:hAnsi="Cambria"/>
          <w:sz w:val="20"/>
          <w:szCs w:val="20"/>
        </w:rPr>
        <w:t>enforceable</w:t>
      </w:r>
      <w:r w:rsidR="003B07F6">
        <w:rPr>
          <w:rFonts w:ascii="Cambria" w:hAnsi="Cambria"/>
          <w:sz w:val="20"/>
          <w:szCs w:val="20"/>
        </w:rPr>
        <w:t xml:space="preserve">. </w:t>
      </w:r>
      <w:r w:rsidRPr="00033B20">
        <w:rPr>
          <w:rFonts w:ascii="Cambria" w:hAnsi="Cambria"/>
          <w:sz w:val="20"/>
          <w:szCs w:val="20"/>
        </w:rPr>
        <w:t xml:space="preserve">Nonetheless, the petitioner filed the complaint with the IACHR in November 2014, seven months after the final domestic decision. </w:t>
      </w:r>
    </w:p>
    <w:p w14:paraId="14CC0EEC" w14:textId="60EBBDB8" w:rsidR="00033B20" w:rsidRPr="00033B20" w:rsidRDefault="00033B20" w:rsidP="002B2646">
      <w:pPr>
        <w:pStyle w:val="ListParagraph"/>
        <w:numPr>
          <w:ilvl w:val="0"/>
          <w:numId w:val="1"/>
        </w:numPr>
        <w:pBdr>
          <w:top w:val="nil"/>
          <w:left w:val="nil"/>
          <w:bottom w:val="nil"/>
          <w:right w:val="nil"/>
          <w:between w:val="nil"/>
          <w:bar w:val="nil"/>
        </w:pBdr>
        <w:spacing w:after="240" w:line="240" w:lineRule="auto"/>
        <w:ind w:left="0" w:firstLine="720"/>
        <w:contextualSpacing w:val="0"/>
        <w:jc w:val="both"/>
        <w:rPr>
          <w:rFonts w:ascii="Cambria" w:hAnsi="Cambria"/>
          <w:sz w:val="20"/>
          <w:szCs w:val="20"/>
        </w:rPr>
      </w:pPr>
      <w:r w:rsidRPr="00033B20">
        <w:rPr>
          <w:rFonts w:ascii="Cambria" w:hAnsi="Cambria"/>
          <w:sz w:val="20"/>
          <w:szCs w:val="20"/>
        </w:rPr>
        <w:t>Finally, with regard to the petitioner’s argument on the failure to comply with the three</w:t>
      </w:r>
      <w:r w:rsidR="007A4727">
        <w:rPr>
          <w:rFonts w:ascii="Cambria" w:hAnsi="Cambria"/>
          <w:sz w:val="20"/>
          <w:szCs w:val="20"/>
        </w:rPr>
        <w:t>-</w:t>
      </w:r>
      <w:r w:rsidRPr="00033B20">
        <w:rPr>
          <w:rFonts w:ascii="Cambria" w:hAnsi="Cambria"/>
          <w:sz w:val="20"/>
          <w:szCs w:val="20"/>
        </w:rPr>
        <w:t xml:space="preserve">month term for responding to the petition before the IACHR, the State notes that in the terms of Article 30(6) of the Commission’s Rules of Procedure, the considerations and questions raised to challenge admissibility must be </w:t>
      </w:r>
      <w:r w:rsidR="00BC2F9C">
        <w:rPr>
          <w:rFonts w:ascii="Cambria" w:hAnsi="Cambria"/>
          <w:sz w:val="20"/>
          <w:szCs w:val="20"/>
        </w:rPr>
        <w:t xml:space="preserve">submitted </w:t>
      </w:r>
      <w:r w:rsidRPr="00033B20">
        <w:rPr>
          <w:rFonts w:ascii="Cambria" w:hAnsi="Cambria"/>
          <w:sz w:val="20"/>
          <w:szCs w:val="20"/>
        </w:rPr>
        <w:t>“</w:t>
      </w:r>
      <w:r w:rsidR="00BC2F9C" w:rsidRPr="00BC2F9C">
        <w:rPr>
          <w:rFonts w:ascii="Cambria" w:hAnsi="Cambria"/>
          <w:i/>
          <w:iCs/>
          <w:sz w:val="20"/>
          <w:szCs w:val="20"/>
        </w:rPr>
        <w:t>as from the time that the relevant parts of the petition are forwarded to the State and prior to the Commission’s decision on admissibility</w:t>
      </w:r>
      <w:r w:rsidRPr="00033B20">
        <w:rPr>
          <w:rFonts w:ascii="Cambria" w:hAnsi="Cambria"/>
          <w:i/>
          <w:iCs/>
          <w:sz w:val="20"/>
          <w:szCs w:val="20"/>
        </w:rPr>
        <w:t>.</w:t>
      </w:r>
      <w:r w:rsidRPr="00033B20">
        <w:rPr>
          <w:rFonts w:ascii="Cambria" w:hAnsi="Cambria"/>
          <w:sz w:val="20"/>
          <w:szCs w:val="20"/>
        </w:rPr>
        <w:t xml:space="preserve">” </w:t>
      </w:r>
    </w:p>
    <w:p w14:paraId="73652137" w14:textId="77777777" w:rsidR="00033B20" w:rsidRDefault="00033B20" w:rsidP="002B2646">
      <w:pPr>
        <w:pStyle w:val="ListParagraph"/>
        <w:spacing w:after="240"/>
        <w:ind w:left="0" w:firstLine="720"/>
        <w:jc w:val="both"/>
        <w:rPr>
          <w:rFonts w:ascii="Cambria" w:hAnsi="Cambria"/>
          <w:b/>
          <w:bCs/>
          <w:sz w:val="20"/>
          <w:szCs w:val="20"/>
        </w:rPr>
      </w:pPr>
      <w:r w:rsidRPr="00033B20">
        <w:rPr>
          <w:rFonts w:ascii="Cambria" w:hAnsi="Cambria"/>
          <w:b/>
          <w:sz w:val="20"/>
          <w:szCs w:val="20"/>
        </w:rPr>
        <w:t xml:space="preserve">VI. </w:t>
      </w:r>
      <w:r w:rsidRPr="00033B20">
        <w:rPr>
          <w:rFonts w:ascii="Cambria" w:hAnsi="Cambria"/>
          <w:b/>
          <w:sz w:val="20"/>
          <w:szCs w:val="20"/>
        </w:rPr>
        <w:tab/>
      </w:r>
      <w:r w:rsidRPr="00033B20">
        <w:rPr>
          <w:rFonts w:ascii="Cambria" w:hAnsi="Cambria"/>
          <w:b/>
          <w:bCs/>
          <w:sz w:val="20"/>
          <w:szCs w:val="20"/>
        </w:rPr>
        <w:t xml:space="preserve">ANALYSIS OF EXHAUSTION OF DOMESTIC REMEDIES AND TIMELINESS OF THE PETITION </w:t>
      </w:r>
    </w:p>
    <w:p w14:paraId="3891E961" w14:textId="77777777" w:rsidR="00704B28" w:rsidRPr="00033B20" w:rsidRDefault="00704B28" w:rsidP="002B2646">
      <w:pPr>
        <w:pStyle w:val="ListParagraph"/>
        <w:spacing w:after="240"/>
        <w:ind w:left="0" w:firstLine="720"/>
        <w:jc w:val="both"/>
        <w:rPr>
          <w:rFonts w:ascii="Cambria" w:hAnsi="Cambria"/>
          <w:sz w:val="20"/>
          <w:szCs w:val="20"/>
        </w:rPr>
      </w:pPr>
    </w:p>
    <w:p w14:paraId="09B81EA4" w14:textId="136702C1" w:rsidR="00033B20" w:rsidRPr="00033B20" w:rsidRDefault="00033B20" w:rsidP="002B2646">
      <w:pPr>
        <w:pStyle w:val="ListParagraph"/>
        <w:numPr>
          <w:ilvl w:val="0"/>
          <w:numId w:val="1"/>
        </w:numPr>
        <w:autoSpaceDE w:val="0"/>
        <w:autoSpaceDN w:val="0"/>
        <w:spacing w:after="240" w:line="240" w:lineRule="auto"/>
        <w:ind w:left="0" w:firstLine="720"/>
        <w:contextualSpacing w:val="0"/>
        <w:jc w:val="both"/>
        <w:rPr>
          <w:rFonts w:ascii="Cambria" w:hAnsi="Cambria"/>
          <w:sz w:val="20"/>
          <w:szCs w:val="20"/>
        </w:rPr>
      </w:pPr>
      <w:r w:rsidRPr="00033B20">
        <w:rPr>
          <w:rFonts w:ascii="Cambria" w:hAnsi="Cambria"/>
          <w:sz w:val="20"/>
          <w:szCs w:val="20"/>
        </w:rPr>
        <w:t xml:space="preserve">On a preliminary basis, the Inter-American Commission clarifies that in order to analyze the exhaustion of domestic remedies it will take into account the considerations and questions raised prior to the adoption of this decision on admissibility, which includes all the </w:t>
      </w:r>
      <w:r w:rsidR="00037785">
        <w:rPr>
          <w:rFonts w:ascii="Cambria" w:hAnsi="Cambria"/>
          <w:sz w:val="20"/>
          <w:szCs w:val="20"/>
        </w:rPr>
        <w:t xml:space="preserve">memorials </w:t>
      </w:r>
      <w:r w:rsidRPr="00033B20">
        <w:rPr>
          <w:rFonts w:ascii="Cambria" w:hAnsi="Cambria"/>
          <w:sz w:val="20"/>
          <w:szCs w:val="20"/>
        </w:rPr>
        <w:t xml:space="preserve">mentioned in Section II of this report.  </w:t>
      </w:r>
    </w:p>
    <w:p w14:paraId="777C1D2A" w14:textId="5E616E09" w:rsidR="00033B20" w:rsidRPr="00033B20" w:rsidRDefault="00033B20" w:rsidP="002B2646">
      <w:pPr>
        <w:pStyle w:val="ListParagraph"/>
        <w:numPr>
          <w:ilvl w:val="0"/>
          <w:numId w:val="1"/>
        </w:numPr>
        <w:autoSpaceDE w:val="0"/>
        <w:autoSpaceDN w:val="0"/>
        <w:spacing w:after="240" w:line="240" w:lineRule="auto"/>
        <w:ind w:left="0" w:firstLine="720"/>
        <w:contextualSpacing w:val="0"/>
        <w:jc w:val="both"/>
        <w:rPr>
          <w:rFonts w:ascii="Cambria" w:hAnsi="Cambria"/>
          <w:sz w:val="20"/>
          <w:szCs w:val="20"/>
        </w:rPr>
      </w:pPr>
      <w:r w:rsidRPr="00033B20">
        <w:rPr>
          <w:rFonts w:ascii="Cambria" w:hAnsi="Cambria"/>
          <w:sz w:val="20"/>
          <w:szCs w:val="20"/>
        </w:rPr>
        <w:t xml:space="preserve">The </w:t>
      </w:r>
      <w:r w:rsidR="00037785">
        <w:rPr>
          <w:rFonts w:ascii="Cambria" w:hAnsi="Cambria"/>
          <w:sz w:val="20"/>
          <w:szCs w:val="20"/>
        </w:rPr>
        <w:t xml:space="preserve">subject matter </w:t>
      </w:r>
      <w:r w:rsidRPr="00033B20">
        <w:rPr>
          <w:rFonts w:ascii="Cambria" w:hAnsi="Cambria"/>
          <w:sz w:val="20"/>
          <w:szCs w:val="20"/>
        </w:rPr>
        <w:t>of the petition is the alleged arrest without a judicial order, the lack of communication with the consulate, and the expulsion from the country of Mr. James Colin McNaughton.</w:t>
      </w:r>
    </w:p>
    <w:p w14:paraId="6F77DF2C" w14:textId="2A9879E8" w:rsidR="00033B20" w:rsidRPr="00033B20" w:rsidRDefault="00033B20" w:rsidP="002B2646">
      <w:pPr>
        <w:pStyle w:val="ListParagraph"/>
        <w:numPr>
          <w:ilvl w:val="0"/>
          <w:numId w:val="1"/>
        </w:numPr>
        <w:autoSpaceDE w:val="0"/>
        <w:autoSpaceDN w:val="0"/>
        <w:spacing w:after="240" w:line="240" w:lineRule="auto"/>
        <w:ind w:left="0" w:firstLine="720"/>
        <w:contextualSpacing w:val="0"/>
        <w:jc w:val="both"/>
        <w:rPr>
          <w:rFonts w:ascii="Cambria" w:hAnsi="Cambria"/>
          <w:sz w:val="20"/>
          <w:szCs w:val="20"/>
        </w:rPr>
      </w:pPr>
      <w:r w:rsidRPr="00033B20">
        <w:rPr>
          <w:rFonts w:ascii="Cambria" w:hAnsi="Cambria"/>
          <w:sz w:val="20"/>
          <w:szCs w:val="20"/>
        </w:rPr>
        <w:t>The State alleges that the petition</w:t>
      </w:r>
      <w:r w:rsidR="00E140B2">
        <w:rPr>
          <w:rFonts w:ascii="Cambria" w:hAnsi="Cambria"/>
          <w:sz w:val="20"/>
          <w:szCs w:val="20"/>
        </w:rPr>
        <w:t>er</w:t>
      </w:r>
      <w:r w:rsidRPr="00033B20">
        <w:rPr>
          <w:rFonts w:ascii="Cambria" w:hAnsi="Cambria"/>
          <w:sz w:val="20"/>
          <w:szCs w:val="20"/>
        </w:rPr>
        <w:t xml:space="preserve"> had access to two suitable domestic mechanisms to call into question the expulsion resolution: the action for nullity and reestablishment of the right, and the </w:t>
      </w:r>
      <w:r w:rsidRPr="00E140B2">
        <w:rPr>
          <w:rFonts w:ascii="Cambria" w:hAnsi="Cambria"/>
          <w:i/>
          <w:iCs/>
          <w:sz w:val="20"/>
          <w:szCs w:val="20"/>
        </w:rPr>
        <w:t>tutela</w:t>
      </w:r>
      <w:r w:rsidRPr="00033B20">
        <w:rPr>
          <w:rFonts w:ascii="Cambria" w:hAnsi="Cambria"/>
          <w:sz w:val="20"/>
          <w:szCs w:val="20"/>
        </w:rPr>
        <w:t xml:space="preserve"> action. In addition, it argues that these mechanisms made it possible to request precautionary measures to safeguard the petitioner’s rights, but that he did not make use of them. It argues that the failure to </w:t>
      </w:r>
      <w:r w:rsidR="00E542CC">
        <w:rPr>
          <w:rFonts w:ascii="Cambria" w:hAnsi="Cambria"/>
          <w:sz w:val="20"/>
          <w:szCs w:val="20"/>
        </w:rPr>
        <w:t xml:space="preserve">pursue </w:t>
      </w:r>
      <w:r w:rsidRPr="00033B20">
        <w:rPr>
          <w:rFonts w:ascii="Cambria" w:hAnsi="Cambria"/>
          <w:sz w:val="20"/>
          <w:szCs w:val="20"/>
        </w:rPr>
        <w:t xml:space="preserve">regular remedies, such as the failure to have recourse to a </w:t>
      </w:r>
      <w:r w:rsidRPr="00033B20">
        <w:rPr>
          <w:rFonts w:ascii="Cambria" w:hAnsi="Cambria"/>
          <w:i/>
          <w:iCs/>
          <w:sz w:val="20"/>
          <w:szCs w:val="20"/>
        </w:rPr>
        <w:t>tutela</w:t>
      </w:r>
      <w:r w:rsidRPr="00033B20">
        <w:rPr>
          <w:rFonts w:ascii="Cambria" w:hAnsi="Cambria"/>
          <w:sz w:val="20"/>
          <w:szCs w:val="20"/>
        </w:rPr>
        <w:t xml:space="preserve"> action, </w:t>
      </w:r>
      <w:r w:rsidR="00E542CC">
        <w:rPr>
          <w:rFonts w:ascii="Cambria" w:hAnsi="Cambria"/>
          <w:sz w:val="20"/>
          <w:szCs w:val="20"/>
        </w:rPr>
        <w:t xml:space="preserve">falls short of meeting </w:t>
      </w:r>
      <w:r w:rsidRPr="00033B20">
        <w:rPr>
          <w:rFonts w:ascii="Cambria" w:hAnsi="Cambria"/>
          <w:sz w:val="20"/>
          <w:szCs w:val="20"/>
        </w:rPr>
        <w:t xml:space="preserve">the prior exhaustion requirement. </w:t>
      </w:r>
    </w:p>
    <w:p w14:paraId="64B99232" w14:textId="54823917" w:rsidR="00033B20" w:rsidRPr="00033B20" w:rsidRDefault="00033B20" w:rsidP="002B2646">
      <w:pPr>
        <w:pStyle w:val="ListParagraph"/>
        <w:numPr>
          <w:ilvl w:val="0"/>
          <w:numId w:val="1"/>
        </w:numPr>
        <w:autoSpaceDE w:val="0"/>
        <w:autoSpaceDN w:val="0"/>
        <w:spacing w:after="240" w:line="240" w:lineRule="auto"/>
        <w:ind w:left="0" w:firstLine="720"/>
        <w:contextualSpacing w:val="0"/>
        <w:jc w:val="both"/>
        <w:rPr>
          <w:rFonts w:ascii="Cambria" w:hAnsi="Cambria"/>
          <w:sz w:val="20"/>
          <w:szCs w:val="20"/>
        </w:rPr>
      </w:pPr>
      <w:r w:rsidRPr="00033B20">
        <w:rPr>
          <w:rFonts w:ascii="Cambria" w:hAnsi="Cambria"/>
          <w:sz w:val="20"/>
          <w:szCs w:val="20"/>
        </w:rPr>
        <w:t>For his part, the petition</w:t>
      </w:r>
      <w:r w:rsidR="00E542CC">
        <w:rPr>
          <w:rFonts w:ascii="Cambria" w:hAnsi="Cambria"/>
          <w:sz w:val="20"/>
          <w:szCs w:val="20"/>
        </w:rPr>
        <w:t>er</w:t>
      </w:r>
      <w:r w:rsidRPr="00033B20">
        <w:rPr>
          <w:rFonts w:ascii="Cambria" w:hAnsi="Cambria"/>
          <w:sz w:val="20"/>
          <w:szCs w:val="20"/>
        </w:rPr>
        <w:t xml:space="preserve"> alleges generally that he did exhaust domestic remedies due to the absence of effective due process guarantees. Nonetheless, he did not produce specific information on the alleged impossibility of access or the inefficacy of the remedies available. </w:t>
      </w:r>
    </w:p>
    <w:p w14:paraId="3E2A61B4" w14:textId="037FBF87" w:rsidR="00033B20" w:rsidRPr="00033B20" w:rsidRDefault="00033B20" w:rsidP="002B2646">
      <w:pPr>
        <w:pStyle w:val="ListParagraph"/>
        <w:numPr>
          <w:ilvl w:val="0"/>
          <w:numId w:val="1"/>
        </w:numPr>
        <w:autoSpaceDE w:val="0"/>
        <w:autoSpaceDN w:val="0"/>
        <w:spacing w:after="240" w:line="240" w:lineRule="auto"/>
        <w:ind w:left="0" w:firstLine="720"/>
        <w:contextualSpacing w:val="0"/>
        <w:jc w:val="both"/>
        <w:rPr>
          <w:rFonts w:ascii="Cambria" w:hAnsi="Cambria"/>
          <w:sz w:val="20"/>
          <w:szCs w:val="20"/>
        </w:rPr>
      </w:pPr>
      <w:r w:rsidRPr="00033B20">
        <w:rPr>
          <w:rFonts w:ascii="Cambria" w:hAnsi="Cambria"/>
          <w:sz w:val="20"/>
          <w:szCs w:val="20"/>
        </w:rPr>
        <w:t xml:space="preserve">The Inter-American Commission reiterates that the requirement of exhaustion of domestic remedies does not imply that the alleged victims have the obligation to exhaust all possible remedies at their disposal. In this regard, the IACHR has maintained that </w:t>
      </w:r>
      <w:r w:rsidR="00235BCB">
        <w:rPr>
          <w:rFonts w:ascii="Cambria" w:hAnsi="Cambria"/>
          <w:sz w:val="20"/>
          <w:szCs w:val="20"/>
        </w:rPr>
        <w:t>“</w:t>
      </w:r>
      <w:r w:rsidR="00235BCB">
        <w:rPr>
          <w:rFonts w:ascii="Cambria" w:hAnsi="Cambria"/>
          <w:i/>
          <w:iCs/>
          <w:sz w:val="20"/>
          <w:szCs w:val="20"/>
        </w:rPr>
        <w:t xml:space="preserve">if the alleged victim raised the issue by means of one of </w:t>
      </w:r>
      <w:r w:rsidR="00235BCB">
        <w:rPr>
          <w:rFonts w:ascii="Cambria" w:hAnsi="Cambria"/>
          <w:i/>
          <w:iCs/>
          <w:sz w:val="20"/>
          <w:szCs w:val="20"/>
        </w:rPr>
        <w:lastRenderedPageBreak/>
        <w:t>the valid and adequate alternatives as per the domestic legal system and the State had the opportunity to remedy the issue of its jurisdiction, the purpose of the international provision is satisfied.”</w:t>
      </w:r>
      <w:r w:rsidRPr="00033B20">
        <w:rPr>
          <w:rStyle w:val="FootnoteReference"/>
          <w:rFonts w:ascii="Cambria" w:hAnsi="Cambria"/>
          <w:bCs/>
          <w:sz w:val="20"/>
          <w:szCs w:val="20"/>
        </w:rPr>
        <w:footnoteReference w:id="4"/>
      </w:r>
      <w:r w:rsidRPr="00033B20">
        <w:rPr>
          <w:rFonts w:ascii="Cambria" w:hAnsi="Cambria"/>
          <w:sz w:val="20"/>
          <w:szCs w:val="20"/>
        </w:rPr>
        <w:t xml:space="preserve"> </w:t>
      </w:r>
    </w:p>
    <w:p w14:paraId="7AF3128D" w14:textId="77777777" w:rsidR="00033B20" w:rsidRPr="00033B20" w:rsidRDefault="00033B20" w:rsidP="002B2646">
      <w:pPr>
        <w:pStyle w:val="ListParagraph"/>
        <w:numPr>
          <w:ilvl w:val="0"/>
          <w:numId w:val="1"/>
        </w:numPr>
        <w:autoSpaceDE w:val="0"/>
        <w:autoSpaceDN w:val="0"/>
        <w:spacing w:after="240" w:line="240" w:lineRule="auto"/>
        <w:ind w:left="0" w:firstLine="720"/>
        <w:contextualSpacing w:val="0"/>
        <w:jc w:val="both"/>
        <w:rPr>
          <w:rFonts w:ascii="Cambria" w:hAnsi="Cambria"/>
          <w:sz w:val="20"/>
          <w:szCs w:val="20"/>
        </w:rPr>
      </w:pPr>
      <w:r w:rsidRPr="00033B20">
        <w:rPr>
          <w:rFonts w:ascii="Cambria" w:hAnsi="Cambria"/>
          <w:sz w:val="20"/>
          <w:szCs w:val="20"/>
        </w:rPr>
        <w:t xml:space="preserve">In the instant case the Inter-American Commission observes that the State identified specific judicial remedies that the petitioner could have used to challenge the expulsion resolution and the actions of the immigration authorities, such as the action for nullity and reestablishment of rights and the </w:t>
      </w:r>
      <w:r w:rsidRPr="00033B20">
        <w:rPr>
          <w:rFonts w:ascii="Cambria" w:hAnsi="Cambria"/>
          <w:i/>
          <w:iCs/>
          <w:sz w:val="20"/>
          <w:szCs w:val="20"/>
        </w:rPr>
        <w:t>tutela</w:t>
      </w:r>
      <w:r w:rsidRPr="00033B20">
        <w:rPr>
          <w:rFonts w:ascii="Cambria" w:hAnsi="Cambria"/>
          <w:sz w:val="20"/>
          <w:szCs w:val="20"/>
        </w:rPr>
        <w:t xml:space="preserve"> action. In this respect the Commission recalls that in the analysis of other petitions referring to the State of Colombia, the action for nullity and reestablishment of rights has been considered, in principle, a valid remedy for challenging resolutions that contain administrative sanctions.</w:t>
      </w:r>
      <w:r w:rsidRPr="00033B20">
        <w:rPr>
          <w:rStyle w:val="FootnoteReference"/>
          <w:rFonts w:ascii="Cambria" w:hAnsi="Cambria"/>
          <w:bCs/>
          <w:sz w:val="20"/>
          <w:szCs w:val="20"/>
        </w:rPr>
        <w:footnoteReference w:id="5"/>
      </w:r>
      <w:r w:rsidRPr="00033B20">
        <w:rPr>
          <w:rFonts w:ascii="Cambria" w:hAnsi="Cambria"/>
          <w:sz w:val="20"/>
          <w:szCs w:val="20"/>
        </w:rPr>
        <w:t xml:space="preserve"> In addition, the </w:t>
      </w:r>
      <w:r w:rsidRPr="00D95CA5">
        <w:rPr>
          <w:rFonts w:ascii="Cambria" w:hAnsi="Cambria"/>
          <w:i/>
          <w:iCs/>
          <w:sz w:val="20"/>
          <w:szCs w:val="20"/>
        </w:rPr>
        <w:t>tutela</w:t>
      </w:r>
      <w:r w:rsidRPr="00033B20">
        <w:rPr>
          <w:rFonts w:ascii="Cambria" w:hAnsi="Cambria"/>
          <w:sz w:val="20"/>
          <w:szCs w:val="20"/>
        </w:rPr>
        <w:t xml:space="preserve"> action, though on occasions not a remedy that a petitioner is obligated to exhaust, has also been considered a suitable remedy for challenging acts contrary to fundamental rights.</w:t>
      </w:r>
      <w:r w:rsidRPr="00033B20">
        <w:rPr>
          <w:rStyle w:val="FootnoteReference"/>
          <w:rFonts w:ascii="Cambria" w:hAnsi="Cambria"/>
          <w:bCs/>
          <w:sz w:val="20"/>
          <w:szCs w:val="20"/>
        </w:rPr>
        <w:footnoteReference w:id="6"/>
      </w:r>
    </w:p>
    <w:p w14:paraId="5A1B9518" w14:textId="56063A29" w:rsidR="00033B20" w:rsidRPr="00033B20" w:rsidRDefault="00033B20" w:rsidP="002B2646">
      <w:pPr>
        <w:pStyle w:val="ListParagraph"/>
        <w:numPr>
          <w:ilvl w:val="0"/>
          <w:numId w:val="1"/>
        </w:numPr>
        <w:autoSpaceDE w:val="0"/>
        <w:autoSpaceDN w:val="0"/>
        <w:spacing w:after="240" w:line="240" w:lineRule="auto"/>
        <w:ind w:left="0" w:firstLine="720"/>
        <w:contextualSpacing w:val="0"/>
        <w:jc w:val="both"/>
        <w:rPr>
          <w:rFonts w:ascii="Cambria" w:hAnsi="Cambria"/>
          <w:sz w:val="20"/>
          <w:szCs w:val="20"/>
        </w:rPr>
      </w:pPr>
      <w:r w:rsidRPr="00033B20">
        <w:rPr>
          <w:rFonts w:ascii="Cambria" w:hAnsi="Cambria"/>
          <w:sz w:val="20"/>
          <w:szCs w:val="20"/>
        </w:rPr>
        <w:t xml:space="preserve">While the State held that the petitioner and alleged victim could use the action for nullity and reestablishment of rights and the </w:t>
      </w:r>
      <w:r w:rsidRPr="00935713">
        <w:rPr>
          <w:rFonts w:ascii="Cambria" w:hAnsi="Cambria"/>
          <w:i/>
          <w:iCs/>
          <w:sz w:val="20"/>
          <w:szCs w:val="20"/>
        </w:rPr>
        <w:t>tutela</w:t>
      </w:r>
      <w:r w:rsidRPr="00033B20">
        <w:rPr>
          <w:rFonts w:ascii="Cambria" w:hAnsi="Cambria"/>
          <w:sz w:val="20"/>
          <w:szCs w:val="20"/>
        </w:rPr>
        <w:t xml:space="preserve"> action, </w:t>
      </w:r>
      <w:r w:rsidR="00935713">
        <w:rPr>
          <w:rFonts w:ascii="Cambria" w:hAnsi="Cambria"/>
          <w:sz w:val="20"/>
          <w:szCs w:val="20"/>
        </w:rPr>
        <w:t xml:space="preserve">yet </w:t>
      </w:r>
      <w:r w:rsidRPr="00033B20">
        <w:rPr>
          <w:rFonts w:ascii="Cambria" w:hAnsi="Cambria"/>
          <w:sz w:val="20"/>
          <w:szCs w:val="20"/>
        </w:rPr>
        <w:t xml:space="preserve">the adequacy and suitability of these remedies was not controverted by the petitioner. In addition, the petitioner did not provide any specific information about the filing of domestic remedies nor did he cite any obstacles that may have kept him from doing so. </w:t>
      </w:r>
      <w:r w:rsidR="007235D9">
        <w:rPr>
          <w:rFonts w:ascii="Cambria" w:hAnsi="Cambria"/>
          <w:sz w:val="20"/>
          <w:szCs w:val="20"/>
        </w:rPr>
        <w:t xml:space="preserve">His </w:t>
      </w:r>
      <w:r w:rsidRPr="00033B20">
        <w:rPr>
          <w:rFonts w:ascii="Cambria" w:hAnsi="Cambria"/>
          <w:sz w:val="20"/>
          <w:szCs w:val="20"/>
        </w:rPr>
        <w:t xml:space="preserve">general allegations on lack of effective guarantees for due process are not sufficient to exempt </w:t>
      </w:r>
      <w:r w:rsidR="008019CA">
        <w:rPr>
          <w:rFonts w:ascii="Cambria" w:hAnsi="Cambria"/>
          <w:sz w:val="20"/>
          <w:szCs w:val="20"/>
        </w:rPr>
        <w:t xml:space="preserve">the </w:t>
      </w:r>
      <w:r w:rsidRPr="00033B20">
        <w:rPr>
          <w:rFonts w:ascii="Cambria" w:hAnsi="Cambria"/>
          <w:sz w:val="20"/>
          <w:szCs w:val="20"/>
        </w:rPr>
        <w:t>petitioner from having to comply with the prior exhaustion requirement, if the contrary finding does no</w:t>
      </w:r>
      <w:r w:rsidR="007235D9">
        <w:rPr>
          <w:rFonts w:ascii="Cambria" w:hAnsi="Cambria"/>
          <w:sz w:val="20"/>
          <w:szCs w:val="20"/>
        </w:rPr>
        <w:t>t</w:t>
      </w:r>
      <w:r w:rsidRPr="00033B20">
        <w:rPr>
          <w:rFonts w:ascii="Cambria" w:hAnsi="Cambria"/>
          <w:sz w:val="20"/>
          <w:szCs w:val="20"/>
        </w:rPr>
        <w:t xml:space="preserve"> arise clearly from the record of the petition. The petitioner did not make a showing of having pursued those remedies, nor did he justify his </w:t>
      </w:r>
      <w:r w:rsidR="007235D9">
        <w:rPr>
          <w:rFonts w:ascii="Cambria" w:hAnsi="Cambria"/>
          <w:sz w:val="20"/>
          <w:szCs w:val="20"/>
        </w:rPr>
        <w:t xml:space="preserve">failure to do so. </w:t>
      </w:r>
      <w:r w:rsidRPr="00033B20">
        <w:rPr>
          <w:rFonts w:ascii="Cambria" w:hAnsi="Cambria"/>
          <w:sz w:val="20"/>
          <w:szCs w:val="20"/>
        </w:rPr>
        <w:t>Accordingly, the Commission finds that the requirement of prior exhaustion of domestic remedies established at Article 46(1)(a) of the American Convention has not been met.</w:t>
      </w:r>
    </w:p>
    <w:p w14:paraId="6F33ACE2" w14:textId="77777777" w:rsidR="00033B20" w:rsidRPr="00033B20" w:rsidRDefault="00033B20" w:rsidP="002B2646">
      <w:pPr>
        <w:pStyle w:val="ListParagraph"/>
        <w:spacing w:after="240"/>
        <w:ind w:left="0" w:firstLine="709"/>
        <w:jc w:val="both"/>
        <w:rPr>
          <w:rFonts w:ascii="Cambria" w:hAnsi="Cambria"/>
          <w:b/>
          <w:sz w:val="20"/>
          <w:szCs w:val="20"/>
        </w:rPr>
      </w:pPr>
      <w:r w:rsidRPr="00033B20">
        <w:rPr>
          <w:rFonts w:ascii="Cambria" w:hAnsi="Cambria"/>
          <w:b/>
          <w:sz w:val="20"/>
          <w:szCs w:val="20"/>
        </w:rPr>
        <w:t xml:space="preserve">VII. </w:t>
      </w:r>
      <w:r w:rsidRPr="00033B20">
        <w:rPr>
          <w:rFonts w:ascii="Cambria" w:hAnsi="Cambria"/>
          <w:b/>
          <w:sz w:val="20"/>
          <w:szCs w:val="20"/>
        </w:rPr>
        <w:tab/>
      </w:r>
      <w:r w:rsidRPr="00033B20">
        <w:rPr>
          <w:rFonts w:ascii="Cambria" w:hAnsi="Cambria"/>
          <w:b/>
          <w:bCs/>
          <w:sz w:val="20"/>
          <w:szCs w:val="20"/>
        </w:rPr>
        <w:t>DECISION</w:t>
      </w:r>
    </w:p>
    <w:p w14:paraId="2C7C3AE9" w14:textId="2CC64BD8" w:rsidR="00033B20" w:rsidRPr="00033B20" w:rsidRDefault="00033B20" w:rsidP="002B2646">
      <w:pPr>
        <w:numPr>
          <w:ilvl w:val="0"/>
          <w:numId w:val="2"/>
        </w:numPr>
        <w:suppressAutoHyphens/>
        <w:autoSpaceDE w:val="0"/>
        <w:autoSpaceDN w:val="0"/>
        <w:spacing w:after="240" w:line="240" w:lineRule="auto"/>
        <w:ind w:left="0" w:firstLine="709"/>
        <w:jc w:val="both"/>
        <w:rPr>
          <w:rFonts w:ascii="Cambria" w:hAnsi="Cambria"/>
          <w:sz w:val="20"/>
          <w:szCs w:val="20"/>
        </w:rPr>
      </w:pPr>
      <w:r w:rsidRPr="00033B20">
        <w:rPr>
          <w:rFonts w:ascii="Cambria" w:hAnsi="Cambria"/>
          <w:sz w:val="20"/>
          <w:szCs w:val="20"/>
        </w:rPr>
        <w:t>To find this petition inadmissible</w:t>
      </w:r>
      <w:r w:rsidR="00130BD6">
        <w:rPr>
          <w:rFonts w:ascii="Cambria" w:hAnsi="Cambria"/>
          <w:sz w:val="20"/>
          <w:szCs w:val="20"/>
        </w:rPr>
        <w:t>.</w:t>
      </w:r>
    </w:p>
    <w:p w14:paraId="34ECCA32" w14:textId="55076129" w:rsidR="00033B20" w:rsidRDefault="00033B20" w:rsidP="002B2646">
      <w:pPr>
        <w:numPr>
          <w:ilvl w:val="0"/>
          <w:numId w:val="2"/>
        </w:numPr>
        <w:suppressAutoHyphens/>
        <w:autoSpaceDE w:val="0"/>
        <w:autoSpaceDN w:val="0"/>
        <w:spacing w:after="240" w:line="240" w:lineRule="auto"/>
        <w:ind w:left="0" w:firstLine="709"/>
        <w:jc w:val="both"/>
        <w:rPr>
          <w:rFonts w:ascii="Cambria" w:hAnsi="Cambria"/>
          <w:sz w:val="20"/>
          <w:szCs w:val="20"/>
        </w:rPr>
      </w:pPr>
      <w:r w:rsidRPr="00033B20">
        <w:rPr>
          <w:rFonts w:ascii="Cambria" w:hAnsi="Cambria"/>
          <w:sz w:val="20"/>
          <w:szCs w:val="20"/>
        </w:rPr>
        <w:t>To notify the parties of this decision</w:t>
      </w:r>
      <w:r w:rsidR="00303E8A">
        <w:rPr>
          <w:rFonts w:ascii="Cambria" w:hAnsi="Cambria"/>
          <w:sz w:val="20"/>
          <w:szCs w:val="20"/>
        </w:rPr>
        <w:t>,</w:t>
      </w:r>
      <w:r w:rsidRPr="00033B20">
        <w:rPr>
          <w:rFonts w:ascii="Cambria" w:hAnsi="Cambria"/>
          <w:sz w:val="20"/>
          <w:szCs w:val="20"/>
        </w:rPr>
        <w:t xml:space="preserve"> to publish this decision and include it in its Annual Report to the General Assembly of the Organization of American States. </w:t>
      </w:r>
    </w:p>
    <w:p w14:paraId="79A2160E" w14:textId="698C9552" w:rsidR="0062740F" w:rsidRDefault="0062740F" w:rsidP="0062740F">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27</w:t>
      </w:r>
      <w:r w:rsidRPr="0062740F">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November,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José Luis Caballero Ochoa</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Pr>
          <w:rStyle w:val="normaltextrun"/>
          <w:rFonts w:ascii="Cambria" w:hAnsi="Cambria" w:cs="Segoe UI"/>
          <w:sz w:val="20"/>
          <w:szCs w:val="20"/>
        </w:rPr>
        <w:t>Arif Bulkan</w:t>
      </w:r>
      <w:r w:rsidRPr="00CA3324">
        <w:rPr>
          <w:rStyle w:val="normaltextrun"/>
          <w:rFonts w:ascii="Cambria" w:hAnsi="Cambria" w:cs="Segoe UI"/>
          <w:sz w:val="20"/>
          <w:szCs w:val="20"/>
        </w:rPr>
        <w:t>,</w:t>
      </w:r>
      <w:r>
        <w:rPr>
          <w:rStyle w:val="normaltextrun"/>
          <w:rFonts w:ascii="Cambria" w:hAnsi="Cambria" w:cs="Segoe UI"/>
          <w:sz w:val="20"/>
          <w:szCs w:val="20"/>
        </w:rPr>
        <w:t xml:space="preserve">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317E938A" w14:textId="77777777" w:rsidR="00130BD6" w:rsidRPr="002B2646" w:rsidRDefault="00130BD6" w:rsidP="00130BD6">
      <w:pPr>
        <w:suppressAutoHyphens/>
        <w:autoSpaceDE w:val="0"/>
        <w:autoSpaceDN w:val="0"/>
        <w:spacing w:after="240" w:line="240" w:lineRule="auto"/>
        <w:ind w:left="709"/>
        <w:jc w:val="both"/>
        <w:rPr>
          <w:rFonts w:ascii="Cambria" w:hAnsi="Cambria"/>
          <w:sz w:val="20"/>
          <w:szCs w:val="20"/>
        </w:rPr>
      </w:pPr>
    </w:p>
    <w:p w14:paraId="745B6AAB" w14:textId="77777777" w:rsidR="00033B20" w:rsidRDefault="00033B20" w:rsidP="002B2646"/>
    <w:sectPr w:rsidR="00033B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BA518" w14:textId="77777777" w:rsidR="001472F3" w:rsidRDefault="001472F3" w:rsidP="00A24E80">
      <w:pPr>
        <w:spacing w:after="0" w:line="240" w:lineRule="auto"/>
      </w:pPr>
      <w:r>
        <w:separator/>
      </w:r>
    </w:p>
  </w:endnote>
  <w:endnote w:type="continuationSeparator" w:id="0">
    <w:p w14:paraId="5D6890BE" w14:textId="77777777" w:rsidR="001472F3" w:rsidRDefault="001472F3" w:rsidP="00A24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sz w:val="16"/>
      </w:rPr>
    </w:sdtEndPr>
    <w:sdtContent>
      <w:p w14:paraId="686C7AAA" w14:textId="77777777" w:rsidR="00A24E80" w:rsidRPr="00723329" w:rsidRDefault="00A24E80">
        <w:pPr>
          <w:pStyle w:val="Footer"/>
          <w:jc w:val="center"/>
          <w:rPr>
            <w:sz w:val="16"/>
          </w:rPr>
        </w:pPr>
        <w:r w:rsidRPr="00723329">
          <w:rPr>
            <w:sz w:val="16"/>
          </w:rPr>
          <w:fldChar w:fldCharType="begin"/>
        </w:r>
        <w:r w:rsidRPr="00723329">
          <w:rPr>
            <w:sz w:val="16"/>
          </w:rPr>
          <w:instrText xml:space="preserve"> PAGE   \* MERGEFORMAT </w:instrText>
        </w:r>
        <w:r w:rsidRPr="00723329">
          <w:rPr>
            <w:sz w:val="16"/>
          </w:rPr>
          <w:fldChar w:fldCharType="separate"/>
        </w:r>
        <w:r w:rsidRPr="00723329">
          <w:rPr>
            <w:sz w:val="16"/>
          </w:rPr>
          <w:t>2</w:t>
        </w:r>
        <w:r w:rsidRPr="00723329">
          <w:rPr>
            <w:sz w:val="16"/>
          </w:rPr>
          <w:fldChar w:fldCharType="end"/>
        </w:r>
      </w:p>
    </w:sdtContent>
  </w:sdt>
  <w:p w14:paraId="24AAC7D7" w14:textId="77777777" w:rsidR="00A24E80" w:rsidRPr="00723329" w:rsidRDefault="00A24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C8F0A" w14:textId="77777777" w:rsidR="00A24E80" w:rsidRPr="00723329" w:rsidRDefault="00A24E80">
    <w:pPr>
      <w:pStyle w:val="Footer"/>
      <w:jc w:val="center"/>
    </w:pPr>
  </w:p>
  <w:p w14:paraId="6B382C40" w14:textId="77777777" w:rsidR="00A24E80" w:rsidRPr="00723329" w:rsidRDefault="00A24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CC737" w14:textId="77777777" w:rsidR="001472F3" w:rsidRDefault="001472F3" w:rsidP="00A24E80">
      <w:pPr>
        <w:spacing w:after="0" w:line="240" w:lineRule="auto"/>
      </w:pPr>
      <w:r>
        <w:separator/>
      </w:r>
    </w:p>
  </w:footnote>
  <w:footnote w:type="continuationSeparator" w:id="0">
    <w:p w14:paraId="047719C4" w14:textId="77777777" w:rsidR="001472F3" w:rsidRDefault="001472F3" w:rsidP="00A24E80">
      <w:pPr>
        <w:spacing w:after="0" w:line="240" w:lineRule="auto"/>
      </w:pPr>
      <w:r>
        <w:continuationSeparator/>
      </w:r>
    </w:p>
  </w:footnote>
  <w:footnote w:id="1">
    <w:p w14:paraId="38E5D0AD" w14:textId="77777777" w:rsidR="00A24E80" w:rsidRPr="002A42B0" w:rsidRDefault="00A24E80" w:rsidP="00303E8A">
      <w:pPr>
        <w:pStyle w:val="FootnoteText"/>
        <w:ind w:firstLine="720"/>
        <w:rPr>
          <w:rFonts w:ascii="Cambria" w:hAnsi="Cambria"/>
        </w:rPr>
      </w:pPr>
      <w:r w:rsidRPr="009D6A54">
        <w:rPr>
          <w:rStyle w:val="FootnoteReference"/>
          <w:rFonts w:ascii="Cambria" w:hAnsi="Cambria"/>
          <w:sz w:val="16"/>
          <w:szCs w:val="16"/>
        </w:rPr>
        <w:footnoteRef/>
      </w:r>
      <w:r w:rsidRPr="002A42B0">
        <w:rPr>
          <w:rFonts w:ascii="Cambria" w:hAnsi="Cambria"/>
        </w:rPr>
        <w:t xml:space="preserve"> </w:t>
      </w:r>
      <w:r w:rsidRPr="002A42B0">
        <w:rPr>
          <w:rFonts w:ascii="Cambria" w:hAnsi="Cambria"/>
          <w:sz w:val="16"/>
          <w:szCs w:val="16"/>
        </w:rPr>
        <w:t xml:space="preserve">In keeping with Article 17(2)(a) of the Commission’s Rules of Procedure, Commissioner Carlos Bernal Pulido, of Colombian nationality, did not participate in the decision in the instant matter. </w:t>
      </w:r>
    </w:p>
  </w:footnote>
  <w:footnote w:id="2">
    <w:p w14:paraId="63835E07" w14:textId="77777777" w:rsidR="00A24E80" w:rsidRPr="002A42B0" w:rsidRDefault="00A24E80" w:rsidP="00303E8A">
      <w:pPr>
        <w:pStyle w:val="FootnoteText"/>
        <w:ind w:firstLine="720"/>
        <w:jc w:val="both"/>
        <w:rPr>
          <w:rFonts w:ascii="Cambria" w:hAnsi="Cambria"/>
          <w:sz w:val="16"/>
          <w:szCs w:val="16"/>
        </w:rPr>
      </w:pPr>
      <w:r w:rsidRPr="002A42B0">
        <w:rPr>
          <w:rFonts w:ascii="Cambria" w:hAnsi="Cambria"/>
          <w:sz w:val="16"/>
          <w:szCs w:val="16"/>
          <w:vertAlign w:val="superscript"/>
        </w:rPr>
        <w:footnoteRef/>
      </w:r>
      <w:r w:rsidRPr="002A42B0">
        <w:rPr>
          <w:rFonts w:ascii="Cambria" w:hAnsi="Cambria"/>
          <w:sz w:val="16"/>
          <w:szCs w:val="16"/>
        </w:rPr>
        <w:t xml:space="preserve"> Hereinafter “the American Convention” or “the Convention.” </w:t>
      </w:r>
    </w:p>
  </w:footnote>
  <w:footnote w:id="3">
    <w:p w14:paraId="41BB22F0" w14:textId="77777777" w:rsidR="00A24E80" w:rsidRPr="002A42B0" w:rsidRDefault="00A24E80" w:rsidP="00303E8A">
      <w:pPr>
        <w:pStyle w:val="FootnoteText"/>
        <w:ind w:firstLine="720"/>
        <w:jc w:val="both"/>
        <w:rPr>
          <w:rFonts w:ascii="Cambria" w:hAnsi="Cambria"/>
          <w:sz w:val="16"/>
          <w:szCs w:val="16"/>
        </w:rPr>
      </w:pPr>
      <w:r w:rsidRPr="002A42B0">
        <w:rPr>
          <w:rStyle w:val="FootnoteReference"/>
          <w:rFonts w:ascii="Cambria" w:hAnsi="Cambria"/>
          <w:sz w:val="16"/>
          <w:szCs w:val="16"/>
        </w:rPr>
        <w:footnoteRef/>
      </w:r>
      <w:r w:rsidRPr="002A42B0">
        <w:rPr>
          <w:rFonts w:ascii="Cambria" w:hAnsi="Cambria"/>
          <w:sz w:val="16"/>
          <w:szCs w:val="16"/>
        </w:rPr>
        <w:t xml:space="preserve"> Each party’s observations were duly considered and forwarded to the other party. </w:t>
      </w:r>
    </w:p>
  </w:footnote>
  <w:footnote w:id="4">
    <w:p w14:paraId="7B15B9ED" w14:textId="104EF3E4" w:rsidR="00033B20" w:rsidRPr="00C34A3B" w:rsidRDefault="00033B20" w:rsidP="00303E8A">
      <w:pPr>
        <w:pStyle w:val="FootnoteText"/>
        <w:ind w:firstLine="720"/>
        <w:rPr>
          <w:rFonts w:ascii="Cambria" w:hAnsi="Cambria"/>
          <w:sz w:val="16"/>
          <w:szCs w:val="16"/>
        </w:rPr>
      </w:pPr>
      <w:r w:rsidRPr="00C34A3B">
        <w:rPr>
          <w:rStyle w:val="FootnoteReference"/>
          <w:rFonts w:ascii="Cambria" w:hAnsi="Cambria"/>
          <w:sz w:val="16"/>
          <w:szCs w:val="16"/>
        </w:rPr>
        <w:footnoteRef/>
      </w:r>
      <w:r w:rsidRPr="00C34A3B">
        <w:rPr>
          <w:rFonts w:ascii="Cambria" w:hAnsi="Cambria"/>
          <w:sz w:val="16"/>
          <w:szCs w:val="16"/>
        </w:rPr>
        <w:t xml:space="preserve"> IACHR, Report No. 150/22. Petition 832-13. Admissibility. </w:t>
      </w:r>
      <w:r w:rsidRPr="002B2646">
        <w:rPr>
          <w:rFonts w:ascii="Cambria" w:hAnsi="Cambria"/>
          <w:sz w:val="16"/>
          <w:szCs w:val="16"/>
          <w:lang w:val="es-US"/>
        </w:rPr>
        <w:t xml:space="preserve">Jaime Eduardo Dangond Rodríguez. Colombia. </w:t>
      </w:r>
      <w:r w:rsidRPr="00C34A3B">
        <w:rPr>
          <w:rFonts w:ascii="Cambria" w:hAnsi="Cambria"/>
          <w:sz w:val="16"/>
          <w:szCs w:val="16"/>
        </w:rPr>
        <w:t>June 30, 2022, para. 22; IACHR, Report No. 70/04, Petition 667/01, Admissibility, Jesús Manuel Naranjo Cárdenas et al., Retire</w:t>
      </w:r>
      <w:r w:rsidR="00830363">
        <w:rPr>
          <w:rFonts w:ascii="Cambria" w:hAnsi="Cambria"/>
          <w:sz w:val="16"/>
          <w:szCs w:val="16"/>
        </w:rPr>
        <w:t xml:space="preserve">d Workers and Pensions of </w:t>
      </w:r>
      <w:r w:rsidR="006B603C" w:rsidRPr="006B603C">
        <w:rPr>
          <w:rFonts w:ascii="Cambria" w:hAnsi="Cambria"/>
          <w:sz w:val="16"/>
          <w:szCs w:val="16"/>
        </w:rPr>
        <w:t>the Venezuelan International Aviation Corporation</w:t>
      </w:r>
      <w:r w:rsidR="00A02B31">
        <w:rPr>
          <w:rFonts w:ascii="Cambria" w:hAnsi="Cambria"/>
          <w:sz w:val="16"/>
          <w:szCs w:val="16"/>
        </w:rPr>
        <w:t xml:space="preserve"> VIASA, </w:t>
      </w:r>
      <w:r w:rsidRPr="00C34A3B">
        <w:rPr>
          <w:rFonts w:ascii="Cambria" w:hAnsi="Cambria"/>
          <w:sz w:val="16"/>
          <w:szCs w:val="16"/>
        </w:rPr>
        <w:t>Venezuela, October 15, 2004, para. 52.</w:t>
      </w:r>
    </w:p>
  </w:footnote>
  <w:footnote w:id="5">
    <w:p w14:paraId="0B8AAA2B" w14:textId="77777777" w:rsidR="00033B20" w:rsidRPr="00C34A3B" w:rsidRDefault="00033B20" w:rsidP="00303E8A">
      <w:pPr>
        <w:pStyle w:val="FootnoteText"/>
        <w:ind w:firstLine="720"/>
        <w:jc w:val="both"/>
        <w:rPr>
          <w:rFonts w:ascii="Cambria" w:hAnsi="Cambria"/>
          <w:sz w:val="16"/>
          <w:szCs w:val="16"/>
        </w:rPr>
      </w:pPr>
      <w:r w:rsidRPr="00C34A3B">
        <w:rPr>
          <w:rStyle w:val="FootnoteReference"/>
          <w:rFonts w:ascii="Cambria" w:hAnsi="Cambria"/>
          <w:sz w:val="16"/>
          <w:szCs w:val="16"/>
        </w:rPr>
        <w:footnoteRef/>
      </w:r>
      <w:r w:rsidRPr="00C34A3B">
        <w:rPr>
          <w:rFonts w:ascii="Cambria" w:hAnsi="Cambria"/>
          <w:sz w:val="16"/>
          <w:szCs w:val="16"/>
        </w:rPr>
        <w:t xml:space="preserve"> See, </w:t>
      </w:r>
      <w:r w:rsidRPr="00C34A3B">
        <w:rPr>
          <w:rFonts w:ascii="Cambria" w:hAnsi="Cambria"/>
          <w:i/>
          <w:iCs/>
          <w:sz w:val="16"/>
          <w:szCs w:val="16"/>
        </w:rPr>
        <w:t>e.g.</w:t>
      </w:r>
      <w:r w:rsidRPr="00C34A3B">
        <w:rPr>
          <w:rFonts w:ascii="Cambria" w:hAnsi="Cambria"/>
          <w:sz w:val="16"/>
          <w:szCs w:val="16"/>
        </w:rPr>
        <w:t>, IACHR, Report No. 150/22. Petition 832-13. Admissibility. Jaime Eduardo Dangond Rodríguez. Colombia. June 30, 2022, para. 22; IACHR, Report No. 206/20. Petition 963-10. Inadmissibility. Daniel Geovany Neira Ríos. Colombia. August 5, 2020, para. 9 (d).</w:t>
      </w:r>
    </w:p>
  </w:footnote>
  <w:footnote w:id="6">
    <w:p w14:paraId="61AEEAD7" w14:textId="77777777" w:rsidR="00033B20" w:rsidRPr="00C34A3B" w:rsidRDefault="00033B20" w:rsidP="00303E8A">
      <w:pPr>
        <w:pStyle w:val="FootnoteText"/>
        <w:ind w:firstLine="720"/>
        <w:jc w:val="both"/>
        <w:rPr>
          <w:rFonts w:ascii="Cambria" w:hAnsi="Cambria"/>
          <w:sz w:val="16"/>
          <w:szCs w:val="16"/>
          <w:lang w:val="es-ES"/>
        </w:rPr>
      </w:pPr>
      <w:r w:rsidRPr="00C34A3B">
        <w:rPr>
          <w:rStyle w:val="FootnoteReference"/>
          <w:rFonts w:ascii="Cambria" w:hAnsi="Cambria"/>
          <w:sz w:val="16"/>
          <w:szCs w:val="16"/>
        </w:rPr>
        <w:footnoteRef/>
      </w:r>
      <w:r w:rsidRPr="00C34A3B">
        <w:rPr>
          <w:rFonts w:ascii="Cambria" w:hAnsi="Cambria"/>
          <w:sz w:val="16"/>
          <w:szCs w:val="16"/>
        </w:rPr>
        <w:t xml:space="preserve"> See, </w:t>
      </w:r>
      <w:r w:rsidRPr="00C34A3B">
        <w:rPr>
          <w:rFonts w:ascii="Cambria" w:hAnsi="Cambria"/>
          <w:i/>
          <w:iCs/>
          <w:sz w:val="16"/>
          <w:szCs w:val="16"/>
        </w:rPr>
        <w:t>e.g.</w:t>
      </w:r>
      <w:r w:rsidRPr="00C34A3B">
        <w:rPr>
          <w:rFonts w:ascii="Cambria" w:hAnsi="Cambria"/>
          <w:sz w:val="16"/>
          <w:szCs w:val="16"/>
        </w:rPr>
        <w:t xml:space="preserve">, IACHR, Report No. 46/23. Petition 297-12. Admissibility. Fabio Arango Torres. Colombia. March 16, 2023, para. 18; IACHR, Report No. 241/23. Petition 596-10. Admissibility. </w:t>
      </w:r>
      <w:r w:rsidRPr="002B2646">
        <w:rPr>
          <w:rFonts w:ascii="Cambria" w:hAnsi="Cambria"/>
          <w:sz w:val="16"/>
          <w:szCs w:val="16"/>
          <w:lang w:val="es-US"/>
        </w:rPr>
        <w:t xml:space="preserve">Mauricio Pimiento Barrera. Colombia. October 10, 2023, para. 25; IACHR, Report No. 372/22. Petition 750-14. Admissibility. Martha González Rodríguez, Álvaro González Santana and family. </w:t>
      </w:r>
      <w:r w:rsidRPr="00C34A3B">
        <w:rPr>
          <w:rFonts w:ascii="Cambria" w:hAnsi="Cambria"/>
          <w:sz w:val="16"/>
          <w:szCs w:val="16"/>
        </w:rPr>
        <w:t>Colombia. December 19, 2022, paras. 6, 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E20E8" w14:textId="77777777" w:rsidR="00A24E80" w:rsidRPr="00723329" w:rsidRDefault="00A24E80" w:rsidP="00B54CDF">
    <w:pPr>
      <w:pStyle w:val="Header"/>
      <w:framePr w:wrap="around" w:vAnchor="text" w:hAnchor="margin" w:xAlign="center" w:y="1"/>
      <w:rPr>
        <w:rStyle w:val="PageNumber"/>
        <w:rFonts w:eastAsia="Trebuchet MS"/>
      </w:rPr>
    </w:pPr>
    <w:r w:rsidRPr="00723329">
      <w:rPr>
        <w:rStyle w:val="PageNumber"/>
        <w:rFonts w:eastAsia="Trebuchet MS"/>
      </w:rPr>
      <w:fldChar w:fldCharType="begin"/>
    </w:r>
    <w:r w:rsidRPr="00723329">
      <w:rPr>
        <w:rStyle w:val="PageNumber"/>
        <w:rFonts w:eastAsia="Trebuchet MS"/>
      </w:rPr>
      <w:instrText xml:space="preserve">PAGE  </w:instrText>
    </w:r>
    <w:r w:rsidRPr="00723329">
      <w:rPr>
        <w:rStyle w:val="PageNumber"/>
        <w:rFonts w:eastAsia="Trebuchet MS"/>
      </w:rPr>
      <w:fldChar w:fldCharType="end"/>
    </w:r>
  </w:p>
  <w:p w14:paraId="6E01568B" w14:textId="77777777" w:rsidR="00A24E80" w:rsidRPr="00723329" w:rsidRDefault="00A24E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0E93" w14:textId="77777777" w:rsidR="00A24E80" w:rsidRPr="00723329" w:rsidRDefault="00A24E80" w:rsidP="002C1641">
    <w:pPr>
      <w:pStyle w:val="Header"/>
      <w:jc w:val="center"/>
      <w:rPr>
        <w:sz w:val="22"/>
        <w:szCs w:val="22"/>
      </w:rPr>
    </w:pPr>
    <w:r w:rsidRPr="00723329">
      <w:rPr>
        <w:noProof/>
        <w:sz w:val="22"/>
        <w:szCs w:val="22"/>
      </w:rPr>
      <w:drawing>
        <wp:inline distT="0" distB="0" distL="0" distR="0" wp14:anchorId="467F26F8" wp14:editId="1706E2F2">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F76CC4F" w14:textId="77777777" w:rsidR="00A24E80" w:rsidRPr="00723329" w:rsidRDefault="004B0934" w:rsidP="002C1641">
    <w:pPr>
      <w:pStyle w:val="Header"/>
      <w:jc w:val="center"/>
      <w:rPr>
        <w:sz w:val="22"/>
        <w:szCs w:val="22"/>
      </w:rPr>
    </w:pPr>
    <w:r>
      <w:rPr>
        <w:sz w:val="22"/>
        <w:szCs w:val="22"/>
      </w:rPr>
      <w:pict w14:anchorId="4338165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1" w15:restartNumberingAfterBreak="0">
    <w:nsid w:val="7E001150"/>
    <w:multiLevelType w:val="hybridMultilevel"/>
    <w:tmpl w:val="F93AE47A"/>
    <w:lvl w:ilvl="0" w:tplc="BC9EAEBC">
      <w:start w:val="1"/>
      <w:numFmt w:val="decimal"/>
      <w:lvlText w:val="%1."/>
      <w:lvlJc w:val="left"/>
      <w:pPr>
        <w:ind w:left="758" w:hanging="720"/>
      </w:pPr>
      <w:rPr>
        <w:rFonts w:ascii="Cambria" w:eastAsia="Cambria" w:hAnsi="Cambria" w:cs="Cambria" w:hint="default"/>
        <w:w w:val="99"/>
        <w:sz w:val="20"/>
        <w:szCs w:val="20"/>
        <w:vertAlign w:val="baseline"/>
        <w:lang w:val="es-ES_tradnl"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num w:numId="1" w16cid:durableId="665792024">
    <w:abstractNumId w:val="1"/>
  </w:num>
  <w:num w:numId="2" w16cid:durableId="1840730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E80"/>
    <w:rsid w:val="00022EE4"/>
    <w:rsid w:val="0002735F"/>
    <w:rsid w:val="00033B20"/>
    <w:rsid w:val="00037785"/>
    <w:rsid w:val="00063FA5"/>
    <w:rsid w:val="0009278C"/>
    <w:rsid w:val="000B62B3"/>
    <w:rsid w:val="000C585A"/>
    <w:rsid w:val="000D5027"/>
    <w:rsid w:val="000E1E83"/>
    <w:rsid w:val="00130BD6"/>
    <w:rsid w:val="00135D58"/>
    <w:rsid w:val="001472F3"/>
    <w:rsid w:val="00173FF8"/>
    <w:rsid w:val="001806ED"/>
    <w:rsid w:val="001850DA"/>
    <w:rsid w:val="001E6AC3"/>
    <w:rsid w:val="002060F4"/>
    <w:rsid w:val="002359AD"/>
    <w:rsid w:val="00235BCB"/>
    <w:rsid w:val="0024164A"/>
    <w:rsid w:val="002B2646"/>
    <w:rsid w:val="002F6D97"/>
    <w:rsid w:val="00303E8A"/>
    <w:rsid w:val="00365B02"/>
    <w:rsid w:val="00381129"/>
    <w:rsid w:val="0038125A"/>
    <w:rsid w:val="003A491E"/>
    <w:rsid w:val="003B07F6"/>
    <w:rsid w:val="003C1603"/>
    <w:rsid w:val="003F5440"/>
    <w:rsid w:val="00431E29"/>
    <w:rsid w:val="00440005"/>
    <w:rsid w:val="004732B3"/>
    <w:rsid w:val="00473FF4"/>
    <w:rsid w:val="00492C80"/>
    <w:rsid w:val="00494D31"/>
    <w:rsid w:val="004B0934"/>
    <w:rsid w:val="0051048D"/>
    <w:rsid w:val="00514186"/>
    <w:rsid w:val="00524786"/>
    <w:rsid w:val="00533742"/>
    <w:rsid w:val="00541665"/>
    <w:rsid w:val="00552593"/>
    <w:rsid w:val="005A0237"/>
    <w:rsid w:val="005C38BF"/>
    <w:rsid w:val="005C69CF"/>
    <w:rsid w:val="005D25D3"/>
    <w:rsid w:val="005D438D"/>
    <w:rsid w:val="0062740F"/>
    <w:rsid w:val="006766E8"/>
    <w:rsid w:val="006B603C"/>
    <w:rsid w:val="006D66DF"/>
    <w:rsid w:val="006F50F2"/>
    <w:rsid w:val="00704B28"/>
    <w:rsid w:val="007235D9"/>
    <w:rsid w:val="00724842"/>
    <w:rsid w:val="00741E29"/>
    <w:rsid w:val="0077148F"/>
    <w:rsid w:val="00785B7A"/>
    <w:rsid w:val="007A4727"/>
    <w:rsid w:val="007A7DA2"/>
    <w:rsid w:val="007B0ACD"/>
    <w:rsid w:val="007C1150"/>
    <w:rsid w:val="0080137C"/>
    <w:rsid w:val="008019CA"/>
    <w:rsid w:val="008159C5"/>
    <w:rsid w:val="00830363"/>
    <w:rsid w:val="008335B5"/>
    <w:rsid w:val="00866B35"/>
    <w:rsid w:val="008B654E"/>
    <w:rsid w:val="00906D02"/>
    <w:rsid w:val="00931917"/>
    <w:rsid w:val="00935713"/>
    <w:rsid w:val="00935920"/>
    <w:rsid w:val="00984B67"/>
    <w:rsid w:val="00992493"/>
    <w:rsid w:val="009C57DA"/>
    <w:rsid w:val="009D6A54"/>
    <w:rsid w:val="00A02B31"/>
    <w:rsid w:val="00A24E80"/>
    <w:rsid w:val="00A30133"/>
    <w:rsid w:val="00B05929"/>
    <w:rsid w:val="00B66139"/>
    <w:rsid w:val="00B67317"/>
    <w:rsid w:val="00B96903"/>
    <w:rsid w:val="00BA1813"/>
    <w:rsid w:val="00BC2F9C"/>
    <w:rsid w:val="00BF4E71"/>
    <w:rsid w:val="00C34A3B"/>
    <w:rsid w:val="00CD41BA"/>
    <w:rsid w:val="00CD6DB4"/>
    <w:rsid w:val="00D11012"/>
    <w:rsid w:val="00D111A2"/>
    <w:rsid w:val="00D32B33"/>
    <w:rsid w:val="00D67709"/>
    <w:rsid w:val="00D76B8E"/>
    <w:rsid w:val="00D95CA5"/>
    <w:rsid w:val="00DB558D"/>
    <w:rsid w:val="00DB76B7"/>
    <w:rsid w:val="00DD40D4"/>
    <w:rsid w:val="00E06C1F"/>
    <w:rsid w:val="00E140B2"/>
    <w:rsid w:val="00E22591"/>
    <w:rsid w:val="00E542CC"/>
    <w:rsid w:val="00EC03F5"/>
    <w:rsid w:val="00EE2E95"/>
    <w:rsid w:val="00F0471B"/>
    <w:rsid w:val="00F11C22"/>
    <w:rsid w:val="00F31258"/>
    <w:rsid w:val="00F415D4"/>
    <w:rsid w:val="00F43DC2"/>
    <w:rsid w:val="00F44154"/>
    <w:rsid w:val="00F565A8"/>
    <w:rsid w:val="00FB644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CFE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E80"/>
  </w:style>
  <w:style w:type="paragraph" w:styleId="Heading1">
    <w:name w:val="heading 1"/>
    <w:basedOn w:val="Normal"/>
    <w:next w:val="Normal"/>
    <w:link w:val="Heading1Char"/>
    <w:uiPriority w:val="9"/>
    <w:qFormat/>
    <w:rsid w:val="00A24E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4E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4E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4E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4E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4E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4E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4E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4E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E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4E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4E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4E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4E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4E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4E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4E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4E80"/>
    <w:rPr>
      <w:rFonts w:eastAsiaTheme="majorEastAsia" w:cstheme="majorBidi"/>
      <w:color w:val="272727" w:themeColor="text1" w:themeTint="D8"/>
    </w:rPr>
  </w:style>
  <w:style w:type="paragraph" w:styleId="Title">
    <w:name w:val="Title"/>
    <w:basedOn w:val="Normal"/>
    <w:next w:val="Normal"/>
    <w:link w:val="TitleChar"/>
    <w:uiPriority w:val="10"/>
    <w:qFormat/>
    <w:rsid w:val="00A24E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4E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4E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4E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4E80"/>
    <w:pPr>
      <w:spacing w:before="160"/>
      <w:jc w:val="center"/>
    </w:pPr>
    <w:rPr>
      <w:i/>
      <w:iCs/>
      <w:color w:val="404040" w:themeColor="text1" w:themeTint="BF"/>
    </w:rPr>
  </w:style>
  <w:style w:type="character" w:customStyle="1" w:styleId="QuoteChar">
    <w:name w:val="Quote Char"/>
    <w:basedOn w:val="DefaultParagraphFont"/>
    <w:link w:val="Quote"/>
    <w:uiPriority w:val="29"/>
    <w:rsid w:val="00A24E80"/>
    <w:rPr>
      <w:i/>
      <w:iCs/>
      <w:color w:val="404040" w:themeColor="text1" w:themeTint="BF"/>
    </w:rPr>
  </w:style>
  <w:style w:type="paragraph" w:styleId="ListParagraph">
    <w:name w:val="List Paragraph"/>
    <w:basedOn w:val="Normal"/>
    <w:uiPriority w:val="1"/>
    <w:qFormat/>
    <w:rsid w:val="00A24E80"/>
    <w:pPr>
      <w:ind w:left="720"/>
      <w:contextualSpacing/>
    </w:pPr>
  </w:style>
  <w:style w:type="character" w:styleId="IntenseEmphasis">
    <w:name w:val="Intense Emphasis"/>
    <w:basedOn w:val="DefaultParagraphFont"/>
    <w:uiPriority w:val="21"/>
    <w:qFormat/>
    <w:rsid w:val="00A24E80"/>
    <w:rPr>
      <w:i/>
      <w:iCs/>
      <w:color w:val="0F4761" w:themeColor="accent1" w:themeShade="BF"/>
    </w:rPr>
  </w:style>
  <w:style w:type="paragraph" w:styleId="IntenseQuote">
    <w:name w:val="Intense Quote"/>
    <w:basedOn w:val="Normal"/>
    <w:next w:val="Normal"/>
    <w:link w:val="IntenseQuoteChar"/>
    <w:uiPriority w:val="30"/>
    <w:qFormat/>
    <w:rsid w:val="00A24E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4E80"/>
    <w:rPr>
      <w:i/>
      <w:iCs/>
      <w:color w:val="0F4761" w:themeColor="accent1" w:themeShade="BF"/>
    </w:rPr>
  </w:style>
  <w:style w:type="character" w:styleId="IntenseReference">
    <w:name w:val="Intense Reference"/>
    <w:basedOn w:val="DefaultParagraphFont"/>
    <w:uiPriority w:val="32"/>
    <w:qFormat/>
    <w:rsid w:val="00A24E80"/>
    <w:rPr>
      <w:b/>
      <w:bCs/>
      <w:smallCaps/>
      <w:color w:val="0F4761" w:themeColor="accent1" w:themeShade="BF"/>
      <w:spacing w:val="5"/>
    </w:rPr>
  </w:style>
  <w:style w:type="paragraph" w:styleId="Footer">
    <w:name w:val="footer"/>
    <w:basedOn w:val="Normal"/>
    <w:link w:val="FooterChar"/>
    <w:uiPriority w:val="99"/>
    <w:unhideWhenUsed/>
    <w:rsid w:val="00A24E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E80"/>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basedOn w:val="Normal"/>
    <w:link w:val="FootnoteTextChar"/>
    <w:uiPriority w:val="99"/>
    <w:unhideWhenUsed/>
    <w:qFormat/>
    <w:rsid w:val="00A24E80"/>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uiPriority w:val="99"/>
    <w:qFormat/>
    <w:rsid w:val="00A24E80"/>
    <w:rPr>
      <w:sz w:val="20"/>
      <w:szCs w:val="20"/>
    </w:rPr>
  </w:style>
  <w:style w:type="paragraph" w:styleId="Header">
    <w:name w:val="header"/>
    <w:basedOn w:val="Normal"/>
    <w:link w:val="HeaderChar"/>
    <w:uiPriority w:val="99"/>
    <w:unhideWhenUsed/>
    <w:rsid w:val="00A24E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E80"/>
  </w:style>
  <w:style w:type="character" w:styleId="PageNumber">
    <w:name w:val="page number"/>
    <w:basedOn w:val="DefaultParagraphFont"/>
    <w:rsid w:val="00A24E80"/>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link w:val="4GChar"/>
    <w:qFormat/>
    <w:rsid w:val="00A24E80"/>
    <w:rPr>
      <w:rFonts w:cs="Times New Roman"/>
      <w:vertAlign w:val="superscript"/>
    </w:rPr>
  </w:style>
  <w:style w:type="table" w:styleId="TableGrid">
    <w:name w:val="Table Grid"/>
    <w:basedOn w:val="TableNormal"/>
    <w:uiPriority w:val="39"/>
    <w:rsid w:val="00A24E80"/>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A24E80"/>
    <w:pPr>
      <w:spacing w:after="0" w:line="240" w:lineRule="auto"/>
      <w:jc w:val="both"/>
    </w:pPr>
    <w:rPr>
      <w:rFonts w:cs="Times New Roman"/>
      <w:vertAlign w:val="superscript"/>
    </w:rPr>
  </w:style>
  <w:style w:type="character" w:customStyle="1" w:styleId="normaltextrun">
    <w:name w:val="normaltextrun"/>
    <w:basedOn w:val="DefaultParagraphFont"/>
    <w:rsid w:val="00627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7F170D4C684C0FBA52E84646CC65CF"/>
        <w:category>
          <w:name w:val="General"/>
          <w:gallery w:val="placeholder"/>
        </w:category>
        <w:types>
          <w:type w:val="bbPlcHdr"/>
        </w:types>
        <w:behaviors>
          <w:behavior w:val="content"/>
        </w:behaviors>
        <w:guid w:val="{A009D367-1BD4-4659-8A15-C823AFC7D2C4}"/>
      </w:docPartPr>
      <w:docPartBody>
        <w:p w:rsidR="00AE31EC" w:rsidRDefault="00AE31EC" w:rsidP="00AE31EC">
          <w:pPr>
            <w:pStyle w:val="CF7F170D4C684C0FBA52E84646CC65CF"/>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1EC"/>
    <w:rsid w:val="000C585A"/>
    <w:rsid w:val="001B303C"/>
    <w:rsid w:val="00494D31"/>
    <w:rsid w:val="005C69CF"/>
    <w:rsid w:val="008B654E"/>
    <w:rsid w:val="00977299"/>
    <w:rsid w:val="00AE31EC"/>
    <w:rsid w:val="00E57979"/>
    <w:rsid w:val="00F415D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1EC"/>
    <w:rPr>
      <w:color w:val="808080"/>
    </w:rPr>
  </w:style>
  <w:style w:type="paragraph" w:customStyle="1" w:styleId="CF7F170D4C684C0FBA52E84646CC65CF">
    <w:name w:val="CF7F170D4C684C0FBA52E84646CC65CF"/>
    <w:rsid w:val="00AE31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6B7AF-C7FA-4F1C-BFA3-69041E722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3153</Words>
  <Characters>17977</Characters>
  <Application>Microsoft Office Word</Application>
  <DocSecurity>0</DocSecurity>
  <Lines>149</Lines>
  <Paragraphs>42</Paragraphs>
  <ScaleCrop>false</ScaleCrop>
  <Company/>
  <LinksUpToDate>false</LinksUpToDate>
  <CharactersWithSpaces>21088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2025-01-28T15:12:00Z</dcterms:created>
  <dcterms:modified xsi:type="dcterms:W3CDTF">2025-01-28T15:12:00Z</dcterms:modified>
</cp:coreProperties>
</file>