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F2BB" w14:textId="3EA6AF57" w:rsidR="00923603" w:rsidRPr="00E258B2" w:rsidRDefault="000A4B3E" w:rsidP="00923603">
      <w:pPr>
        <w:pBdr>
          <w:top w:val="nil"/>
          <w:left w:val="nil"/>
          <w:bottom w:val="nil"/>
          <w:right w:val="nil"/>
          <w:between w:val="nil"/>
          <w:bar w:val="nil"/>
        </w:pBdr>
        <w:spacing w:after="0" w:line="240" w:lineRule="auto"/>
        <w:jc w:val="both"/>
        <w:rPr>
          <w:rFonts w:ascii="Cambria" w:eastAsia="Arial Unicode MS" w:hAnsi="Cambria" w:cs="Univers"/>
          <w:b/>
          <w:bCs/>
          <w:kern w:val="0"/>
          <w:sz w:val="22"/>
          <w:szCs w:val="22"/>
          <w:bdr w:val="nil"/>
          <w:lang w:eastAsia="en-US"/>
        </w:rPr>
      </w:pPr>
      <w:r w:rsidRPr="00E258B2">
        <w:rPr>
          <w:rFonts w:ascii="Cambria" w:eastAsia="Arial Unicode MS" w:hAnsi="Cambria" w:cs="Times New Roman"/>
          <w:noProof/>
          <w:kern w:val="0"/>
          <w:bdr w:val="nil"/>
          <w:lang w:eastAsia="en-US"/>
        </w:rPr>
        <mc:AlternateContent>
          <mc:Choice Requires="wps">
            <w:drawing>
              <wp:anchor distT="0" distB="0" distL="114300" distR="114300" simplePos="0" relativeHeight="251658244" behindDoc="0" locked="0" layoutInCell="1" allowOverlap="1" wp14:anchorId="6CD693AC" wp14:editId="36EBDDF7">
                <wp:simplePos x="0" y="0"/>
                <wp:positionH relativeFrom="column">
                  <wp:posOffset>1143000</wp:posOffset>
                </wp:positionH>
                <wp:positionV relativeFrom="paragraph">
                  <wp:posOffset>-162397</wp:posOffset>
                </wp:positionV>
                <wp:extent cx="3009900" cy="752475"/>
                <wp:effectExtent l="0" t="0" r="0" b="0"/>
                <wp:wrapNone/>
                <wp:docPr id="18049189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68E36" w14:textId="558F8370" w:rsidR="00923603" w:rsidRPr="00723329" w:rsidRDefault="00923603" w:rsidP="00923603">
                            <w:r w:rsidRPr="00723329">
                              <w:rPr>
                                <w:noProof/>
                              </w:rPr>
                              <w:drawing>
                                <wp:inline distT="0" distB="0" distL="0" distR="0" wp14:anchorId="0A39DB3D" wp14:editId="6439DA76">
                                  <wp:extent cx="2523744" cy="484632"/>
                                  <wp:effectExtent l="0" t="0" r="0" b="0"/>
                                  <wp:docPr id="15" name="Picture 15" descr="C:\Users\mfontana\Documents\Eva Fontana\GRAFICA CIDH\cartas\logos\cidh-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744" cy="484632"/>
                                          </a:xfrm>
                                          <a:prstGeom prst="rect">
                                            <a:avLst/>
                                          </a:prstGeom>
                                          <a:noFill/>
                                          <a:ln>
                                            <a:noFill/>
                                          </a:ln>
                                        </pic:spPr>
                                      </pic:pic>
                                    </a:graphicData>
                                  </a:graphic>
                                </wp:inline>
                              </w:drawing>
                            </w:r>
                            <w:r w:rsidRPr="007233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693AC" id="_x0000_t202" coordsize="21600,21600" o:spt="202" path="m,l,21600r21600,l21600,xe">
                <v:stroke joinstyle="miter"/>
                <v:path gradientshapeok="t" o:connecttype="rect"/>
              </v:shapetype>
              <v:shape id="Text Box 8" o:spid="_x0000_s1026" type="#_x0000_t202" style="position:absolute;left:0;text-align:left;margin-left:90pt;margin-top:-12.8pt;width:237pt;height:5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" filled="f" stroked="f" strokeweight=".5pt">
                <v:textbox>
                  <w:txbxContent>
                    <w:p w14:paraId="0FF68E36" w14:textId="558F8370" w:rsidR="00923603" w:rsidRPr="00723329" w:rsidRDefault="00923603" w:rsidP="00923603">
                      <w:r w:rsidRPr="00723329">
                        <w:rPr>
                          <w:noProof/>
                        </w:rPr>
                        <w:drawing>
                          <wp:inline distT="0" distB="0" distL="0" distR="0" wp14:anchorId="0A39DB3D" wp14:editId="6439DA76">
                            <wp:extent cx="2523744" cy="484632"/>
                            <wp:effectExtent l="0" t="0" r="0" b="0"/>
                            <wp:docPr id="15" name="Picture 15" descr="C:\Users\mfontana\Documents\Eva Fontana\GRAFICA CIDH\cartas\logos\cidh-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744" cy="484632"/>
                                    </a:xfrm>
                                    <a:prstGeom prst="rect">
                                      <a:avLst/>
                                    </a:prstGeom>
                                    <a:noFill/>
                                    <a:ln>
                                      <a:noFill/>
                                    </a:ln>
                                  </pic:spPr>
                                </pic:pic>
                              </a:graphicData>
                            </a:graphic>
                          </wp:inline>
                        </w:drawing>
                      </w:r>
                      <w:r w:rsidRPr="00723329">
                        <w:t xml:space="preserve"> </w:t>
                      </w:r>
                    </w:p>
                  </w:txbxContent>
                </v:textbox>
              </v:shape>
            </w:pict>
          </mc:Fallback>
        </mc:AlternateContent>
      </w:r>
      <w:r w:rsidRPr="00E258B2">
        <w:rPr>
          <w:rFonts w:ascii="Cambria" w:eastAsia="Arial Unicode MS" w:hAnsi="Cambria" w:cs="Times New Roman"/>
          <w:noProof/>
          <w:kern w:val="0"/>
          <w:bdr w:val="nil"/>
          <w:lang w:eastAsia="en-US"/>
        </w:rPr>
        <mc:AlternateContent>
          <mc:Choice Requires="wps">
            <w:drawing>
              <wp:anchor distT="0" distB="0" distL="114300" distR="114300" simplePos="0" relativeHeight="251658240" behindDoc="0" locked="0" layoutInCell="1" allowOverlap="1" wp14:anchorId="7DF64C35" wp14:editId="3C1C975B">
                <wp:simplePos x="0" y="0"/>
                <wp:positionH relativeFrom="column">
                  <wp:posOffset>-402590</wp:posOffset>
                </wp:positionH>
                <wp:positionV relativeFrom="paragraph">
                  <wp:posOffset>-62393</wp:posOffset>
                </wp:positionV>
                <wp:extent cx="1409700" cy="8350250"/>
                <wp:effectExtent l="0" t="0" r="0" b="0"/>
                <wp:wrapNone/>
                <wp:docPr id="15756986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35025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430327B" id="Rectangle 7" o:spid="_x0000_s1026" style="position:absolute;margin-left:-31.7pt;margin-top:-4.9pt;width:111pt;height: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" fillcolor="#67ae3c" stroked="f" strokeweight="1pt"/>
            </w:pict>
          </mc:Fallback>
        </mc:AlternateContent>
      </w:r>
    </w:p>
    <w:p w14:paraId="62B2B0D2"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kern w:val="0"/>
          <w:sz w:val="22"/>
          <w:szCs w:val="22"/>
          <w:bdr w:val="nil"/>
          <w:lang w:eastAsia="en-US"/>
        </w:rPr>
      </w:pPr>
    </w:p>
    <w:p w14:paraId="7C364DAA"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kern w:val="0"/>
          <w:sz w:val="22"/>
          <w:szCs w:val="22"/>
          <w:bdr w:val="nil"/>
          <w:lang w:eastAsia="en-US"/>
        </w:rPr>
      </w:pPr>
    </w:p>
    <w:p w14:paraId="4A4E69BE"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3D3B88F2"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30018D79"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469D2177"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1519A926"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147AE542"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49B9CF45"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7851700A"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67443800"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3F254851"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14542FFC"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7CC180E1" w14:textId="6F450821" w:rsidR="00923603" w:rsidRPr="00E258B2" w:rsidRDefault="00CE0F88"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r w:rsidRPr="00E258B2">
        <w:rPr>
          <w:rFonts w:ascii="Cambria" w:eastAsia="Arial Unicode MS" w:hAnsi="Cambria" w:cstheme="majorBidi"/>
          <w:noProof/>
          <w:kern w:val="0"/>
          <w:bdr w:val="nil"/>
          <w:lang w:eastAsia="en-US"/>
        </w:rPr>
        <mc:AlternateContent>
          <mc:Choice Requires="wps">
            <w:drawing>
              <wp:anchor distT="0" distB="0" distL="114300" distR="114300" simplePos="0" relativeHeight="251658243" behindDoc="0" locked="0" layoutInCell="1" allowOverlap="1" wp14:anchorId="7EEC2897" wp14:editId="4AA6778C">
                <wp:simplePos x="0" y="0"/>
                <wp:positionH relativeFrom="column">
                  <wp:posOffset>-377825</wp:posOffset>
                </wp:positionH>
                <wp:positionV relativeFrom="paragraph">
                  <wp:posOffset>127000</wp:posOffset>
                </wp:positionV>
                <wp:extent cx="1334135" cy="1377315"/>
                <wp:effectExtent l="0" t="0" r="0" b="0"/>
                <wp:wrapNone/>
                <wp:docPr id="10900128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95FA1" w14:textId="71447F0E" w:rsidR="00923603" w:rsidRPr="00937692" w:rsidRDefault="00923603" w:rsidP="00923603">
                            <w:pPr>
                              <w:spacing w:after="0"/>
                              <w:jc w:val="right"/>
                              <w:rPr>
                                <w:color w:val="FFFFFF" w:themeColor="background1"/>
                                <w:sz w:val="22"/>
                                <w:lang w:val="pt-BR"/>
                              </w:rPr>
                            </w:pPr>
                            <w:r w:rsidRPr="00937692">
                              <w:rPr>
                                <w:color w:val="FFFFFF" w:themeColor="background1"/>
                                <w:sz w:val="22"/>
                                <w:lang w:val="pt-BR"/>
                              </w:rPr>
                              <w:t>OAS/Ser.L/V/II.</w:t>
                            </w:r>
                          </w:p>
                          <w:p w14:paraId="15568C17" w14:textId="47260385" w:rsidR="00923603" w:rsidRPr="00723329" w:rsidRDefault="00923603" w:rsidP="00923603">
                            <w:pPr>
                              <w:spacing w:after="0"/>
                              <w:jc w:val="right"/>
                              <w:rPr>
                                <w:color w:val="FFFFFF" w:themeColor="background1"/>
                                <w:sz w:val="22"/>
                              </w:rPr>
                            </w:pPr>
                            <w:r w:rsidRPr="00723329">
                              <w:rPr>
                                <w:color w:val="FFFFFF" w:themeColor="background1"/>
                                <w:sz w:val="22"/>
                              </w:rPr>
                              <w:t xml:space="preserve">Doc. </w:t>
                            </w:r>
                            <w:r w:rsidR="006C1F18">
                              <w:rPr>
                                <w:color w:val="FFFFFF" w:themeColor="background1"/>
                                <w:sz w:val="22"/>
                              </w:rPr>
                              <w:t>241</w:t>
                            </w:r>
                          </w:p>
                          <w:p w14:paraId="344917B6" w14:textId="0394A75B" w:rsidR="00923603" w:rsidRPr="00723329" w:rsidRDefault="000A4B3E" w:rsidP="00923603">
                            <w:pPr>
                              <w:spacing w:after="0"/>
                              <w:jc w:val="right"/>
                              <w:rPr>
                                <w:color w:val="FFFFFF" w:themeColor="background1"/>
                                <w:sz w:val="22"/>
                              </w:rPr>
                            </w:pPr>
                            <w:r>
                              <w:rPr>
                                <w:color w:val="FFFFFF" w:themeColor="background1"/>
                                <w:sz w:val="22"/>
                              </w:rPr>
                              <w:t>5 December</w:t>
                            </w:r>
                            <w:r w:rsidR="00923603" w:rsidRPr="00723329">
                              <w:rPr>
                                <w:color w:val="FFFFFF" w:themeColor="background1"/>
                                <w:sz w:val="22"/>
                              </w:rPr>
                              <w:t xml:space="preserve"> 2024</w:t>
                            </w:r>
                          </w:p>
                          <w:p w14:paraId="731F7449" w14:textId="77777777" w:rsidR="00923603" w:rsidRPr="00723329" w:rsidRDefault="00923603" w:rsidP="00923603">
                            <w:pPr>
                              <w:spacing w:after="0"/>
                              <w:jc w:val="right"/>
                              <w:rPr>
                                <w:color w:val="FFFFFF" w:themeColor="background1"/>
                                <w:sz w:val="22"/>
                              </w:rPr>
                            </w:pPr>
                            <w:r w:rsidRPr="00723329">
                              <w:rPr>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C2897" id="Text Box 6" o:spid="_x0000_s1027" type="#_x0000_t202" style="position:absolute;left:0;text-align:left;margin-left:-29.75pt;margin-top:10pt;width:105.0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" filled="f" stroked="f" strokeweight=".5pt">
                <v:textbox>
                  <w:txbxContent>
                    <w:p w14:paraId="52795FA1" w14:textId="71447F0E" w:rsidR="00923603" w:rsidRPr="00937692" w:rsidRDefault="00923603" w:rsidP="00923603">
                      <w:pPr>
                        <w:spacing w:after="0"/>
                        <w:jc w:val="right"/>
                        <w:rPr>
                          <w:color w:val="FFFFFF" w:themeColor="background1"/>
                          <w:sz w:val="22"/>
                          <w:lang w:val="pt-BR"/>
                        </w:rPr>
                      </w:pPr>
                      <w:r w:rsidRPr="00937692">
                        <w:rPr>
                          <w:color w:val="FFFFFF" w:themeColor="background1"/>
                          <w:sz w:val="22"/>
                          <w:lang w:val="pt-BR"/>
                        </w:rPr>
                        <w:t>OAS/Ser.L/V/II.</w:t>
                      </w:r>
                    </w:p>
                    <w:p w14:paraId="15568C17" w14:textId="47260385" w:rsidR="00923603" w:rsidRPr="00723329" w:rsidRDefault="00923603" w:rsidP="00923603">
                      <w:pPr>
                        <w:spacing w:after="0"/>
                        <w:jc w:val="right"/>
                        <w:rPr>
                          <w:color w:val="FFFFFF" w:themeColor="background1"/>
                          <w:sz w:val="22"/>
                        </w:rPr>
                      </w:pPr>
                      <w:r w:rsidRPr="00723329">
                        <w:rPr>
                          <w:color w:val="FFFFFF" w:themeColor="background1"/>
                          <w:sz w:val="22"/>
                        </w:rPr>
                        <w:t xml:space="preserve">Doc. </w:t>
                      </w:r>
                      <w:r w:rsidR="006C1F18">
                        <w:rPr>
                          <w:color w:val="FFFFFF" w:themeColor="background1"/>
                          <w:sz w:val="22"/>
                        </w:rPr>
                        <w:t>241</w:t>
                      </w:r>
                    </w:p>
                    <w:p w14:paraId="344917B6" w14:textId="0394A75B" w:rsidR="00923603" w:rsidRPr="00723329" w:rsidRDefault="000A4B3E" w:rsidP="00923603">
                      <w:pPr>
                        <w:spacing w:after="0"/>
                        <w:jc w:val="right"/>
                        <w:rPr>
                          <w:color w:val="FFFFFF" w:themeColor="background1"/>
                          <w:sz w:val="22"/>
                        </w:rPr>
                      </w:pPr>
                      <w:r>
                        <w:rPr>
                          <w:color w:val="FFFFFF" w:themeColor="background1"/>
                          <w:sz w:val="22"/>
                        </w:rPr>
                        <w:t>5 December</w:t>
                      </w:r>
                      <w:r w:rsidR="00923603" w:rsidRPr="00723329">
                        <w:rPr>
                          <w:color w:val="FFFFFF" w:themeColor="background1"/>
                          <w:sz w:val="22"/>
                        </w:rPr>
                        <w:t xml:space="preserve"> 2024</w:t>
                      </w:r>
                    </w:p>
                    <w:p w14:paraId="731F7449" w14:textId="77777777" w:rsidR="00923603" w:rsidRPr="00723329" w:rsidRDefault="00923603" w:rsidP="00923603">
                      <w:pPr>
                        <w:spacing w:after="0"/>
                        <w:jc w:val="right"/>
                        <w:rPr>
                          <w:color w:val="FFFFFF" w:themeColor="background1"/>
                          <w:sz w:val="22"/>
                        </w:rPr>
                      </w:pPr>
                      <w:r w:rsidRPr="00723329">
                        <w:rPr>
                          <w:color w:val="FFFFFF" w:themeColor="background1"/>
                          <w:sz w:val="22"/>
                        </w:rPr>
                        <w:t>Original: Spanish</w:t>
                      </w:r>
                    </w:p>
                  </w:txbxContent>
                </v:textbox>
              </v:shape>
            </w:pict>
          </mc:Fallback>
        </mc:AlternateContent>
      </w:r>
      <w:r w:rsidRPr="00E258B2">
        <w:rPr>
          <w:rFonts w:ascii="Cambria" w:eastAsia="Arial Unicode MS" w:hAnsi="Cambria" w:cstheme="majorBidi"/>
          <w:noProof/>
          <w:kern w:val="0"/>
          <w:bdr w:val="nil"/>
          <w:lang w:eastAsia="en-US"/>
        </w:rPr>
        <mc:AlternateContent>
          <mc:Choice Requires="wps">
            <w:drawing>
              <wp:anchor distT="0" distB="0" distL="114300" distR="114300" simplePos="0" relativeHeight="251658241" behindDoc="0" locked="0" layoutInCell="1" allowOverlap="1" wp14:anchorId="44DE137A" wp14:editId="468F6680">
                <wp:simplePos x="0" y="0"/>
                <wp:positionH relativeFrom="column">
                  <wp:posOffset>1209675</wp:posOffset>
                </wp:positionH>
                <wp:positionV relativeFrom="paragraph">
                  <wp:posOffset>79375</wp:posOffset>
                </wp:positionV>
                <wp:extent cx="4333875" cy="2350770"/>
                <wp:effectExtent l="0" t="0" r="0" b="0"/>
                <wp:wrapNone/>
                <wp:docPr id="7081292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3280B" w14:textId="19886E93" w:rsidR="00923603" w:rsidRPr="00723329" w:rsidRDefault="00923603" w:rsidP="004E7C9F">
                            <w:pPr>
                              <w:spacing w:after="0" w:line="240"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REPORT No. </w:t>
                            </w:r>
                            <w:r w:rsidR="004E7C9F">
                              <w:rPr>
                                <w:rFonts w:ascii="Cambria" w:hAnsi="Cambria" w:cstheme="majorBidi"/>
                                <w:b/>
                                <w:bCs/>
                                <w:color w:val="0D0D0D" w:themeColor="text1" w:themeTint="F2"/>
                                <w:sz w:val="36"/>
                                <w:szCs w:val="40"/>
                              </w:rPr>
                              <w:t>229</w:t>
                            </w:r>
                            <w:r w:rsidRPr="00723329">
                              <w:rPr>
                                <w:rFonts w:ascii="Cambria" w:hAnsi="Cambria" w:cstheme="majorBidi"/>
                                <w:b/>
                                <w:bCs/>
                                <w:color w:val="0D0D0D" w:themeColor="text1" w:themeTint="F2"/>
                                <w:sz w:val="36"/>
                                <w:szCs w:val="40"/>
                              </w:rPr>
                              <w:t>/24</w:t>
                            </w:r>
                          </w:p>
                          <w:p w14:paraId="5C440835" w14:textId="23BAAA48" w:rsidR="00923603" w:rsidRPr="008E3360" w:rsidRDefault="00923603" w:rsidP="004E7C9F">
                            <w:pPr>
                              <w:spacing w:after="0" w:line="240" w:lineRule="auto"/>
                              <w:rPr>
                                <w:rFonts w:ascii="Cambria" w:hAnsi="Cambria" w:cstheme="majorBidi"/>
                                <w:b/>
                                <w:bCs/>
                                <w:color w:val="0D0D0D" w:themeColor="text1" w:themeTint="F2"/>
                                <w:sz w:val="36"/>
                                <w:szCs w:val="40"/>
                              </w:rPr>
                            </w:pPr>
                            <w:r w:rsidRPr="008E3360">
                              <w:rPr>
                                <w:rFonts w:ascii="Cambria" w:hAnsi="Cambria" w:cstheme="majorBidi"/>
                                <w:b/>
                                <w:bCs/>
                                <w:color w:val="0D0D0D" w:themeColor="text1" w:themeTint="F2"/>
                                <w:sz w:val="36"/>
                                <w:szCs w:val="40"/>
                              </w:rPr>
                              <w:t xml:space="preserve">PETITION </w:t>
                            </w:r>
                            <w:r w:rsidR="00E20909" w:rsidRPr="008E3360">
                              <w:rPr>
                                <w:rFonts w:ascii="Cambria" w:hAnsi="Cambria" w:cstheme="majorBidi"/>
                                <w:b/>
                                <w:bCs/>
                                <w:color w:val="0D0D0D" w:themeColor="text1" w:themeTint="F2"/>
                                <w:sz w:val="36"/>
                                <w:szCs w:val="40"/>
                              </w:rPr>
                              <w:t>1808</w:t>
                            </w:r>
                            <w:r w:rsidRPr="008E3360">
                              <w:rPr>
                                <w:rFonts w:ascii="Cambria" w:hAnsi="Cambria" w:cstheme="majorBidi"/>
                                <w:b/>
                                <w:bCs/>
                                <w:color w:val="0D0D0D" w:themeColor="text1" w:themeTint="F2"/>
                                <w:sz w:val="36"/>
                                <w:szCs w:val="40"/>
                              </w:rPr>
                              <w:t>-14</w:t>
                            </w:r>
                          </w:p>
                          <w:p w14:paraId="38FBCDC5" w14:textId="77777777" w:rsidR="00923603" w:rsidRPr="008E3360" w:rsidRDefault="00923603" w:rsidP="004E7C9F">
                            <w:pPr>
                              <w:spacing w:after="0" w:line="240" w:lineRule="auto"/>
                              <w:rPr>
                                <w:rFonts w:ascii="Cambria" w:hAnsi="Cambria" w:cstheme="majorBidi"/>
                                <w:color w:val="0D0D0D" w:themeColor="text1" w:themeTint="F2"/>
                                <w:szCs w:val="22"/>
                              </w:rPr>
                            </w:pPr>
                            <w:r w:rsidRPr="008E3360">
                              <w:rPr>
                                <w:rFonts w:ascii="Cambria" w:hAnsi="Cambria" w:cstheme="majorBidi"/>
                                <w:color w:val="0D0D0D" w:themeColor="text1" w:themeTint="F2"/>
                                <w:szCs w:val="22"/>
                              </w:rPr>
                              <w:t xml:space="preserve">REPORT ON INADMISSIBILITY </w:t>
                            </w:r>
                          </w:p>
                          <w:p w14:paraId="2F11C35A" w14:textId="77777777" w:rsidR="00923603" w:rsidRPr="008E3360" w:rsidRDefault="00923603" w:rsidP="00923603">
                            <w:pPr>
                              <w:spacing w:line="276" w:lineRule="auto"/>
                              <w:rPr>
                                <w:rFonts w:ascii="Cambria" w:hAnsi="Cambria" w:cstheme="majorBidi"/>
                                <w:color w:val="0D0D0D" w:themeColor="text1" w:themeTint="F2"/>
                                <w:szCs w:val="22"/>
                              </w:rPr>
                            </w:pPr>
                          </w:p>
                          <w:p w14:paraId="1F1B212C" w14:textId="47C021AB" w:rsidR="00BE6C56" w:rsidRPr="008E3360" w:rsidRDefault="00BE6C56" w:rsidP="00BE6C56">
                            <w:pPr>
                              <w:spacing w:after="0" w:line="276" w:lineRule="auto"/>
                              <w:rPr>
                                <w:rFonts w:ascii="Cambria" w:hAnsi="Cambria" w:cstheme="majorBidi"/>
                                <w:bCs/>
                                <w:color w:val="0D0D0D" w:themeColor="text1" w:themeTint="F2"/>
                                <w:szCs w:val="22"/>
                                <w:lang w:val="es-AR"/>
                              </w:rPr>
                            </w:pPr>
                            <w:r w:rsidRPr="008E3360">
                              <w:rPr>
                                <w:rFonts w:ascii="Cambria" w:hAnsi="Cambria" w:cstheme="majorBidi"/>
                                <w:bCs/>
                                <w:color w:val="0D0D0D" w:themeColor="text1" w:themeTint="F2"/>
                                <w:szCs w:val="22"/>
                                <w:lang w:val="es-AR"/>
                              </w:rPr>
                              <w:t>CARLOS GUTI</w:t>
                            </w:r>
                            <w:r w:rsidR="007D5310" w:rsidRPr="008E3360">
                              <w:rPr>
                                <w:rFonts w:ascii="Cambria" w:hAnsi="Cambria" w:cstheme="majorBidi"/>
                                <w:bCs/>
                                <w:color w:val="0D0D0D" w:themeColor="text1" w:themeTint="F2"/>
                                <w:szCs w:val="22"/>
                                <w:lang w:val="es-AR"/>
                              </w:rPr>
                              <w:t>E</w:t>
                            </w:r>
                            <w:r w:rsidRPr="008E3360">
                              <w:rPr>
                                <w:rFonts w:ascii="Cambria" w:hAnsi="Cambria" w:cstheme="majorBidi"/>
                                <w:bCs/>
                                <w:color w:val="0D0D0D" w:themeColor="text1" w:themeTint="F2"/>
                                <w:szCs w:val="22"/>
                                <w:lang w:val="es-AR"/>
                              </w:rPr>
                              <w:t>RREZ MEJ</w:t>
                            </w:r>
                            <w:r w:rsidR="007D5310" w:rsidRPr="008E3360">
                              <w:rPr>
                                <w:rFonts w:ascii="Cambria" w:hAnsi="Cambria" w:cstheme="majorBidi"/>
                                <w:bCs/>
                                <w:color w:val="0D0D0D" w:themeColor="text1" w:themeTint="F2"/>
                                <w:szCs w:val="22"/>
                                <w:lang w:val="es-AR"/>
                              </w:rPr>
                              <w:t>I</w:t>
                            </w:r>
                            <w:r w:rsidRPr="008E3360">
                              <w:rPr>
                                <w:rFonts w:ascii="Cambria" w:hAnsi="Cambria" w:cstheme="majorBidi"/>
                                <w:bCs/>
                                <w:color w:val="0D0D0D" w:themeColor="text1" w:themeTint="F2"/>
                                <w:szCs w:val="22"/>
                                <w:lang w:val="es-AR"/>
                              </w:rPr>
                              <w:t xml:space="preserve">A ET AL. </w:t>
                            </w:r>
                          </w:p>
                          <w:p w14:paraId="578023CB" w14:textId="27F00837" w:rsidR="00BE6C56" w:rsidRPr="00937692" w:rsidRDefault="00BE6C56" w:rsidP="00BE6C56">
                            <w:pPr>
                              <w:spacing w:after="0" w:line="276" w:lineRule="auto"/>
                              <w:rPr>
                                <w:rFonts w:asciiTheme="majorHAnsi" w:hAnsiTheme="majorHAnsi"/>
                                <w:color w:val="0D0D0D" w:themeColor="text1" w:themeTint="F2"/>
                                <w:lang w:val="es-US"/>
                              </w:rPr>
                            </w:pPr>
                            <w:r w:rsidRPr="00937692">
                              <w:rPr>
                                <w:rFonts w:ascii="Cambria" w:hAnsi="Cambria" w:cstheme="majorBidi"/>
                                <w:bCs/>
                                <w:color w:val="0D0D0D" w:themeColor="text1" w:themeTint="F2"/>
                                <w:szCs w:val="22"/>
                                <w:lang w:val="es-US"/>
                              </w:rPr>
                              <w:t xml:space="preserve">COLOMBIA </w:t>
                            </w:r>
                          </w:p>
                          <w:p w14:paraId="69EA0340" w14:textId="6B4E7FAB" w:rsidR="00923603" w:rsidRPr="00937692" w:rsidRDefault="00923603" w:rsidP="00923603">
                            <w:pPr>
                              <w:spacing w:after="0" w:line="276" w:lineRule="auto"/>
                              <w:rPr>
                                <w:rFonts w:asciiTheme="majorHAnsi" w:hAnsiTheme="majorHAnsi"/>
                                <w:color w:val="0D0D0D" w:themeColor="text1" w:themeTint="F2"/>
                                <w:lang w:val="es-US"/>
                              </w:rPr>
                            </w:pPr>
                          </w:p>
                          <w:p w14:paraId="518BACA7" w14:textId="77777777" w:rsidR="00923603" w:rsidRPr="00937692" w:rsidRDefault="00923603" w:rsidP="00923603">
                            <w:pPr>
                              <w:spacing w:line="276" w:lineRule="auto"/>
                              <w:rPr>
                                <w:rFonts w:asciiTheme="majorHAnsi" w:hAnsiTheme="majorHAnsi"/>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137A" id="Text Box 5" o:spid="_x0000_s1028" type="#_x0000_t202" style="position:absolute;left:0;text-align:left;margin-left:95.25pt;margin-top:6.25pt;width:341.25pt;height:18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" filled="f" stroked="f" strokeweight=".5pt">
                <v:textbox>
                  <w:txbxContent>
                    <w:p w14:paraId="26A3280B" w14:textId="19886E93" w:rsidR="00923603" w:rsidRPr="00723329" w:rsidRDefault="00923603" w:rsidP="004E7C9F">
                      <w:pPr>
                        <w:spacing w:after="0" w:line="240" w:lineRule="auto"/>
                        <w:rPr>
                          <w:rFonts w:ascii="Cambria" w:hAnsi="Cambria" w:cstheme="majorBidi"/>
                          <w:b/>
                          <w:bCs/>
                          <w:color w:val="0D0D0D" w:themeColor="text1" w:themeTint="F2"/>
                          <w:sz w:val="36"/>
                          <w:szCs w:val="40"/>
                        </w:rPr>
                      </w:pPr>
                      <w:r w:rsidRPr="00723329">
                        <w:rPr>
                          <w:rFonts w:ascii="Cambria" w:hAnsi="Cambria" w:cstheme="majorBidi"/>
                          <w:b/>
                          <w:bCs/>
                          <w:color w:val="0D0D0D" w:themeColor="text1" w:themeTint="F2"/>
                          <w:sz w:val="36"/>
                          <w:szCs w:val="40"/>
                        </w:rPr>
                        <w:t xml:space="preserve">REPORT No. </w:t>
                      </w:r>
                      <w:r w:rsidR="004E7C9F">
                        <w:rPr>
                          <w:rFonts w:ascii="Cambria" w:hAnsi="Cambria" w:cstheme="majorBidi"/>
                          <w:b/>
                          <w:bCs/>
                          <w:color w:val="0D0D0D" w:themeColor="text1" w:themeTint="F2"/>
                          <w:sz w:val="36"/>
                          <w:szCs w:val="40"/>
                        </w:rPr>
                        <w:t>229</w:t>
                      </w:r>
                      <w:r w:rsidRPr="00723329">
                        <w:rPr>
                          <w:rFonts w:ascii="Cambria" w:hAnsi="Cambria" w:cstheme="majorBidi"/>
                          <w:b/>
                          <w:bCs/>
                          <w:color w:val="0D0D0D" w:themeColor="text1" w:themeTint="F2"/>
                          <w:sz w:val="36"/>
                          <w:szCs w:val="40"/>
                        </w:rPr>
                        <w:t>/24</w:t>
                      </w:r>
                    </w:p>
                    <w:p w14:paraId="5C440835" w14:textId="23BAAA48" w:rsidR="00923603" w:rsidRPr="008E3360" w:rsidRDefault="00923603" w:rsidP="004E7C9F">
                      <w:pPr>
                        <w:spacing w:after="0" w:line="240" w:lineRule="auto"/>
                        <w:rPr>
                          <w:rFonts w:ascii="Cambria" w:hAnsi="Cambria" w:cstheme="majorBidi"/>
                          <w:b/>
                          <w:bCs/>
                          <w:color w:val="0D0D0D" w:themeColor="text1" w:themeTint="F2"/>
                          <w:sz w:val="36"/>
                          <w:szCs w:val="40"/>
                        </w:rPr>
                      </w:pPr>
                      <w:r w:rsidRPr="008E3360">
                        <w:rPr>
                          <w:rFonts w:ascii="Cambria" w:hAnsi="Cambria" w:cstheme="majorBidi"/>
                          <w:b/>
                          <w:bCs/>
                          <w:color w:val="0D0D0D" w:themeColor="text1" w:themeTint="F2"/>
                          <w:sz w:val="36"/>
                          <w:szCs w:val="40"/>
                        </w:rPr>
                        <w:t xml:space="preserve">PETITION </w:t>
                      </w:r>
                      <w:r w:rsidR="00E20909" w:rsidRPr="008E3360">
                        <w:rPr>
                          <w:rFonts w:ascii="Cambria" w:hAnsi="Cambria" w:cstheme="majorBidi"/>
                          <w:b/>
                          <w:bCs/>
                          <w:color w:val="0D0D0D" w:themeColor="text1" w:themeTint="F2"/>
                          <w:sz w:val="36"/>
                          <w:szCs w:val="40"/>
                        </w:rPr>
                        <w:t>1808</w:t>
                      </w:r>
                      <w:r w:rsidRPr="008E3360">
                        <w:rPr>
                          <w:rFonts w:ascii="Cambria" w:hAnsi="Cambria" w:cstheme="majorBidi"/>
                          <w:b/>
                          <w:bCs/>
                          <w:color w:val="0D0D0D" w:themeColor="text1" w:themeTint="F2"/>
                          <w:sz w:val="36"/>
                          <w:szCs w:val="40"/>
                        </w:rPr>
                        <w:t>-14</w:t>
                      </w:r>
                    </w:p>
                    <w:p w14:paraId="38FBCDC5" w14:textId="77777777" w:rsidR="00923603" w:rsidRPr="008E3360" w:rsidRDefault="00923603" w:rsidP="004E7C9F">
                      <w:pPr>
                        <w:spacing w:after="0" w:line="240" w:lineRule="auto"/>
                        <w:rPr>
                          <w:rFonts w:ascii="Cambria" w:hAnsi="Cambria" w:cstheme="majorBidi"/>
                          <w:color w:val="0D0D0D" w:themeColor="text1" w:themeTint="F2"/>
                          <w:szCs w:val="22"/>
                        </w:rPr>
                      </w:pPr>
                      <w:r w:rsidRPr="008E3360">
                        <w:rPr>
                          <w:rFonts w:ascii="Cambria" w:hAnsi="Cambria" w:cstheme="majorBidi"/>
                          <w:color w:val="0D0D0D" w:themeColor="text1" w:themeTint="F2"/>
                          <w:szCs w:val="22"/>
                        </w:rPr>
                        <w:t xml:space="preserve">REPORT ON INADMISSIBILITY </w:t>
                      </w:r>
                    </w:p>
                    <w:p w14:paraId="2F11C35A" w14:textId="77777777" w:rsidR="00923603" w:rsidRPr="008E3360" w:rsidRDefault="00923603" w:rsidP="00923603">
                      <w:pPr>
                        <w:spacing w:line="276" w:lineRule="auto"/>
                        <w:rPr>
                          <w:rFonts w:ascii="Cambria" w:hAnsi="Cambria" w:cstheme="majorBidi"/>
                          <w:color w:val="0D0D0D" w:themeColor="text1" w:themeTint="F2"/>
                          <w:szCs w:val="22"/>
                        </w:rPr>
                      </w:pPr>
                    </w:p>
                    <w:p w14:paraId="1F1B212C" w14:textId="47C021AB" w:rsidR="00BE6C56" w:rsidRPr="008E3360" w:rsidRDefault="00BE6C56" w:rsidP="00BE6C56">
                      <w:pPr>
                        <w:spacing w:after="0" w:line="276" w:lineRule="auto"/>
                        <w:rPr>
                          <w:rFonts w:ascii="Cambria" w:hAnsi="Cambria" w:cstheme="majorBidi"/>
                          <w:bCs/>
                          <w:color w:val="0D0D0D" w:themeColor="text1" w:themeTint="F2"/>
                          <w:szCs w:val="22"/>
                          <w:lang w:val="es-AR"/>
                        </w:rPr>
                      </w:pPr>
                      <w:r w:rsidRPr="008E3360">
                        <w:rPr>
                          <w:rFonts w:ascii="Cambria" w:hAnsi="Cambria" w:cstheme="majorBidi"/>
                          <w:bCs/>
                          <w:color w:val="0D0D0D" w:themeColor="text1" w:themeTint="F2"/>
                          <w:szCs w:val="22"/>
                          <w:lang w:val="es-AR"/>
                        </w:rPr>
                        <w:t>CARLOS GUTI</w:t>
                      </w:r>
                      <w:r w:rsidR="007D5310" w:rsidRPr="008E3360">
                        <w:rPr>
                          <w:rFonts w:ascii="Cambria" w:hAnsi="Cambria" w:cstheme="majorBidi"/>
                          <w:bCs/>
                          <w:color w:val="0D0D0D" w:themeColor="text1" w:themeTint="F2"/>
                          <w:szCs w:val="22"/>
                          <w:lang w:val="es-AR"/>
                        </w:rPr>
                        <w:t>E</w:t>
                      </w:r>
                      <w:r w:rsidRPr="008E3360">
                        <w:rPr>
                          <w:rFonts w:ascii="Cambria" w:hAnsi="Cambria" w:cstheme="majorBidi"/>
                          <w:bCs/>
                          <w:color w:val="0D0D0D" w:themeColor="text1" w:themeTint="F2"/>
                          <w:szCs w:val="22"/>
                          <w:lang w:val="es-AR"/>
                        </w:rPr>
                        <w:t>RREZ MEJ</w:t>
                      </w:r>
                      <w:r w:rsidR="007D5310" w:rsidRPr="008E3360">
                        <w:rPr>
                          <w:rFonts w:ascii="Cambria" w:hAnsi="Cambria" w:cstheme="majorBidi"/>
                          <w:bCs/>
                          <w:color w:val="0D0D0D" w:themeColor="text1" w:themeTint="F2"/>
                          <w:szCs w:val="22"/>
                          <w:lang w:val="es-AR"/>
                        </w:rPr>
                        <w:t>I</w:t>
                      </w:r>
                      <w:r w:rsidRPr="008E3360">
                        <w:rPr>
                          <w:rFonts w:ascii="Cambria" w:hAnsi="Cambria" w:cstheme="majorBidi"/>
                          <w:bCs/>
                          <w:color w:val="0D0D0D" w:themeColor="text1" w:themeTint="F2"/>
                          <w:szCs w:val="22"/>
                          <w:lang w:val="es-AR"/>
                        </w:rPr>
                        <w:t xml:space="preserve">A ET AL. </w:t>
                      </w:r>
                    </w:p>
                    <w:p w14:paraId="578023CB" w14:textId="27F00837" w:rsidR="00BE6C56" w:rsidRPr="00937692" w:rsidRDefault="00BE6C56" w:rsidP="00BE6C56">
                      <w:pPr>
                        <w:spacing w:after="0" w:line="276" w:lineRule="auto"/>
                        <w:rPr>
                          <w:rFonts w:asciiTheme="majorHAnsi" w:hAnsiTheme="majorHAnsi"/>
                          <w:color w:val="0D0D0D" w:themeColor="text1" w:themeTint="F2"/>
                          <w:lang w:val="es-US"/>
                        </w:rPr>
                      </w:pPr>
                      <w:r w:rsidRPr="00937692">
                        <w:rPr>
                          <w:rFonts w:ascii="Cambria" w:hAnsi="Cambria" w:cstheme="majorBidi"/>
                          <w:bCs/>
                          <w:color w:val="0D0D0D" w:themeColor="text1" w:themeTint="F2"/>
                          <w:szCs w:val="22"/>
                          <w:lang w:val="es-US"/>
                        </w:rPr>
                        <w:t xml:space="preserve">COLOMBIA </w:t>
                      </w:r>
                    </w:p>
                    <w:p w14:paraId="69EA0340" w14:textId="6B4E7FAB" w:rsidR="00923603" w:rsidRPr="00937692" w:rsidRDefault="00923603" w:rsidP="00923603">
                      <w:pPr>
                        <w:spacing w:after="0" w:line="276" w:lineRule="auto"/>
                        <w:rPr>
                          <w:rFonts w:asciiTheme="majorHAnsi" w:hAnsiTheme="majorHAnsi"/>
                          <w:color w:val="0D0D0D" w:themeColor="text1" w:themeTint="F2"/>
                          <w:lang w:val="es-US"/>
                        </w:rPr>
                      </w:pPr>
                    </w:p>
                    <w:p w14:paraId="518BACA7" w14:textId="77777777" w:rsidR="00923603" w:rsidRPr="00937692" w:rsidRDefault="00923603" w:rsidP="00923603">
                      <w:pPr>
                        <w:spacing w:line="276" w:lineRule="auto"/>
                        <w:rPr>
                          <w:rFonts w:asciiTheme="majorHAnsi" w:hAnsiTheme="majorHAnsi"/>
                          <w:color w:val="0D0D0D" w:themeColor="text1" w:themeTint="F2"/>
                          <w:lang w:val="es-US"/>
                        </w:rPr>
                      </w:pPr>
                    </w:p>
                  </w:txbxContent>
                </v:textbox>
              </v:shape>
            </w:pict>
          </mc:Fallback>
        </mc:AlternateContent>
      </w:r>
    </w:p>
    <w:p w14:paraId="267A29A2"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379BE2ED"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725D64FA"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03F7C495"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33D420C"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701BAFDB"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71365B2B"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4D546F24"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3B388EEC"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03CFBB38"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34E11C2"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750C2514"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6DF755CA"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44A32B61"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42C411F6"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3A7EA366"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74F510E"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8E54720"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7EE66393"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786ED25"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3E449043"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75F42CA"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4C92212A"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1D0F23AC"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8D84809" w14:textId="034A0C66" w:rsidR="00923603" w:rsidRPr="00E258B2" w:rsidRDefault="00CE0F88"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sidRPr="00E258B2">
        <w:rPr>
          <w:rFonts w:ascii="Cambria" w:eastAsia="Arial Unicode MS" w:hAnsi="Cambria" w:cstheme="majorBidi"/>
          <w:noProof/>
          <w:kern w:val="0"/>
          <w:bdr w:val="nil"/>
          <w:lang w:eastAsia="en-US"/>
        </w:rPr>
        <mc:AlternateContent>
          <mc:Choice Requires="wps">
            <w:drawing>
              <wp:anchor distT="0" distB="0" distL="114300" distR="114300" simplePos="0" relativeHeight="251658242" behindDoc="0" locked="0" layoutInCell="1" allowOverlap="1" wp14:anchorId="169E1B72" wp14:editId="1825F58E">
                <wp:simplePos x="0" y="0"/>
                <wp:positionH relativeFrom="column">
                  <wp:posOffset>1202690</wp:posOffset>
                </wp:positionH>
                <wp:positionV relativeFrom="paragraph">
                  <wp:posOffset>57150</wp:posOffset>
                </wp:positionV>
                <wp:extent cx="4595495" cy="695325"/>
                <wp:effectExtent l="0" t="0" r="0" b="0"/>
                <wp:wrapNone/>
                <wp:docPr id="7997990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6BF12" w14:textId="7988FBAB" w:rsidR="00923603" w:rsidRPr="00723329" w:rsidRDefault="00923603" w:rsidP="00923603">
                            <w:pPr>
                              <w:tabs>
                                <w:tab w:val="center" w:pos="5400"/>
                              </w:tabs>
                              <w:suppressAutoHyphens/>
                              <w:spacing w:before="60"/>
                              <w:rPr>
                                <w:rFonts w:asciiTheme="majorHAnsi" w:hAnsiTheme="majorHAnsi"/>
                                <w:color w:val="0D0D0D" w:themeColor="text1" w:themeTint="F2"/>
                                <w:sz w:val="18"/>
                                <w:szCs w:val="22"/>
                              </w:rPr>
                            </w:pPr>
                            <w:r w:rsidRPr="00723329">
                              <w:rPr>
                                <w:rFonts w:ascii="Cambria" w:hAnsi="Cambria"/>
                                <w:color w:val="0D0D0D" w:themeColor="text1" w:themeTint="F2"/>
                                <w:sz w:val="18"/>
                                <w:szCs w:val="22"/>
                              </w:rPr>
                              <w:t xml:space="preserve">Approved electronically by the Commission on </w:t>
                            </w:r>
                            <w:r w:rsidR="000A4B3E">
                              <w:rPr>
                                <w:rFonts w:ascii="Cambria" w:hAnsi="Cambria"/>
                                <w:color w:val="0D0D0D" w:themeColor="text1" w:themeTint="F2"/>
                                <w:sz w:val="18"/>
                                <w:szCs w:val="22"/>
                              </w:rPr>
                              <w:t>December 5</w:t>
                            </w:r>
                            <w:r w:rsidRPr="00723329">
                              <w:rPr>
                                <w:rFonts w:ascii="Cambria" w:hAnsi="Cambria"/>
                                <w:color w:val="0D0D0D" w:themeColor="text1" w:themeTint="F2"/>
                                <w:sz w:val="18"/>
                                <w:szCs w:val="22"/>
                              </w:rPr>
                              <w:t>, 2024</w:t>
                            </w:r>
                            <w:r w:rsidR="000A4B3E">
                              <w:rPr>
                                <w:rFonts w:ascii="Cambria" w:hAnsi="Cambria"/>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E1B72" id="Text Box 4" o:spid="_x0000_s1029" type="#_x0000_t202" style="position:absolute;left:0;text-align:left;margin-left:94.7pt;margin-top:4.5pt;width:361.85pt;height:5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" filled="f" stroked="f" strokeweight=".5pt">
                <v:textbox>
                  <w:txbxContent>
                    <w:p w14:paraId="78A6BF12" w14:textId="7988FBAB" w:rsidR="00923603" w:rsidRPr="00723329" w:rsidRDefault="00923603" w:rsidP="00923603">
                      <w:pPr>
                        <w:tabs>
                          <w:tab w:val="center" w:pos="5400"/>
                        </w:tabs>
                        <w:suppressAutoHyphens/>
                        <w:spacing w:before="60"/>
                        <w:rPr>
                          <w:rFonts w:asciiTheme="majorHAnsi" w:hAnsiTheme="majorHAnsi"/>
                          <w:color w:val="0D0D0D" w:themeColor="text1" w:themeTint="F2"/>
                          <w:sz w:val="18"/>
                          <w:szCs w:val="22"/>
                        </w:rPr>
                      </w:pPr>
                      <w:r w:rsidRPr="00723329">
                        <w:rPr>
                          <w:rFonts w:ascii="Cambria" w:hAnsi="Cambria"/>
                          <w:color w:val="0D0D0D" w:themeColor="text1" w:themeTint="F2"/>
                          <w:sz w:val="18"/>
                          <w:szCs w:val="22"/>
                        </w:rPr>
                        <w:t xml:space="preserve">Approved electronically by the Commission on </w:t>
                      </w:r>
                      <w:r w:rsidR="000A4B3E">
                        <w:rPr>
                          <w:rFonts w:ascii="Cambria" w:hAnsi="Cambria"/>
                          <w:color w:val="0D0D0D" w:themeColor="text1" w:themeTint="F2"/>
                          <w:sz w:val="18"/>
                          <w:szCs w:val="22"/>
                        </w:rPr>
                        <w:t>December 5</w:t>
                      </w:r>
                      <w:r w:rsidRPr="00723329">
                        <w:rPr>
                          <w:rFonts w:ascii="Cambria" w:hAnsi="Cambria"/>
                          <w:color w:val="0D0D0D" w:themeColor="text1" w:themeTint="F2"/>
                          <w:sz w:val="18"/>
                          <w:szCs w:val="22"/>
                        </w:rPr>
                        <w:t>, 2024</w:t>
                      </w:r>
                      <w:r w:rsidR="000A4B3E">
                        <w:rPr>
                          <w:rFonts w:ascii="Cambria" w:hAnsi="Cambria"/>
                          <w:color w:val="0D0D0D" w:themeColor="text1" w:themeTint="F2"/>
                          <w:sz w:val="18"/>
                          <w:szCs w:val="22"/>
                        </w:rPr>
                        <w:t>.</w:t>
                      </w:r>
                    </w:p>
                  </w:txbxContent>
                </v:textbox>
              </v:shape>
            </w:pict>
          </mc:Fallback>
        </mc:AlternateContent>
      </w:r>
    </w:p>
    <w:p w14:paraId="4C507735"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45FA0259"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338DEDC"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57CA5F2F"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09B26FEF" w14:textId="61C60621" w:rsidR="00923603" w:rsidRPr="00E258B2" w:rsidRDefault="00CE0F88"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sidRPr="00E258B2">
        <w:rPr>
          <w:rFonts w:ascii="Cambria" w:eastAsia="Arial Unicode MS" w:hAnsi="Cambria" w:cstheme="majorBidi"/>
          <w:noProof/>
          <w:kern w:val="0"/>
          <w:bdr w:val="nil"/>
          <w:lang w:eastAsia="en-US"/>
        </w:rPr>
        <mc:AlternateContent>
          <mc:Choice Requires="wps">
            <w:drawing>
              <wp:anchor distT="0" distB="0" distL="114300" distR="114300" simplePos="0" relativeHeight="251658245" behindDoc="0" locked="0" layoutInCell="1" allowOverlap="1" wp14:anchorId="4A8F9C03" wp14:editId="17338E15">
                <wp:simplePos x="0" y="0"/>
                <wp:positionH relativeFrom="column">
                  <wp:posOffset>1213164</wp:posOffset>
                </wp:positionH>
                <wp:positionV relativeFrom="paragraph">
                  <wp:posOffset>96583</wp:posOffset>
                </wp:positionV>
                <wp:extent cx="4961299" cy="609600"/>
                <wp:effectExtent l="0" t="0" r="0" b="0"/>
                <wp:wrapNone/>
                <wp:docPr id="5622842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1299"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1CA89" w14:textId="198E7616" w:rsidR="00923603" w:rsidRPr="00723329" w:rsidRDefault="00923603" w:rsidP="00923603">
                            <w:pPr>
                              <w:spacing w:line="276" w:lineRule="auto"/>
                              <w:rPr>
                                <w:rFonts w:ascii="Cambria" w:hAnsi="Cambria"/>
                                <w:color w:val="595959" w:themeColor="text1" w:themeTint="A6"/>
                                <w:sz w:val="18"/>
                              </w:rPr>
                            </w:pPr>
                            <w:r w:rsidRPr="00723329">
                              <w:rPr>
                                <w:rFonts w:ascii="Cambria" w:hAnsi="Cambria"/>
                                <w:b/>
                                <w:color w:val="595959" w:themeColor="text1" w:themeTint="A6"/>
                                <w:sz w:val="18"/>
                              </w:rPr>
                              <w:t xml:space="preserve">Cite as: </w:t>
                            </w:r>
                            <w:r w:rsidRPr="00723329">
                              <w:rPr>
                                <w:rFonts w:ascii="Cambria" w:hAnsi="Cambria"/>
                                <w:color w:val="595959" w:themeColor="text1" w:themeTint="A6"/>
                                <w:sz w:val="18"/>
                              </w:rPr>
                              <w:t xml:space="preserve">IACHR, Report No. </w:t>
                            </w:r>
                            <w:r w:rsidR="000A4B3E">
                              <w:rPr>
                                <w:rFonts w:ascii="Cambria" w:hAnsi="Cambria"/>
                                <w:color w:val="595959" w:themeColor="text1" w:themeTint="A6"/>
                                <w:sz w:val="18"/>
                              </w:rPr>
                              <w:t>229</w:t>
                            </w:r>
                            <w:r w:rsidRPr="00723329">
                              <w:rPr>
                                <w:rFonts w:ascii="Cambria" w:hAnsi="Cambria"/>
                                <w:color w:val="595959" w:themeColor="text1" w:themeTint="A6"/>
                                <w:sz w:val="18"/>
                              </w:rPr>
                              <w:t>/</w:t>
                            </w:r>
                            <w:r w:rsidR="000A4B3E">
                              <w:rPr>
                                <w:rFonts w:ascii="Cambria" w:hAnsi="Cambria"/>
                                <w:color w:val="595959" w:themeColor="text1" w:themeTint="A6"/>
                                <w:sz w:val="18"/>
                              </w:rPr>
                              <w:t>24</w:t>
                            </w:r>
                            <w:r w:rsidRPr="00723329">
                              <w:rPr>
                                <w:rFonts w:ascii="Cambria" w:hAnsi="Cambria"/>
                                <w:color w:val="595959" w:themeColor="text1" w:themeTint="A6"/>
                                <w:sz w:val="18"/>
                              </w:rPr>
                              <w:t xml:space="preserve">, Petition </w:t>
                            </w:r>
                            <w:r>
                              <w:rPr>
                                <w:rFonts w:ascii="Cambria" w:hAnsi="Cambria"/>
                                <w:color w:val="595959" w:themeColor="text1" w:themeTint="A6"/>
                                <w:sz w:val="18"/>
                              </w:rPr>
                              <w:t>1</w:t>
                            </w:r>
                            <w:r w:rsidR="00DA0F5B">
                              <w:rPr>
                                <w:rFonts w:ascii="Cambria" w:hAnsi="Cambria"/>
                                <w:color w:val="595959" w:themeColor="text1" w:themeTint="A6"/>
                                <w:sz w:val="18"/>
                              </w:rPr>
                              <w:t>808</w:t>
                            </w:r>
                            <w:r w:rsidRPr="00723329">
                              <w:rPr>
                                <w:rFonts w:ascii="Cambria" w:hAnsi="Cambria"/>
                                <w:color w:val="595959" w:themeColor="text1" w:themeTint="A6"/>
                                <w:sz w:val="18"/>
                              </w:rPr>
                              <w:t>-1</w:t>
                            </w:r>
                            <w:r>
                              <w:rPr>
                                <w:rFonts w:ascii="Cambria" w:hAnsi="Cambria"/>
                                <w:color w:val="595959" w:themeColor="text1" w:themeTint="A6"/>
                                <w:sz w:val="18"/>
                              </w:rPr>
                              <w:t>4</w:t>
                            </w:r>
                            <w:r w:rsidRPr="00723329">
                              <w:rPr>
                                <w:rFonts w:ascii="Cambria" w:hAnsi="Cambria"/>
                                <w:color w:val="595959" w:themeColor="text1" w:themeTint="A6"/>
                                <w:sz w:val="18"/>
                              </w:rPr>
                              <w:t xml:space="preserve">. </w:t>
                            </w:r>
                            <w:r w:rsidRPr="00937692">
                              <w:rPr>
                                <w:rFonts w:ascii="Cambria" w:hAnsi="Cambria"/>
                                <w:color w:val="595959" w:themeColor="text1" w:themeTint="A6"/>
                                <w:sz w:val="18"/>
                                <w:lang w:val="es-US"/>
                              </w:rPr>
                              <w:t xml:space="preserve">Inadmissibility. </w:t>
                            </w:r>
                            <w:r w:rsidR="00511BF3" w:rsidRPr="00937692">
                              <w:rPr>
                                <w:rFonts w:ascii="Cambria" w:hAnsi="Cambria"/>
                                <w:color w:val="595959" w:themeColor="text1" w:themeTint="A6"/>
                                <w:sz w:val="18"/>
                                <w:lang w:val="es-US"/>
                              </w:rPr>
                              <w:t>Carlos Guti</w:t>
                            </w:r>
                            <w:r w:rsidR="007D5310">
                              <w:rPr>
                                <w:rFonts w:ascii="Cambria" w:hAnsi="Cambria"/>
                                <w:color w:val="595959" w:themeColor="text1" w:themeTint="A6"/>
                                <w:sz w:val="18"/>
                                <w:lang w:val="es-US"/>
                              </w:rPr>
                              <w:t>e</w:t>
                            </w:r>
                            <w:r w:rsidR="00511BF3" w:rsidRPr="00937692">
                              <w:rPr>
                                <w:rFonts w:ascii="Cambria" w:hAnsi="Cambria"/>
                                <w:color w:val="595959" w:themeColor="text1" w:themeTint="A6"/>
                                <w:sz w:val="18"/>
                                <w:lang w:val="es-US"/>
                              </w:rPr>
                              <w:t>rrez Mej</w:t>
                            </w:r>
                            <w:r w:rsidR="007D5310">
                              <w:rPr>
                                <w:rFonts w:ascii="Cambria" w:hAnsi="Cambria"/>
                                <w:color w:val="595959" w:themeColor="text1" w:themeTint="A6"/>
                                <w:sz w:val="18"/>
                                <w:lang w:val="es-US"/>
                              </w:rPr>
                              <w:t>ia</w:t>
                            </w:r>
                            <w:r w:rsidR="00511BF3" w:rsidRPr="00937692">
                              <w:rPr>
                                <w:rFonts w:ascii="Cambria" w:hAnsi="Cambria"/>
                                <w:color w:val="595959" w:themeColor="text1" w:themeTint="A6"/>
                                <w:sz w:val="18"/>
                                <w:lang w:val="es-US"/>
                              </w:rPr>
                              <w:t xml:space="preserve"> et al. </w:t>
                            </w:r>
                            <w:r w:rsidRPr="00723329">
                              <w:rPr>
                                <w:rFonts w:ascii="Cambria" w:hAnsi="Cambria"/>
                                <w:color w:val="595959" w:themeColor="text1" w:themeTint="A6"/>
                                <w:sz w:val="18"/>
                              </w:rPr>
                              <w:t xml:space="preserve">Colombia. </w:t>
                            </w:r>
                            <w:r w:rsidR="005D1976">
                              <w:rPr>
                                <w:rFonts w:ascii="Cambria" w:hAnsi="Cambria"/>
                                <w:color w:val="595959" w:themeColor="text1" w:themeTint="A6"/>
                                <w:sz w:val="18"/>
                              </w:rPr>
                              <w:t>December 5, 2024</w:t>
                            </w:r>
                            <w:r w:rsidRPr="00723329">
                              <w:rPr>
                                <w:rFonts w:ascii="Cambria" w:hAnsi="Cambria"/>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F9C03" id="Text Box 3" o:spid="_x0000_s1030" type="#_x0000_t202" style="position:absolute;left:0;text-align:left;margin-left:95.5pt;margin-top:7.6pt;width:390.65pt;height: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" filled="f" stroked="f" strokeweight=".5pt">
                <v:textbox>
                  <w:txbxContent>
                    <w:p w14:paraId="1B51CA89" w14:textId="198E7616" w:rsidR="00923603" w:rsidRPr="00723329" w:rsidRDefault="00923603" w:rsidP="00923603">
                      <w:pPr>
                        <w:spacing w:line="276" w:lineRule="auto"/>
                        <w:rPr>
                          <w:rFonts w:ascii="Cambria" w:hAnsi="Cambria"/>
                          <w:color w:val="595959" w:themeColor="text1" w:themeTint="A6"/>
                          <w:sz w:val="18"/>
                        </w:rPr>
                      </w:pPr>
                      <w:r w:rsidRPr="00723329">
                        <w:rPr>
                          <w:rFonts w:ascii="Cambria" w:hAnsi="Cambria"/>
                          <w:b/>
                          <w:color w:val="595959" w:themeColor="text1" w:themeTint="A6"/>
                          <w:sz w:val="18"/>
                        </w:rPr>
                        <w:t xml:space="preserve">Cite as: </w:t>
                      </w:r>
                      <w:r w:rsidRPr="00723329">
                        <w:rPr>
                          <w:rFonts w:ascii="Cambria" w:hAnsi="Cambria"/>
                          <w:color w:val="595959" w:themeColor="text1" w:themeTint="A6"/>
                          <w:sz w:val="18"/>
                        </w:rPr>
                        <w:t xml:space="preserve">IACHR, Report No. </w:t>
                      </w:r>
                      <w:r w:rsidR="000A4B3E">
                        <w:rPr>
                          <w:rFonts w:ascii="Cambria" w:hAnsi="Cambria"/>
                          <w:color w:val="595959" w:themeColor="text1" w:themeTint="A6"/>
                          <w:sz w:val="18"/>
                        </w:rPr>
                        <w:t>229</w:t>
                      </w:r>
                      <w:r w:rsidRPr="00723329">
                        <w:rPr>
                          <w:rFonts w:ascii="Cambria" w:hAnsi="Cambria"/>
                          <w:color w:val="595959" w:themeColor="text1" w:themeTint="A6"/>
                          <w:sz w:val="18"/>
                        </w:rPr>
                        <w:t>/</w:t>
                      </w:r>
                      <w:r w:rsidR="000A4B3E">
                        <w:rPr>
                          <w:rFonts w:ascii="Cambria" w:hAnsi="Cambria"/>
                          <w:color w:val="595959" w:themeColor="text1" w:themeTint="A6"/>
                          <w:sz w:val="18"/>
                        </w:rPr>
                        <w:t>24</w:t>
                      </w:r>
                      <w:r w:rsidRPr="00723329">
                        <w:rPr>
                          <w:rFonts w:ascii="Cambria" w:hAnsi="Cambria"/>
                          <w:color w:val="595959" w:themeColor="text1" w:themeTint="A6"/>
                          <w:sz w:val="18"/>
                        </w:rPr>
                        <w:t xml:space="preserve">, Petition </w:t>
                      </w:r>
                      <w:r>
                        <w:rPr>
                          <w:rFonts w:ascii="Cambria" w:hAnsi="Cambria"/>
                          <w:color w:val="595959" w:themeColor="text1" w:themeTint="A6"/>
                          <w:sz w:val="18"/>
                        </w:rPr>
                        <w:t>1</w:t>
                      </w:r>
                      <w:r w:rsidR="00DA0F5B">
                        <w:rPr>
                          <w:rFonts w:ascii="Cambria" w:hAnsi="Cambria"/>
                          <w:color w:val="595959" w:themeColor="text1" w:themeTint="A6"/>
                          <w:sz w:val="18"/>
                        </w:rPr>
                        <w:t>808</w:t>
                      </w:r>
                      <w:r w:rsidRPr="00723329">
                        <w:rPr>
                          <w:rFonts w:ascii="Cambria" w:hAnsi="Cambria"/>
                          <w:color w:val="595959" w:themeColor="text1" w:themeTint="A6"/>
                          <w:sz w:val="18"/>
                        </w:rPr>
                        <w:t>-1</w:t>
                      </w:r>
                      <w:r>
                        <w:rPr>
                          <w:rFonts w:ascii="Cambria" w:hAnsi="Cambria"/>
                          <w:color w:val="595959" w:themeColor="text1" w:themeTint="A6"/>
                          <w:sz w:val="18"/>
                        </w:rPr>
                        <w:t>4</w:t>
                      </w:r>
                      <w:r w:rsidRPr="00723329">
                        <w:rPr>
                          <w:rFonts w:ascii="Cambria" w:hAnsi="Cambria"/>
                          <w:color w:val="595959" w:themeColor="text1" w:themeTint="A6"/>
                          <w:sz w:val="18"/>
                        </w:rPr>
                        <w:t xml:space="preserve">. </w:t>
                      </w:r>
                      <w:r w:rsidRPr="00937692">
                        <w:rPr>
                          <w:rFonts w:ascii="Cambria" w:hAnsi="Cambria"/>
                          <w:color w:val="595959" w:themeColor="text1" w:themeTint="A6"/>
                          <w:sz w:val="18"/>
                          <w:lang w:val="es-US"/>
                        </w:rPr>
                        <w:t xml:space="preserve">Inadmissibility. </w:t>
                      </w:r>
                      <w:r w:rsidR="00511BF3" w:rsidRPr="00937692">
                        <w:rPr>
                          <w:rFonts w:ascii="Cambria" w:hAnsi="Cambria"/>
                          <w:color w:val="595959" w:themeColor="text1" w:themeTint="A6"/>
                          <w:sz w:val="18"/>
                          <w:lang w:val="es-US"/>
                        </w:rPr>
                        <w:t>Carlos Guti</w:t>
                      </w:r>
                      <w:r w:rsidR="007D5310">
                        <w:rPr>
                          <w:rFonts w:ascii="Cambria" w:hAnsi="Cambria"/>
                          <w:color w:val="595959" w:themeColor="text1" w:themeTint="A6"/>
                          <w:sz w:val="18"/>
                          <w:lang w:val="es-US"/>
                        </w:rPr>
                        <w:t>e</w:t>
                      </w:r>
                      <w:r w:rsidR="00511BF3" w:rsidRPr="00937692">
                        <w:rPr>
                          <w:rFonts w:ascii="Cambria" w:hAnsi="Cambria"/>
                          <w:color w:val="595959" w:themeColor="text1" w:themeTint="A6"/>
                          <w:sz w:val="18"/>
                          <w:lang w:val="es-US"/>
                        </w:rPr>
                        <w:t>rrez Mej</w:t>
                      </w:r>
                      <w:r w:rsidR="007D5310">
                        <w:rPr>
                          <w:rFonts w:ascii="Cambria" w:hAnsi="Cambria"/>
                          <w:color w:val="595959" w:themeColor="text1" w:themeTint="A6"/>
                          <w:sz w:val="18"/>
                          <w:lang w:val="es-US"/>
                        </w:rPr>
                        <w:t>ia</w:t>
                      </w:r>
                      <w:r w:rsidR="00511BF3" w:rsidRPr="00937692">
                        <w:rPr>
                          <w:rFonts w:ascii="Cambria" w:hAnsi="Cambria"/>
                          <w:color w:val="595959" w:themeColor="text1" w:themeTint="A6"/>
                          <w:sz w:val="18"/>
                          <w:lang w:val="es-US"/>
                        </w:rPr>
                        <w:t xml:space="preserve"> et al. </w:t>
                      </w:r>
                      <w:r w:rsidRPr="00723329">
                        <w:rPr>
                          <w:rFonts w:ascii="Cambria" w:hAnsi="Cambria"/>
                          <w:color w:val="595959" w:themeColor="text1" w:themeTint="A6"/>
                          <w:sz w:val="18"/>
                        </w:rPr>
                        <w:t xml:space="preserve">Colombia. </w:t>
                      </w:r>
                      <w:r w:rsidR="005D1976">
                        <w:rPr>
                          <w:rFonts w:ascii="Cambria" w:hAnsi="Cambria"/>
                          <w:color w:val="595959" w:themeColor="text1" w:themeTint="A6"/>
                          <w:sz w:val="18"/>
                        </w:rPr>
                        <w:t>December 5, 2024</w:t>
                      </w:r>
                      <w:r w:rsidRPr="00723329">
                        <w:rPr>
                          <w:rFonts w:ascii="Cambria" w:hAnsi="Cambria"/>
                          <w:color w:val="595959" w:themeColor="text1" w:themeTint="A6"/>
                          <w:sz w:val="18"/>
                        </w:rPr>
                        <w:t>.</w:t>
                      </w:r>
                    </w:p>
                  </w:txbxContent>
                </v:textbox>
              </v:shape>
            </w:pict>
          </mc:Fallback>
        </mc:AlternateContent>
      </w:r>
    </w:p>
    <w:p w14:paraId="1D7CDFD8"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5AA427E6"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69B98DD" w14:textId="51F04991"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7A444F37" w14:textId="67F49227" w:rsidR="00923603" w:rsidRPr="00E258B2" w:rsidRDefault="000A4B3E"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sidRPr="00E258B2">
        <w:rPr>
          <w:noProof/>
        </w:rPr>
        <w:drawing>
          <wp:anchor distT="0" distB="0" distL="114300" distR="114300" simplePos="0" relativeHeight="251658248" behindDoc="0" locked="0" layoutInCell="1" allowOverlap="1" wp14:anchorId="454216BA" wp14:editId="6B9FB6FB">
            <wp:simplePos x="0" y="0"/>
            <wp:positionH relativeFrom="column">
              <wp:posOffset>1285875</wp:posOffset>
            </wp:positionH>
            <wp:positionV relativeFrom="paragraph">
              <wp:posOffset>549438</wp:posOffset>
            </wp:positionV>
            <wp:extent cx="1581150" cy="400050"/>
            <wp:effectExtent l="0" t="0" r="0" b="0"/>
            <wp:wrapSquare wrapText="bothSides"/>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F88" w:rsidRPr="00E258B2">
        <w:rPr>
          <w:rFonts w:ascii="Cambria" w:eastAsia="Arial Unicode MS" w:hAnsi="Cambria" w:cstheme="majorBidi"/>
          <w:noProof/>
          <w:kern w:val="0"/>
          <w:bdr w:val="nil"/>
          <w:lang w:eastAsia="en-US"/>
        </w:rPr>
        <mc:AlternateContent>
          <mc:Choice Requires="wps">
            <w:drawing>
              <wp:anchor distT="0" distB="0" distL="114300" distR="114300" simplePos="0" relativeHeight="251658247" behindDoc="0" locked="0" layoutInCell="1" allowOverlap="1" wp14:anchorId="0260F064" wp14:editId="2C97CBBE">
                <wp:simplePos x="0" y="0"/>
                <wp:positionH relativeFrom="column">
                  <wp:posOffset>-283210</wp:posOffset>
                </wp:positionH>
                <wp:positionV relativeFrom="paragraph">
                  <wp:posOffset>651038</wp:posOffset>
                </wp:positionV>
                <wp:extent cx="1181100" cy="332740"/>
                <wp:effectExtent l="0" t="0" r="0" b="0"/>
                <wp:wrapNone/>
                <wp:docPr id="1064890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3EA22" w14:textId="60B59486" w:rsidR="00923603" w:rsidRPr="00723329" w:rsidRDefault="00923603" w:rsidP="00923603">
                            <w:pPr>
                              <w:jc w:val="center"/>
                              <w:rPr>
                                <w:b/>
                                <w:color w:val="FFFFFF" w:themeColor="background1"/>
                              </w:rPr>
                            </w:pPr>
                            <w:r w:rsidRPr="00723329">
                              <w:rPr>
                                <w:b/>
                                <w:color w:val="FFFFFF" w:themeColor="background1"/>
                              </w:rPr>
                              <w:t>www.</w:t>
                            </w:r>
                            <w:r w:rsidR="000A4B3E">
                              <w:rPr>
                                <w:b/>
                                <w:color w:val="FFFFFF" w:themeColor="background1"/>
                              </w:rPr>
                              <w:t>cidh</w:t>
                            </w:r>
                            <w:r w:rsidRPr="00723329">
                              <w:rPr>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F064" id="Text Box 2" o:spid="_x0000_s1031" type="#_x0000_t202" style="position:absolute;left:0;text-align:left;margin-left:-22.3pt;margin-top:51.2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" filled="f" stroked="f" strokeweight=".5pt">
                <v:textbox>
                  <w:txbxContent>
                    <w:p w14:paraId="7063EA22" w14:textId="60B59486" w:rsidR="00923603" w:rsidRPr="00723329" w:rsidRDefault="00923603" w:rsidP="00923603">
                      <w:pPr>
                        <w:jc w:val="center"/>
                        <w:rPr>
                          <w:b/>
                          <w:color w:val="FFFFFF" w:themeColor="background1"/>
                        </w:rPr>
                      </w:pPr>
                      <w:r w:rsidRPr="00723329">
                        <w:rPr>
                          <w:b/>
                          <w:color w:val="FFFFFF" w:themeColor="background1"/>
                        </w:rPr>
                        <w:t>www.</w:t>
                      </w:r>
                      <w:r w:rsidR="000A4B3E">
                        <w:rPr>
                          <w:b/>
                          <w:color w:val="FFFFFF" w:themeColor="background1"/>
                        </w:rPr>
                        <w:t>cidh</w:t>
                      </w:r>
                      <w:r w:rsidRPr="00723329">
                        <w:rPr>
                          <w:b/>
                          <w:color w:val="FFFFFF" w:themeColor="background1"/>
                        </w:rPr>
                        <w:t>.org</w:t>
                      </w:r>
                    </w:p>
                  </w:txbxContent>
                </v:textbox>
              </v:shape>
            </w:pict>
          </mc:Fallback>
        </mc:AlternateContent>
      </w:r>
      <w:r w:rsidR="00CE0F88" w:rsidRPr="00E258B2">
        <w:rPr>
          <w:rFonts w:ascii="Cambria" w:eastAsia="Arial Unicode MS" w:hAnsi="Cambria" w:cstheme="majorBidi"/>
          <w:noProof/>
          <w:kern w:val="0"/>
          <w:bdr w:val="nil"/>
          <w:lang w:eastAsia="en-US"/>
        </w:rPr>
        <mc:AlternateContent>
          <mc:Choice Requires="wps">
            <w:drawing>
              <wp:anchor distT="0" distB="0" distL="114300" distR="114300" simplePos="0" relativeHeight="251658246" behindDoc="0" locked="0" layoutInCell="1" allowOverlap="1" wp14:anchorId="5BF2E2E0" wp14:editId="6CA80E26">
                <wp:simplePos x="0" y="0"/>
                <wp:positionH relativeFrom="column">
                  <wp:posOffset>1208405</wp:posOffset>
                </wp:positionH>
                <wp:positionV relativeFrom="paragraph">
                  <wp:posOffset>722630</wp:posOffset>
                </wp:positionV>
                <wp:extent cx="2085975" cy="485775"/>
                <wp:effectExtent l="0" t="0" r="0" b="0"/>
                <wp:wrapNone/>
                <wp:docPr id="3572979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CF810" w14:textId="58B819A5" w:rsidR="00923603" w:rsidRPr="00723329" w:rsidRDefault="00923603" w:rsidP="00923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2E2E0" id="Text Box 1" o:spid="_x0000_s1032" type="#_x0000_t202" style="position:absolute;left:0;text-align:left;margin-left:95.15pt;margin-top:56.9pt;width:164.25pt;height:3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375CF810" w14:textId="58B819A5" w:rsidR="00923603" w:rsidRPr="00723329" w:rsidRDefault="00923603" w:rsidP="00923603"/>
                  </w:txbxContent>
                </v:textbox>
              </v:shape>
            </w:pict>
          </mc:Fallback>
        </mc:AlternateContent>
      </w:r>
    </w:p>
    <w:p w14:paraId="299FF7A1" w14:textId="77777777" w:rsidR="00923603" w:rsidRPr="00E258B2" w:rsidRDefault="00923603" w:rsidP="0092360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sectPr w:rsidR="00923603" w:rsidRPr="00E258B2" w:rsidSect="0092360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78EB9EB2" w14:textId="77777777" w:rsidR="00923603" w:rsidRPr="00E258B2" w:rsidRDefault="00923603" w:rsidP="00923603">
      <w:pPr>
        <w:pBdr>
          <w:top w:val="nil"/>
          <w:left w:val="nil"/>
          <w:bottom w:val="nil"/>
          <w:right w:val="nil"/>
          <w:between w:val="nil"/>
          <w:bar w:val="nil"/>
        </w:pBdr>
        <w:spacing w:after="240" w:line="240" w:lineRule="auto"/>
        <w:ind w:firstLine="720"/>
        <w:jc w:val="both"/>
        <w:rPr>
          <w:rFonts w:ascii="Cambria" w:eastAsia="Arial Unicode MS" w:hAnsi="Cambria" w:cstheme="majorBidi"/>
          <w:b/>
          <w:bCs/>
          <w:kern w:val="0"/>
          <w:sz w:val="20"/>
          <w:szCs w:val="20"/>
          <w:bdr w:val="nil"/>
          <w:lang w:eastAsia="en-US"/>
        </w:rPr>
      </w:pPr>
      <w:r w:rsidRPr="00E258B2">
        <w:rPr>
          <w:rFonts w:ascii="Cambria" w:eastAsia="Arial Unicode MS" w:hAnsi="Cambria" w:cstheme="majorBidi"/>
          <w:b/>
          <w:bCs/>
          <w:kern w:val="0"/>
          <w:sz w:val="20"/>
          <w:szCs w:val="20"/>
          <w:bdr w:val="nil"/>
          <w:lang w:eastAsia="en-US"/>
        </w:rPr>
        <w:lastRenderedPageBreak/>
        <w:t>I.</w:t>
      </w:r>
      <w:r w:rsidRPr="00E258B2">
        <w:rPr>
          <w:rFonts w:ascii="Cambria" w:eastAsia="Arial Unicode MS" w:hAnsi="Cambria" w:cstheme="majorBidi"/>
          <w:b/>
          <w:bCs/>
          <w:kern w:val="0"/>
          <w:sz w:val="20"/>
          <w:szCs w:val="20"/>
          <w:bdr w:val="nil"/>
          <w:lang w:eastAsia="en-US"/>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923603" w:rsidRPr="008E3360" w14:paraId="58A6C902" w14:textId="77777777" w:rsidTr="00826B14">
        <w:tc>
          <w:tcPr>
            <w:tcW w:w="3690" w:type="dxa"/>
            <w:tcBorders>
              <w:top w:val="single" w:sz="4" w:space="0" w:color="auto"/>
              <w:bottom w:val="single" w:sz="6" w:space="0" w:color="auto"/>
            </w:tcBorders>
            <w:shd w:val="clear" w:color="auto" w:fill="67AE3C"/>
            <w:vAlign w:val="center"/>
          </w:tcPr>
          <w:p w14:paraId="0234103F"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Petitioner:</w:t>
            </w:r>
          </w:p>
        </w:tc>
        <w:tc>
          <w:tcPr>
            <w:tcW w:w="5670" w:type="dxa"/>
            <w:vAlign w:val="center"/>
          </w:tcPr>
          <w:p w14:paraId="226004D9" w14:textId="0A12C85B" w:rsidR="00923603" w:rsidRPr="00E258B2" w:rsidRDefault="00383856" w:rsidP="00826B14">
            <w:pPr>
              <w:jc w:val="both"/>
              <w:rPr>
                <w:rFonts w:ascii="Cambria" w:hAnsi="Cambria" w:cstheme="majorBidi"/>
                <w:bCs/>
                <w:lang w:eastAsia="en-US"/>
              </w:rPr>
            </w:pPr>
            <w:r w:rsidRPr="00E258B2">
              <w:rPr>
                <w:rFonts w:ascii="Cambria" w:hAnsi="Cambria" w:cstheme="majorBidi"/>
                <w:bCs/>
                <w:lang w:eastAsia="en-US"/>
              </w:rPr>
              <w:t>Carlos Guti</w:t>
            </w:r>
            <w:r w:rsidR="00E258B2" w:rsidRPr="00E258B2">
              <w:rPr>
                <w:rFonts w:ascii="Cambria" w:hAnsi="Cambria" w:cstheme="majorBidi"/>
                <w:bCs/>
                <w:lang w:eastAsia="en-US"/>
              </w:rPr>
              <w:t>e</w:t>
            </w:r>
            <w:r w:rsidRPr="00E258B2">
              <w:rPr>
                <w:rFonts w:ascii="Cambria" w:hAnsi="Cambria" w:cstheme="majorBidi"/>
                <w:bCs/>
                <w:lang w:eastAsia="en-US"/>
              </w:rPr>
              <w:t>rrez Mej</w:t>
            </w:r>
            <w:r w:rsidR="00E258B2" w:rsidRPr="00E258B2">
              <w:rPr>
                <w:rFonts w:ascii="Cambria" w:hAnsi="Cambria" w:cstheme="majorBidi"/>
                <w:bCs/>
                <w:lang w:eastAsia="en-US"/>
              </w:rPr>
              <w:t>i</w:t>
            </w:r>
            <w:r w:rsidRPr="00E258B2">
              <w:rPr>
                <w:rFonts w:ascii="Cambria" w:hAnsi="Cambria" w:cstheme="majorBidi"/>
                <w:bCs/>
                <w:lang w:eastAsia="en-US"/>
              </w:rPr>
              <w:t>a and Omaira T</w:t>
            </w:r>
            <w:r w:rsidR="00E258B2" w:rsidRPr="00E258B2">
              <w:rPr>
                <w:rFonts w:ascii="Cambria" w:hAnsi="Cambria" w:cstheme="majorBidi"/>
                <w:bCs/>
                <w:lang w:eastAsia="en-US"/>
              </w:rPr>
              <w:t>asco</w:t>
            </w:r>
            <w:r w:rsidRPr="00E258B2">
              <w:rPr>
                <w:rFonts w:ascii="Cambria" w:hAnsi="Cambria" w:cstheme="majorBidi"/>
                <w:bCs/>
                <w:lang w:eastAsia="en-US"/>
              </w:rPr>
              <w:t xml:space="preserve">n Gallego </w:t>
            </w:r>
          </w:p>
        </w:tc>
      </w:tr>
      <w:tr w:rsidR="00923603" w:rsidRPr="008E3360" w14:paraId="2EC64B3D" w14:textId="77777777" w:rsidTr="00826B14">
        <w:tc>
          <w:tcPr>
            <w:tcW w:w="3690" w:type="dxa"/>
            <w:tcBorders>
              <w:top w:val="single" w:sz="6" w:space="0" w:color="auto"/>
              <w:bottom w:val="single" w:sz="6" w:space="0" w:color="auto"/>
            </w:tcBorders>
            <w:shd w:val="clear" w:color="auto" w:fill="67AE3C"/>
            <w:vAlign w:val="center"/>
          </w:tcPr>
          <w:p w14:paraId="117A29D8" w14:textId="77777777" w:rsidR="00923603" w:rsidRPr="00E258B2" w:rsidRDefault="005073C9" w:rsidP="00826B14">
            <w:pPr>
              <w:jc w:val="center"/>
              <w:rPr>
                <w:rFonts w:ascii="Cambria" w:hAnsi="Cambria" w:cstheme="majorBidi"/>
                <w:b/>
                <w:bCs/>
                <w:color w:val="FFFFFF" w:themeColor="background1"/>
                <w:lang w:val="en-US" w:eastAsia="en-US"/>
              </w:rPr>
            </w:pPr>
            <w:sdt>
              <w:sdtPr>
                <w:rPr>
                  <w:rFonts w:ascii="Cambria" w:hAnsi="Cambria" w:cstheme="majorBidi"/>
                  <w:b/>
                  <w:bCs/>
                  <w:color w:val="FFFFFF" w:themeColor="background1"/>
                  <w:lang w:eastAsia="en-US"/>
                </w:rPr>
                <w:alias w:val="Elegir una opción"/>
                <w:tag w:val="Elegir una opción"/>
                <w:id w:val="931095713"/>
                <w:placeholder>
                  <w:docPart w:val="10A6D03C9DF447C39B0DA269EC57C1FC"/>
                </w:placeholder>
                <w:dropDownList>
                  <w:listItem w:value="Choose an item."/>
                  <w:listItem w:displayText="Alleged victim" w:value="Alleged victim"/>
                  <w:listItem w:displayText="Alleged victims" w:value="Alleged victims"/>
                </w:dropDownList>
              </w:sdtPr>
              <w:sdtEndPr/>
              <w:sdtContent>
                <w:r w:rsidR="00923603" w:rsidRPr="00E258B2">
                  <w:rPr>
                    <w:rFonts w:ascii="Cambria" w:hAnsi="Cambria" w:cstheme="majorBidi"/>
                    <w:b/>
                    <w:bCs/>
                    <w:color w:val="FFFFFF" w:themeColor="background1"/>
                    <w:lang w:val="en-US" w:eastAsia="en-US"/>
                  </w:rPr>
                  <w:t>Alleged victims</w:t>
                </w:r>
              </w:sdtContent>
            </w:sdt>
            <w:r w:rsidR="00923603" w:rsidRPr="00E258B2">
              <w:rPr>
                <w:rFonts w:ascii="Cambria" w:hAnsi="Cambria" w:cstheme="majorBidi"/>
                <w:b/>
                <w:bCs/>
                <w:color w:val="FFFFFF" w:themeColor="background1"/>
                <w:lang w:val="en-US" w:eastAsia="en-US"/>
              </w:rPr>
              <w:t>:</w:t>
            </w:r>
          </w:p>
        </w:tc>
        <w:tc>
          <w:tcPr>
            <w:tcW w:w="5670" w:type="dxa"/>
            <w:vAlign w:val="center"/>
          </w:tcPr>
          <w:p w14:paraId="16A40E53" w14:textId="7AB05491" w:rsidR="00923603" w:rsidRPr="00F5668F" w:rsidRDefault="008F7573" w:rsidP="00826B14">
            <w:pPr>
              <w:jc w:val="both"/>
              <w:rPr>
                <w:rFonts w:ascii="Cambria" w:hAnsi="Cambria" w:cstheme="majorBidi"/>
                <w:bCs/>
                <w:lang w:eastAsia="en-US"/>
              </w:rPr>
            </w:pPr>
            <w:r w:rsidRPr="00F5668F">
              <w:rPr>
                <w:rFonts w:ascii="Cambria" w:hAnsi="Cambria"/>
                <w:bCs/>
              </w:rPr>
              <w:t>Carlos Guti</w:t>
            </w:r>
            <w:r w:rsidR="00E258B2" w:rsidRPr="00F5668F">
              <w:rPr>
                <w:rFonts w:ascii="Cambria" w:hAnsi="Cambria"/>
                <w:bCs/>
              </w:rPr>
              <w:t>e</w:t>
            </w:r>
            <w:r w:rsidRPr="00F5668F">
              <w:rPr>
                <w:rFonts w:ascii="Cambria" w:hAnsi="Cambria"/>
                <w:bCs/>
              </w:rPr>
              <w:t>rrez Mej</w:t>
            </w:r>
            <w:r w:rsidR="00E258B2" w:rsidRPr="00F5668F">
              <w:rPr>
                <w:rFonts w:ascii="Cambria" w:hAnsi="Cambria"/>
                <w:bCs/>
              </w:rPr>
              <w:t>i</w:t>
            </w:r>
            <w:r w:rsidRPr="00F5668F">
              <w:rPr>
                <w:rFonts w:ascii="Cambria" w:hAnsi="Cambria"/>
                <w:bCs/>
              </w:rPr>
              <w:t>a et al.</w:t>
            </w:r>
            <w:r w:rsidRPr="00E258B2">
              <w:rPr>
                <w:rStyle w:val="FootnoteReference"/>
                <w:rFonts w:ascii="Cambria" w:hAnsi="Cambria"/>
                <w:bCs/>
                <w:lang w:val="en-US"/>
              </w:rPr>
              <w:footnoteReference w:id="2"/>
            </w:r>
          </w:p>
        </w:tc>
      </w:tr>
      <w:tr w:rsidR="00923603" w:rsidRPr="00E258B2" w14:paraId="2FD2C365" w14:textId="77777777" w:rsidTr="00826B14">
        <w:tc>
          <w:tcPr>
            <w:tcW w:w="3690" w:type="dxa"/>
            <w:tcBorders>
              <w:top w:val="single" w:sz="6" w:space="0" w:color="auto"/>
              <w:bottom w:val="single" w:sz="6" w:space="0" w:color="auto"/>
            </w:tcBorders>
            <w:shd w:val="clear" w:color="auto" w:fill="67AE3C"/>
            <w:vAlign w:val="center"/>
          </w:tcPr>
          <w:p w14:paraId="084128C6"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Respondent State:</w:t>
            </w:r>
          </w:p>
        </w:tc>
        <w:tc>
          <w:tcPr>
            <w:tcW w:w="5670" w:type="dxa"/>
            <w:vAlign w:val="center"/>
          </w:tcPr>
          <w:p w14:paraId="46C5DD97" w14:textId="77777777" w:rsidR="00923603" w:rsidRPr="00E258B2" w:rsidRDefault="00923603" w:rsidP="00826B14">
            <w:pPr>
              <w:jc w:val="both"/>
              <w:rPr>
                <w:rFonts w:ascii="Cambria" w:hAnsi="Cambria" w:cstheme="majorBidi"/>
                <w:bCs/>
                <w:lang w:val="en-US" w:eastAsia="en-US"/>
              </w:rPr>
            </w:pPr>
            <w:r w:rsidRPr="00E258B2">
              <w:rPr>
                <w:rFonts w:ascii="Cambria" w:hAnsi="Cambria" w:cstheme="majorBidi"/>
                <w:bCs/>
                <w:lang w:val="en-US" w:eastAsia="en-US"/>
              </w:rPr>
              <w:t>Colombia</w:t>
            </w:r>
            <w:r w:rsidRPr="00E258B2">
              <w:rPr>
                <w:rFonts w:ascii="Cambria" w:hAnsi="Cambria" w:cstheme="majorBidi"/>
                <w:bCs/>
                <w:vertAlign w:val="superscript"/>
                <w:lang w:val="en-US" w:eastAsia="en-US"/>
              </w:rPr>
              <w:footnoteReference w:id="3"/>
            </w:r>
          </w:p>
        </w:tc>
      </w:tr>
      <w:tr w:rsidR="00923603" w:rsidRPr="00E258B2" w14:paraId="04B2DD45" w14:textId="77777777" w:rsidTr="00826B14">
        <w:tc>
          <w:tcPr>
            <w:tcW w:w="3690" w:type="dxa"/>
            <w:tcBorders>
              <w:top w:val="single" w:sz="6" w:space="0" w:color="auto"/>
              <w:bottom w:val="single" w:sz="6" w:space="0" w:color="auto"/>
            </w:tcBorders>
            <w:shd w:val="clear" w:color="auto" w:fill="67AE3C"/>
            <w:vAlign w:val="center"/>
          </w:tcPr>
          <w:p w14:paraId="439ED5DA"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Rights invoked:</w:t>
            </w:r>
          </w:p>
        </w:tc>
        <w:tc>
          <w:tcPr>
            <w:tcW w:w="5670" w:type="dxa"/>
            <w:vAlign w:val="center"/>
          </w:tcPr>
          <w:p w14:paraId="3F7EF612" w14:textId="5732AC61" w:rsidR="00923603" w:rsidRPr="00E258B2" w:rsidRDefault="00923603" w:rsidP="00826B14">
            <w:pPr>
              <w:jc w:val="both"/>
              <w:rPr>
                <w:rFonts w:ascii="Cambria" w:hAnsi="Cambria" w:cstheme="majorBidi"/>
                <w:bCs/>
                <w:lang w:val="en-US" w:eastAsia="en-US"/>
              </w:rPr>
            </w:pPr>
            <w:r w:rsidRPr="00E258B2">
              <w:rPr>
                <w:rFonts w:ascii="Cambria" w:hAnsi="Cambria" w:cstheme="majorBidi"/>
                <w:bCs/>
                <w:lang w:val="en-US" w:eastAsia="en-US"/>
              </w:rPr>
              <w:t>Articles 8 (judicial guarantees)</w:t>
            </w:r>
            <w:r w:rsidR="008F7573" w:rsidRPr="00E258B2">
              <w:rPr>
                <w:rFonts w:ascii="Cambria" w:hAnsi="Cambria" w:cstheme="majorBidi"/>
                <w:bCs/>
                <w:lang w:val="en-US" w:eastAsia="en-US"/>
              </w:rPr>
              <w:t xml:space="preserve"> and </w:t>
            </w:r>
            <w:r w:rsidRPr="00E258B2">
              <w:rPr>
                <w:rFonts w:ascii="Cambria" w:hAnsi="Cambria" w:cstheme="majorBidi"/>
                <w:bCs/>
                <w:lang w:val="en-US" w:eastAsia="en-US"/>
              </w:rPr>
              <w:t>25 (judicial protection) of the American Convention on Human Rights</w:t>
            </w:r>
            <w:r w:rsidRPr="00E258B2">
              <w:rPr>
                <w:rFonts w:ascii="Cambria" w:hAnsi="Cambria" w:cstheme="majorBidi"/>
                <w:vertAlign w:val="superscript"/>
                <w:lang w:val="en-US" w:eastAsia="en-US"/>
              </w:rPr>
              <w:footnoteReference w:id="4"/>
            </w:r>
            <w:r w:rsidRPr="00E258B2">
              <w:rPr>
                <w:rFonts w:ascii="Cambria" w:hAnsi="Cambria" w:cstheme="majorBidi"/>
                <w:bCs/>
                <w:lang w:val="en-US" w:eastAsia="en-US"/>
              </w:rPr>
              <w:t xml:space="preserve"> </w:t>
            </w:r>
          </w:p>
        </w:tc>
      </w:tr>
    </w:tbl>
    <w:p w14:paraId="5CDF538A" w14:textId="77777777" w:rsidR="00923603" w:rsidRPr="00E258B2" w:rsidRDefault="00923603" w:rsidP="00923603">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E258B2">
        <w:rPr>
          <w:rFonts w:ascii="Cambria" w:eastAsia="Arial Unicode MS" w:hAnsi="Cambria" w:cstheme="majorBidi"/>
          <w:b/>
          <w:bCs/>
          <w:kern w:val="0"/>
          <w:sz w:val="20"/>
          <w:szCs w:val="20"/>
          <w:bdr w:val="nil"/>
          <w:lang w:eastAsia="en-US"/>
        </w:rPr>
        <w:t>II.</w:t>
      </w:r>
      <w:r w:rsidRPr="00E258B2">
        <w:rPr>
          <w:rFonts w:ascii="Cambria" w:eastAsia="Arial Unicode MS" w:hAnsi="Cambria" w:cstheme="majorBidi"/>
          <w:b/>
          <w:bCs/>
          <w:kern w:val="0"/>
          <w:sz w:val="20"/>
          <w:szCs w:val="20"/>
          <w:bdr w:val="nil"/>
          <w:lang w:eastAsia="en-US"/>
        </w:rPr>
        <w:tab/>
        <w:t>PROCEEDINGS BEFORE THE IACHR</w:t>
      </w:r>
      <w:r w:rsidRPr="00E258B2">
        <w:rPr>
          <w:rFonts w:ascii="Cambria" w:eastAsia="Arial Unicode MS" w:hAnsi="Cambria" w:cstheme="majorBidi"/>
          <w:b/>
          <w:kern w:val="0"/>
          <w:sz w:val="20"/>
          <w:szCs w:val="20"/>
          <w:bdr w:val="nil"/>
          <w:vertAlign w:val="superscript"/>
          <w:lang w:eastAsia="en-U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923603" w:rsidRPr="00E258B2" w14:paraId="7F5F7563" w14:textId="77777777" w:rsidTr="00826B14">
        <w:tc>
          <w:tcPr>
            <w:tcW w:w="3690" w:type="dxa"/>
            <w:tcBorders>
              <w:top w:val="single" w:sz="6" w:space="0" w:color="auto"/>
              <w:bottom w:val="single" w:sz="6" w:space="0" w:color="auto"/>
            </w:tcBorders>
            <w:shd w:val="clear" w:color="auto" w:fill="67AE3C"/>
            <w:vAlign w:val="center"/>
          </w:tcPr>
          <w:p w14:paraId="7E94CD2A"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Filing of the petition:</w:t>
            </w:r>
          </w:p>
        </w:tc>
        <w:tc>
          <w:tcPr>
            <w:tcW w:w="5670" w:type="dxa"/>
            <w:vAlign w:val="center"/>
          </w:tcPr>
          <w:p w14:paraId="2D8FC403" w14:textId="2D5F673B" w:rsidR="00923603" w:rsidRPr="00E258B2" w:rsidRDefault="008A6433" w:rsidP="00826B14">
            <w:pPr>
              <w:jc w:val="both"/>
              <w:rPr>
                <w:rFonts w:ascii="Cambria" w:hAnsi="Cambria" w:cstheme="majorBidi"/>
                <w:bCs/>
                <w:lang w:val="en-US" w:eastAsia="en-US"/>
              </w:rPr>
            </w:pPr>
            <w:r w:rsidRPr="00E258B2">
              <w:rPr>
                <w:rFonts w:ascii="Cambria" w:hAnsi="Cambria" w:cstheme="majorBidi"/>
                <w:bCs/>
                <w:lang w:val="en-US" w:eastAsia="en-US"/>
              </w:rPr>
              <w:t>October 10</w:t>
            </w:r>
            <w:r w:rsidR="00923603" w:rsidRPr="00E258B2">
              <w:rPr>
                <w:rFonts w:ascii="Cambria" w:hAnsi="Cambria" w:cstheme="majorBidi"/>
                <w:bCs/>
                <w:lang w:val="en-US" w:eastAsia="en-US"/>
              </w:rPr>
              <w:t>, 2014</w:t>
            </w:r>
          </w:p>
        </w:tc>
      </w:tr>
      <w:tr w:rsidR="00923603" w:rsidRPr="00E258B2" w14:paraId="60067105" w14:textId="77777777" w:rsidTr="00826B14">
        <w:tc>
          <w:tcPr>
            <w:tcW w:w="3690" w:type="dxa"/>
            <w:tcBorders>
              <w:top w:val="single" w:sz="6" w:space="0" w:color="auto"/>
              <w:bottom w:val="single" w:sz="6" w:space="0" w:color="auto"/>
            </w:tcBorders>
            <w:shd w:val="clear" w:color="auto" w:fill="67AE3C"/>
            <w:vAlign w:val="center"/>
          </w:tcPr>
          <w:p w14:paraId="0C27500D"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Additional information received during the initial review stage</w:t>
            </w:r>
          </w:p>
        </w:tc>
        <w:tc>
          <w:tcPr>
            <w:tcW w:w="5670" w:type="dxa"/>
            <w:vAlign w:val="center"/>
          </w:tcPr>
          <w:p w14:paraId="5B36CA94" w14:textId="59A20B9F" w:rsidR="00923603" w:rsidRPr="00E258B2" w:rsidRDefault="00077C7C" w:rsidP="00826B14">
            <w:pPr>
              <w:jc w:val="both"/>
              <w:rPr>
                <w:rFonts w:ascii="Cambria" w:hAnsi="Cambria" w:cstheme="majorBidi"/>
                <w:bCs/>
                <w:lang w:val="en-US" w:eastAsia="en-US"/>
              </w:rPr>
            </w:pPr>
            <w:r w:rsidRPr="00E258B2">
              <w:rPr>
                <w:rFonts w:ascii="Cambria" w:hAnsi="Cambria" w:cstheme="majorBidi"/>
                <w:bCs/>
                <w:lang w:val="en-US" w:eastAsia="en-US"/>
              </w:rPr>
              <w:t>August 30, October 4, and December 23, 2015; April 22, 2016; February 23, March 7, and July 10, 2017</w:t>
            </w:r>
          </w:p>
        </w:tc>
      </w:tr>
      <w:tr w:rsidR="00923603" w:rsidRPr="00E258B2" w14:paraId="4E1267B3" w14:textId="77777777" w:rsidTr="00826B14">
        <w:tc>
          <w:tcPr>
            <w:tcW w:w="3690" w:type="dxa"/>
            <w:tcBorders>
              <w:top w:val="single" w:sz="6" w:space="0" w:color="auto"/>
              <w:bottom w:val="single" w:sz="6" w:space="0" w:color="auto"/>
            </w:tcBorders>
            <w:shd w:val="clear" w:color="auto" w:fill="67AE3C"/>
            <w:vAlign w:val="center"/>
          </w:tcPr>
          <w:p w14:paraId="722AC42D"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color w:val="FFFFFF" w:themeColor="background1"/>
                <w:lang w:val="en-US" w:eastAsia="en-US"/>
              </w:rPr>
              <w:t>Notification of the petition to the State:</w:t>
            </w:r>
          </w:p>
        </w:tc>
        <w:tc>
          <w:tcPr>
            <w:tcW w:w="5670" w:type="dxa"/>
            <w:vAlign w:val="center"/>
          </w:tcPr>
          <w:p w14:paraId="6DB4D9BF" w14:textId="4F7D25FE" w:rsidR="00923603" w:rsidRPr="00E258B2" w:rsidRDefault="005A6507" w:rsidP="00826B14">
            <w:pPr>
              <w:jc w:val="both"/>
              <w:rPr>
                <w:rFonts w:ascii="Cambria" w:hAnsi="Cambria" w:cstheme="majorBidi"/>
                <w:bCs/>
                <w:lang w:val="en-US" w:eastAsia="en-US"/>
              </w:rPr>
            </w:pPr>
            <w:r w:rsidRPr="00E258B2">
              <w:rPr>
                <w:rFonts w:ascii="Cambria" w:hAnsi="Cambria" w:cstheme="majorBidi"/>
                <w:bCs/>
                <w:lang w:val="en-US" w:eastAsia="en-US"/>
              </w:rPr>
              <w:t xml:space="preserve">June 7, </w:t>
            </w:r>
            <w:r w:rsidR="00923603" w:rsidRPr="00E258B2">
              <w:rPr>
                <w:rFonts w:ascii="Cambria" w:hAnsi="Cambria" w:cstheme="majorBidi"/>
                <w:bCs/>
                <w:lang w:val="en-US" w:eastAsia="en-US"/>
              </w:rPr>
              <w:t xml:space="preserve">2019 </w:t>
            </w:r>
          </w:p>
        </w:tc>
      </w:tr>
      <w:tr w:rsidR="00923603" w:rsidRPr="00E258B2" w14:paraId="47434355" w14:textId="77777777" w:rsidTr="00826B14">
        <w:trPr>
          <w:trHeight w:val="264"/>
        </w:trPr>
        <w:tc>
          <w:tcPr>
            <w:tcW w:w="3690" w:type="dxa"/>
            <w:tcBorders>
              <w:top w:val="single" w:sz="6" w:space="0" w:color="auto"/>
              <w:bottom w:val="single" w:sz="6" w:space="0" w:color="auto"/>
            </w:tcBorders>
            <w:shd w:val="clear" w:color="auto" w:fill="67AE3C"/>
            <w:vAlign w:val="center"/>
          </w:tcPr>
          <w:p w14:paraId="5FE9DBB6"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color w:val="FFFFFF" w:themeColor="background1"/>
                <w:lang w:val="en-US" w:eastAsia="en-US"/>
              </w:rPr>
              <w:t>State’s first response:</w:t>
            </w:r>
          </w:p>
        </w:tc>
        <w:tc>
          <w:tcPr>
            <w:tcW w:w="5670" w:type="dxa"/>
            <w:vAlign w:val="center"/>
          </w:tcPr>
          <w:p w14:paraId="299EAC43" w14:textId="404B4821" w:rsidR="00923603" w:rsidRPr="00E258B2" w:rsidRDefault="005A6507" w:rsidP="00826B14">
            <w:pPr>
              <w:jc w:val="both"/>
              <w:rPr>
                <w:rFonts w:ascii="Cambria" w:hAnsi="Cambria" w:cstheme="majorBidi"/>
                <w:bCs/>
                <w:lang w:val="en-US" w:eastAsia="en-US"/>
              </w:rPr>
            </w:pPr>
            <w:r w:rsidRPr="00E258B2">
              <w:rPr>
                <w:rFonts w:ascii="Cambria" w:hAnsi="Cambria" w:cstheme="majorBidi"/>
                <w:bCs/>
                <w:lang w:val="en-US" w:eastAsia="en-US"/>
              </w:rPr>
              <w:t>October 21, 2019</w:t>
            </w:r>
          </w:p>
        </w:tc>
      </w:tr>
      <w:tr w:rsidR="00923603" w:rsidRPr="00E258B2" w14:paraId="55C76E6F" w14:textId="77777777" w:rsidTr="00826B14">
        <w:tc>
          <w:tcPr>
            <w:tcW w:w="3690" w:type="dxa"/>
            <w:tcBorders>
              <w:top w:val="single" w:sz="6" w:space="0" w:color="auto"/>
              <w:bottom w:val="single" w:sz="6" w:space="0" w:color="auto"/>
            </w:tcBorders>
            <w:shd w:val="clear" w:color="auto" w:fill="67AE3C"/>
            <w:vAlign w:val="center"/>
          </w:tcPr>
          <w:p w14:paraId="7A7AE82C"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Additional observations by the petitioner:</w:t>
            </w:r>
          </w:p>
        </w:tc>
        <w:tc>
          <w:tcPr>
            <w:tcW w:w="5670" w:type="dxa"/>
            <w:vAlign w:val="center"/>
          </w:tcPr>
          <w:p w14:paraId="5829C716" w14:textId="7697245C" w:rsidR="00923603" w:rsidRPr="00E258B2" w:rsidRDefault="005A6507" w:rsidP="00826B14">
            <w:pPr>
              <w:jc w:val="both"/>
              <w:rPr>
                <w:rFonts w:ascii="Cambria" w:hAnsi="Cambria" w:cstheme="majorBidi"/>
                <w:bCs/>
                <w:lang w:val="en-US" w:eastAsia="en-US"/>
              </w:rPr>
            </w:pPr>
            <w:r w:rsidRPr="00E258B2">
              <w:rPr>
                <w:rFonts w:ascii="Cambria" w:hAnsi="Cambria" w:cstheme="majorBidi"/>
                <w:bCs/>
                <w:lang w:val="en-US" w:eastAsia="en-US"/>
              </w:rPr>
              <w:t xml:space="preserve">February 29, June 22, and July 3, 2020; and October 28, </w:t>
            </w:r>
            <w:r w:rsidR="00923603" w:rsidRPr="00E258B2">
              <w:rPr>
                <w:rFonts w:ascii="Cambria" w:hAnsi="Cambria" w:cstheme="majorBidi"/>
                <w:bCs/>
                <w:lang w:val="en-US" w:eastAsia="en-US"/>
              </w:rPr>
              <w:t>202</w:t>
            </w:r>
            <w:r w:rsidR="0064608B" w:rsidRPr="00E258B2">
              <w:rPr>
                <w:rFonts w:ascii="Cambria" w:hAnsi="Cambria" w:cstheme="majorBidi"/>
                <w:bCs/>
                <w:lang w:val="en-US" w:eastAsia="en-US"/>
              </w:rPr>
              <w:t>2</w:t>
            </w:r>
            <w:r w:rsidR="00923603" w:rsidRPr="00E258B2">
              <w:rPr>
                <w:rFonts w:ascii="Cambria" w:hAnsi="Cambria" w:cstheme="majorBidi"/>
                <w:bCs/>
                <w:lang w:val="en-US" w:eastAsia="en-US"/>
              </w:rPr>
              <w:t xml:space="preserve"> </w:t>
            </w:r>
          </w:p>
        </w:tc>
      </w:tr>
      <w:tr w:rsidR="00923603" w:rsidRPr="00E258B2" w14:paraId="653DD145" w14:textId="77777777" w:rsidTr="00826B14">
        <w:tc>
          <w:tcPr>
            <w:tcW w:w="3690" w:type="dxa"/>
            <w:tcBorders>
              <w:top w:val="single" w:sz="6" w:space="0" w:color="auto"/>
              <w:bottom w:val="single" w:sz="6" w:space="0" w:color="auto"/>
            </w:tcBorders>
            <w:shd w:val="clear" w:color="auto" w:fill="67AE3C"/>
            <w:vAlign w:val="center"/>
          </w:tcPr>
          <w:p w14:paraId="5EE47130"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Additional observations on the part of the State:</w:t>
            </w:r>
          </w:p>
        </w:tc>
        <w:tc>
          <w:tcPr>
            <w:tcW w:w="5670" w:type="dxa"/>
            <w:vAlign w:val="center"/>
          </w:tcPr>
          <w:p w14:paraId="7CD7289C" w14:textId="6EE578D9" w:rsidR="00923603" w:rsidRPr="00E258B2" w:rsidRDefault="00923603" w:rsidP="00826B14">
            <w:pPr>
              <w:jc w:val="both"/>
              <w:rPr>
                <w:rFonts w:ascii="Cambria" w:hAnsi="Cambria" w:cstheme="majorBidi"/>
                <w:bCs/>
                <w:lang w:val="en-US" w:eastAsia="en-US"/>
              </w:rPr>
            </w:pPr>
            <w:r w:rsidRPr="00E258B2">
              <w:rPr>
                <w:rFonts w:ascii="Cambria" w:hAnsi="Cambria" w:cstheme="majorBidi"/>
                <w:bCs/>
                <w:lang w:val="en-US" w:eastAsia="en-US"/>
              </w:rPr>
              <w:t xml:space="preserve">May </w:t>
            </w:r>
            <w:r w:rsidR="00EC04FC" w:rsidRPr="00E258B2">
              <w:rPr>
                <w:rFonts w:ascii="Cambria" w:hAnsi="Cambria" w:cstheme="majorBidi"/>
                <w:bCs/>
                <w:lang w:val="en-US" w:eastAsia="en-US"/>
              </w:rPr>
              <w:t>20</w:t>
            </w:r>
            <w:r w:rsidRPr="00E258B2">
              <w:rPr>
                <w:rFonts w:ascii="Cambria" w:hAnsi="Cambria" w:cstheme="majorBidi"/>
                <w:bCs/>
                <w:lang w:val="en-US" w:eastAsia="en-US"/>
              </w:rPr>
              <w:t>, 2021</w:t>
            </w:r>
          </w:p>
        </w:tc>
      </w:tr>
    </w:tbl>
    <w:p w14:paraId="0F9233CA" w14:textId="77777777" w:rsidR="00923603" w:rsidRPr="00E258B2" w:rsidRDefault="00923603" w:rsidP="00923603">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E258B2">
        <w:rPr>
          <w:rFonts w:ascii="Cambria" w:eastAsia="Arial Unicode MS" w:hAnsi="Cambria" w:cstheme="majorBidi"/>
          <w:b/>
          <w:bCs/>
          <w:kern w:val="0"/>
          <w:sz w:val="20"/>
          <w:szCs w:val="20"/>
          <w:bdr w:val="nil"/>
          <w:lang w:eastAsia="en-US"/>
        </w:rPr>
        <w:t xml:space="preserve">III. </w:t>
      </w:r>
      <w:r w:rsidRPr="00E258B2">
        <w:rPr>
          <w:rFonts w:ascii="Cambria" w:eastAsia="Arial Unicode MS" w:hAnsi="Cambria" w:cstheme="majorBidi"/>
          <w:b/>
          <w:bCs/>
          <w:kern w:val="0"/>
          <w:sz w:val="20"/>
          <w:szCs w:val="20"/>
          <w:bdr w:val="nil"/>
          <w:lang w:eastAsia="en-US"/>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923603" w:rsidRPr="00E258B2" w14:paraId="14A88C6B" w14:textId="77777777" w:rsidTr="00826B14">
        <w:trPr>
          <w:cantSplit/>
        </w:trPr>
        <w:tc>
          <w:tcPr>
            <w:tcW w:w="3690" w:type="dxa"/>
            <w:tcBorders>
              <w:top w:val="single" w:sz="4" w:space="0" w:color="auto"/>
              <w:bottom w:val="single" w:sz="6" w:space="0" w:color="auto"/>
            </w:tcBorders>
            <w:shd w:val="clear" w:color="auto" w:fill="67AE3C"/>
            <w:vAlign w:val="center"/>
          </w:tcPr>
          <w:p w14:paraId="76D97930" w14:textId="77777777" w:rsidR="00923603" w:rsidRPr="00E258B2" w:rsidRDefault="00923603" w:rsidP="00826B14">
            <w:pPr>
              <w:jc w:val="center"/>
              <w:rPr>
                <w:rFonts w:ascii="Cambria" w:hAnsi="Cambria" w:cstheme="majorBidi"/>
                <w:b/>
                <w:bCs/>
                <w:i/>
                <w:color w:val="FFFFFF" w:themeColor="background1"/>
                <w:lang w:val="en-US" w:eastAsia="en-US"/>
              </w:rPr>
            </w:pPr>
            <w:r w:rsidRPr="00E258B2">
              <w:rPr>
                <w:rFonts w:ascii="Cambria" w:hAnsi="Cambria" w:cstheme="majorBidi"/>
                <w:b/>
                <w:bCs/>
                <w:color w:val="FFFFFF" w:themeColor="background1"/>
                <w:lang w:val="en-US" w:eastAsia="en-US"/>
              </w:rPr>
              <w:t>Competence</w:t>
            </w:r>
            <w:r w:rsidRPr="00E258B2">
              <w:rPr>
                <w:rFonts w:ascii="Cambria" w:hAnsi="Cambria" w:cstheme="majorBidi"/>
                <w:b/>
                <w:bCs/>
                <w:i/>
                <w:color w:val="FFFFFF" w:themeColor="background1"/>
                <w:lang w:val="en-US" w:eastAsia="en-US"/>
              </w:rPr>
              <w:t xml:space="preserve"> Ratione personae:</w:t>
            </w:r>
          </w:p>
        </w:tc>
        <w:tc>
          <w:tcPr>
            <w:tcW w:w="5670" w:type="dxa"/>
            <w:vAlign w:val="center"/>
          </w:tcPr>
          <w:p w14:paraId="100B181B" w14:textId="77777777" w:rsidR="00923603" w:rsidRPr="00E258B2" w:rsidRDefault="00923603" w:rsidP="00826B14">
            <w:pPr>
              <w:rPr>
                <w:rFonts w:ascii="Cambria" w:hAnsi="Cambria" w:cstheme="majorBidi"/>
                <w:bCs/>
                <w:lang w:val="en-US" w:eastAsia="en-US"/>
              </w:rPr>
            </w:pPr>
            <w:r w:rsidRPr="00E258B2">
              <w:rPr>
                <w:rFonts w:ascii="Cambria" w:hAnsi="Cambria" w:cstheme="majorBidi"/>
                <w:bCs/>
                <w:lang w:val="en-US" w:eastAsia="en-US"/>
              </w:rPr>
              <w:t>Yes</w:t>
            </w:r>
          </w:p>
        </w:tc>
      </w:tr>
      <w:tr w:rsidR="00923603" w:rsidRPr="00E258B2" w14:paraId="39E3F135" w14:textId="77777777" w:rsidTr="00826B14">
        <w:trPr>
          <w:cantSplit/>
        </w:trPr>
        <w:tc>
          <w:tcPr>
            <w:tcW w:w="3690" w:type="dxa"/>
            <w:tcBorders>
              <w:top w:val="single" w:sz="6" w:space="0" w:color="auto"/>
              <w:bottom w:val="single" w:sz="6" w:space="0" w:color="auto"/>
            </w:tcBorders>
            <w:shd w:val="clear" w:color="auto" w:fill="67AE3C"/>
            <w:vAlign w:val="center"/>
          </w:tcPr>
          <w:p w14:paraId="211F98B9"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Competence</w:t>
            </w:r>
            <w:r w:rsidRPr="00E258B2">
              <w:rPr>
                <w:rFonts w:ascii="Cambria" w:hAnsi="Cambria" w:cstheme="majorBidi"/>
                <w:b/>
                <w:bCs/>
                <w:i/>
                <w:color w:val="FFFFFF" w:themeColor="background1"/>
                <w:lang w:val="en-US" w:eastAsia="en-US"/>
              </w:rPr>
              <w:t xml:space="preserve"> Ratione loci</w:t>
            </w:r>
            <w:r w:rsidRPr="00E258B2">
              <w:rPr>
                <w:rFonts w:ascii="Cambria" w:hAnsi="Cambria" w:cstheme="majorBidi"/>
                <w:b/>
                <w:bCs/>
                <w:color w:val="FFFFFF" w:themeColor="background1"/>
                <w:lang w:val="en-US" w:eastAsia="en-US"/>
              </w:rPr>
              <w:t>:</w:t>
            </w:r>
          </w:p>
        </w:tc>
        <w:tc>
          <w:tcPr>
            <w:tcW w:w="5670" w:type="dxa"/>
            <w:vAlign w:val="center"/>
          </w:tcPr>
          <w:p w14:paraId="5432BF5B" w14:textId="77777777" w:rsidR="00923603" w:rsidRPr="00E258B2" w:rsidRDefault="00923603" w:rsidP="00826B14">
            <w:pPr>
              <w:rPr>
                <w:rFonts w:ascii="Cambria" w:hAnsi="Cambria" w:cstheme="majorBidi"/>
                <w:bCs/>
                <w:lang w:val="en-US" w:eastAsia="en-US"/>
              </w:rPr>
            </w:pPr>
            <w:r w:rsidRPr="00E258B2">
              <w:rPr>
                <w:rFonts w:ascii="Cambria" w:hAnsi="Cambria" w:cstheme="majorBidi"/>
                <w:bCs/>
                <w:lang w:val="en-US" w:eastAsia="en-US"/>
              </w:rPr>
              <w:t>Yes</w:t>
            </w:r>
          </w:p>
        </w:tc>
      </w:tr>
      <w:tr w:rsidR="00923603" w:rsidRPr="00E258B2" w14:paraId="4AFAA9EE" w14:textId="77777777" w:rsidTr="00826B14">
        <w:trPr>
          <w:cantSplit/>
        </w:trPr>
        <w:tc>
          <w:tcPr>
            <w:tcW w:w="3690" w:type="dxa"/>
            <w:tcBorders>
              <w:top w:val="single" w:sz="6" w:space="0" w:color="auto"/>
              <w:bottom w:val="single" w:sz="6" w:space="0" w:color="auto"/>
            </w:tcBorders>
            <w:shd w:val="clear" w:color="auto" w:fill="67AE3C"/>
            <w:vAlign w:val="center"/>
          </w:tcPr>
          <w:p w14:paraId="78A94E59"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Competence</w:t>
            </w:r>
            <w:r w:rsidRPr="00E258B2">
              <w:rPr>
                <w:rFonts w:ascii="Cambria" w:hAnsi="Cambria" w:cstheme="majorBidi"/>
                <w:b/>
                <w:bCs/>
                <w:i/>
                <w:color w:val="FFFFFF" w:themeColor="background1"/>
                <w:lang w:val="en-US" w:eastAsia="en-US"/>
              </w:rPr>
              <w:t xml:space="preserve"> Ratione temporis</w:t>
            </w:r>
            <w:r w:rsidRPr="00E258B2">
              <w:rPr>
                <w:rFonts w:ascii="Cambria" w:hAnsi="Cambria" w:cstheme="majorBidi"/>
                <w:b/>
                <w:bCs/>
                <w:color w:val="FFFFFF" w:themeColor="background1"/>
                <w:lang w:val="en-US" w:eastAsia="en-US"/>
              </w:rPr>
              <w:t>:</w:t>
            </w:r>
          </w:p>
        </w:tc>
        <w:tc>
          <w:tcPr>
            <w:tcW w:w="5670" w:type="dxa"/>
            <w:vAlign w:val="center"/>
          </w:tcPr>
          <w:p w14:paraId="122FB335" w14:textId="77777777" w:rsidR="00923603" w:rsidRPr="00E258B2" w:rsidRDefault="00923603" w:rsidP="00826B14">
            <w:pPr>
              <w:rPr>
                <w:rFonts w:ascii="Cambria" w:hAnsi="Cambria" w:cstheme="majorBidi"/>
                <w:bCs/>
                <w:lang w:val="en-US" w:eastAsia="en-US"/>
              </w:rPr>
            </w:pPr>
            <w:r w:rsidRPr="00E258B2">
              <w:rPr>
                <w:rFonts w:ascii="Cambria" w:hAnsi="Cambria" w:cstheme="majorBidi"/>
                <w:bCs/>
                <w:lang w:val="en-US" w:eastAsia="en-US"/>
              </w:rPr>
              <w:t>Yes</w:t>
            </w:r>
          </w:p>
        </w:tc>
      </w:tr>
      <w:tr w:rsidR="00923603" w:rsidRPr="00E258B2" w14:paraId="23362963" w14:textId="77777777" w:rsidTr="00826B14">
        <w:trPr>
          <w:cantSplit/>
        </w:trPr>
        <w:tc>
          <w:tcPr>
            <w:tcW w:w="3690" w:type="dxa"/>
            <w:tcBorders>
              <w:top w:val="single" w:sz="6" w:space="0" w:color="auto"/>
              <w:bottom w:val="single" w:sz="6" w:space="0" w:color="auto"/>
            </w:tcBorders>
            <w:shd w:val="clear" w:color="auto" w:fill="67AE3C"/>
            <w:vAlign w:val="center"/>
          </w:tcPr>
          <w:p w14:paraId="0D55F9B6"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Competence</w:t>
            </w:r>
            <w:r w:rsidRPr="00E258B2">
              <w:rPr>
                <w:rFonts w:ascii="Cambria" w:hAnsi="Cambria" w:cstheme="majorBidi"/>
                <w:b/>
                <w:bCs/>
                <w:i/>
                <w:color w:val="FFFFFF" w:themeColor="background1"/>
                <w:lang w:val="en-US" w:eastAsia="en-US"/>
              </w:rPr>
              <w:t xml:space="preserve"> Ratione materiae</w:t>
            </w:r>
            <w:r w:rsidRPr="00E258B2">
              <w:rPr>
                <w:rFonts w:ascii="Cambria" w:hAnsi="Cambria" w:cstheme="majorBidi"/>
                <w:b/>
                <w:bCs/>
                <w:color w:val="FFFFFF" w:themeColor="background1"/>
                <w:lang w:val="en-US" w:eastAsia="en-US"/>
              </w:rPr>
              <w:t>:</w:t>
            </w:r>
          </w:p>
        </w:tc>
        <w:tc>
          <w:tcPr>
            <w:tcW w:w="5670" w:type="dxa"/>
            <w:vAlign w:val="center"/>
          </w:tcPr>
          <w:p w14:paraId="36598453" w14:textId="77777777" w:rsidR="00923603" w:rsidRPr="00E258B2" w:rsidRDefault="00923603" w:rsidP="00826B14">
            <w:pPr>
              <w:jc w:val="both"/>
              <w:rPr>
                <w:rFonts w:ascii="Cambria" w:hAnsi="Cambria" w:cstheme="majorBidi"/>
                <w:bCs/>
                <w:lang w:val="en-US" w:eastAsia="en-US"/>
              </w:rPr>
            </w:pPr>
            <w:r w:rsidRPr="00E258B2">
              <w:rPr>
                <w:rFonts w:ascii="Cambria" w:hAnsi="Cambria" w:cstheme="majorBidi"/>
                <w:bCs/>
                <w:lang w:val="en-US" w:eastAsia="en-US"/>
              </w:rPr>
              <w:t>Yes, American Convention (deposit of instrument of ratification done July 31, 1973)</w:t>
            </w:r>
          </w:p>
        </w:tc>
      </w:tr>
    </w:tbl>
    <w:p w14:paraId="6FDE8E82" w14:textId="77777777" w:rsidR="00923603" w:rsidRPr="00E258B2" w:rsidRDefault="00923603" w:rsidP="00923603">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E258B2">
        <w:rPr>
          <w:rFonts w:ascii="Cambria" w:eastAsia="Arial Unicode MS" w:hAnsi="Cambria" w:cstheme="majorBidi"/>
          <w:b/>
          <w:bCs/>
          <w:kern w:val="0"/>
          <w:sz w:val="20"/>
          <w:szCs w:val="20"/>
          <w:bdr w:val="nil"/>
          <w:lang w:eastAsia="en-US"/>
        </w:rPr>
        <w:t xml:space="preserve">IV. </w:t>
      </w:r>
      <w:r w:rsidRPr="00E258B2">
        <w:rPr>
          <w:rFonts w:ascii="Cambria" w:eastAsia="Arial Unicode MS" w:hAnsi="Cambria" w:cstheme="majorBidi"/>
          <w:b/>
          <w:bCs/>
          <w:kern w:val="0"/>
          <w:sz w:val="20"/>
          <w:szCs w:val="20"/>
          <w:bdr w:val="nil"/>
          <w:lang w:eastAsia="en-US"/>
        </w:rPr>
        <w:tab/>
        <w:t xml:space="preserve">DUPLICATION OF PROCEDURES AND INTERNATIONAL </w:t>
      </w:r>
      <w:r w:rsidRPr="00E258B2">
        <w:rPr>
          <w:rFonts w:ascii="Cambria" w:eastAsia="Arial Unicode MS" w:hAnsi="Cambria" w:cstheme="majorBidi"/>
          <w:b/>
          <w:bCs/>
          <w:i/>
          <w:kern w:val="0"/>
          <w:sz w:val="20"/>
          <w:szCs w:val="20"/>
          <w:bdr w:val="nil"/>
          <w:lang w:eastAsia="en-US"/>
        </w:rPr>
        <w:t>RES JUDICATA</w:t>
      </w:r>
      <w:r w:rsidRPr="00E258B2">
        <w:rPr>
          <w:rFonts w:ascii="Cambria" w:eastAsia="Arial Unicode MS" w:hAnsi="Cambria" w:cstheme="majorBidi"/>
          <w:b/>
          <w:bCs/>
          <w:kern w:val="0"/>
          <w:sz w:val="20"/>
          <w:szCs w:val="20"/>
          <w:bdr w:val="nil"/>
          <w:lang w:eastAsia="en-US"/>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923603" w:rsidRPr="00E258B2" w14:paraId="228C8256" w14:textId="77777777" w:rsidTr="00826B14">
        <w:trPr>
          <w:cantSplit/>
        </w:trPr>
        <w:tc>
          <w:tcPr>
            <w:tcW w:w="3690" w:type="dxa"/>
            <w:tcBorders>
              <w:top w:val="single" w:sz="4" w:space="0" w:color="auto"/>
              <w:bottom w:val="single" w:sz="6" w:space="0" w:color="auto"/>
            </w:tcBorders>
            <w:shd w:val="clear" w:color="auto" w:fill="67AE3C"/>
            <w:vAlign w:val="center"/>
          </w:tcPr>
          <w:p w14:paraId="480DFF5F"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 xml:space="preserve">Duplication of procedures and International </w:t>
            </w:r>
            <w:r w:rsidRPr="00E258B2">
              <w:rPr>
                <w:rFonts w:ascii="Cambria" w:hAnsi="Cambria" w:cstheme="majorBidi"/>
                <w:b/>
                <w:bCs/>
                <w:i/>
                <w:color w:val="FFFFFF" w:themeColor="background1"/>
                <w:lang w:val="en-US" w:eastAsia="en-US"/>
              </w:rPr>
              <w:t>res judicata</w:t>
            </w:r>
            <w:r w:rsidRPr="00E258B2">
              <w:rPr>
                <w:rFonts w:ascii="Cambria" w:hAnsi="Cambria" w:cstheme="majorBidi"/>
                <w:b/>
                <w:bCs/>
                <w:color w:val="FFFFFF" w:themeColor="background1"/>
                <w:lang w:val="en-US" w:eastAsia="en-US"/>
              </w:rPr>
              <w:t>:</w:t>
            </w:r>
          </w:p>
        </w:tc>
        <w:tc>
          <w:tcPr>
            <w:tcW w:w="5670" w:type="dxa"/>
            <w:vAlign w:val="center"/>
          </w:tcPr>
          <w:p w14:paraId="5C0AB9F3" w14:textId="77777777" w:rsidR="00923603" w:rsidRPr="00E258B2" w:rsidRDefault="00923603" w:rsidP="00826B14">
            <w:pPr>
              <w:jc w:val="both"/>
              <w:rPr>
                <w:rFonts w:ascii="Cambria" w:hAnsi="Cambria" w:cstheme="majorBidi"/>
                <w:bCs/>
                <w:lang w:val="en-US" w:eastAsia="en-US"/>
              </w:rPr>
            </w:pPr>
            <w:r w:rsidRPr="00E258B2">
              <w:rPr>
                <w:rFonts w:ascii="Cambria" w:hAnsi="Cambria" w:cstheme="majorBidi"/>
                <w:bCs/>
                <w:lang w:val="en-US" w:eastAsia="en-US"/>
              </w:rPr>
              <w:t>No</w:t>
            </w:r>
          </w:p>
        </w:tc>
      </w:tr>
      <w:tr w:rsidR="00923603" w:rsidRPr="00E258B2" w14:paraId="12EF9221" w14:textId="77777777" w:rsidTr="00826B14">
        <w:trPr>
          <w:cantSplit/>
        </w:trPr>
        <w:tc>
          <w:tcPr>
            <w:tcW w:w="3690" w:type="dxa"/>
            <w:tcBorders>
              <w:top w:val="single" w:sz="6" w:space="0" w:color="auto"/>
              <w:bottom w:val="single" w:sz="6" w:space="0" w:color="auto"/>
            </w:tcBorders>
            <w:shd w:val="clear" w:color="auto" w:fill="67AE3C"/>
            <w:vAlign w:val="center"/>
          </w:tcPr>
          <w:p w14:paraId="0370D5AB" w14:textId="77777777" w:rsidR="00923603" w:rsidRPr="00E258B2" w:rsidRDefault="00923603" w:rsidP="00826B14">
            <w:pPr>
              <w:jc w:val="center"/>
              <w:rPr>
                <w:rFonts w:ascii="Cambria" w:hAnsi="Cambria" w:cstheme="majorBidi"/>
                <w:b/>
                <w:bCs/>
                <w:i/>
                <w:color w:val="FFFFFF" w:themeColor="background1"/>
                <w:lang w:val="en-US" w:eastAsia="en-US"/>
              </w:rPr>
            </w:pPr>
            <w:r w:rsidRPr="00E258B2">
              <w:rPr>
                <w:rFonts w:ascii="Cambria" w:hAnsi="Cambria" w:cstheme="majorBidi"/>
                <w:b/>
                <w:bCs/>
                <w:color w:val="FFFFFF" w:themeColor="background1"/>
                <w:lang w:val="en-US" w:eastAsia="en-US"/>
              </w:rPr>
              <w:t>Rights declared admissible</w:t>
            </w:r>
          </w:p>
        </w:tc>
        <w:tc>
          <w:tcPr>
            <w:tcW w:w="5670" w:type="dxa"/>
            <w:vAlign w:val="center"/>
          </w:tcPr>
          <w:p w14:paraId="1AC1ABFC" w14:textId="5DC735C9" w:rsidR="00923603" w:rsidRPr="00E258B2" w:rsidRDefault="00EC04FC" w:rsidP="00826B14">
            <w:pPr>
              <w:jc w:val="both"/>
              <w:rPr>
                <w:rFonts w:ascii="Cambria" w:hAnsi="Cambria" w:cstheme="majorBidi"/>
                <w:bCs/>
                <w:lang w:val="en-US" w:eastAsia="en-US"/>
              </w:rPr>
            </w:pPr>
            <w:r w:rsidRPr="00E258B2">
              <w:rPr>
                <w:rFonts w:ascii="Cambria" w:hAnsi="Cambria" w:cstheme="majorBidi"/>
                <w:bCs/>
                <w:lang w:val="en-US" w:eastAsia="en-US"/>
              </w:rPr>
              <w:t>Does not apply</w:t>
            </w:r>
          </w:p>
        </w:tc>
      </w:tr>
      <w:tr w:rsidR="00923603" w:rsidRPr="00E258B2" w14:paraId="765E7468" w14:textId="77777777" w:rsidTr="00826B14">
        <w:trPr>
          <w:cantSplit/>
        </w:trPr>
        <w:tc>
          <w:tcPr>
            <w:tcW w:w="3690" w:type="dxa"/>
            <w:tcBorders>
              <w:top w:val="single" w:sz="6" w:space="0" w:color="auto"/>
              <w:bottom w:val="single" w:sz="6" w:space="0" w:color="auto"/>
            </w:tcBorders>
            <w:shd w:val="clear" w:color="auto" w:fill="67AE3C"/>
            <w:vAlign w:val="center"/>
          </w:tcPr>
          <w:p w14:paraId="0BC5BC94"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Exhaustion of domestic remedies or applicability of an exception to the rule:</w:t>
            </w:r>
          </w:p>
        </w:tc>
        <w:tc>
          <w:tcPr>
            <w:tcW w:w="5670" w:type="dxa"/>
            <w:vAlign w:val="center"/>
          </w:tcPr>
          <w:p w14:paraId="3BE04345" w14:textId="5A77A067" w:rsidR="00923603" w:rsidRPr="00E258B2" w:rsidRDefault="00923603" w:rsidP="00826B14">
            <w:pPr>
              <w:rPr>
                <w:rFonts w:ascii="Cambria" w:hAnsi="Cambria" w:cstheme="majorBidi"/>
                <w:bCs/>
                <w:lang w:val="en-US" w:eastAsia="en-US"/>
              </w:rPr>
            </w:pPr>
            <w:r w:rsidRPr="00E258B2">
              <w:rPr>
                <w:rFonts w:ascii="Cambria" w:hAnsi="Cambria" w:cstheme="majorBidi"/>
                <w:bCs/>
                <w:lang w:val="en-US" w:eastAsia="en-US"/>
              </w:rPr>
              <w:t>No</w:t>
            </w:r>
            <w:r w:rsidR="00EC04FC" w:rsidRPr="00E258B2">
              <w:rPr>
                <w:rFonts w:ascii="Cambria" w:hAnsi="Cambria" w:cstheme="majorBidi"/>
                <w:bCs/>
                <w:lang w:val="en-US" w:eastAsia="en-US"/>
              </w:rPr>
              <w:t>, in the terms of Section VI</w:t>
            </w:r>
          </w:p>
          <w:p w14:paraId="25818F2D" w14:textId="77777777" w:rsidR="00923603" w:rsidRPr="00E258B2" w:rsidRDefault="00923603" w:rsidP="00826B14">
            <w:pPr>
              <w:rPr>
                <w:rFonts w:ascii="Cambria" w:hAnsi="Cambria" w:cstheme="majorBidi"/>
                <w:bCs/>
                <w:lang w:val="en-US" w:eastAsia="en-US"/>
              </w:rPr>
            </w:pPr>
          </w:p>
        </w:tc>
      </w:tr>
      <w:tr w:rsidR="00923603" w:rsidRPr="00E258B2" w14:paraId="10B9F5A4" w14:textId="77777777" w:rsidTr="00826B14">
        <w:trPr>
          <w:cantSplit/>
        </w:trPr>
        <w:tc>
          <w:tcPr>
            <w:tcW w:w="3690" w:type="dxa"/>
            <w:tcBorders>
              <w:top w:val="single" w:sz="6" w:space="0" w:color="auto"/>
              <w:bottom w:val="single" w:sz="6" w:space="0" w:color="auto"/>
            </w:tcBorders>
            <w:shd w:val="clear" w:color="auto" w:fill="67AE3C"/>
            <w:vAlign w:val="center"/>
          </w:tcPr>
          <w:p w14:paraId="20A4A96D" w14:textId="77777777" w:rsidR="00923603" w:rsidRPr="00E258B2" w:rsidRDefault="00923603" w:rsidP="00826B14">
            <w:pPr>
              <w:jc w:val="center"/>
              <w:rPr>
                <w:rFonts w:ascii="Cambria" w:hAnsi="Cambria" w:cstheme="majorBidi"/>
                <w:b/>
                <w:bCs/>
                <w:color w:val="FFFFFF" w:themeColor="background1"/>
                <w:lang w:val="en-US" w:eastAsia="en-US"/>
              </w:rPr>
            </w:pPr>
            <w:r w:rsidRPr="00E258B2">
              <w:rPr>
                <w:rFonts w:ascii="Cambria" w:hAnsi="Cambria" w:cstheme="majorBidi"/>
                <w:b/>
                <w:bCs/>
                <w:color w:val="FFFFFF" w:themeColor="background1"/>
                <w:lang w:val="en-US" w:eastAsia="en-US"/>
              </w:rPr>
              <w:t>Timeliness of the petition:</w:t>
            </w:r>
          </w:p>
        </w:tc>
        <w:tc>
          <w:tcPr>
            <w:tcW w:w="5670" w:type="dxa"/>
            <w:vAlign w:val="center"/>
          </w:tcPr>
          <w:p w14:paraId="680486F3" w14:textId="16B07D56" w:rsidR="00923603" w:rsidRPr="00E258B2" w:rsidRDefault="00923603" w:rsidP="00826B14">
            <w:pPr>
              <w:rPr>
                <w:rFonts w:ascii="Cambria" w:hAnsi="Cambria" w:cstheme="majorBidi"/>
                <w:bCs/>
                <w:lang w:val="en-US" w:eastAsia="en-US"/>
              </w:rPr>
            </w:pPr>
            <w:r w:rsidRPr="00E258B2">
              <w:rPr>
                <w:rFonts w:ascii="Cambria" w:hAnsi="Cambria" w:cstheme="majorBidi"/>
                <w:bCs/>
                <w:lang w:val="en-US" w:eastAsia="en-US"/>
              </w:rPr>
              <w:t>No</w:t>
            </w:r>
            <w:r w:rsidR="00EC04FC" w:rsidRPr="00E258B2">
              <w:rPr>
                <w:rFonts w:ascii="Cambria" w:hAnsi="Cambria" w:cstheme="majorBidi"/>
                <w:bCs/>
                <w:lang w:val="en-US" w:eastAsia="en-US"/>
              </w:rPr>
              <w:t>, in the terms of Section VI</w:t>
            </w:r>
          </w:p>
        </w:tc>
      </w:tr>
    </w:tbl>
    <w:p w14:paraId="4911547E" w14:textId="77777777" w:rsidR="00923603" w:rsidRPr="00E258B2" w:rsidRDefault="00923603" w:rsidP="00923603">
      <w:pPr>
        <w:pBdr>
          <w:top w:val="nil"/>
          <w:left w:val="nil"/>
          <w:bottom w:val="nil"/>
          <w:right w:val="nil"/>
          <w:between w:val="nil"/>
          <w:bar w:val="nil"/>
        </w:pBdr>
        <w:spacing w:after="0" w:line="240" w:lineRule="auto"/>
        <w:rPr>
          <w:rFonts w:ascii="Cambria" w:eastAsia="Arial Unicode MS" w:hAnsi="Cambria" w:cs="Times New Roman"/>
          <w:kern w:val="0"/>
          <w:bdr w:val="nil"/>
          <w:lang w:eastAsia="en-US"/>
        </w:rPr>
      </w:pPr>
    </w:p>
    <w:p w14:paraId="75CBDA72" w14:textId="4D4796D4" w:rsidR="00937692" w:rsidRPr="00E258B2" w:rsidRDefault="00937692">
      <w:r w:rsidRPr="00E258B2">
        <w:br w:type="page"/>
      </w:r>
    </w:p>
    <w:p w14:paraId="55A0F8B1" w14:textId="77777777" w:rsidR="00245434" w:rsidRPr="00E258B2" w:rsidRDefault="00245434" w:rsidP="00245434">
      <w:pPr>
        <w:spacing w:after="240"/>
        <w:ind w:firstLine="720"/>
        <w:rPr>
          <w:rFonts w:ascii="Cambria" w:hAnsi="Cambria"/>
          <w:b/>
          <w:sz w:val="20"/>
          <w:szCs w:val="20"/>
        </w:rPr>
      </w:pPr>
      <w:r w:rsidRPr="00E258B2">
        <w:rPr>
          <w:rFonts w:ascii="Cambria" w:hAnsi="Cambria"/>
          <w:b/>
          <w:sz w:val="20"/>
          <w:szCs w:val="20"/>
        </w:rPr>
        <w:lastRenderedPageBreak/>
        <w:t xml:space="preserve">V. </w:t>
      </w:r>
      <w:r w:rsidRPr="00E258B2">
        <w:rPr>
          <w:rFonts w:ascii="Cambria" w:hAnsi="Cambria"/>
          <w:b/>
          <w:sz w:val="20"/>
          <w:szCs w:val="20"/>
        </w:rPr>
        <w:tab/>
        <w:t xml:space="preserve">THE PARTIES’ POSITIONS </w:t>
      </w:r>
    </w:p>
    <w:p w14:paraId="1B717B24" w14:textId="77777777" w:rsidR="00245434" w:rsidRPr="00E258B2" w:rsidRDefault="00245434" w:rsidP="00245434">
      <w:pPr>
        <w:pStyle w:val="ListParagraph"/>
        <w:spacing w:after="240"/>
        <w:ind w:left="709"/>
        <w:jc w:val="both"/>
        <w:rPr>
          <w:rFonts w:ascii="Cambria" w:hAnsi="Cambria"/>
          <w:b/>
          <w:sz w:val="20"/>
          <w:szCs w:val="20"/>
        </w:rPr>
      </w:pPr>
      <w:r w:rsidRPr="00E258B2">
        <w:rPr>
          <w:rFonts w:ascii="Cambria" w:hAnsi="Cambria"/>
          <w:b/>
          <w:sz w:val="20"/>
          <w:szCs w:val="20"/>
        </w:rPr>
        <w:t xml:space="preserve">Petitioners </w:t>
      </w:r>
    </w:p>
    <w:p w14:paraId="6928975E" w14:textId="77777777" w:rsidR="00245434" w:rsidRPr="00E258B2" w:rsidRDefault="00245434" w:rsidP="00937692">
      <w:pPr>
        <w:pStyle w:val="ListParagraph"/>
        <w:spacing w:after="240"/>
        <w:ind w:left="0"/>
        <w:jc w:val="both"/>
        <w:rPr>
          <w:rFonts w:ascii="Cambria" w:hAnsi="Cambria"/>
          <w:b/>
          <w:sz w:val="20"/>
          <w:szCs w:val="20"/>
        </w:rPr>
      </w:pPr>
    </w:p>
    <w:p w14:paraId="6B8DC993" w14:textId="1F5A3042"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bCs/>
          <w:sz w:val="20"/>
          <w:szCs w:val="20"/>
        </w:rPr>
      </w:pPr>
      <w:r w:rsidRPr="00E258B2">
        <w:rPr>
          <w:rFonts w:ascii="Cambria" w:hAnsi="Cambria"/>
          <w:bCs/>
          <w:sz w:val="20"/>
          <w:szCs w:val="20"/>
        </w:rPr>
        <w:t>Mr. Carlos Andr</w:t>
      </w:r>
      <w:r w:rsidR="007A4D49">
        <w:rPr>
          <w:rFonts w:ascii="Cambria" w:hAnsi="Cambria"/>
          <w:bCs/>
          <w:sz w:val="20"/>
          <w:szCs w:val="20"/>
        </w:rPr>
        <w:t>e</w:t>
      </w:r>
      <w:r w:rsidRPr="00E258B2">
        <w:rPr>
          <w:rFonts w:ascii="Cambria" w:hAnsi="Cambria"/>
          <w:bCs/>
          <w:sz w:val="20"/>
          <w:szCs w:val="20"/>
        </w:rPr>
        <w:t>s Guti</w:t>
      </w:r>
      <w:r w:rsidR="007A4D49">
        <w:rPr>
          <w:rFonts w:ascii="Cambria" w:hAnsi="Cambria"/>
          <w:bCs/>
          <w:sz w:val="20"/>
          <w:szCs w:val="20"/>
        </w:rPr>
        <w:t>e</w:t>
      </w:r>
      <w:r w:rsidRPr="00E258B2">
        <w:rPr>
          <w:rFonts w:ascii="Cambria" w:hAnsi="Cambria"/>
          <w:bCs/>
          <w:sz w:val="20"/>
          <w:szCs w:val="20"/>
        </w:rPr>
        <w:t>rrez Mej</w:t>
      </w:r>
      <w:r w:rsidR="007A4D49">
        <w:rPr>
          <w:rFonts w:ascii="Cambria" w:hAnsi="Cambria"/>
          <w:bCs/>
          <w:sz w:val="20"/>
          <w:szCs w:val="20"/>
        </w:rPr>
        <w:t>i</w:t>
      </w:r>
      <w:r w:rsidRPr="00E258B2">
        <w:rPr>
          <w:rFonts w:ascii="Cambria" w:hAnsi="Cambria"/>
          <w:bCs/>
          <w:sz w:val="20"/>
          <w:szCs w:val="20"/>
        </w:rPr>
        <w:t>a and Ms. Mar</w:t>
      </w:r>
      <w:r w:rsidR="007A4D49">
        <w:rPr>
          <w:rFonts w:ascii="Cambria" w:hAnsi="Cambria"/>
          <w:bCs/>
          <w:sz w:val="20"/>
          <w:szCs w:val="20"/>
        </w:rPr>
        <w:t>i</w:t>
      </w:r>
      <w:r w:rsidRPr="00E258B2">
        <w:rPr>
          <w:rFonts w:ascii="Cambria" w:hAnsi="Cambria"/>
          <w:bCs/>
          <w:sz w:val="20"/>
          <w:szCs w:val="20"/>
        </w:rPr>
        <w:t>a Claudia Montaña Gait</w:t>
      </w:r>
      <w:r w:rsidR="007A4D49">
        <w:rPr>
          <w:rFonts w:ascii="Cambria" w:hAnsi="Cambria"/>
          <w:bCs/>
          <w:sz w:val="20"/>
          <w:szCs w:val="20"/>
        </w:rPr>
        <w:t>a</w:t>
      </w:r>
      <w:r w:rsidRPr="00E258B2">
        <w:rPr>
          <w:rFonts w:ascii="Cambria" w:hAnsi="Cambria"/>
          <w:bCs/>
          <w:sz w:val="20"/>
          <w:szCs w:val="20"/>
        </w:rPr>
        <w:t>n (individually, “Mr.</w:t>
      </w:r>
      <w:r w:rsidR="007A4D49">
        <w:rPr>
          <w:rFonts w:ascii="Cambria" w:hAnsi="Cambria"/>
          <w:bCs/>
          <w:sz w:val="20"/>
          <w:szCs w:val="20"/>
        </w:rPr>
        <w:t xml:space="preserve"> </w:t>
      </w:r>
      <w:r w:rsidRPr="00E258B2">
        <w:rPr>
          <w:rFonts w:ascii="Cambria" w:hAnsi="Cambria"/>
          <w:bCs/>
          <w:sz w:val="20"/>
          <w:szCs w:val="20"/>
        </w:rPr>
        <w:t xml:space="preserve">Gutiérrez” and “Ms. Montaña,” and jointly “the petitioners”) allege the international responsibility of the State for the deficient investigation into the threats directed against them as a result of their </w:t>
      </w:r>
      <w:r w:rsidR="00AA16FA" w:rsidRPr="00E258B2">
        <w:rPr>
          <w:rFonts w:ascii="Cambria" w:hAnsi="Cambria"/>
          <w:bCs/>
          <w:sz w:val="20"/>
          <w:szCs w:val="20"/>
        </w:rPr>
        <w:t xml:space="preserve">work </w:t>
      </w:r>
      <w:r w:rsidRPr="00E258B2">
        <w:rPr>
          <w:rFonts w:ascii="Cambria" w:hAnsi="Cambria"/>
          <w:bCs/>
          <w:sz w:val="20"/>
          <w:szCs w:val="20"/>
        </w:rPr>
        <w:t>as public servants with the Office of the Attorney General of the Nation, requiring them to move from their home and causing psychological harm to their respective daughters, who were minors at the time of the facts.</w:t>
      </w:r>
    </w:p>
    <w:p w14:paraId="397B00C4" w14:textId="6E14C956"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bCs/>
          <w:sz w:val="20"/>
          <w:szCs w:val="20"/>
        </w:rPr>
      </w:pPr>
      <w:r w:rsidRPr="00E258B2">
        <w:rPr>
          <w:rFonts w:ascii="Cambria" w:hAnsi="Cambria"/>
          <w:bCs/>
          <w:sz w:val="20"/>
          <w:szCs w:val="20"/>
        </w:rPr>
        <w:t>According to the petitioners, in 2011 both were assigned to the Investigation Corps (</w:t>
      </w:r>
      <w:r w:rsidRPr="007A4D49">
        <w:rPr>
          <w:rFonts w:ascii="Cambria" w:hAnsi="Cambria"/>
          <w:bCs/>
          <w:i/>
          <w:iCs/>
          <w:sz w:val="20"/>
          <w:szCs w:val="20"/>
        </w:rPr>
        <w:t>Cuerpo de Investigación</w:t>
      </w:r>
      <w:r w:rsidRPr="00E258B2">
        <w:rPr>
          <w:rFonts w:ascii="Cambria" w:hAnsi="Cambria"/>
          <w:bCs/>
          <w:sz w:val="20"/>
          <w:szCs w:val="20"/>
        </w:rPr>
        <w:t xml:space="preserve">) of the Office of the Attorney General, in particular carrying out investigative tasks </w:t>
      </w:r>
      <w:r w:rsidR="00C0009C" w:rsidRPr="00E258B2">
        <w:rPr>
          <w:rFonts w:ascii="Cambria" w:hAnsi="Cambria"/>
          <w:bCs/>
          <w:sz w:val="20"/>
          <w:szCs w:val="20"/>
        </w:rPr>
        <w:t>i</w:t>
      </w:r>
      <w:r w:rsidRPr="00E258B2">
        <w:rPr>
          <w:rFonts w:ascii="Cambria" w:hAnsi="Cambria"/>
          <w:bCs/>
          <w:sz w:val="20"/>
          <w:szCs w:val="20"/>
        </w:rPr>
        <w:t xml:space="preserve">n Comuna 13 of the city of Medellín. They state that during their activities there both suffered threats </w:t>
      </w:r>
      <w:r w:rsidR="002F1BF4" w:rsidRPr="00E258B2">
        <w:rPr>
          <w:rFonts w:ascii="Cambria" w:hAnsi="Cambria"/>
          <w:bCs/>
          <w:sz w:val="20"/>
          <w:szCs w:val="20"/>
        </w:rPr>
        <w:t xml:space="preserve">to </w:t>
      </w:r>
      <w:r w:rsidRPr="00E258B2">
        <w:rPr>
          <w:rFonts w:ascii="Cambria" w:hAnsi="Cambria"/>
          <w:bCs/>
          <w:sz w:val="20"/>
          <w:szCs w:val="20"/>
        </w:rPr>
        <w:t xml:space="preserve">their lives and integrity. </w:t>
      </w:r>
      <w:r w:rsidR="00C0009C" w:rsidRPr="00E258B2">
        <w:rPr>
          <w:rFonts w:ascii="Cambria" w:hAnsi="Cambria"/>
          <w:bCs/>
          <w:sz w:val="20"/>
          <w:szCs w:val="20"/>
        </w:rPr>
        <w:t xml:space="preserve">Consequently, and </w:t>
      </w:r>
      <w:r w:rsidRPr="00E258B2">
        <w:rPr>
          <w:rFonts w:ascii="Cambria" w:hAnsi="Cambria"/>
          <w:bCs/>
          <w:sz w:val="20"/>
          <w:szCs w:val="20"/>
        </w:rPr>
        <w:t xml:space="preserve">as a measure of protection granted by the Office of the Attorney General, they were transferred to the city of Santa Marta, and subsequently to the city of Bogotá. </w:t>
      </w:r>
    </w:p>
    <w:p w14:paraId="3ED93C7D" w14:textId="4302A523" w:rsidR="00245434" w:rsidRPr="00E258B2" w:rsidRDefault="005568CD"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bCs/>
          <w:sz w:val="20"/>
          <w:szCs w:val="20"/>
        </w:rPr>
      </w:pPr>
      <w:r w:rsidRPr="00E258B2">
        <w:rPr>
          <w:rFonts w:ascii="Cambria" w:hAnsi="Cambria"/>
          <w:bCs/>
          <w:sz w:val="20"/>
          <w:szCs w:val="20"/>
        </w:rPr>
        <w:t xml:space="preserve">The </w:t>
      </w:r>
      <w:r w:rsidR="00245434" w:rsidRPr="00E258B2">
        <w:rPr>
          <w:rFonts w:ascii="Cambria" w:hAnsi="Cambria"/>
          <w:bCs/>
          <w:sz w:val="20"/>
          <w:szCs w:val="20"/>
        </w:rPr>
        <w:t xml:space="preserve">Office of the Attorney General </w:t>
      </w:r>
      <w:r w:rsidRPr="00E258B2">
        <w:rPr>
          <w:rFonts w:ascii="Cambria" w:hAnsi="Cambria"/>
          <w:bCs/>
          <w:sz w:val="20"/>
          <w:szCs w:val="20"/>
        </w:rPr>
        <w:t xml:space="preserve">then </w:t>
      </w:r>
      <w:r w:rsidR="00245434" w:rsidRPr="00E258B2">
        <w:rPr>
          <w:rFonts w:ascii="Cambria" w:hAnsi="Cambria"/>
          <w:bCs/>
          <w:sz w:val="20"/>
          <w:szCs w:val="20"/>
        </w:rPr>
        <w:t>initiated a criminal investigation to clarify the facts; nonetheless, the petitioners claim that as of the date the petition was filed (three years later) absolutely no  progress had been made. They also claim that as a result of the threats they suffered they were forced to displace from their home, causing psychological harm to each of their daughters, based on the possible loss of life of their parents. In this regard, they state that: “…</w:t>
      </w:r>
      <w:r w:rsidR="00245434" w:rsidRPr="00E258B2">
        <w:rPr>
          <w:rFonts w:ascii="Cambria" w:hAnsi="Cambria"/>
          <w:bCs/>
          <w:i/>
          <w:iCs/>
          <w:sz w:val="20"/>
          <w:szCs w:val="20"/>
        </w:rPr>
        <w:t xml:space="preserve">due to so much negligence on the part of the Office of the Attorney General of the Nation, </w:t>
      </w:r>
      <w:r w:rsidR="00E90764" w:rsidRPr="00E258B2">
        <w:rPr>
          <w:rFonts w:ascii="Cambria" w:hAnsi="Cambria"/>
          <w:bCs/>
          <w:i/>
          <w:iCs/>
          <w:sz w:val="20"/>
          <w:szCs w:val="20"/>
        </w:rPr>
        <w:t xml:space="preserve">on the part of </w:t>
      </w:r>
      <w:r w:rsidR="00245434" w:rsidRPr="00E258B2">
        <w:rPr>
          <w:rFonts w:ascii="Cambria" w:hAnsi="Cambria"/>
          <w:bCs/>
          <w:i/>
          <w:iCs/>
          <w:sz w:val="20"/>
          <w:szCs w:val="20"/>
        </w:rPr>
        <w:t xml:space="preserve">some officials and public servants of the entity, the undersigned investigator </w:t>
      </w:r>
      <w:r w:rsidR="00B5640F" w:rsidRPr="00E258B2">
        <w:rPr>
          <w:rFonts w:ascii="Cambria" w:hAnsi="Cambria"/>
          <w:bCs/>
          <w:i/>
          <w:iCs/>
          <w:sz w:val="20"/>
          <w:szCs w:val="20"/>
        </w:rPr>
        <w:t xml:space="preserve">with </w:t>
      </w:r>
      <w:r w:rsidR="00245434" w:rsidRPr="00E258B2">
        <w:rPr>
          <w:rFonts w:ascii="Cambria" w:hAnsi="Cambria"/>
          <w:bCs/>
          <w:i/>
          <w:iCs/>
          <w:sz w:val="20"/>
          <w:szCs w:val="20"/>
        </w:rPr>
        <w:t xml:space="preserve">the Technical Investigations Corps of the Office of the Attorney General had to </w:t>
      </w:r>
      <w:r w:rsidR="00B5640F" w:rsidRPr="00E258B2">
        <w:rPr>
          <w:rFonts w:ascii="Cambria" w:hAnsi="Cambria"/>
          <w:bCs/>
          <w:i/>
          <w:iCs/>
          <w:sz w:val="20"/>
          <w:szCs w:val="20"/>
        </w:rPr>
        <w:t xml:space="preserve">pay out of picket, </w:t>
      </w:r>
      <w:r w:rsidR="00245434" w:rsidRPr="00E258B2">
        <w:rPr>
          <w:rFonts w:ascii="Cambria" w:hAnsi="Cambria"/>
          <w:bCs/>
          <w:i/>
          <w:iCs/>
          <w:sz w:val="20"/>
          <w:szCs w:val="20"/>
        </w:rPr>
        <w:t xml:space="preserve">to </w:t>
      </w:r>
      <w:r w:rsidR="00B5640F" w:rsidRPr="00E258B2">
        <w:rPr>
          <w:rFonts w:ascii="Cambria" w:hAnsi="Cambria"/>
          <w:bCs/>
          <w:i/>
          <w:iCs/>
          <w:sz w:val="20"/>
          <w:szCs w:val="20"/>
        </w:rPr>
        <w:t xml:space="preserve">cover the cost of </w:t>
      </w:r>
      <w:r w:rsidR="00245434" w:rsidRPr="00E258B2">
        <w:rPr>
          <w:rFonts w:ascii="Cambria" w:hAnsi="Cambria"/>
          <w:bCs/>
          <w:i/>
          <w:iCs/>
          <w:sz w:val="20"/>
          <w:szCs w:val="20"/>
        </w:rPr>
        <w:t>a neuropsychologist to overcome the crisis that the girl was facing.</w:t>
      </w:r>
      <w:r w:rsidR="00245434" w:rsidRPr="00E258B2">
        <w:rPr>
          <w:rFonts w:ascii="Cambria" w:hAnsi="Cambria"/>
          <w:bCs/>
          <w:sz w:val="20"/>
          <w:szCs w:val="20"/>
        </w:rPr>
        <w:t xml:space="preserve">” </w:t>
      </w:r>
    </w:p>
    <w:p w14:paraId="2EF266B8" w14:textId="3401F366"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bCs/>
          <w:sz w:val="20"/>
          <w:szCs w:val="20"/>
        </w:rPr>
      </w:pPr>
      <w:r w:rsidRPr="00E258B2">
        <w:rPr>
          <w:rFonts w:ascii="Cambria" w:hAnsi="Cambria"/>
          <w:bCs/>
          <w:sz w:val="20"/>
          <w:szCs w:val="20"/>
        </w:rPr>
        <w:t xml:space="preserve">In a communication after the initial petition, the petitioners point to the </w:t>
      </w:r>
      <w:r w:rsidR="00D22889" w:rsidRPr="00E258B2">
        <w:rPr>
          <w:rFonts w:ascii="Cambria" w:hAnsi="Cambria"/>
          <w:bCs/>
          <w:sz w:val="20"/>
          <w:szCs w:val="20"/>
        </w:rPr>
        <w:t xml:space="preserve">subject matter </w:t>
      </w:r>
      <w:r w:rsidRPr="00E258B2">
        <w:rPr>
          <w:rFonts w:ascii="Cambria" w:hAnsi="Cambria"/>
          <w:bCs/>
          <w:sz w:val="20"/>
          <w:szCs w:val="20"/>
        </w:rPr>
        <w:t xml:space="preserve">of the petition being as follows: </w:t>
      </w:r>
    </w:p>
    <w:p w14:paraId="245B7C7C" w14:textId="7B5CE6AD" w:rsidR="00245434" w:rsidRPr="00E258B2" w:rsidRDefault="00245434" w:rsidP="00245434">
      <w:pPr>
        <w:spacing w:after="240"/>
        <w:ind w:left="720" w:right="720"/>
        <w:jc w:val="both"/>
        <w:rPr>
          <w:rFonts w:ascii="Cambria" w:hAnsi="Cambria"/>
          <w:bCs/>
          <w:sz w:val="18"/>
          <w:szCs w:val="18"/>
        </w:rPr>
      </w:pPr>
      <w:r w:rsidRPr="00E258B2">
        <w:rPr>
          <w:rFonts w:ascii="Cambria" w:hAnsi="Cambria"/>
          <w:bCs/>
          <w:sz w:val="18"/>
          <w:szCs w:val="18"/>
        </w:rPr>
        <w:t xml:space="preserve">… “(i) the lack of guarantees </w:t>
      </w:r>
      <w:r w:rsidR="00D22889" w:rsidRPr="00E258B2">
        <w:rPr>
          <w:rFonts w:ascii="Cambria" w:hAnsi="Cambria"/>
          <w:bCs/>
          <w:sz w:val="18"/>
          <w:szCs w:val="18"/>
        </w:rPr>
        <w:t xml:space="preserve">by </w:t>
      </w:r>
      <w:r w:rsidRPr="00E258B2">
        <w:rPr>
          <w:rFonts w:ascii="Cambria" w:hAnsi="Cambria"/>
          <w:bCs/>
          <w:sz w:val="18"/>
          <w:szCs w:val="18"/>
        </w:rPr>
        <w:t xml:space="preserve">the Colombian State when it comes to offering the State’s investigators to act with due diligence to prevent, investigate, and punish the persons responsible for the displacement of several families in the Comuna 13 sector of the city of Medellín, as </w:t>
      </w:r>
      <w:r w:rsidR="00F7791F" w:rsidRPr="00E258B2">
        <w:rPr>
          <w:rFonts w:ascii="Cambria" w:hAnsi="Cambria"/>
          <w:bCs/>
          <w:sz w:val="18"/>
          <w:szCs w:val="18"/>
        </w:rPr>
        <w:t xml:space="preserve">I </w:t>
      </w:r>
      <w:r w:rsidRPr="00E258B2">
        <w:rPr>
          <w:rFonts w:ascii="Cambria" w:hAnsi="Cambria"/>
          <w:bCs/>
          <w:sz w:val="18"/>
          <w:szCs w:val="18"/>
        </w:rPr>
        <w:t>was threatened and displaced to the city of Bogotá</w:t>
      </w:r>
      <w:r w:rsidR="00F7791F" w:rsidRPr="00E258B2">
        <w:rPr>
          <w:rFonts w:ascii="Cambria" w:hAnsi="Cambria"/>
          <w:bCs/>
          <w:sz w:val="18"/>
          <w:szCs w:val="18"/>
        </w:rPr>
        <w:t xml:space="preserve"> with my whole family</w:t>
      </w:r>
      <w:r w:rsidRPr="00E258B2">
        <w:rPr>
          <w:rFonts w:ascii="Cambria" w:hAnsi="Cambria"/>
          <w:bCs/>
          <w:sz w:val="18"/>
          <w:szCs w:val="18"/>
        </w:rPr>
        <w:t>. (ii) The reasonable time that the State should take in the investigations, which as of today have been ongoing for eight years without, to date, having an</w:t>
      </w:r>
      <w:r w:rsidR="00355E4E" w:rsidRPr="00E258B2">
        <w:rPr>
          <w:rFonts w:ascii="Cambria" w:hAnsi="Cambria"/>
          <w:bCs/>
          <w:sz w:val="18"/>
          <w:szCs w:val="18"/>
        </w:rPr>
        <w:t>y</w:t>
      </w:r>
      <w:r w:rsidRPr="00E258B2">
        <w:rPr>
          <w:rFonts w:ascii="Cambria" w:hAnsi="Cambria"/>
          <w:bCs/>
          <w:sz w:val="18"/>
          <w:szCs w:val="18"/>
        </w:rPr>
        <w:t xml:space="preserve"> substantive response in this investigation, violating Articles 8 and 25 of the Convention. And (iii) the lack of access to psychosocial care services for two minors, who suffered a negative psychological impact due to the sudden loss of the father, or </w:t>
      </w:r>
      <w:r w:rsidR="002039D6" w:rsidRPr="00E258B2">
        <w:rPr>
          <w:rFonts w:ascii="Cambria" w:hAnsi="Cambria"/>
          <w:bCs/>
          <w:sz w:val="18"/>
          <w:szCs w:val="18"/>
        </w:rPr>
        <w:t xml:space="preserve">the possibility </w:t>
      </w:r>
      <w:r w:rsidRPr="00E258B2">
        <w:rPr>
          <w:rFonts w:ascii="Cambria" w:hAnsi="Cambria"/>
          <w:bCs/>
          <w:sz w:val="18"/>
          <w:szCs w:val="18"/>
        </w:rPr>
        <w:t xml:space="preserve">that their father might suffer harm.” </w:t>
      </w:r>
    </w:p>
    <w:p w14:paraId="64C35A24" w14:textId="77777777" w:rsidR="00245434" w:rsidRPr="00E258B2" w:rsidRDefault="00245434" w:rsidP="00245434">
      <w:pPr>
        <w:pStyle w:val="ListParagraph"/>
        <w:spacing w:after="240"/>
        <w:ind w:left="709"/>
        <w:jc w:val="both"/>
        <w:rPr>
          <w:rFonts w:ascii="Cambria" w:hAnsi="Cambria"/>
          <w:b/>
          <w:sz w:val="20"/>
          <w:szCs w:val="20"/>
        </w:rPr>
      </w:pPr>
      <w:r w:rsidRPr="00E258B2">
        <w:rPr>
          <w:rFonts w:ascii="Cambria" w:hAnsi="Cambria"/>
          <w:b/>
          <w:sz w:val="20"/>
          <w:szCs w:val="20"/>
        </w:rPr>
        <w:t xml:space="preserve">The Colombian State </w:t>
      </w:r>
    </w:p>
    <w:p w14:paraId="79E6C585" w14:textId="77777777" w:rsidR="00355E4E" w:rsidRPr="00E258B2" w:rsidRDefault="00355E4E" w:rsidP="00937692">
      <w:pPr>
        <w:pStyle w:val="ListParagraph"/>
        <w:spacing w:after="240"/>
        <w:ind w:left="0"/>
        <w:jc w:val="both"/>
        <w:rPr>
          <w:rFonts w:ascii="Cambria" w:hAnsi="Cambria"/>
          <w:b/>
          <w:sz w:val="20"/>
          <w:szCs w:val="20"/>
        </w:rPr>
      </w:pPr>
    </w:p>
    <w:p w14:paraId="356600A7" w14:textId="77777777"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 xml:space="preserve">Colombia supplements the information produced by the petitioners, particularly regarding the criminal investigations into the threats they are said to have suffered. It adds in this regard that on September 26, 2018, the Office of the Attorney General archived that investigation into the crime of threats based on the following: </w:t>
      </w:r>
    </w:p>
    <w:p w14:paraId="2533DDE3" w14:textId="189CB9C2" w:rsidR="00245434" w:rsidRPr="00E258B2" w:rsidRDefault="000650E7" w:rsidP="00245434">
      <w:pPr>
        <w:spacing w:after="240"/>
        <w:ind w:left="720" w:right="720"/>
        <w:jc w:val="both"/>
        <w:rPr>
          <w:rFonts w:ascii="Cambria" w:hAnsi="Cambria"/>
          <w:sz w:val="18"/>
          <w:szCs w:val="18"/>
        </w:rPr>
      </w:pPr>
      <w:r w:rsidRPr="00E258B2">
        <w:rPr>
          <w:rFonts w:ascii="Cambria" w:hAnsi="Cambria"/>
          <w:sz w:val="18"/>
          <w:szCs w:val="18"/>
        </w:rPr>
        <w:t>M</w:t>
      </w:r>
      <w:r w:rsidR="00245434" w:rsidRPr="00E258B2">
        <w:rPr>
          <w:rFonts w:ascii="Cambria" w:hAnsi="Cambria"/>
          <w:sz w:val="18"/>
          <w:szCs w:val="18"/>
        </w:rPr>
        <w:t xml:space="preserve">indful of what was stated in the denunciation, one discards any possibility of determining the perpetrator of that deed, thus it is impossible to individually identify the perpetrator(s) of the act denounced by Mr. CARLOS ANDRES GUTIERREZ MEJIA, </w:t>
      </w:r>
      <w:r w:rsidRPr="00E258B2">
        <w:rPr>
          <w:rFonts w:ascii="Cambria" w:hAnsi="Cambria"/>
          <w:sz w:val="18"/>
          <w:szCs w:val="18"/>
        </w:rPr>
        <w:t xml:space="preserve">now </w:t>
      </w:r>
      <w:r w:rsidR="00DC10EC" w:rsidRPr="00E258B2">
        <w:rPr>
          <w:rFonts w:ascii="Cambria" w:hAnsi="Cambria"/>
          <w:sz w:val="18"/>
          <w:szCs w:val="18"/>
        </w:rPr>
        <w:t xml:space="preserve">comes </w:t>
      </w:r>
      <w:r w:rsidR="00245434" w:rsidRPr="00E258B2">
        <w:rPr>
          <w:rFonts w:ascii="Cambria" w:hAnsi="Cambria"/>
          <w:sz w:val="18"/>
          <w:szCs w:val="18"/>
        </w:rPr>
        <w:t xml:space="preserve">the application of Article 79 of the Code of Criminal Procedure, a provision that orders the provisional archiving of the matter, for if any new evidence comes up the inquiry will be resumed so long as the criminal action has not extinguished. </w:t>
      </w:r>
    </w:p>
    <w:p w14:paraId="51D4116D" w14:textId="6F702E9C" w:rsidR="00245434" w:rsidRPr="00E258B2" w:rsidRDefault="00245434" w:rsidP="00245434">
      <w:pPr>
        <w:spacing w:after="240"/>
        <w:jc w:val="both"/>
        <w:rPr>
          <w:rFonts w:ascii="Cambria" w:hAnsi="Cambria"/>
          <w:sz w:val="20"/>
          <w:szCs w:val="20"/>
        </w:rPr>
      </w:pPr>
      <w:r w:rsidRPr="00E258B2">
        <w:rPr>
          <w:rFonts w:ascii="Cambria" w:hAnsi="Cambria"/>
          <w:sz w:val="20"/>
          <w:szCs w:val="20"/>
        </w:rPr>
        <w:t xml:space="preserve">In this respect, it notes that the investigation could </w:t>
      </w:r>
      <w:r w:rsidR="00AD5A30" w:rsidRPr="00E258B2">
        <w:rPr>
          <w:rFonts w:ascii="Cambria" w:hAnsi="Cambria"/>
          <w:sz w:val="20"/>
          <w:szCs w:val="20"/>
        </w:rPr>
        <w:t>reopen</w:t>
      </w:r>
      <w:r w:rsidRPr="00E258B2">
        <w:rPr>
          <w:rFonts w:ascii="Cambria" w:hAnsi="Cambria"/>
          <w:sz w:val="20"/>
          <w:szCs w:val="20"/>
        </w:rPr>
        <w:t xml:space="preserve"> </w:t>
      </w:r>
      <w:r w:rsidR="00CC00A5" w:rsidRPr="00E258B2">
        <w:rPr>
          <w:rFonts w:ascii="Cambria" w:hAnsi="Cambria"/>
          <w:sz w:val="20"/>
          <w:szCs w:val="20"/>
        </w:rPr>
        <w:t xml:space="preserve">if </w:t>
      </w:r>
      <w:r w:rsidRPr="00E258B2">
        <w:rPr>
          <w:rFonts w:ascii="Cambria" w:hAnsi="Cambria"/>
          <w:sz w:val="20"/>
          <w:szCs w:val="20"/>
        </w:rPr>
        <w:t>supervening evidence i</w:t>
      </w:r>
      <w:r w:rsidR="00CC00A5" w:rsidRPr="00E258B2">
        <w:rPr>
          <w:rFonts w:ascii="Cambria" w:hAnsi="Cambria"/>
          <w:sz w:val="20"/>
          <w:szCs w:val="20"/>
        </w:rPr>
        <w:t>s introduced in</w:t>
      </w:r>
      <w:r w:rsidRPr="00E258B2">
        <w:rPr>
          <w:rFonts w:ascii="Cambria" w:hAnsi="Cambria"/>
          <w:sz w:val="20"/>
          <w:szCs w:val="20"/>
        </w:rPr>
        <w:t xml:space="preserve"> the proceeding, or by filing an opposition to the archiving in court. </w:t>
      </w:r>
    </w:p>
    <w:p w14:paraId="4FAD52C5" w14:textId="38DA3A7D"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lastRenderedPageBreak/>
        <w:t>It adds that Mr. Gutiérrez asked the Office of the Attorney General to form a Legal Technical Committee to follow up on the criminal proceeding initiated into the threats suffered by him and Ms. Montaña. On February 21, 2019, the Department</w:t>
      </w:r>
      <w:r w:rsidR="000D322A" w:rsidRPr="00E258B2">
        <w:rPr>
          <w:rFonts w:ascii="Cambria" w:hAnsi="Cambria"/>
          <w:sz w:val="20"/>
          <w:szCs w:val="20"/>
        </w:rPr>
        <w:t>al</w:t>
      </w:r>
      <w:r w:rsidRPr="00E258B2">
        <w:rPr>
          <w:rFonts w:ascii="Cambria" w:hAnsi="Cambria"/>
          <w:sz w:val="20"/>
          <w:szCs w:val="20"/>
        </w:rPr>
        <w:t xml:space="preserve"> Office of Medellín, the 3</w:t>
      </w:r>
      <w:r w:rsidRPr="00E258B2">
        <w:rPr>
          <w:rFonts w:ascii="Cambria" w:hAnsi="Cambria"/>
          <w:sz w:val="20"/>
          <w:szCs w:val="20"/>
          <w:vertAlign w:val="superscript"/>
        </w:rPr>
        <w:t>rd</w:t>
      </w:r>
      <w:r w:rsidRPr="00E258B2">
        <w:rPr>
          <w:rFonts w:ascii="Cambria" w:hAnsi="Cambria"/>
          <w:sz w:val="20"/>
          <w:szCs w:val="20"/>
        </w:rPr>
        <w:t xml:space="preserve"> Prosecutor Delegate to the Court of Antioquia, and the lead of the Office of the 188</w:t>
      </w:r>
      <w:r w:rsidRPr="00E258B2">
        <w:rPr>
          <w:rFonts w:ascii="Cambria" w:hAnsi="Cambria"/>
          <w:sz w:val="20"/>
          <w:szCs w:val="20"/>
          <w:vertAlign w:val="superscript"/>
        </w:rPr>
        <w:t>th</w:t>
      </w:r>
      <w:r w:rsidRPr="00E258B2">
        <w:rPr>
          <w:rFonts w:ascii="Cambria" w:hAnsi="Cambria"/>
          <w:sz w:val="20"/>
          <w:szCs w:val="20"/>
        </w:rPr>
        <w:t xml:space="preserve"> Departmental Prosecutor of the Unit on Liberty and Other Guarantees reviewed the order to archive and concluded that: “… </w:t>
      </w:r>
      <w:r w:rsidRPr="00E258B2">
        <w:rPr>
          <w:rFonts w:ascii="Cambria" w:hAnsi="Cambria"/>
          <w:i/>
          <w:iCs/>
          <w:sz w:val="20"/>
          <w:szCs w:val="20"/>
        </w:rPr>
        <w:t xml:space="preserve">the evidence collected by the prosecutor finds that the archiving of this inquiry is in order, for it is clear that no direct threats were ever made to the victim, it also indicates that one </w:t>
      </w:r>
      <w:r w:rsidR="00A74E38" w:rsidRPr="00E258B2">
        <w:rPr>
          <w:rFonts w:ascii="Cambria" w:hAnsi="Cambria"/>
          <w:i/>
          <w:iCs/>
          <w:sz w:val="20"/>
          <w:szCs w:val="20"/>
        </w:rPr>
        <w:t xml:space="preserve">cannot </w:t>
      </w:r>
      <w:r w:rsidRPr="00E258B2">
        <w:rPr>
          <w:rFonts w:ascii="Cambria" w:hAnsi="Cambria"/>
          <w:i/>
          <w:iCs/>
          <w:sz w:val="20"/>
          <w:szCs w:val="20"/>
        </w:rPr>
        <w:t xml:space="preserve">make out the crime of forced displacement, for what happened was a transfer of some </w:t>
      </w:r>
      <w:r w:rsidR="00A74E38" w:rsidRPr="00E258B2">
        <w:rPr>
          <w:rFonts w:ascii="Cambria" w:hAnsi="Cambria"/>
          <w:i/>
          <w:iCs/>
          <w:sz w:val="20"/>
          <w:szCs w:val="20"/>
        </w:rPr>
        <w:t xml:space="preserve">public servants </w:t>
      </w:r>
      <w:r w:rsidRPr="00E258B2">
        <w:rPr>
          <w:rFonts w:ascii="Cambria" w:hAnsi="Cambria"/>
          <w:i/>
          <w:iCs/>
          <w:sz w:val="20"/>
          <w:szCs w:val="20"/>
        </w:rPr>
        <w:t>as a measure of protection, in addition that transfer was agreed upon with the</w:t>
      </w:r>
      <w:r w:rsidR="00A74E38" w:rsidRPr="00E258B2">
        <w:rPr>
          <w:rFonts w:ascii="Cambria" w:hAnsi="Cambria"/>
          <w:i/>
          <w:iCs/>
          <w:sz w:val="20"/>
          <w:szCs w:val="20"/>
        </w:rPr>
        <w:t>m</w:t>
      </w:r>
      <w:r w:rsidRPr="00E258B2">
        <w:rPr>
          <w:rFonts w:ascii="Cambria" w:hAnsi="Cambria"/>
          <w:i/>
          <w:iCs/>
          <w:sz w:val="20"/>
          <w:szCs w:val="20"/>
        </w:rPr>
        <w:t>.</w:t>
      </w:r>
      <w:r w:rsidRPr="00E258B2">
        <w:rPr>
          <w:rFonts w:ascii="Cambria" w:hAnsi="Cambria"/>
          <w:sz w:val="20"/>
          <w:szCs w:val="20"/>
        </w:rPr>
        <w:t xml:space="preserve">” </w:t>
      </w:r>
    </w:p>
    <w:p w14:paraId="474D370B" w14:textId="77777777"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bCs/>
          <w:sz w:val="20"/>
          <w:szCs w:val="20"/>
        </w:rPr>
        <w:t xml:space="preserve">Accordingly, the State asks that the petition be found inadmissible based on three challenges: (a) if the petition were admitted the Commission would be sitting as an international court of fourth instance; (b) failure of the facts alleged to make out a colorable claim; and (c) failure to exhaust domestic remedies. </w:t>
      </w:r>
    </w:p>
    <w:p w14:paraId="784574EA" w14:textId="337F2B2E"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With respect to (a), Colombia argues that the Office of the Attorney General in charge of the investigation took the following investigative steps: (i) it initiated all procedures necessary for clarifying the threats against the petitioners; (ii) it exhausted all possible means of evidence for identifying the persons responsible, including compiling statements by the petitioner and the prosecutor in the case on which they were working when they received the alleged threats; (iii) while it archived the investigation since it failed to identify the persons responsible, this decision was duly motivated as provided for in Article 79 of Law 906 of 2004 (Code of Criminal Procedure)</w:t>
      </w:r>
      <w:r w:rsidRPr="00E258B2">
        <w:rPr>
          <w:rStyle w:val="FootnoteReference"/>
          <w:rFonts w:ascii="Cambria" w:hAnsi="Cambria"/>
          <w:sz w:val="20"/>
          <w:szCs w:val="20"/>
        </w:rPr>
        <w:footnoteReference w:id="6"/>
      </w:r>
      <w:r w:rsidRPr="00E258B2">
        <w:rPr>
          <w:rFonts w:ascii="Cambria" w:hAnsi="Cambria"/>
          <w:sz w:val="20"/>
          <w:szCs w:val="20"/>
        </w:rPr>
        <w:t xml:space="preserve">; and (iv) it did not find sufficient elements to reopen the investigation, also considering that the crime of forced displacement cannot be made out in the instant case since the petitioners, with their consent, were transferred to another city to protect them from the alleged threats </w:t>
      </w:r>
      <w:r w:rsidR="00C25393" w:rsidRPr="00E258B2">
        <w:rPr>
          <w:rFonts w:ascii="Cambria" w:hAnsi="Cambria"/>
          <w:sz w:val="20"/>
          <w:szCs w:val="20"/>
        </w:rPr>
        <w:t xml:space="preserve">to </w:t>
      </w:r>
      <w:r w:rsidRPr="00E258B2">
        <w:rPr>
          <w:rFonts w:ascii="Cambria" w:hAnsi="Cambria"/>
          <w:sz w:val="20"/>
          <w:szCs w:val="20"/>
        </w:rPr>
        <w:t xml:space="preserve">their lives and integrity. Therefore, it considers that the petitioners are turning to the IACHR with the aim of having it review the decisions made by the prosecutorial office in charge of the investigation, which were issued within the framework of </w:t>
      </w:r>
      <w:r w:rsidR="00E8565C" w:rsidRPr="00E258B2">
        <w:rPr>
          <w:rFonts w:ascii="Cambria" w:hAnsi="Cambria"/>
          <w:sz w:val="20"/>
          <w:szCs w:val="20"/>
        </w:rPr>
        <w:t xml:space="preserve">its </w:t>
      </w:r>
      <w:r w:rsidRPr="00E258B2">
        <w:rPr>
          <w:rFonts w:ascii="Cambria" w:hAnsi="Cambria"/>
          <w:sz w:val="20"/>
          <w:szCs w:val="20"/>
        </w:rPr>
        <w:t>authority, based on a reasoned analysis of the evidence</w:t>
      </w:r>
      <w:r w:rsidR="00583104" w:rsidRPr="00E258B2">
        <w:rPr>
          <w:rFonts w:ascii="Cambria" w:hAnsi="Cambria"/>
          <w:sz w:val="20"/>
          <w:szCs w:val="20"/>
        </w:rPr>
        <w:t>,</w:t>
      </w:r>
      <w:r w:rsidRPr="00E258B2">
        <w:rPr>
          <w:rFonts w:ascii="Cambria" w:hAnsi="Cambria"/>
          <w:sz w:val="20"/>
          <w:szCs w:val="20"/>
        </w:rPr>
        <w:t xml:space="preserve"> and abiding by the domestic laws and regulations. </w:t>
      </w:r>
    </w:p>
    <w:p w14:paraId="1BA31FA2" w14:textId="304829FB"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As for its argument (b), it asserts that the petitioners did not suffer forced displacement but were transferred from their home residence to another city as a means of protection granted by the Office of the Attorney General, with their consent. Accordingly, it considers that these facts do not, if true, tend to establish a violation of their human rights. Accordingly, it asks that the petition be found inadmissible</w:t>
      </w:r>
      <w:r w:rsidR="006350FF" w:rsidRPr="00E258B2">
        <w:rPr>
          <w:rFonts w:ascii="Cambria" w:hAnsi="Cambria"/>
          <w:sz w:val="20"/>
          <w:szCs w:val="20"/>
        </w:rPr>
        <w:t xml:space="preserve"> pursuant to </w:t>
      </w:r>
      <w:r w:rsidRPr="00E258B2">
        <w:rPr>
          <w:rFonts w:ascii="Cambria" w:hAnsi="Cambria"/>
          <w:sz w:val="20"/>
          <w:szCs w:val="20"/>
        </w:rPr>
        <w:t>Article 47(b) of the American Convention.</w:t>
      </w:r>
    </w:p>
    <w:p w14:paraId="5C014F9C" w14:textId="77777777"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 xml:space="preserve">Finally, with respect to their third challenge (c), regarding the alleged lack of psychological care for their two girls, the daughters of the alleged victims, the State adduces failure to exhaust domestic remedies, establishing that in response to the lack of access to mental health services the petitioner could have pursued a </w:t>
      </w:r>
      <w:r w:rsidRPr="00E258B2">
        <w:rPr>
          <w:rFonts w:ascii="Cambria" w:hAnsi="Cambria"/>
          <w:i/>
          <w:iCs/>
          <w:sz w:val="20"/>
          <w:szCs w:val="20"/>
        </w:rPr>
        <w:t>tutela</w:t>
      </w:r>
      <w:r w:rsidRPr="00E258B2">
        <w:rPr>
          <w:rFonts w:ascii="Cambria" w:hAnsi="Cambria"/>
          <w:sz w:val="20"/>
          <w:szCs w:val="20"/>
        </w:rPr>
        <w:t xml:space="preserve"> action, which is an adequate and effective remedy for such alleged violations of fundamental rights, such as protecting the right to health. Therefore, it argues that the petition does not meet the requirement at Article 46(1)(a) of the American Convention. </w:t>
      </w:r>
    </w:p>
    <w:p w14:paraId="3957F1A2" w14:textId="77777777" w:rsidR="00245434" w:rsidRPr="00E258B2" w:rsidRDefault="00245434" w:rsidP="00245434">
      <w:pPr>
        <w:pStyle w:val="ListParagraph"/>
        <w:spacing w:after="240"/>
        <w:ind w:left="709"/>
        <w:jc w:val="both"/>
        <w:rPr>
          <w:rFonts w:ascii="Cambria" w:hAnsi="Cambria"/>
          <w:b/>
          <w:bCs/>
          <w:sz w:val="20"/>
          <w:szCs w:val="20"/>
        </w:rPr>
      </w:pPr>
      <w:r w:rsidRPr="00E258B2">
        <w:rPr>
          <w:rFonts w:ascii="Cambria" w:hAnsi="Cambria"/>
          <w:b/>
          <w:bCs/>
          <w:sz w:val="20"/>
          <w:szCs w:val="20"/>
        </w:rPr>
        <w:t xml:space="preserve">Petitioners’ reply </w:t>
      </w:r>
    </w:p>
    <w:p w14:paraId="7130A283" w14:textId="75A2B6E8" w:rsidR="00CA33D1" w:rsidRPr="00E258B2" w:rsidRDefault="00CA33D1" w:rsidP="00937692">
      <w:pPr>
        <w:pStyle w:val="ListParagraph"/>
        <w:spacing w:after="240"/>
        <w:ind w:left="0"/>
        <w:jc w:val="both"/>
        <w:rPr>
          <w:rFonts w:ascii="Cambria" w:hAnsi="Cambria"/>
          <w:b/>
          <w:bCs/>
          <w:sz w:val="20"/>
          <w:szCs w:val="20"/>
        </w:rPr>
      </w:pPr>
    </w:p>
    <w:p w14:paraId="7DDDA525" w14:textId="0FA1B04C"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The petitioners, in response to the State’s arguments, indicate that they had to use their own resources to obtain medical-psychological care for the minors, diminishing their economic status and their quality of life. As regards the failure to exhaust domestic remedies, they indicate that they exercised their right to seek public information (</w:t>
      </w:r>
      <w:r w:rsidRPr="00E258B2">
        <w:rPr>
          <w:rFonts w:ascii="Cambria" w:hAnsi="Cambria"/>
          <w:i/>
          <w:iCs/>
          <w:sz w:val="20"/>
          <w:szCs w:val="20"/>
        </w:rPr>
        <w:t>derecho de petición</w:t>
      </w:r>
      <w:r w:rsidRPr="00E258B2">
        <w:rPr>
          <w:rFonts w:ascii="Cambria" w:hAnsi="Cambria"/>
          <w:sz w:val="20"/>
          <w:szCs w:val="20"/>
        </w:rPr>
        <w:t xml:space="preserve">) with the aim of obtaining access to mental health services and </w:t>
      </w:r>
      <w:r w:rsidR="00023480" w:rsidRPr="00E258B2">
        <w:rPr>
          <w:rFonts w:ascii="Cambria" w:hAnsi="Cambria"/>
          <w:sz w:val="20"/>
          <w:szCs w:val="20"/>
        </w:rPr>
        <w:t xml:space="preserve">securing the resumption of </w:t>
      </w:r>
      <w:r w:rsidRPr="00E258B2">
        <w:rPr>
          <w:rFonts w:ascii="Cambria" w:hAnsi="Cambria"/>
          <w:sz w:val="20"/>
          <w:szCs w:val="20"/>
        </w:rPr>
        <w:t>the investigations into the threats they suffered. On this point, the Commission notes that the petitioners have not specif</w:t>
      </w:r>
      <w:r w:rsidR="00746198" w:rsidRPr="00E258B2">
        <w:rPr>
          <w:rFonts w:ascii="Cambria" w:hAnsi="Cambria"/>
          <w:sz w:val="20"/>
          <w:szCs w:val="20"/>
        </w:rPr>
        <w:t>ied</w:t>
      </w:r>
      <w:r w:rsidRPr="00E258B2">
        <w:rPr>
          <w:rFonts w:ascii="Cambria" w:hAnsi="Cambria"/>
          <w:sz w:val="20"/>
          <w:szCs w:val="20"/>
        </w:rPr>
        <w:t xml:space="preserve"> what the </w:t>
      </w:r>
      <w:r w:rsidRPr="00E258B2">
        <w:rPr>
          <w:rFonts w:ascii="Cambria" w:hAnsi="Cambria"/>
          <w:i/>
          <w:iCs/>
          <w:sz w:val="20"/>
          <w:szCs w:val="20"/>
        </w:rPr>
        <w:t>derecho de petición</w:t>
      </w:r>
      <w:r w:rsidRPr="00E258B2">
        <w:rPr>
          <w:rFonts w:ascii="Cambria" w:hAnsi="Cambria"/>
          <w:sz w:val="20"/>
          <w:szCs w:val="20"/>
        </w:rPr>
        <w:t xml:space="preserve"> entailed that was related to the lack of </w:t>
      </w:r>
      <w:r w:rsidRPr="00E258B2">
        <w:rPr>
          <w:rFonts w:ascii="Cambria" w:hAnsi="Cambria"/>
          <w:sz w:val="20"/>
          <w:szCs w:val="20"/>
        </w:rPr>
        <w:lastRenderedPageBreak/>
        <w:t xml:space="preserve">medical-psychological care nor have they produced any documentation establishing any response by the competent state authorities.  </w:t>
      </w:r>
    </w:p>
    <w:p w14:paraId="3B157FB7" w14:textId="77777777" w:rsidR="00245434" w:rsidRPr="00E258B2" w:rsidRDefault="00245434" w:rsidP="00245434">
      <w:pPr>
        <w:spacing w:after="240"/>
        <w:ind w:firstLine="720"/>
        <w:jc w:val="both"/>
        <w:rPr>
          <w:rFonts w:ascii="Cambria" w:hAnsi="Cambria"/>
          <w:sz w:val="20"/>
          <w:szCs w:val="20"/>
        </w:rPr>
      </w:pPr>
      <w:r w:rsidRPr="00E258B2">
        <w:rPr>
          <w:rFonts w:ascii="Cambria" w:eastAsia="Cambria" w:hAnsi="Cambria" w:cs="Cambria"/>
          <w:b/>
          <w:bCs/>
          <w:color w:val="000000"/>
          <w:sz w:val="20"/>
          <w:szCs w:val="20"/>
          <w:u w:color="000000"/>
          <w:lang w:eastAsia="es-ES"/>
        </w:rPr>
        <w:t>VI.</w:t>
      </w:r>
      <w:r w:rsidRPr="00E258B2">
        <w:rPr>
          <w:rFonts w:ascii="Cambria" w:eastAsia="Cambria" w:hAnsi="Cambria" w:cs="Cambria"/>
          <w:b/>
          <w:bCs/>
          <w:color w:val="000000"/>
          <w:sz w:val="20"/>
          <w:szCs w:val="20"/>
          <w:u w:color="000000"/>
          <w:lang w:eastAsia="es-ES"/>
        </w:rPr>
        <w:tab/>
      </w:r>
      <w:r w:rsidRPr="00E258B2">
        <w:rPr>
          <w:rFonts w:ascii="Cambria" w:hAnsi="Cambria"/>
          <w:b/>
          <w:bCs/>
          <w:sz w:val="20"/>
          <w:szCs w:val="20"/>
        </w:rPr>
        <w:t xml:space="preserve">ANALYSIS OF THE EXHAUSTION OF DOMESTIC REMEDIES AND TIMELINESS OF THE FILING </w:t>
      </w:r>
    </w:p>
    <w:p w14:paraId="42D17250" w14:textId="387F1B82" w:rsidR="00245434" w:rsidRPr="00E258B2" w:rsidRDefault="00245434" w:rsidP="00746198">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 xml:space="preserve">For </w:t>
      </w:r>
      <w:r w:rsidR="00746198" w:rsidRPr="00E258B2">
        <w:rPr>
          <w:rFonts w:ascii="Cambria" w:hAnsi="Cambria"/>
          <w:sz w:val="20"/>
          <w:szCs w:val="20"/>
        </w:rPr>
        <w:t xml:space="preserve">analyzing the </w:t>
      </w:r>
      <w:r w:rsidRPr="00E258B2">
        <w:rPr>
          <w:rFonts w:ascii="Cambria" w:hAnsi="Cambria"/>
          <w:sz w:val="20"/>
          <w:szCs w:val="20"/>
        </w:rPr>
        <w:t>exhaustion of domestic remedies</w:t>
      </w:r>
      <w:r w:rsidR="00C91039" w:rsidRPr="00E258B2">
        <w:rPr>
          <w:rFonts w:ascii="Cambria" w:hAnsi="Cambria"/>
          <w:sz w:val="20"/>
          <w:szCs w:val="20"/>
        </w:rPr>
        <w:t>,</w:t>
      </w:r>
      <w:r w:rsidRPr="00E258B2">
        <w:rPr>
          <w:rFonts w:ascii="Cambria" w:hAnsi="Cambria"/>
          <w:sz w:val="20"/>
          <w:szCs w:val="20"/>
        </w:rPr>
        <w:t xml:space="preserve"> the IACHR recalls that according to its consolidated and reiterated practice, for the purpose of identifying the suitable remedies that should have been exhausted by a petitioner before turning to the inter-American system, the first methodological step is to distinguish the various claims, so as to then examine them one by one.</w:t>
      </w:r>
      <w:r w:rsidRPr="00E258B2">
        <w:rPr>
          <w:rStyle w:val="FootnoteReference"/>
          <w:rFonts w:ascii="Cambria" w:hAnsi="Cambria"/>
          <w:sz w:val="20"/>
          <w:szCs w:val="20"/>
        </w:rPr>
        <w:footnoteReference w:id="7"/>
      </w:r>
      <w:r w:rsidRPr="00E258B2">
        <w:rPr>
          <w:rFonts w:ascii="Cambria" w:hAnsi="Cambria"/>
          <w:sz w:val="20"/>
          <w:szCs w:val="20"/>
        </w:rPr>
        <w:t xml:space="preserve"> In this case, the petitioner</w:t>
      </w:r>
      <w:r w:rsidR="00550CA4" w:rsidRPr="00E258B2">
        <w:rPr>
          <w:rFonts w:ascii="Cambria" w:hAnsi="Cambria"/>
          <w:sz w:val="20"/>
          <w:szCs w:val="20"/>
        </w:rPr>
        <w:t>s</w:t>
      </w:r>
      <w:r w:rsidRPr="00E258B2">
        <w:rPr>
          <w:rFonts w:ascii="Cambria" w:hAnsi="Cambria"/>
          <w:sz w:val="20"/>
          <w:szCs w:val="20"/>
        </w:rPr>
        <w:t xml:space="preserve"> have put three claims to the Commission: (i) the lack of a diligent investigation into the threats </w:t>
      </w:r>
      <w:r w:rsidR="00550CA4" w:rsidRPr="00E258B2">
        <w:rPr>
          <w:rFonts w:ascii="Cambria" w:hAnsi="Cambria"/>
          <w:sz w:val="20"/>
          <w:szCs w:val="20"/>
        </w:rPr>
        <w:t xml:space="preserve">to </w:t>
      </w:r>
      <w:r w:rsidRPr="00E258B2">
        <w:rPr>
          <w:rFonts w:ascii="Cambria" w:hAnsi="Cambria"/>
          <w:sz w:val="20"/>
          <w:szCs w:val="20"/>
        </w:rPr>
        <w:t xml:space="preserve">the life and integrity of the petitioners while they were doing their jobs as investigators with the Office of the Attorney General of the Nation; (ii) the lack of access to mental health services for the minors; and (iii) the consequent forced displacement suffered by them and their </w:t>
      </w:r>
      <w:r w:rsidR="000A498F" w:rsidRPr="00E258B2">
        <w:rPr>
          <w:rFonts w:ascii="Cambria" w:hAnsi="Cambria"/>
          <w:sz w:val="20"/>
          <w:szCs w:val="20"/>
        </w:rPr>
        <w:t xml:space="preserve">immediate </w:t>
      </w:r>
      <w:r w:rsidRPr="00E258B2">
        <w:rPr>
          <w:rFonts w:ascii="Cambria" w:hAnsi="Cambria"/>
          <w:sz w:val="20"/>
          <w:szCs w:val="20"/>
        </w:rPr>
        <w:t xml:space="preserve">family. </w:t>
      </w:r>
    </w:p>
    <w:p w14:paraId="781B30F0" w14:textId="77777777"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Regarding point (i), the IACHR notes that the Office of the Attorney General initiated a criminal investigation to clarify the facts. Nonetheless, on September 26, 2018, it archived it, due to the impossibility of individually identifying the persons purportedly responsible. Then, on February 21, 2019, at the request of Mr. Gutiérrez, a technical committee was formed made up of the Departmental Office of Medellín, 3</w:t>
      </w:r>
      <w:r w:rsidRPr="00E258B2">
        <w:rPr>
          <w:rFonts w:ascii="Cambria" w:hAnsi="Cambria"/>
          <w:sz w:val="20"/>
          <w:szCs w:val="20"/>
          <w:vertAlign w:val="superscript"/>
        </w:rPr>
        <w:t>rd</w:t>
      </w:r>
      <w:r w:rsidRPr="00E258B2">
        <w:rPr>
          <w:rFonts w:ascii="Cambria" w:hAnsi="Cambria"/>
          <w:sz w:val="20"/>
          <w:szCs w:val="20"/>
        </w:rPr>
        <w:t xml:space="preserve"> Prosecutor Delegate before the Court of Antioquia, and the principal of the 188</w:t>
      </w:r>
      <w:r w:rsidRPr="00E258B2">
        <w:rPr>
          <w:rFonts w:ascii="Cambria" w:hAnsi="Cambria"/>
          <w:sz w:val="20"/>
          <w:szCs w:val="20"/>
          <w:vertAlign w:val="superscript"/>
        </w:rPr>
        <w:t>th</w:t>
      </w:r>
      <w:r w:rsidRPr="00E258B2">
        <w:rPr>
          <w:rFonts w:ascii="Cambria" w:hAnsi="Cambria"/>
          <w:sz w:val="20"/>
          <w:szCs w:val="20"/>
        </w:rPr>
        <w:t xml:space="preserve"> Departmental Prosecutor’s Office of the Unit of Liberty and other Guarantees, in which they concluded that Mr. González did not suffer threats directly; and that the crime of forced displacement had not taken place, since the petitioners consented to being transferred to another city as a measure of security granted by the Office of the Attorney General. The State argues that the prosecutorial office in charge of the investigation took all possible actions to clarify the threats suffered by the petitioners. Nonetheless, it was not possible to identify the persons responsible, plus Mr. Gutiérrez was not the direct victim of those threats, according to his own statement. </w:t>
      </w:r>
    </w:p>
    <w:p w14:paraId="46316B23" w14:textId="116D9354"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 xml:space="preserve">On this argument, the Commission recalls </w:t>
      </w:r>
      <w:r w:rsidR="002071C0" w:rsidRPr="00E258B2">
        <w:rPr>
          <w:rFonts w:ascii="Cambria" w:hAnsi="Cambria"/>
          <w:sz w:val="20"/>
          <w:szCs w:val="20"/>
        </w:rPr>
        <w:t xml:space="preserve">“that in situations such as this one—which involves crimes against life and security—the domestic remedies that must be taken into account for the purposes of the petition’s admissibility are those related to the criminal investigation and punishment of the persons </w:t>
      </w:r>
      <w:r w:rsidRPr="00E258B2">
        <w:rPr>
          <w:rFonts w:ascii="Cambria" w:hAnsi="Cambria"/>
          <w:sz w:val="20"/>
          <w:szCs w:val="20"/>
        </w:rPr>
        <w:t>responsible.”</w:t>
      </w:r>
      <w:r w:rsidRPr="00E258B2">
        <w:rPr>
          <w:rStyle w:val="FootnoteReference"/>
          <w:rFonts w:ascii="Cambria" w:hAnsi="Cambria"/>
          <w:sz w:val="20"/>
          <w:szCs w:val="20"/>
        </w:rPr>
        <w:footnoteReference w:id="8"/>
      </w:r>
      <w:r w:rsidRPr="00E258B2">
        <w:rPr>
          <w:rFonts w:ascii="Cambria" w:hAnsi="Cambria"/>
          <w:sz w:val="20"/>
          <w:szCs w:val="20"/>
        </w:rPr>
        <w:t xml:space="preserve"> And that, as a general rule, a criminal investigation should be carried out promptly to protect victims’ interests, to preserve the evidence, and even to safeguard the rights of every person who, in the context of the investigation, might be considered a suspect.</w:t>
      </w:r>
      <w:r w:rsidRPr="00E258B2">
        <w:rPr>
          <w:rStyle w:val="FootnoteReference"/>
          <w:rFonts w:ascii="Cambria" w:hAnsi="Cambria"/>
          <w:sz w:val="20"/>
          <w:szCs w:val="20"/>
        </w:rPr>
        <w:footnoteReference w:id="9"/>
      </w:r>
    </w:p>
    <w:p w14:paraId="70E7F29B" w14:textId="53AE71B4"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 xml:space="preserve">In this regard, one observes that the threats occurred in 2011, that in the same year an investigation was initiated into these facts, and that it was archived on September 26, 2018. In response, Mr. Gutiérrez, in the use of </w:t>
      </w:r>
      <w:r w:rsidR="00D90E3C" w:rsidRPr="00E258B2">
        <w:rPr>
          <w:rFonts w:ascii="Cambria" w:hAnsi="Cambria"/>
          <w:sz w:val="20"/>
          <w:szCs w:val="20"/>
        </w:rPr>
        <w:t xml:space="preserve">his right to seek public information </w:t>
      </w:r>
      <w:r w:rsidRPr="00E258B2">
        <w:rPr>
          <w:rFonts w:ascii="Cambria" w:hAnsi="Cambria"/>
          <w:sz w:val="20"/>
          <w:szCs w:val="20"/>
        </w:rPr>
        <w:t>(</w:t>
      </w:r>
      <w:r w:rsidRPr="00E258B2">
        <w:rPr>
          <w:rFonts w:ascii="Cambria" w:hAnsi="Cambria"/>
          <w:i/>
          <w:iCs/>
          <w:sz w:val="20"/>
          <w:szCs w:val="20"/>
        </w:rPr>
        <w:t>derecho de petición</w:t>
      </w:r>
      <w:r w:rsidRPr="00E258B2">
        <w:rPr>
          <w:rFonts w:ascii="Cambria" w:hAnsi="Cambria"/>
          <w:sz w:val="20"/>
          <w:szCs w:val="20"/>
        </w:rPr>
        <w:t xml:space="preserve">), asked that a technical committee be formed made up of different entities of the Office of the Attorney General for the purpose of evaluating the case </w:t>
      </w:r>
      <w:r w:rsidRPr="00E258B2">
        <w:rPr>
          <w:rFonts w:ascii="Cambria" w:hAnsi="Cambria"/>
          <w:i/>
          <w:iCs/>
          <w:sz w:val="20"/>
          <w:szCs w:val="20"/>
        </w:rPr>
        <w:t>de novo</w:t>
      </w:r>
      <w:r w:rsidRPr="00E258B2">
        <w:rPr>
          <w:rFonts w:ascii="Cambria" w:hAnsi="Cambria"/>
          <w:sz w:val="20"/>
          <w:szCs w:val="20"/>
        </w:rPr>
        <w:t xml:space="preserve">; nonetheless, on February 21, 2019, the decision to archive the matter was maintained. On this point, the IACHR observes that the petitioners did not use any means to challenge or revoke the </w:t>
      </w:r>
      <w:r w:rsidR="00DB7C7A" w:rsidRPr="00E258B2">
        <w:rPr>
          <w:rFonts w:ascii="Cambria" w:hAnsi="Cambria"/>
          <w:sz w:val="20"/>
          <w:szCs w:val="20"/>
        </w:rPr>
        <w:t xml:space="preserve">writ of prohibition, </w:t>
      </w:r>
      <w:r w:rsidR="00A47EE7" w:rsidRPr="00E258B2">
        <w:rPr>
          <w:rFonts w:ascii="Cambria" w:hAnsi="Cambria"/>
          <w:sz w:val="20"/>
          <w:szCs w:val="20"/>
        </w:rPr>
        <w:t xml:space="preserve">and with an explanation, </w:t>
      </w:r>
      <w:r w:rsidR="009E52DB" w:rsidRPr="00E258B2">
        <w:rPr>
          <w:rFonts w:ascii="Cambria" w:hAnsi="Cambria"/>
          <w:sz w:val="20"/>
          <w:szCs w:val="20"/>
        </w:rPr>
        <w:t>proffered</w:t>
      </w:r>
      <w:r w:rsidRPr="00E258B2">
        <w:rPr>
          <w:rFonts w:ascii="Cambria" w:hAnsi="Cambria"/>
          <w:sz w:val="20"/>
          <w:szCs w:val="20"/>
        </w:rPr>
        <w:t xml:space="preserve"> by the </w:t>
      </w:r>
      <w:r w:rsidR="00A47EE7" w:rsidRPr="00E258B2">
        <w:rPr>
          <w:rFonts w:ascii="Cambria" w:hAnsi="Cambria"/>
          <w:sz w:val="20"/>
          <w:szCs w:val="20"/>
        </w:rPr>
        <w:t>Office of the Attorney General</w:t>
      </w:r>
      <w:r w:rsidR="00993430" w:rsidRPr="00E258B2">
        <w:rPr>
          <w:rFonts w:ascii="Cambria" w:hAnsi="Cambria"/>
          <w:sz w:val="20"/>
          <w:szCs w:val="20"/>
        </w:rPr>
        <w:t>,</w:t>
      </w:r>
      <w:r w:rsidR="00A47EE7" w:rsidRPr="00E258B2">
        <w:rPr>
          <w:rFonts w:ascii="Cambria" w:hAnsi="Cambria"/>
          <w:sz w:val="20"/>
          <w:szCs w:val="20"/>
        </w:rPr>
        <w:t xml:space="preserve"> </w:t>
      </w:r>
      <w:r w:rsidRPr="00E258B2">
        <w:rPr>
          <w:rFonts w:ascii="Cambria" w:hAnsi="Cambria"/>
          <w:sz w:val="20"/>
          <w:szCs w:val="20"/>
        </w:rPr>
        <w:t xml:space="preserve">nor do they offer </w:t>
      </w:r>
      <w:r w:rsidR="006D4534" w:rsidRPr="00E258B2">
        <w:rPr>
          <w:rFonts w:ascii="Cambria" w:hAnsi="Cambria"/>
          <w:sz w:val="20"/>
          <w:szCs w:val="20"/>
        </w:rPr>
        <w:t xml:space="preserve">any facts or arguments </w:t>
      </w:r>
      <w:r w:rsidRPr="00E258B2">
        <w:rPr>
          <w:rFonts w:ascii="Cambria" w:hAnsi="Cambria"/>
          <w:sz w:val="20"/>
          <w:szCs w:val="20"/>
        </w:rPr>
        <w:t xml:space="preserve">that indicate that they were impeded from challenging this decision, or that any </w:t>
      </w:r>
      <w:r w:rsidRPr="00E258B2">
        <w:rPr>
          <w:rFonts w:ascii="Cambria" w:hAnsi="Cambria"/>
          <w:sz w:val="20"/>
          <w:szCs w:val="20"/>
        </w:rPr>
        <w:lastRenderedPageBreak/>
        <w:t xml:space="preserve">other exception to the exhaustion </w:t>
      </w:r>
      <w:r w:rsidR="00736055" w:rsidRPr="00E258B2">
        <w:rPr>
          <w:rFonts w:ascii="Cambria" w:hAnsi="Cambria"/>
          <w:sz w:val="20"/>
          <w:szCs w:val="20"/>
        </w:rPr>
        <w:t xml:space="preserve">of this remedy </w:t>
      </w:r>
      <w:r w:rsidRPr="00E258B2">
        <w:rPr>
          <w:rFonts w:ascii="Cambria" w:hAnsi="Cambria"/>
          <w:sz w:val="20"/>
          <w:szCs w:val="20"/>
        </w:rPr>
        <w:t xml:space="preserve">applies. Accordingly, the IACHR considers that this part of the petition does not meet the </w:t>
      </w:r>
      <w:r w:rsidR="004C4B2B" w:rsidRPr="00E258B2">
        <w:rPr>
          <w:rFonts w:ascii="Cambria" w:hAnsi="Cambria"/>
          <w:sz w:val="20"/>
          <w:szCs w:val="20"/>
        </w:rPr>
        <w:t>requirements</w:t>
      </w:r>
      <w:r w:rsidRPr="00E258B2">
        <w:rPr>
          <w:rFonts w:ascii="Cambria" w:hAnsi="Cambria"/>
          <w:sz w:val="20"/>
          <w:szCs w:val="20"/>
        </w:rPr>
        <w:t xml:space="preserve"> established in Articles 46(1)(a) and (b) of the American Convention.</w:t>
      </w:r>
      <w:r w:rsidRPr="00E258B2">
        <w:rPr>
          <w:rFonts w:ascii="Cambria" w:hAnsi="Cambria"/>
          <w:bCs/>
          <w:vertAlign w:val="superscript"/>
        </w:rPr>
        <w:footnoteReference w:id="10"/>
      </w:r>
    </w:p>
    <w:p w14:paraId="0D531CCC" w14:textId="77777777"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 xml:space="preserve">With respect to point (ii), the State argues that there is no record of complaints regarding forced displacement, and that indeed such criminal conduct never existed, as the petitioners were transferred to another city with their consent, as a security measure adopted by the Office of the Attorney General. </w:t>
      </w:r>
    </w:p>
    <w:p w14:paraId="48847495" w14:textId="77777777"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The IACHR considers, as it has on other occasions, that the suitable remedy to be exhausted in relation to the crime of forced displacement is the lodging of a criminal complaint.</w:t>
      </w:r>
      <w:r w:rsidRPr="00E258B2">
        <w:rPr>
          <w:rFonts w:ascii="Cambria" w:hAnsi="Cambria"/>
          <w:bCs/>
          <w:sz w:val="20"/>
          <w:szCs w:val="20"/>
          <w:vertAlign w:val="superscript"/>
        </w:rPr>
        <w:footnoteReference w:id="11"/>
      </w:r>
      <w:r w:rsidRPr="00E258B2">
        <w:rPr>
          <w:rFonts w:ascii="Cambria" w:hAnsi="Cambria"/>
          <w:sz w:val="20"/>
          <w:szCs w:val="20"/>
        </w:rPr>
        <w:t xml:space="preserve"> Nonetheless, the petitioners have not produced any evidence that would make it possible to establish that in effect they turned to the criminal justice system, nor exhausting the corresponding procedures regarding their allegations of displacement. Mindful of these considerations, the Inter-American Commission finds that this part of the petition does not comply with the requirement established at Article 46(1)(a) of the American Convention. In light of the foregoing, it is not necessary to analyze the issue of colorable claim in relation to the facts alleged as possible violations of the alleged victims’ judicial guarantees.</w:t>
      </w:r>
      <w:r w:rsidRPr="00E258B2">
        <w:rPr>
          <w:rFonts w:ascii="Cambria" w:hAnsi="Cambria"/>
          <w:bCs/>
          <w:sz w:val="20"/>
          <w:szCs w:val="20"/>
          <w:vertAlign w:val="superscript"/>
        </w:rPr>
        <w:footnoteReference w:id="12"/>
      </w:r>
    </w:p>
    <w:p w14:paraId="1C7953FE" w14:textId="02109ECE" w:rsidR="00245434" w:rsidRPr="00E258B2" w:rsidRDefault="00CE0F88"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noProof/>
          <w:sz w:val="20"/>
          <w:szCs w:val="20"/>
        </w:rPr>
        <mc:AlternateContent>
          <mc:Choice Requires="wps">
            <w:drawing>
              <wp:anchor distT="0" distB="0" distL="114300" distR="114300" simplePos="0" relativeHeight="251658249" behindDoc="0" locked="1" layoutInCell="1" allowOverlap="1" wp14:anchorId="167B0B5D" wp14:editId="0CFDDCE9">
                <wp:simplePos x="0" y="0"/>
                <wp:positionH relativeFrom="column">
                  <wp:posOffset>-91440</wp:posOffset>
                </wp:positionH>
                <wp:positionV relativeFrom="page">
                  <wp:posOffset>9302750</wp:posOffset>
                </wp:positionV>
                <wp:extent cx="1532890" cy="228600"/>
                <wp:effectExtent l="3810" t="0" r="0" b="3175"/>
                <wp:wrapNone/>
                <wp:docPr id="5357476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9E28F" w14:textId="0E07C33C" w:rsidR="00937692" w:rsidRPr="00937692" w:rsidRDefault="00937692">
                            <w:pPr>
                              <w:rPr>
                                <w:rFonts w:ascii="Times New Roman" w:hAnsi="Times New Roman" w:cs="Times New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0B5D" id="Text Box 11" o:spid="_x0000_s1033" type="#_x0000_t202" style="position:absolute;left:0;text-align:left;margin-left:-7.2pt;margin-top:732.5pt;width:120.7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" filled="f" stroked="f">
                <v:textbox>
                  <w:txbxContent>
                    <w:p w14:paraId="1999E28F" w14:textId="0E07C33C" w:rsidR="00937692" w:rsidRPr="00937692" w:rsidRDefault="00937692">
                      <w:pPr>
                        <w:rPr>
                          <w:rFonts w:ascii="Times New Roman" w:hAnsi="Times New Roman" w:cs="Times New Roman"/>
                          <w:sz w:val="18"/>
                        </w:rPr>
                      </w:pPr>
                    </w:p>
                  </w:txbxContent>
                </v:textbox>
                <w10:wrap anchory="page"/>
                <w10:anchorlock/>
              </v:shape>
            </w:pict>
          </mc:Fallback>
        </mc:AlternateContent>
      </w:r>
      <w:r w:rsidR="00245434" w:rsidRPr="00E258B2">
        <w:rPr>
          <w:rFonts w:ascii="Cambria" w:hAnsi="Cambria"/>
          <w:sz w:val="20"/>
          <w:szCs w:val="20"/>
        </w:rPr>
        <w:t xml:space="preserve">Finally, with respect to argument (iii), based on a detailed analysis of the record, the Commission emphasizes that the petitioners did not pursue any judicial remedy whatsoever, regular or extraordinary, with the aim of making a claim domestically for the violations of the right to health to the detriment of the two minors. Accordingly, the Commission does not have any basis for considering that any judicial remedy was exhausted for the purpose of securing access to mental health services. </w:t>
      </w:r>
      <w:r w:rsidR="00B221A1" w:rsidRPr="00E258B2">
        <w:rPr>
          <w:rFonts w:ascii="Cambria" w:hAnsi="Cambria"/>
          <w:sz w:val="20"/>
          <w:szCs w:val="20"/>
        </w:rPr>
        <w:t xml:space="preserve">And </w:t>
      </w:r>
      <w:r w:rsidR="00245434" w:rsidRPr="00E258B2">
        <w:rPr>
          <w:rFonts w:ascii="Cambria" w:hAnsi="Cambria"/>
          <w:sz w:val="20"/>
          <w:szCs w:val="20"/>
        </w:rPr>
        <w:t xml:space="preserve">it is </w:t>
      </w:r>
      <w:r w:rsidR="00B221A1" w:rsidRPr="00E258B2">
        <w:rPr>
          <w:rFonts w:ascii="Cambria" w:hAnsi="Cambria"/>
          <w:sz w:val="20"/>
          <w:szCs w:val="20"/>
        </w:rPr>
        <w:t xml:space="preserve">thus </w:t>
      </w:r>
      <w:r w:rsidR="00245434" w:rsidRPr="00E258B2">
        <w:rPr>
          <w:rFonts w:ascii="Cambria" w:hAnsi="Cambria"/>
          <w:sz w:val="20"/>
          <w:szCs w:val="20"/>
        </w:rPr>
        <w:t>not possible to show compliance with the requirement set forth at Article 46(1)(a) of the American Convention.</w:t>
      </w:r>
    </w:p>
    <w:p w14:paraId="75980545" w14:textId="77777777" w:rsidR="00245434" w:rsidRPr="00E258B2" w:rsidRDefault="00245434" w:rsidP="00245434">
      <w:pPr>
        <w:pStyle w:val="ListParagraph"/>
        <w:numPr>
          <w:ilvl w:val="0"/>
          <w:numId w:val="2"/>
        </w:numPr>
        <w:pBdr>
          <w:top w:val="nil"/>
          <w:left w:val="nil"/>
          <w:bottom w:val="nil"/>
          <w:right w:val="nil"/>
          <w:between w:val="nil"/>
          <w:bar w:val="nil"/>
        </w:pBdr>
        <w:spacing w:after="240" w:line="240" w:lineRule="auto"/>
        <w:ind w:left="0" w:firstLine="709"/>
        <w:contextualSpacing w:val="0"/>
        <w:jc w:val="both"/>
        <w:rPr>
          <w:rFonts w:ascii="Cambria" w:hAnsi="Cambria"/>
          <w:sz w:val="20"/>
          <w:szCs w:val="20"/>
        </w:rPr>
      </w:pPr>
      <w:r w:rsidRPr="00E258B2">
        <w:rPr>
          <w:rFonts w:ascii="Cambria" w:hAnsi="Cambria"/>
          <w:sz w:val="20"/>
          <w:szCs w:val="20"/>
        </w:rPr>
        <w:t>In conclusion, the Inter-American Commission considers that in this matter the petitioners have not complied with the prior exhaustion requirement established at Article (1)(a) of the American Convention.</w:t>
      </w:r>
    </w:p>
    <w:p w14:paraId="640F2BA3" w14:textId="77777777" w:rsidR="00245434" w:rsidRPr="00E258B2" w:rsidRDefault="00245434" w:rsidP="00245434">
      <w:pPr>
        <w:suppressAutoHyphens/>
        <w:spacing w:after="240"/>
        <w:ind w:firstLine="720"/>
        <w:jc w:val="both"/>
        <w:rPr>
          <w:rFonts w:ascii="Cambria" w:hAnsi="Cambria"/>
          <w:b/>
          <w:bCs/>
          <w:sz w:val="20"/>
          <w:szCs w:val="20"/>
        </w:rPr>
      </w:pPr>
      <w:r w:rsidRPr="00E258B2">
        <w:rPr>
          <w:rFonts w:ascii="Cambria" w:hAnsi="Cambria"/>
          <w:b/>
          <w:bCs/>
          <w:sz w:val="20"/>
          <w:szCs w:val="20"/>
        </w:rPr>
        <w:t xml:space="preserve">VII. </w:t>
      </w:r>
      <w:r w:rsidRPr="00E258B2">
        <w:rPr>
          <w:rFonts w:ascii="Cambria" w:hAnsi="Cambria"/>
          <w:b/>
          <w:bCs/>
          <w:sz w:val="20"/>
          <w:szCs w:val="20"/>
        </w:rPr>
        <w:tab/>
        <w:t>DECISION</w:t>
      </w:r>
    </w:p>
    <w:p w14:paraId="350A0AEB" w14:textId="756850D0" w:rsidR="00245434" w:rsidRPr="00E258B2" w:rsidRDefault="00245434" w:rsidP="00245434">
      <w:pPr>
        <w:numPr>
          <w:ilvl w:val="0"/>
          <w:numId w:val="1"/>
        </w:numPr>
        <w:suppressAutoHyphens/>
        <w:spacing w:after="240" w:line="240" w:lineRule="auto"/>
        <w:jc w:val="both"/>
        <w:rPr>
          <w:rFonts w:ascii="Cambria" w:hAnsi="Cambria"/>
          <w:sz w:val="20"/>
          <w:szCs w:val="20"/>
        </w:rPr>
      </w:pPr>
      <w:r w:rsidRPr="00E258B2">
        <w:rPr>
          <w:rFonts w:ascii="Cambria" w:hAnsi="Cambria"/>
          <w:sz w:val="20"/>
          <w:szCs w:val="20"/>
        </w:rPr>
        <w:t>To find the instant petition inadmissible</w:t>
      </w:r>
      <w:r w:rsidR="004B0F5A">
        <w:rPr>
          <w:rFonts w:ascii="Cambria" w:hAnsi="Cambria"/>
          <w:sz w:val="20"/>
          <w:szCs w:val="20"/>
        </w:rPr>
        <w:t>.</w:t>
      </w:r>
    </w:p>
    <w:p w14:paraId="5D51B921" w14:textId="3DF12536" w:rsidR="00245434" w:rsidRDefault="00245434" w:rsidP="00245434">
      <w:pPr>
        <w:numPr>
          <w:ilvl w:val="0"/>
          <w:numId w:val="1"/>
        </w:numPr>
        <w:suppressAutoHyphens/>
        <w:spacing w:after="240" w:line="240" w:lineRule="auto"/>
        <w:jc w:val="both"/>
        <w:rPr>
          <w:rFonts w:ascii="Cambria" w:hAnsi="Cambria"/>
          <w:sz w:val="20"/>
          <w:szCs w:val="20"/>
        </w:rPr>
      </w:pPr>
      <w:r w:rsidRPr="00E258B2">
        <w:rPr>
          <w:rFonts w:ascii="Cambria" w:hAnsi="Cambria"/>
          <w:sz w:val="20"/>
          <w:szCs w:val="20"/>
        </w:rPr>
        <w:t>To notify the parties of this decision and to publish it in its Annual Report to the General Assembly of the Organization of American States.</w:t>
      </w:r>
    </w:p>
    <w:p w14:paraId="53D36C6A" w14:textId="4C7F4521" w:rsidR="004B0F5A" w:rsidRPr="00E258B2" w:rsidRDefault="004B0F5A" w:rsidP="004B0F5A">
      <w:pPr>
        <w:suppressAutoHyphens/>
        <w:spacing w:after="240" w:line="240" w:lineRule="auto"/>
        <w:ind w:firstLine="720"/>
        <w:jc w:val="both"/>
        <w:rPr>
          <w:rFonts w:ascii="Cambria" w:hAnsi="Cambria"/>
          <w:sz w:val="20"/>
          <w:szCs w:val="20"/>
        </w:rPr>
      </w:pPr>
      <w:r w:rsidRPr="006D25D7">
        <w:rPr>
          <w:rFonts w:ascii="Cambria" w:hAnsi="Cambria"/>
          <w:spacing w:val="-2"/>
          <w:sz w:val="20"/>
        </w:rPr>
        <w:t xml:space="preserve">Approved by the Inter-American Commission on Human Rights on the </w:t>
      </w:r>
      <w:r w:rsidR="00FC060A">
        <w:rPr>
          <w:rFonts w:ascii="Cambria" w:hAnsi="Cambria"/>
          <w:spacing w:val="-2"/>
          <w:sz w:val="20"/>
        </w:rPr>
        <w:t>5</w:t>
      </w:r>
      <w:r w:rsidRPr="0062740F">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FC060A">
        <w:rPr>
          <w:rFonts w:ascii="Cambria" w:hAnsi="Cambria"/>
          <w:spacing w:val="-2"/>
          <w:sz w:val="20"/>
        </w:rPr>
        <w:t>December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21DF8A6" w14:textId="77777777" w:rsidR="008D2329" w:rsidRPr="00E258B2" w:rsidRDefault="008D2329"/>
    <w:sectPr w:rsidR="008D2329" w:rsidRPr="00E258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579D" w14:textId="77777777" w:rsidR="00A64F5C" w:rsidRDefault="00A64F5C" w:rsidP="00923603">
      <w:pPr>
        <w:spacing w:after="0" w:line="240" w:lineRule="auto"/>
      </w:pPr>
      <w:r>
        <w:separator/>
      </w:r>
    </w:p>
  </w:endnote>
  <w:endnote w:type="continuationSeparator" w:id="0">
    <w:p w14:paraId="29F95C14" w14:textId="77777777" w:rsidR="00A64F5C" w:rsidRDefault="00A64F5C" w:rsidP="00923603">
      <w:pPr>
        <w:spacing w:after="0" w:line="240" w:lineRule="auto"/>
      </w:pPr>
      <w:r>
        <w:continuationSeparator/>
      </w:r>
    </w:p>
  </w:endnote>
  <w:endnote w:type="continuationNotice" w:id="1">
    <w:p w14:paraId="7B2B5513" w14:textId="77777777" w:rsidR="00A64F5C" w:rsidRDefault="00A64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sz w:val="16"/>
      </w:rPr>
    </w:sdtEndPr>
    <w:sdtContent>
      <w:p w14:paraId="2DCB057C" w14:textId="77777777" w:rsidR="00923603" w:rsidRPr="00723329" w:rsidRDefault="00923603">
        <w:pPr>
          <w:pStyle w:val="Footer"/>
          <w:jc w:val="center"/>
          <w:rPr>
            <w:sz w:val="16"/>
          </w:rPr>
        </w:pPr>
        <w:r w:rsidRPr="00723329">
          <w:rPr>
            <w:sz w:val="16"/>
          </w:rPr>
          <w:fldChar w:fldCharType="begin"/>
        </w:r>
        <w:r w:rsidRPr="00723329">
          <w:rPr>
            <w:sz w:val="16"/>
          </w:rPr>
          <w:instrText xml:space="preserve"> PAGE   \* MERGEFORMAT </w:instrText>
        </w:r>
        <w:r w:rsidRPr="00723329">
          <w:rPr>
            <w:sz w:val="16"/>
          </w:rPr>
          <w:fldChar w:fldCharType="separate"/>
        </w:r>
        <w:r w:rsidRPr="00723329">
          <w:rPr>
            <w:sz w:val="16"/>
          </w:rPr>
          <w:t>2</w:t>
        </w:r>
        <w:r w:rsidRPr="00723329">
          <w:rPr>
            <w:sz w:val="16"/>
          </w:rPr>
          <w:fldChar w:fldCharType="end"/>
        </w:r>
      </w:p>
    </w:sdtContent>
  </w:sdt>
  <w:p w14:paraId="609E3279" w14:textId="77777777" w:rsidR="00923603" w:rsidRPr="00723329" w:rsidRDefault="00923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42AE" w14:textId="77777777" w:rsidR="00923603" w:rsidRPr="00723329" w:rsidRDefault="00923603">
    <w:pPr>
      <w:pStyle w:val="Footer"/>
      <w:jc w:val="center"/>
    </w:pPr>
  </w:p>
  <w:p w14:paraId="58EABEBD" w14:textId="77777777" w:rsidR="00923603" w:rsidRPr="00723329" w:rsidRDefault="0092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3C86" w14:textId="77777777" w:rsidR="00A64F5C" w:rsidRDefault="00A64F5C" w:rsidP="00923603">
      <w:pPr>
        <w:spacing w:after="0" w:line="240" w:lineRule="auto"/>
      </w:pPr>
      <w:r>
        <w:separator/>
      </w:r>
    </w:p>
  </w:footnote>
  <w:footnote w:type="continuationSeparator" w:id="0">
    <w:p w14:paraId="5AE9D696" w14:textId="77777777" w:rsidR="00A64F5C" w:rsidRDefault="00A64F5C" w:rsidP="00923603">
      <w:pPr>
        <w:spacing w:after="0" w:line="240" w:lineRule="auto"/>
      </w:pPr>
      <w:r>
        <w:continuationSeparator/>
      </w:r>
    </w:p>
  </w:footnote>
  <w:footnote w:type="continuationNotice" w:id="1">
    <w:p w14:paraId="663A1ED0" w14:textId="77777777" w:rsidR="00A64F5C" w:rsidRDefault="00A64F5C">
      <w:pPr>
        <w:spacing w:after="0" w:line="240" w:lineRule="auto"/>
      </w:pPr>
    </w:p>
  </w:footnote>
  <w:footnote w:id="2">
    <w:p w14:paraId="3413D376" w14:textId="6CE11A83" w:rsidR="008F7573" w:rsidRPr="003503B2" w:rsidRDefault="008F7573" w:rsidP="008F7573">
      <w:pPr>
        <w:pStyle w:val="FootnoteText"/>
        <w:ind w:firstLine="720"/>
        <w:jc w:val="both"/>
        <w:rPr>
          <w:sz w:val="16"/>
          <w:szCs w:val="16"/>
        </w:rPr>
      </w:pPr>
      <w:r w:rsidRPr="003503B2">
        <w:rPr>
          <w:rFonts w:asciiTheme="majorHAnsi" w:hAnsiTheme="majorHAnsi"/>
          <w:sz w:val="16"/>
          <w:szCs w:val="16"/>
          <w:vertAlign w:val="superscript"/>
        </w:rPr>
        <w:footnoteRef/>
      </w:r>
      <w:r w:rsidRPr="003503B2">
        <w:rPr>
          <w:rFonts w:asciiTheme="majorHAnsi" w:hAnsiTheme="majorHAnsi"/>
          <w:sz w:val="16"/>
          <w:szCs w:val="16"/>
        </w:rPr>
        <w:t xml:space="preserve"> </w:t>
      </w:r>
      <w:r w:rsidR="00987492">
        <w:rPr>
          <w:rFonts w:ascii="Cambria" w:hAnsi="Cambria"/>
          <w:sz w:val="16"/>
          <w:szCs w:val="16"/>
        </w:rPr>
        <w:t xml:space="preserve">The petition also lists as alleged victims Ms. </w:t>
      </w:r>
      <w:r w:rsidRPr="00D76C71">
        <w:rPr>
          <w:rFonts w:ascii="Cambria" w:hAnsi="Cambria"/>
          <w:bCs/>
          <w:sz w:val="16"/>
          <w:szCs w:val="16"/>
        </w:rPr>
        <w:t>Mar</w:t>
      </w:r>
      <w:r w:rsidR="007A4D49">
        <w:rPr>
          <w:rFonts w:ascii="Cambria" w:hAnsi="Cambria"/>
          <w:bCs/>
          <w:sz w:val="16"/>
          <w:szCs w:val="16"/>
        </w:rPr>
        <w:t>i</w:t>
      </w:r>
      <w:r w:rsidRPr="00D76C71">
        <w:rPr>
          <w:rFonts w:ascii="Cambria" w:hAnsi="Cambria"/>
          <w:bCs/>
          <w:sz w:val="16"/>
          <w:szCs w:val="16"/>
        </w:rPr>
        <w:t>a Claudia Montaña Gait</w:t>
      </w:r>
      <w:r w:rsidR="007A4D49">
        <w:rPr>
          <w:rFonts w:ascii="Cambria" w:hAnsi="Cambria"/>
          <w:bCs/>
          <w:sz w:val="16"/>
          <w:szCs w:val="16"/>
        </w:rPr>
        <w:t>a</w:t>
      </w:r>
      <w:r w:rsidRPr="00D76C71">
        <w:rPr>
          <w:rFonts w:ascii="Cambria" w:hAnsi="Cambria"/>
          <w:bCs/>
          <w:sz w:val="16"/>
          <w:szCs w:val="16"/>
        </w:rPr>
        <w:t xml:space="preserve">n </w:t>
      </w:r>
      <w:r w:rsidR="00987492">
        <w:rPr>
          <w:rFonts w:ascii="Cambria" w:hAnsi="Cambria"/>
          <w:bCs/>
          <w:sz w:val="16"/>
          <w:szCs w:val="16"/>
        </w:rPr>
        <w:t xml:space="preserve">and two girls, one </w:t>
      </w:r>
      <w:r w:rsidR="00061D8D">
        <w:rPr>
          <w:rFonts w:ascii="Cambria" w:hAnsi="Cambria"/>
          <w:bCs/>
          <w:sz w:val="16"/>
          <w:szCs w:val="16"/>
        </w:rPr>
        <w:t xml:space="preserve">the </w:t>
      </w:r>
      <w:r w:rsidR="00987492">
        <w:rPr>
          <w:rFonts w:ascii="Cambria" w:hAnsi="Cambria"/>
          <w:bCs/>
          <w:sz w:val="16"/>
          <w:szCs w:val="16"/>
        </w:rPr>
        <w:t xml:space="preserve">daughter of Mr. </w:t>
      </w:r>
      <w:r w:rsidRPr="00D76C71">
        <w:rPr>
          <w:rFonts w:ascii="Cambria" w:hAnsi="Cambria"/>
          <w:sz w:val="16"/>
          <w:szCs w:val="16"/>
        </w:rPr>
        <w:t>Guti</w:t>
      </w:r>
      <w:r w:rsidR="007A4D49">
        <w:rPr>
          <w:rFonts w:ascii="Cambria" w:hAnsi="Cambria"/>
          <w:sz w:val="16"/>
          <w:szCs w:val="16"/>
        </w:rPr>
        <w:t>e</w:t>
      </w:r>
      <w:r w:rsidRPr="00D76C71">
        <w:rPr>
          <w:rFonts w:ascii="Cambria" w:hAnsi="Cambria"/>
          <w:sz w:val="16"/>
          <w:szCs w:val="16"/>
        </w:rPr>
        <w:t xml:space="preserve">rrez </w:t>
      </w:r>
      <w:r w:rsidR="00987492">
        <w:rPr>
          <w:rFonts w:ascii="Cambria" w:hAnsi="Cambria"/>
          <w:sz w:val="16"/>
          <w:szCs w:val="16"/>
        </w:rPr>
        <w:t xml:space="preserve">and </w:t>
      </w:r>
      <w:r w:rsidR="00061D8D">
        <w:rPr>
          <w:rFonts w:ascii="Cambria" w:hAnsi="Cambria"/>
          <w:sz w:val="16"/>
          <w:szCs w:val="16"/>
        </w:rPr>
        <w:t xml:space="preserve">the </w:t>
      </w:r>
      <w:r w:rsidR="00987492">
        <w:rPr>
          <w:rFonts w:ascii="Cambria" w:hAnsi="Cambria"/>
          <w:sz w:val="16"/>
          <w:szCs w:val="16"/>
        </w:rPr>
        <w:t xml:space="preserve">other </w:t>
      </w:r>
      <w:r w:rsidR="00061D8D">
        <w:rPr>
          <w:rFonts w:ascii="Cambria" w:hAnsi="Cambria"/>
          <w:sz w:val="16"/>
          <w:szCs w:val="16"/>
        </w:rPr>
        <w:t xml:space="preserve">the </w:t>
      </w:r>
      <w:r w:rsidR="00987492">
        <w:rPr>
          <w:rFonts w:ascii="Cambria" w:hAnsi="Cambria"/>
          <w:sz w:val="16"/>
          <w:szCs w:val="16"/>
        </w:rPr>
        <w:t xml:space="preserve">daughter of Ms. </w:t>
      </w:r>
      <w:r w:rsidRPr="00D76C71">
        <w:rPr>
          <w:rFonts w:ascii="Cambria" w:hAnsi="Cambria"/>
          <w:sz w:val="16"/>
          <w:szCs w:val="16"/>
        </w:rPr>
        <w:t xml:space="preserve">Montaña. </w:t>
      </w:r>
      <w:r w:rsidR="00987492">
        <w:rPr>
          <w:rFonts w:ascii="Cambria" w:hAnsi="Cambria"/>
          <w:sz w:val="16"/>
          <w:szCs w:val="16"/>
        </w:rPr>
        <w:t xml:space="preserve">The IACHR is keeping the names of the petitioners’ daughters under seal as they were minors at the time of the events. </w:t>
      </w:r>
    </w:p>
  </w:footnote>
  <w:footnote w:id="3">
    <w:p w14:paraId="38E33D4A" w14:textId="77777777" w:rsidR="00923603" w:rsidRPr="002A42B0" w:rsidRDefault="00923603" w:rsidP="00923603">
      <w:pPr>
        <w:pStyle w:val="FootnoteText"/>
        <w:ind w:firstLine="720"/>
        <w:rPr>
          <w:rFonts w:ascii="Cambria" w:hAnsi="Cambria"/>
        </w:rPr>
      </w:pPr>
      <w:r w:rsidRPr="00A842F2">
        <w:rPr>
          <w:rStyle w:val="FootnoteReference"/>
          <w:rFonts w:ascii="Cambria" w:hAnsi="Cambria"/>
          <w:sz w:val="16"/>
          <w:szCs w:val="16"/>
        </w:rPr>
        <w:footnoteRef/>
      </w:r>
      <w:r w:rsidRPr="002A42B0">
        <w:rPr>
          <w:rFonts w:ascii="Cambria" w:hAnsi="Cambria"/>
        </w:rPr>
        <w:t xml:space="preserve"> </w:t>
      </w:r>
      <w:r w:rsidRPr="002A42B0">
        <w:rPr>
          <w:rFonts w:ascii="Cambria" w:hAnsi="Cambria"/>
          <w:sz w:val="16"/>
          <w:szCs w:val="16"/>
        </w:rPr>
        <w:t xml:space="preserve">In keeping with Article 17(2)(a) of the Commission’s Rules of Procedure, Commissioner Carlos Bernal Pulido, of Colombian nationality, did not participate in the decision in the instant matter. </w:t>
      </w:r>
    </w:p>
  </w:footnote>
  <w:footnote w:id="4">
    <w:p w14:paraId="00B31FB8" w14:textId="77777777" w:rsidR="00923603" w:rsidRPr="002A42B0" w:rsidRDefault="00923603" w:rsidP="00923603">
      <w:pPr>
        <w:pStyle w:val="FootnoteText"/>
        <w:ind w:firstLine="720"/>
        <w:jc w:val="both"/>
        <w:rPr>
          <w:rFonts w:ascii="Cambria" w:hAnsi="Cambria"/>
          <w:sz w:val="16"/>
          <w:szCs w:val="16"/>
        </w:rPr>
      </w:pPr>
      <w:r w:rsidRPr="002A42B0">
        <w:rPr>
          <w:rFonts w:ascii="Cambria" w:hAnsi="Cambria"/>
          <w:sz w:val="16"/>
          <w:szCs w:val="16"/>
          <w:vertAlign w:val="superscript"/>
        </w:rPr>
        <w:footnoteRef/>
      </w:r>
      <w:r w:rsidRPr="002A42B0">
        <w:rPr>
          <w:rFonts w:ascii="Cambria" w:hAnsi="Cambria"/>
          <w:sz w:val="16"/>
          <w:szCs w:val="16"/>
        </w:rPr>
        <w:t xml:space="preserve"> Hereinafter “the American Convention” or “the Convention.” </w:t>
      </w:r>
    </w:p>
  </w:footnote>
  <w:footnote w:id="5">
    <w:p w14:paraId="72D49588" w14:textId="5F3D69A4" w:rsidR="00923603" w:rsidRPr="002A42B0" w:rsidRDefault="00923603" w:rsidP="00923603">
      <w:pPr>
        <w:pStyle w:val="FootnoteText"/>
        <w:ind w:firstLine="720"/>
        <w:jc w:val="both"/>
        <w:rPr>
          <w:rFonts w:ascii="Cambria" w:hAnsi="Cambria"/>
          <w:sz w:val="16"/>
          <w:szCs w:val="16"/>
        </w:rPr>
      </w:pPr>
      <w:r w:rsidRPr="002A42B0">
        <w:rPr>
          <w:rStyle w:val="FootnoteReference"/>
          <w:rFonts w:ascii="Cambria" w:hAnsi="Cambria"/>
          <w:sz w:val="16"/>
          <w:szCs w:val="16"/>
        </w:rPr>
        <w:footnoteRef/>
      </w:r>
      <w:r w:rsidRPr="002A42B0">
        <w:rPr>
          <w:rFonts w:ascii="Cambria" w:hAnsi="Cambria"/>
          <w:sz w:val="16"/>
          <w:szCs w:val="16"/>
        </w:rPr>
        <w:t xml:space="preserve"> Each party’s observations were duly considered and forwarded to the other party. </w:t>
      </w:r>
      <w:r w:rsidR="00B222CC">
        <w:rPr>
          <w:rFonts w:ascii="Cambria" w:hAnsi="Cambria"/>
          <w:sz w:val="16"/>
          <w:szCs w:val="16"/>
        </w:rPr>
        <w:t>In communications of October 12, 2023 and August 26, 2024, the petitioner</w:t>
      </w:r>
      <w:r w:rsidR="00FA6305">
        <w:rPr>
          <w:rFonts w:ascii="Cambria" w:hAnsi="Cambria"/>
          <w:sz w:val="16"/>
          <w:szCs w:val="16"/>
        </w:rPr>
        <w:t>s</w:t>
      </w:r>
      <w:r w:rsidR="00B222CC">
        <w:rPr>
          <w:rFonts w:ascii="Cambria" w:hAnsi="Cambria"/>
          <w:sz w:val="16"/>
          <w:szCs w:val="16"/>
        </w:rPr>
        <w:t xml:space="preserve"> </w:t>
      </w:r>
      <w:r w:rsidR="00FA6305">
        <w:rPr>
          <w:rFonts w:ascii="Cambria" w:hAnsi="Cambria"/>
          <w:sz w:val="16"/>
          <w:szCs w:val="16"/>
        </w:rPr>
        <w:t xml:space="preserve">reiterated their </w:t>
      </w:r>
      <w:r w:rsidR="00B222CC">
        <w:rPr>
          <w:rFonts w:ascii="Cambria" w:hAnsi="Cambria"/>
          <w:sz w:val="16"/>
          <w:szCs w:val="16"/>
        </w:rPr>
        <w:t xml:space="preserve">interest in the petition being considered. </w:t>
      </w:r>
    </w:p>
  </w:footnote>
  <w:footnote w:id="6">
    <w:p w14:paraId="23380613" w14:textId="318E3B20" w:rsidR="00245434" w:rsidRPr="00CA33D1" w:rsidRDefault="00245434" w:rsidP="00245434">
      <w:pPr>
        <w:pStyle w:val="FootnoteText"/>
        <w:ind w:firstLine="720"/>
        <w:jc w:val="both"/>
        <w:rPr>
          <w:rFonts w:ascii="Cambria" w:hAnsi="Cambria"/>
          <w:sz w:val="16"/>
          <w:szCs w:val="16"/>
        </w:rPr>
      </w:pPr>
      <w:r w:rsidRPr="003503B2">
        <w:rPr>
          <w:rStyle w:val="FootnoteReference"/>
          <w:rFonts w:ascii="Cambria" w:hAnsi="Cambria"/>
          <w:sz w:val="16"/>
          <w:szCs w:val="16"/>
        </w:rPr>
        <w:footnoteRef/>
      </w:r>
      <w:r w:rsidRPr="003503B2">
        <w:t xml:space="preserve"> </w:t>
      </w:r>
      <w:r w:rsidRPr="00CA33D1">
        <w:rPr>
          <w:rFonts w:ascii="Cambria" w:hAnsi="Cambria"/>
          <w:sz w:val="16"/>
          <w:szCs w:val="16"/>
        </w:rPr>
        <w:t xml:space="preserve">ARTICLE 79. ARCHIVING OF </w:t>
      </w:r>
      <w:r w:rsidR="000523A0">
        <w:rPr>
          <w:rFonts w:ascii="Cambria" w:hAnsi="Cambria"/>
          <w:sz w:val="16"/>
          <w:szCs w:val="16"/>
        </w:rPr>
        <w:t>PROCEEDINGS</w:t>
      </w:r>
      <w:r w:rsidR="00BD2097">
        <w:rPr>
          <w:rFonts w:ascii="Cambria" w:hAnsi="Cambria"/>
          <w:sz w:val="16"/>
          <w:szCs w:val="16"/>
        </w:rPr>
        <w:t>.</w:t>
      </w:r>
      <w:r w:rsidRPr="00CA33D1">
        <w:rPr>
          <w:rFonts w:ascii="Cambria" w:hAnsi="Cambria"/>
          <w:sz w:val="16"/>
          <w:szCs w:val="16"/>
        </w:rPr>
        <w:t xml:space="preserve"> When the Office of the Attorney General learns of a fact with respect to which it finds that there </w:t>
      </w:r>
      <w:r w:rsidR="00CF7EFD">
        <w:rPr>
          <w:rFonts w:ascii="Cambria" w:hAnsi="Cambria"/>
          <w:sz w:val="16"/>
          <w:szCs w:val="16"/>
        </w:rPr>
        <w:t xml:space="preserve">is </w:t>
      </w:r>
      <w:r w:rsidRPr="00CA33D1">
        <w:rPr>
          <w:rFonts w:ascii="Cambria" w:hAnsi="Cambria"/>
          <w:sz w:val="16"/>
          <w:szCs w:val="16"/>
        </w:rPr>
        <w:t>no motive or factual circumstance that allow</w:t>
      </w:r>
      <w:r w:rsidR="00CF7EFD">
        <w:rPr>
          <w:rFonts w:ascii="Cambria" w:hAnsi="Cambria"/>
          <w:sz w:val="16"/>
          <w:szCs w:val="16"/>
        </w:rPr>
        <w:t>s</w:t>
      </w:r>
      <w:r w:rsidRPr="00CA33D1">
        <w:rPr>
          <w:rFonts w:ascii="Cambria" w:hAnsi="Cambria"/>
          <w:sz w:val="16"/>
          <w:szCs w:val="16"/>
        </w:rPr>
        <w:t xml:space="preserve"> one to characterize it as a crime, or that indicate</w:t>
      </w:r>
      <w:r w:rsidR="00CF7EFD">
        <w:rPr>
          <w:rFonts w:ascii="Cambria" w:hAnsi="Cambria"/>
          <w:sz w:val="16"/>
          <w:szCs w:val="16"/>
        </w:rPr>
        <w:t>s</w:t>
      </w:r>
      <w:r w:rsidRPr="00CA33D1">
        <w:rPr>
          <w:rFonts w:ascii="Cambria" w:hAnsi="Cambria"/>
          <w:sz w:val="16"/>
          <w:szCs w:val="16"/>
        </w:rPr>
        <w:t xml:space="preserve"> its possible existence as such, it shall order that the action be archived. Nonetheless, if new evidence arises, the inquiry shall reopen so long as the criminal action has not extinguished. </w:t>
      </w:r>
    </w:p>
  </w:footnote>
  <w:footnote w:id="7">
    <w:p w14:paraId="374DCDA3" w14:textId="3988B847" w:rsidR="00245434" w:rsidRPr="004B0F5A" w:rsidRDefault="00245434" w:rsidP="00245434">
      <w:pPr>
        <w:pStyle w:val="FootnoteText"/>
        <w:ind w:firstLine="720"/>
        <w:jc w:val="both"/>
        <w:rPr>
          <w:rFonts w:ascii="Cambria" w:hAnsi="Cambria"/>
          <w:sz w:val="16"/>
          <w:szCs w:val="16"/>
        </w:rPr>
      </w:pPr>
      <w:r w:rsidRPr="003503B2">
        <w:rPr>
          <w:rStyle w:val="FootnoteReference"/>
          <w:rFonts w:asciiTheme="majorHAnsi" w:hAnsiTheme="majorHAnsi"/>
          <w:sz w:val="16"/>
          <w:szCs w:val="16"/>
        </w:rPr>
        <w:footnoteRef/>
      </w:r>
      <w:r w:rsidRPr="003503B2">
        <w:rPr>
          <w:rFonts w:asciiTheme="majorHAnsi" w:hAnsiTheme="majorHAnsi"/>
          <w:sz w:val="16"/>
          <w:szCs w:val="16"/>
        </w:rPr>
        <w:t xml:space="preserve"> </w:t>
      </w:r>
      <w:r w:rsidRPr="00617A0F">
        <w:rPr>
          <w:rFonts w:ascii="Cambria" w:hAnsi="Cambria"/>
          <w:sz w:val="16"/>
          <w:szCs w:val="16"/>
        </w:rPr>
        <w:t xml:space="preserve">By way of illustration, see the following admissibility reports of the IACHR: Report No. 117/19. Petition 833-11. Admissibility. </w:t>
      </w:r>
      <w:r w:rsidR="008E3060">
        <w:rPr>
          <w:rFonts w:ascii="Cambria" w:hAnsi="Cambria"/>
          <w:sz w:val="16"/>
          <w:szCs w:val="16"/>
        </w:rPr>
        <w:t xml:space="preserve">Workers released from the </w:t>
      </w:r>
      <w:r w:rsidRPr="00617A0F">
        <w:rPr>
          <w:rFonts w:ascii="Cambria" w:hAnsi="Cambria"/>
          <w:sz w:val="16"/>
          <w:szCs w:val="16"/>
        </w:rPr>
        <w:t>Boa-Fé Caru</w:t>
      </w:r>
      <w:r w:rsidR="008E3060">
        <w:rPr>
          <w:rFonts w:ascii="Cambria" w:hAnsi="Cambria"/>
          <w:sz w:val="16"/>
          <w:szCs w:val="16"/>
        </w:rPr>
        <w:t xml:space="preserve"> Plantation</w:t>
      </w:r>
      <w:r w:rsidRPr="00617A0F">
        <w:rPr>
          <w:rFonts w:ascii="Cambria" w:hAnsi="Cambria"/>
          <w:sz w:val="16"/>
          <w:szCs w:val="16"/>
        </w:rPr>
        <w:t xml:space="preserve">. </w:t>
      </w:r>
      <w:r w:rsidRPr="00937692">
        <w:rPr>
          <w:rFonts w:ascii="Cambria" w:hAnsi="Cambria"/>
          <w:sz w:val="16"/>
          <w:szCs w:val="16"/>
          <w:lang w:val="pt-BR"/>
        </w:rPr>
        <w:t xml:space="preserve">Brazil. June 7, 2019, paras. 11 and 12; Report No. 4/19. Petition 673-11. Admissibility. Fernando Alcântara de Figueiredo and Laci Marinho de Araújo. Brazil. January 3, 2019, paras. 19 ff.; Report No. 164/17. Admissibility. Santiago Adolfo Villegas Delgado. Venezuela. November 30, 2017, para. 12; Report No. 57/17. Petition 406-04. Admissibility. Washington David Espino Muñoz. </w:t>
      </w:r>
      <w:r w:rsidRPr="004B0F5A">
        <w:rPr>
          <w:rFonts w:ascii="Cambria" w:hAnsi="Cambria"/>
          <w:sz w:val="16"/>
          <w:szCs w:val="16"/>
        </w:rPr>
        <w:t xml:space="preserve">Dominican Republic. </w:t>
      </w:r>
      <w:r w:rsidRPr="00617A0F">
        <w:rPr>
          <w:rFonts w:ascii="Cambria" w:hAnsi="Cambria"/>
          <w:sz w:val="16"/>
          <w:szCs w:val="16"/>
        </w:rPr>
        <w:t xml:space="preserve">June 5, 2017, paras. 26 and 27; Report No. 168/17. Admissibility. Miguel Ángel Morales Morales. Peru. December 1, 2017, paras. 15 and 16; Report No. 122/17. Petition 156-08. Admissibility. Williams Mariano Paría Tapia. Peru. September 7, 2017, paras. 12 ff.; Report No. 167/17. Admissibility. Alberto Patishtán Gómez. Mexico. December 1, 2017, paras. 13 ff.; and Report No. 114/19. Petition 1403-09. </w:t>
      </w:r>
      <w:r w:rsidRPr="004B0F5A">
        <w:rPr>
          <w:rFonts w:ascii="Cambria" w:hAnsi="Cambria"/>
          <w:sz w:val="16"/>
          <w:szCs w:val="16"/>
        </w:rPr>
        <w:t xml:space="preserve">Admissibility. Carlos Pizarro Leongómez, María José Pizarro Rodríguez and family members. Colombia. June 7, 2019, paras. 20 ff.. </w:t>
      </w:r>
    </w:p>
  </w:footnote>
  <w:footnote w:id="8">
    <w:p w14:paraId="3ED6ABAC" w14:textId="77777777" w:rsidR="00245434" w:rsidRPr="004B0F5A" w:rsidRDefault="00245434" w:rsidP="00245434">
      <w:pPr>
        <w:pStyle w:val="FootnoteText"/>
        <w:ind w:firstLine="709"/>
        <w:jc w:val="both"/>
        <w:rPr>
          <w:rFonts w:ascii="Cambria" w:hAnsi="Cambria"/>
          <w:sz w:val="16"/>
          <w:szCs w:val="16"/>
        </w:rPr>
      </w:pPr>
      <w:r w:rsidRPr="00617A0F">
        <w:rPr>
          <w:rFonts w:ascii="Cambria" w:hAnsi="Cambria"/>
          <w:sz w:val="16"/>
          <w:szCs w:val="16"/>
          <w:vertAlign w:val="superscript"/>
        </w:rPr>
        <w:footnoteRef/>
      </w:r>
      <w:r w:rsidRPr="004B0F5A">
        <w:rPr>
          <w:rFonts w:ascii="Cambria" w:hAnsi="Cambria"/>
          <w:sz w:val="16"/>
          <w:szCs w:val="16"/>
        </w:rPr>
        <w:t xml:space="preserve"> IACHR, Report No. 72/18, Petition 1131-08. Admissibility. Moisés de Jesús Hernández Pinto and family. Guatemala. June 20, 2018, para. 10.</w:t>
      </w:r>
    </w:p>
  </w:footnote>
  <w:footnote w:id="9">
    <w:p w14:paraId="4C84CDEF" w14:textId="2D40CF1A" w:rsidR="00245434" w:rsidRPr="00617A0F" w:rsidRDefault="00245434" w:rsidP="00245434">
      <w:pPr>
        <w:pStyle w:val="FootnoteText"/>
        <w:ind w:firstLine="720"/>
        <w:jc w:val="both"/>
        <w:rPr>
          <w:rFonts w:ascii="Cambria" w:hAnsi="Cambria"/>
        </w:rPr>
      </w:pPr>
      <w:r w:rsidRPr="00617A0F">
        <w:rPr>
          <w:rFonts w:ascii="Cambria" w:hAnsi="Cambria"/>
          <w:sz w:val="16"/>
          <w:szCs w:val="16"/>
          <w:vertAlign w:val="superscript"/>
        </w:rPr>
        <w:footnoteRef/>
      </w:r>
      <w:r w:rsidRPr="004B0F5A">
        <w:rPr>
          <w:rFonts w:ascii="Cambria" w:hAnsi="Cambria"/>
          <w:sz w:val="16"/>
          <w:szCs w:val="16"/>
        </w:rPr>
        <w:t xml:space="preserve"> IACHR, Report No. 44/18, Petition 840-07. </w:t>
      </w:r>
      <w:r w:rsidRPr="00617A0F">
        <w:rPr>
          <w:rFonts w:ascii="Cambria" w:hAnsi="Cambria"/>
          <w:sz w:val="16"/>
          <w:szCs w:val="16"/>
        </w:rPr>
        <w:t>Admissibility. Pijiguay</w:t>
      </w:r>
      <w:r w:rsidR="006A329C">
        <w:rPr>
          <w:rFonts w:ascii="Cambria" w:hAnsi="Cambria"/>
          <w:sz w:val="16"/>
          <w:szCs w:val="16"/>
        </w:rPr>
        <w:t xml:space="preserve"> </w:t>
      </w:r>
      <w:r w:rsidR="006A329C" w:rsidRPr="00617A0F">
        <w:rPr>
          <w:rFonts w:ascii="Cambria" w:hAnsi="Cambria"/>
          <w:sz w:val="16"/>
          <w:szCs w:val="16"/>
        </w:rPr>
        <w:t>Massacre</w:t>
      </w:r>
      <w:r w:rsidRPr="00617A0F">
        <w:rPr>
          <w:rFonts w:ascii="Cambria" w:hAnsi="Cambria"/>
          <w:sz w:val="16"/>
          <w:szCs w:val="16"/>
        </w:rPr>
        <w:t>. Colombia. May 4, 2018, para. 11.</w:t>
      </w:r>
    </w:p>
  </w:footnote>
  <w:footnote w:id="10">
    <w:p w14:paraId="1DDD2B9C" w14:textId="77777777" w:rsidR="00245434" w:rsidRPr="004B0F5A" w:rsidRDefault="00245434" w:rsidP="00245434">
      <w:pPr>
        <w:pStyle w:val="FootnoteText"/>
        <w:ind w:firstLine="720"/>
        <w:jc w:val="both"/>
        <w:rPr>
          <w:rFonts w:ascii="Cambria" w:hAnsi="Cambria"/>
          <w:sz w:val="16"/>
          <w:szCs w:val="16"/>
          <w:lang w:val="es-ES"/>
        </w:rPr>
      </w:pPr>
      <w:r w:rsidRPr="00617A0F">
        <w:rPr>
          <w:rStyle w:val="FootnoteReference"/>
          <w:rFonts w:ascii="Cambria" w:hAnsi="Cambria"/>
          <w:sz w:val="16"/>
          <w:szCs w:val="16"/>
        </w:rPr>
        <w:footnoteRef/>
      </w:r>
      <w:r w:rsidRPr="00617A0F">
        <w:rPr>
          <w:rFonts w:ascii="Cambria" w:hAnsi="Cambria"/>
          <w:sz w:val="16"/>
          <w:szCs w:val="16"/>
        </w:rPr>
        <w:t xml:space="preserve"> Similarly: IACHR</w:t>
      </w:r>
      <w:hyperlink r:id="rId1" w:history="1">
        <w:r w:rsidRPr="00617A0F">
          <w:rPr>
            <w:rStyle w:val="Hyperlink"/>
            <w:rFonts w:ascii="Cambria" w:hAnsi="Cambria"/>
            <w:sz w:val="16"/>
            <w:szCs w:val="16"/>
          </w:rPr>
          <w:t xml:space="preserve">, Report No. 153/22. Petition 1466-08. Inadmissibility. Ana Delia Campo Peláez and family members. </w:t>
        </w:r>
        <w:r w:rsidRPr="004B0F5A">
          <w:rPr>
            <w:rStyle w:val="Hyperlink"/>
            <w:rFonts w:ascii="Cambria" w:hAnsi="Cambria"/>
            <w:sz w:val="16"/>
            <w:szCs w:val="16"/>
            <w:lang w:val="es-ES"/>
          </w:rPr>
          <w:t>Colombia. June 30, 2022</w:t>
        </w:r>
      </w:hyperlink>
      <w:r w:rsidRPr="004B0F5A">
        <w:rPr>
          <w:rFonts w:ascii="Cambria" w:hAnsi="Cambria"/>
          <w:sz w:val="16"/>
          <w:szCs w:val="16"/>
          <w:lang w:val="es-ES"/>
        </w:rPr>
        <w:t>, para. 11.</w:t>
      </w:r>
    </w:p>
  </w:footnote>
  <w:footnote w:id="11">
    <w:p w14:paraId="48DEB4B9" w14:textId="5B478383" w:rsidR="00245434" w:rsidRPr="00617A0F" w:rsidRDefault="00245434" w:rsidP="00245434">
      <w:pPr>
        <w:pStyle w:val="FootnoteText"/>
        <w:ind w:firstLine="720"/>
        <w:jc w:val="both"/>
        <w:rPr>
          <w:rFonts w:ascii="Cambria" w:hAnsi="Cambria"/>
          <w:sz w:val="16"/>
          <w:szCs w:val="16"/>
        </w:rPr>
      </w:pPr>
      <w:r w:rsidRPr="00617A0F">
        <w:rPr>
          <w:rStyle w:val="FootnoteReference"/>
          <w:rFonts w:ascii="Cambria" w:hAnsi="Cambria"/>
          <w:sz w:val="16"/>
          <w:szCs w:val="16"/>
        </w:rPr>
        <w:footnoteRef/>
      </w:r>
      <w:r w:rsidRPr="004B0F5A">
        <w:rPr>
          <w:rFonts w:ascii="Cambria" w:hAnsi="Cambria"/>
          <w:sz w:val="16"/>
          <w:szCs w:val="16"/>
          <w:lang w:val="es-ES"/>
        </w:rPr>
        <w:t xml:space="preserve"> IACHR, Report No. 11/17. Admissibility. </w:t>
      </w:r>
      <w:r w:rsidRPr="00937692">
        <w:rPr>
          <w:rFonts w:ascii="Cambria" w:hAnsi="Cambria"/>
          <w:sz w:val="16"/>
          <w:szCs w:val="16"/>
          <w:lang w:val="es-US"/>
        </w:rPr>
        <w:t xml:space="preserve">María Hilaria González Sierra et al. </w:t>
      </w:r>
      <w:r w:rsidRPr="008E3360">
        <w:rPr>
          <w:rFonts w:ascii="Cambria" w:hAnsi="Cambria"/>
          <w:sz w:val="16"/>
          <w:szCs w:val="16"/>
        </w:rPr>
        <w:t xml:space="preserve">Colombia. </w:t>
      </w:r>
      <w:r w:rsidRPr="004B0F5A">
        <w:rPr>
          <w:rFonts w:ascii="Cambria" w:hAnsi="Cambria"/>
          <w:sz w:val="16"/>
          <w:szCs w:val="16"/>
        </w:rPr>
        <w:t xml:space="preserve">January 27, 2017, para. 4; IACHR, Report No. 89/18. Petition 1110-07. Admissibility. Juan Simón Cantillo Raigoza, Keyla Sandrith Cantillo Vides and Family. Colombia. July 27, 2018, para. </w:t>
      </w:r>
      <w:r w:rsidRPr="00617A0F">
        <w:rPr>
          <w:rFonts w:ascii="Cambria" w:hAnsi="Cambria"/>
          <w:sz w:val="16"/>
          <w:szCs w:val="16"/>
        </w:rPr>
        <w:t>10; IACHR, Report No. 44/18. Admissibility. Pijiguay</w:t>
      </w:r>
      <w:r w:rsidR="000360B1">
        <w:rPr>
          <w:rFonts w:ascii="Cambria" w:hAnsi="Cambria"/>
          <w:sz w:val="16"/>
          <w:szCs w:val="16"/>
        </w:rPr>
        <w:t xml:space="preserve"> Massacre</w:t>
      </w:r>
      <w:r w:rsidRPr="00617A0F">
        <w:rPr>
          <w:rFonts w:ascii="Cambria" w:hAnsi="Cambria"/>
          <w:sz w:val="16"/>
          <w:szCs w:val="16"/>
        </w:rPr>
        <w:t>. Colombia. May 4, 2018, para. 11.</w:t>
      </w:r>
    </w:p>
  </w:footnote>
  <w:footnote w:id="12">
    <w:p w14:paraId="22C7E7C3" w14:textId="77777777" w:rsidR="00245434" w:rsidRPr="003503B2" w:rsidRDefault="00245434" w:rsidP="00245434">
      <w:pPr>
        <w:pStyle w:val="FootnoteText"/>
        <w:ind w:firstLine="720"/>
        <w:jc w:val="both"/>
        <w:rPr>
          <w:rFonts w:asciiTheme="majorHAnsi" w:hAnsiTheme="majorHAnsi"/>
          <w:sz w:val="16"/>
          <w:szCs w:val="16"/>
        </w:rPr>
      </w:pPr>
      <w:r w:rsidRPr="00617A0F">
        <w:rPr>
          <w:rStyle w:val="FootnoteReference"/>
          <w:rFonts w:ascii="Cambria" w:hAnsi="Cambria"/>
          <w:sz w:val="16"/>
          <w:szCs w:val="16"/>
        </w:rPr>
        <w:footnoteRef/>
      </w:r>
      <w:r w:rsidRPr="00617A0F">
        <w:rPr>
          <w:rFonts w:ascii="Cambria" w:hAnsi="Cambria"/>
          <w:sz w:val="16"/>
          <w:szCs w:val="16"/>
        </w:rPr>
        <w:t xml:space="preserve"> Similarly: IACHR, Report No. 8/22. Petition 1889-10. Admissibility. </w:t>
      </w:r>
      <w:r w:rsidRPr="004B0F5A">
        <w:rPr>
          <w:rFonts w:ascii="Cambria" w:hAnsi="Cambria"/>
          <w:sz w:val="16"/>
          <w:szCs w:val="16"/>
          <w:lang w:val="es-ES"/>
        </w:rPr>
        <w:t xml:space="preserve">Jairo Rocha González and family. </w:t>
      </w:r>
      <w:r w:rsidRPr="00937692">
        <w:rPr>
          <w:rFonts w:ascii="Cambria" w:hAnsi="Cambria"/>
          <w:sz w:val="16"/>
          <w:szCs w:val="16"/>
          <w:lang w:val="es-US"/>
        </w:rPr>
        <w:t xml:space="preserve">Colombia. Jairo Rocha González and family. </w:t>
      </w:r>
      <w:r w:rsidRPr="00617A0F">
        <w:rPr>
          <w:rFonts w:ascii="Cambria" w:hAnsi="Cambria"/>
          <w:sz w:val="16"/>
          <w:szCs w:val="16"/>
        </w:rPr>
        <w:t>February 9, 2022, para.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600D" w14:textId="1F84A515" w:rsidR="00923603" w:rsidRPr="00723329" w:rsidRDefault="00923603" w:rsidP="00B54CDF">
    <w:pPr>
      <w:pStyle w:val="Header"/>
      <w:framePr w:wrap="around" w:vAnchor="text" w:hAnchor="margin" w:xAlign="center" w:y="1"/>
      <w:rPr>
        <w:rStyle w:val="PageNumber"/>
        <w:rFonts w:eastAsia="Trebuchet MS"/>
      </w:rPr>
    </w:pPr>
    <w:r w:rsidRPr="00723329">
      <w:rPr>
        <w:rStyle w:val="PageNumber"/>
        <w:rFonts w:eastAsia="Trebuchet MS"/>
      </w:rPr>
      <w:fldChar w:fldCharType="begin"/>
    </w:r>
    <w:r w:rsidRPr="00723329">
      <w:rPr>
        <w:rStyle w:val="PageNumber"/>
        <w:rFonts w:eastAsia="Trebuchet MS"/>
      </w:rPr>
      <w:instrText xml:space="preserve">PAGE  </w:instrText>
    </w:r>
    <w:r w:rsidRPr="00723329">
      <w:rPr>
        <w:rStyle w:val="PageNumber"/>
        <w:rFonts w:eastAsia="Trebuchet MS"/>
      </w:rPr>
      <w:fldChar w:fldCharType="separate"/>
    </w:r>
    <w:r w:rsidR="000A4B3E">
      <w:rPr>
        <w:rStyle w:val="PageNumber"/>
        <w:rFonts w:eastAsia="Trebuchet MS"/>
        <w:noProof/>
      </w:rPr>
      <w:t>0</w:t>
    </w:r>
    <w:r w:rsidRPr="00723329">
      <w:rPr>
        <w:rStyle w:val="PageNumber"/>
        <w:rFonts w:eastAsia="Trebuchet MS"/>
      </w:rPr>
      <w:fldChar w:fldCharType="end"/>
    </w:r>
  </w:p>
  <w:p w14:paraId="41869735" w14:textId="77777777" w:rsidR="00923603" w:rsidRPr="00723329" w:rsidRDefault="00923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771A" w14:textId="77777777" w:rsidR="00923603" w:rsidRPr="00723329" w:rsidRDefault="00923603" w:rsidP="002C1641">
    <w:pPr>
      <w:pStyle w:val="Header"/>
      <w:jc w:val="center"/>
      <w:rPr>
        <w:sz w:val="22"/>
        <w:szCs w:val="22"/>
      </w:rPr>
    </w:pPr>
    <w:r w:rsidRPr="00723329">
      <w:rPr>
        <w:noProof/>
        <w:sz w:val="22"/>
        <w:szCs w:val="22"/>
      </w:rPr>
      <w:drawing>
        <wp:inline distT="0" distB="0" distL="0" distR="0" wp14:anchorId="769105E7" wp14:editId="349C59C4">
          <wp:extent cx="2209800" cy="117396"/>
          <wp:effectExtent l="0" t="0" r="0" b="0"/>
          <wp:docPr id="1605496567" name="Picture 1605496567"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359D0A0" w14:textId="77777777" w:rsidR="00923603" w:rsidRPr="00723329" w:rsidRDefault="005073C9" w:rsidP="002C1641">
    <w:pPr>
      <w:pStyle w:val="Header"/>
      <w:jc w:val="center"/>
      <w:rPr>
        <w:sz w:val="22"/>
        <w:szCs w:val="22"/>
      </w:rPr>
    </w:pPr>
    <w:r>
      <w:rPr>
        <w:noProof/>
        <w:sz w:val="22"/>
        <w:szCs w:val="22"/>
      </w:rPr>
      <w:pict w14:anchorId="60796B6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0535656">
    <w:abstractNumId w:val="1"/>
  </w:num>
  <w:num w:numId="2" w16cid:durableId="110770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03"/>
    <w:rsid w:val="00023480"/>
    <w:rsid w:val="000360B1"/>
    <w:rsid w:val="000523A0"/>
    <w:rsid w:val="00061D8D"/>
    <w:rsid w:val="000650E7"/>
    <w:rsid w:val="000652E1"/>
    <w:rsid w:val="00077C7C"/>
    <w:rsid w:val="000A498F"/>
    <w:rsid w:val="000A4B3E"/>
    <w:rsid w:val="000D322A"/>
    <w:rsid w:val="000F57AE"/>
    <w:rsid w:val="001540D4"/>
    <w:rsid w:val="00166DCC"/>
    <w:rsid w:val="00194F11"/>
    <w:rsid w:val="001D1063"/>
    <w:rsid w:val="002039D6"/>
    <w:rsid w:val="002063D5"/>
    <w:rsid w:val="002071C0"/>
    <w:rsid w:val="00245434"/>
    <w:rsid w:val="00265A0D"/>
    <w:rsid w:val="00292047"/>
    <w:rsid w:val="002F1BF4"/>
    <w:rsid w:val="00355E4E"/>
    <w:rsid w:val="00383856"/>
    <w:rsid w:val="003A491E"/>
    <w:rsid w:val="003C1603"/>
    <w:rsid w:val="00407838"/>
    <w:rsid w:val="0049284D"/>
    <w:rsid w:val="004B0F5A"/>
    <w:rsid w:val="004C4B2B"/>
    <w:rsid w:val="004E7811"/>
    <w:rsid w:val="004E7C9F"/>
    <w:rsid w:val="005055D0"/>
    <w:rsid w:val="005073C9"/>
    <w:rsid w:val="00511BF3"/>
    <w:rsid w:val="00550CA4"/>
    <w:rsid w:val="005568CD"/>
    <w:rsid w:val="005631DF"/>
    <w:rsid w:val="00583104"/>
    <w:rsid w:val="005A6507"/>
    <w:rsid w:val="005D1976"/>
    <w:rsid w:val="00617A0F"/>
    <w:rsid w:val="006350FF"/>
    <w:rsid w:val="0064608B"/>
    <w:rsid w:val="0066656E"/>
    <w:rsid w:val="00673CE3"/>
    <w:rsid w:val="00695B65"/>
    <w:rsid w:val="006A329C"/>
    <w:rsid w:val="006A6A75"/>
    <w:rsid w:val="006C1F18"/>
    <w:rsid w:val="006D166B"/>
    <w:rsid w:val="006D4534"/>
    <w:rsid w:val="006E673E"/>
    <w:rsid w:val="00736055"/>
    <w:rsid w:val="00746198"/>
    <w:rsid w:val="0079550A"/>
    <w:rsid w:val="007A4D49"/>
    <w:rsid w:val="007D5310"/>
    <w:rsid w:val="00820946"/>
    <w:rsid w:val="0084475B"/>
    <w:rsid w:val="00883554"/>
    <w:rsid w:val="008A6433"/>
    <w:rsid w:val="008D2329"/>
    <w:rsid w:val="008E3060"/>
    <w:rsid w:val="008E3360"/>
    <w:rsid w:val="008F7573"/>
    <w:rsid w:val="00923603"/>
    <w:rsid w:val="00937692"/>
    <w:rsid w:val="00983913"/>
    <w:rsid w:val="00987492"/>
    <w:rsid w:val="00993430"/>
    <w:rsid w:val="009E52DB"/>
    <w:rsid w:val="00A2402F"/>
    <w:rsid w:val="00A266BB"/>
    <w:rsid w:val="00A47EE7"/>
    <w:rsid w:val="00A64F5C"/>
    <w:rsid w:val="00A74E38"/>
    <w:rsid w:val="00A842F2"/>
    <w:rsid w:val="00A956DE"/>
    <w:rsid w:val="00AA16FA"/>
    <w:rsid w:val="00AD1AF3"/>
    <w:rsid w:val="00AD5A30"/>
    <w:rsid w:val="00B221A1"/>
    <w:rsid w:val="00B222CC"/>
    <w:rsid w:val="00B255E0"/>
    <w:rsid w:val="00B460B4"/>
    <w:rsid w:val="00B5640F"/>
    <w:rsid w:val="00BD03F1"/>
    <w:rsid w:val="00BD2097"/>
    <w:rsid w:val="00BE6C56"/>
    <w:rsid w:val="00C0009C"/>
    <w:rsid w:val="00C25393"/>
    <w:rsid w:val="00C91039"/>
    <w:rsid w:val="00C91BAF"/>
    <w:rsid w:val="00C973E4"/>
    <w:rsid w:val="00CA33D1"/>
    <w:rsid w:val="00CC00A5"/>
    <w:rsid w:val="00CE0F88"/>
    <w:rsid w:val="00CF7EFD"/>
    <w:rsid w:val="00D22889"/>
    <w:rsid w:val="00D3582B"/>
    <w:rsid w:val="00D76C71"/>
    <w:rsid w:val="00D90E3C"/>
    <w:rsid w:val="00DA0F5B"/>
    <w:rsid w:val="00DB7C7A"/>
    <w:rsid w:val="00DC10EC"/>
    <w:rsid w:val="00DE556B"/>
    <w:rsid w:val="00E20909"/>
    <w:rsid w:val="00E22591"/>
    <w:rsid w:val="00E258B2"/>
    <w:rsid w:val="00E8565C"/>
    <w:rsid w:val="00E90764"/>
    <w:rsid w:val="00EA459F"/>
    <w:rsid w:val="00EC04FC"/>
    <w:rsid w:val="00F0471B"/>
    <w:rsid w:val="00F31258"/>
    <w:rsid w:val="00F5668F"/>
    <w:rsid w:val="00F7791F"/>
    <w:rsid w:val="00FA6305"/>
    <w:rsid w:val="00FC060A"/>
    <w:rsid w:val="00FC21F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10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603"/>
  </w:style>
  <w:style w:type="paragraph" w:styleId="Heading1">
    <w:name w:val="heading 1"/>
    <w:basedOn w:val="Normal"/>
    <w:next w:val="Normal"/>
    <w:link w:val="Heading1Char"/>
    <w:uiPriority w:val="9"/>
    <w:qFormat/>
    <w:rsid w:val="00923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603"/>
    <w:rPr>
      <w:rFonts w:eastAsiaTheme="majorEastAsia" w:cstheme="majorBidi"/>
      <w:color w:val="272727" w:themeColor="text1" w:themeTint="D8"/>
    </w:rPr>
  </w:style>
  <w:style w:type="paragraph" w:styleId="Title">
    <w:name w:val="Title"/>
    <w:basedOn w:val="Normal"/>
    <w:next w:val="Normal"/>
    <w:link w:val="TitleChar"/>
    <w:uiPriority w:val="10"/>
    <w:qFormat/>
    <w:rsid w:val="00923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603"/>
    <w:pPr>
      <w:spacing w:before="160"/>
      <w:jc w:val="center"/>
    </w:pPr>
    <w:rPr>
      <w:i/>
      <w:iCs/>
      <w:color w:val="404040" w:themeColor="text1" w:themeTint="BF"/>
    </w:rPr>
  </w:style>
  <w:style w:type="character" w:customStyle="1" w:styleId="QuoteChar">
    <w:name w:val="Quote Char"/>
    <w:basedOn w:val="DefaultParagraphFont"/>
    <w:link w:val="Quote"/>
    <w:uiPriority w:val="29"/>
    <w:rsid w:val="00923603"/>
    <w:rPr>
      <w:i/>
      <w:iCs/>
      <w:color w:val="404040" w:themeColor="text1" w:themeTint="BF"/>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basedOn w:val="Normal"/>
    <w:link w:val="ListParagraphChar"/>
    <w:uiPriority w:val="1"/>
    <w:qFormat/>
    <w:rsid w:val="00923603"/>
    <w:pPr>
      <w:ind w:left="720"/>
      <w:contextualSpacing/>
    </w:pPr>
  </w:style>
  <w:style w:type="character" w:styleId="IntenseEmphasis">
    <w:name w:val="Intense Emphasis"/>
    <w:basedOn w:val="DefaultParagraphFont"/>
    <w:uiPriority w:val="21"/>
    <w:qFormat/>
    <w:rsid w:val="00923603"/>
    <w:rPr>
      <w:i/>
      <w:iCs/>
      <w:color w:val="0F4761" w:themeColor="accent1" w:themeShade="BF"/>
    </w:rPr>
  </w:style>
  <w:style w:type="paragraph" w:styleId="IntenseQuote">
    <w:name w:val="Intense Quote"/>
    <w:basedOn w:val="Normal"/>
    <w:next w:val="Normal"/>
    <w:link w:val="IntenseQuoteChar"/>
    <w:uiPriority w:val="30"/>
    <w:qFormat/>
    <w:rsid w:val="00923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603"/>
    <w:rPr>
      <w:i/>
      <w:iCs/>
      <w:color w:val="0F4761" w:themeColor="accent1" w:themeShade="BF"/>
    </w:rPr>
  </w:style>
  <w:style w:type="character" w:styleId="IntenseReference">
    <w:name w:val="Intense Reference"/>
    <w:basedOn w:val="DefaultParagraphFont"/>
    <w:uiPriority w:val="32"/>
    <w:qFormat/>
    <w:rsid w:val="00923603"/>
    <w:rPr>
      <w:b/>
      <w:bCs/>
      <w:smallCaps/>
      <w:color w:val="0F4761" w:themeColor="accent1" w:themeShade="BF"/>
      <w:spacing w:val="5"/>
    </w:rPr>
  </w:style>
  <w:style w:type="paragraph" w:styleId="Footer">
    <w:name w:val="footer"/>
    <w:basedOn w:val="Normal"/>
    <w:link w:val="FooterChar"/>
    <w:uiPriority w:val="99"/>
    <w:unhideWhenUsed/>
    <w:rsid w:val="00923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60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basedOn w:val="Normal"/>
    <w:link w:val="FootnoteTextChar"/>
    <w:uiPriority w:val="99"/>
    <w:unhideWhenUsed/>
    <w:qFormat/>
    <w:rsid w:val="00923603"/>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923603"/>
    <w:rPr>
      <w:sz w:val="20"/>
      <w:szCs w:val="20"/>
    </w:rPr>
  </w:style>
  <w:style w:type="paragraph" w:styleId="Header">
    <w:name w:val="header"/>
    <w:basedOn w:val="Normal"/>
    <w:link w:val="HeaderChar"/>
    <w:uiPriority w:val="99"/>
    <w:unhideWhenUsed/>
    <w:rsid w:val="00923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603"/>
  </w:style>
  <w:style w:type="character" w:styleId="PageNumber">
    <w:name w:val="page number"/>
    <w:basedOn w:val="DefaultParagraphFont"/>
    <w:rsid w:val="00923603"/>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qFormat/>
    <w:rsid w:val="00923603"/>
    <w:rPr>
      <w:rFonts w:cs="Times New Roman"/>
      <w:vertAlign w:val="superscript"/>
    </w:rPr>
  </w:style>
  <w:style w:type="table" w:styleId="TableGrid">
    <w:name w:val="Table Grid"/>
    <w:basedOn w:val="TableNormal"/>
    <w:uiPriority w:val="39"/>
    <w:rsid w:val="0092360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923603"/>
    <w:pPr>
      <w:spacing w:after="0" w:line="240" w:lineRule="auto"/>
      <w:jc w:val="both"/>
    </w:pPr>
    <w:rPr>
      <w:rFonts w:cs="Times New Roman"/>
      <w:vertAlign w:val="superscript"/>
    </w:rPr>
  </w:style>
  <w:style w:type="paragraph" w:customStyle="1" w:styleId="Char2">
    <w:name w:val="Char2"/>
    <w:basedOn w:val="Normal"/>
    <w:uiPriority w:val="99"/>
    <w:rsid w:val="008F7573"/>
    <w:pPr>
      <w:spacing w:line="240" w:lineRule="exact"/>
    </w:pPr>
    <w:rPr>
      <w:rFonts w:ascii="Times New Roman" w:eastAsia="Arial Unicode MS" w:hAnsi="Times New Roman" w:cs="Times New Roman"/>
      <w:kern w:val="0"/>
      <w:sz w:val="20"/>
      <w:szCs w:val="20"/>
      <w:bdr w:val="nil"/>
      <w:vertAlign w:val="superscript"/>
      <w:lang w:val="es-ES" w:eastAsia="es-ES"/>
    </w:rPr>
  </w:style>
  <w:style w:type="character" w:styleId="Hyperlink">
    <w:name w:val="Hyperlink"/>
    <w:uiPriority w:val="99"/>
    <w:rsid w:val="00245434"/>
    <w:rPr>
      <w:u w:val="single"/>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1"/>
    <w:locked/>
    <w:rsid w:val="00245434"/>
  </w:style>
  <w:style w:type="character" w:customStyle="1" w:styleId="normaltextrun">
    <w:name w:val="normaltextrun"/>
    <w:basedOn w:val="DefaultParagraphFont"/>
    <w:rsid w:val="004B0F5A"/>
  </w:style>
  <w:style w:type="paragraph" w:styleId="Revision">
    <w:name w:val="Revision"/>
    <w:hidden/>
    <w:uiPriority w:val="99"/>
    <w:semiHidden/>
    <w:rsid w:val="005D1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2/CO%201466-08%20Ana%20D%20Ocampo%20y%20familiares%20INAD%20ESP_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6D03C9DF447C39B0DA269EC57C1FC"/>
        <w:category>
          <w:name w:val="General"/>
          <w:gallery w:val="placeholder"/>
        </w:category>
        <w:types>
          <w:type w:val="bbPlcHdr"/>
        </w:types>
        <w:behaviors>
          <w:behavior w:val="content"/>
        </w:behaviors>
        <w:guid w:val="{EE373AB2-8DDC-471A-893F-FB0AED9B0FD4}"/>
      </w:docPartPr>
      <w:docPartBody>
        <w:p w:rsidR="00FB0253" w:rsidRDefault="00866C75" w:rsidP="00866C75">
          <w:pPr>
            <w:pStyle w:val="10A6D03C9DF447C39B0DA269EC57C1F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75"/>
    <w:rsid w:val="001540D4"/>
    <w:rsid w:val="001B3E3F"/>
    <w:rsid w:val="00407838"/>
    <w:rsid w:val="00690FCE"/>
    <w:rsid w:val="006E673E"/>
    <w:rsid w:val="00866C75"/>
    <w:rsid w:val="008E1C73"/>
    <w:rsid w:val="00A266BB"/>
    <w:rsid w:val="00E36A18"/>
    <w:rsid w:val="00FB0253"/>
    <w:rsid w:val="00FC21F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C75"/>
    <w:rPr>
      <w:color w:val="808080"/>
    </w:rPr>
  </w:style>
  <w:style w:type="paragraph" w:customStyle="1" w:styleId="10A6D03C9DF447C39B0DA269EC57C1FC">
    <w:name w:val="10A6D03C9DF447C39B0DA269EC57C1FC"/>
    <w:rsid w:val="00866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F862-14F7-44EC-BAD7-9343915D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2385</Words>
  <Characters>13601</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2025-02-10T19:39:00Z</dcterms:created>
  <dcterms:modified xsi:type="dcterms:W3CDTF">2025-02-10T19:39:00Z</dcterms:modified>
</cp:coreProperties>
</file>