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3EA3" w14:textId="17537D5F" w:rsidR="00072C3D" w:rsidRPr="00072C3D" w:rsidRDefault="00094A5A" w:rsidP="00072C3D">
      <w:pPr>
        <w:pBdr>
          <w:top w:val="nil"/>
          <w:left w:val="nil"/>
          <w:bottom w:val="nil"/>
          <w:right w:val="nil"/>
          <w:between w:val="nil"/>
          <w:bar w:val="nil"/>
        </w:pBdr>
        <w:spacing w:after="0" w:line="240" w:lineRule="auto"/>
        <w:jc w:val="both"/>
        <w:rPr>
          <w:rFonts w:ascii="Cambria" w:eastAsia="Arial Unicode MS" w:hAnsi="Cambria" w:cs="Univers"/>
          <w:b/>
          <w:bCs/>
          <w:kern w:val="0"/>
          <w:sz w:val="22"/>
          <w:szCs w:val="22"/>
          <w:bdr w:val="nil"/>
          <w:lang w:eastAsia="en-US"/>
        </w:rPr>
      </w:pPr>
      <w:r>
        <w:rPr>
          <w:rFonts w:ascii="Cambria" w:eastAsia="Arial Unicode MS" w:hAnsi="Cambria" w:cs="Times New Roman"/>
          <w:noProof/>
          <w:kern w:val="0"/>
          <w:bdr w:val="nil"/>
          <w:lang w:eastAsia="en-US"/>
        </w:rPr>
        <mc:AlternateContent>
          <mc:Choice Requires="wps">
            <w:drawing>
              <wp:anchor distT="0" distB="0" distL="114300" distR="114300" simplePos="0" relativeHeight="251654144" behindDoc="0" locked="0" layoutInCell="1" allowOverlap="1" wp14:anchorId="697F730D" wp14:editId="0DDAA0B2">
                <wp:simplePos x="0" y="0"/>
                <wp:positionH relativeFrom="column">
                  <wp:posOffset>-415925</wp:posOffset>
                </wp:positionH>
                <wp:positionV relativeFrom="paragraph">
                  <wp:posOffset>-266065</wp:posOffset>
                </wp:positionV>
                <wp:extent cx="1409700" cy="8609965"/>
                <wp:effectExtent l="0" t="0" r="0" b="0"/>
                <wp:wrapNone/>
                <wp:docPr id="5497869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60996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2940120" id="Rectangle 8" o:spid="_x0000_s1026" style="position:absolute;margin-left:-32.75pt;margin-top:-20.95pt;width:111pt;height:67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" fillcolor="#67ae3c" stroked="f" strokeweight="1pt"/>
            </w:pict>
          </mc:Fallback>
        </mc:AlternateContent>
      </w:r>
      <w:r>
        <w:rPr>
          <w:rFonts w:ascii="Cambria" w:eastAsia="Arial Unicode MS" w:hAnsi="Cambria" w:cs="Times New Roman"/>
          <w:noProof/>
          <w:kern w:val="0"/>
          <w:bdr w:val="nil"/>
          <w:lang w:eastAsia="en-US"/>
        </w:rPr>
        <mc:AlternateContent>
          <mc:Choice Requires="wps">
            <w:drawing>
              <wp:anchor distT="0" distB="0" distL="114300" distR="114300" simplePos="0" relativeHeight="251658240" behindDoc="0" locked="0" layoutInCell="1" allowOverlap="1" wp14:anchorId="596DA29F" wp14:editId="140BD4B6">
                <wp:simplePos x="0" y="0"/>
                <wp:positionH relativeFrom="column">
                  <wp:posOffset>1143000</wp:posOffset>
                </wp:positionH>
                <wp:positionV relativeFrom="paragraph">
                  <wp:posOffset>-371475</wp:posOffset>
                </wp:positionV>
                <wp:extent cx="4486275" cy="752475"/>
                <wp:effectExtent l="0" t="0" r="0" b="0"/>
                <wp:wrapNone/>
                <wp:docPr id="13643999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1CDF7" w14:textId="77777777" w:rsidR="00072C3D" w:rsidRPr="00723329" w:rsidRDefault="00072C3D" w:rsidP="00072C3D">
                            <w:r w:rsidRPr="00723329">
                              <w:rPr>
                                <w:noProof/>
                              </w:rPr>
                              <w:drawing>
                                <wp:inline distT="0" distB="0" distL="0" distR="0" wp14:anchorId="6B6C7031" wp14:editId="3A18F71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Pr="007233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DA29F" id="_x0000_t202" coordsize="21600,21600" o:spt="202" path="m,l,21600r21600,l21600,xe">
                <v:stroke joinstyle="miter"/>
                <v:path gradientshapeok="t" o:connecttype="rect"/>
              </v:shapetype>
              <v:shape id="Text Box 7"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4B11CDF7" w14:textId="77777777" w:rsidR="00072C3D" w:rsidRPr="00723329" w:rsidRDefault="00072C3D" w:rsidP="00072C3D">
                      <w:r w:rsidRPr="00723329">
                        <w:rPr>
                          <w:noProof/>
                        </w:rPr>
                        <w:drawing>
                          <wp:inline distT="0" distB="0" distL="0" distR="0" wp14:anchorId="6B6C7031" wp14:editId="3A18F71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Pr="00723329">
                        <w:t xml:space="preserve">                                               </w:t>
                      </w:r>
                    </w:p>
                  </w:txbxContent>
                </v:textbox>
              </v:shape>
            </w:pict>
          </mc:Fallback>
        </mc:AlternateContent>
      </w:r>
    </w:p>
    <w:p w14:paraId="631DD0F3"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09E5DD09"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525D652E"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63FF776A"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5A951850"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24D2AA1A"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40D476A5"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1D8718F"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578937B7"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462B4D3C"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063EC3E7"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0EE24E0"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B096271"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2126450" w14:textId="169DA114" w:rsidR="00072C3D" w:rsidRPr="00072C3D" w:rsidRDefault="00094A5A"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55168" behindDoc="0" locked="0" layoutInCell="1" allowOverlap="1" wp14:anchorId="5E0492FD" wp14:editId="55541B06">
                <wp:simplePos x="0" y="0"/>
                <wp:positionH relativeFrom="column">
                  <wp:posOffset>1209675</wp:posOffset>
                </wp:positionH>
                <wp:positionV relativeFrom="paragraph">
                  <wp:posOffset>79375</wp:posOffset>
                </wp:positionV>
                <wp:extent cx="4333875" cy="2350770"/>
                <wp:effectExtent l="0" t="0" r="0" b="0"/>
                <wp:wrapNone/>
                <wp:docPr id="11752883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B3D56" w14:textId="043E2F4E" w:rsidR="00072C3D" w:rsidRPr="00723329" w:rsidRDefault="00072C3D" w:rsidP="00D16705">
                            <w:pPr>
                              <w:spacing w:after="0" w:line="240"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REPORT No. </w:t>
                            </w:r>
                            <w:r w:rsidR="00A23A93">
                              <w:rPr>
                                <w:rFonts w:ascii="Cambria" w:hAnsi="Cambria" w:cstheme="majorBidi"/>
                                <w:b/>
                                <w:bCs/>
                                <w:color w:val="0D0D0D" w:themeColor="text1" w:themeTint="F2"/>
                                <w:sz w:val="36"/>
                                <w:szCs w:val="40"/>
                              </w:rPr>
                              <w:t>212</w:t>
                            </w:r>
                            <w:r w:rsidRPr="00723329">
                              <w:rPr>
                                <w:rFonts w:ascii="Cambria" w:hAnsi="Cambria" w:cstheme="majorBidi"/>
                                <w:b/>
                                <w:bCs/>
                                <w:color w:val="0D0D0D" w:themeColor="text1" w:themeTint="F2"/>
                                <w:sz w:val="36"/>
                                <w:szCs w:val="40"/>
                              </w:rPr>
                              <w:t>/24</w:t>
                            </w:r>
                          </w:p>
                          <w:p w14:paraId="11FCF73E" w14:textId="55AD2A93" w:rsidR="00072C3D" w:rsidRPr="00723329" w:rsidRDefault="00072C3D" w:rsidP="00D16705">
                            <w:pPr>
                              <w:spacing w:after="0" w:line="240"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PETITION </w:t>
                            </w:r>
                            <w:r w:rsidR="002670A9" w:rsidRPr="00723329">
                              <w:rPr>
                                <w:rFonts w:ascii="Cambria" w:hAnsi="Cambria" w:cstheme="majorBidi"/>
                                <w:b/>
                                <w:bCs/>
                                <w:color w:val="0D0D0D" w:themeColor="text1" w:themeTint="F2"/>
                                <w:sz w:val="36"/>
                                <w:szCs w:val="40"/>
                              </w:rPr>
                              <w:t>2040</w:t>
                            </w:r>
                            <w:r w:rsidRPr="00723329">
                              <w:rPr>
                                <w:rFonts w:ascii="Cambria" w:hAnsi="Cambria" w:cstheme="majorBidi"/>
                                <w:b/>
                                <w:bCs/>
                                <w:color w:val="0D0D0D" w:themeColor="text1" w:themeTint="F2"/>
                                <w:sz w:val="36"/>
                                <w:szCs w:val="40"/>
                              </w:rPr>
                              <w:t>-1</w:t>
                            </w:r>
                            <w:r w:rsidR="002670A9" w:rsidRPr="00723329">
                              <w:rPr>
                                <w:rFonts w:ascii="Cambria" w:hAnsi="Cambria" w:cstheme="majorBidi"/>
                                <w:b/>
                                <w:bCs/>
                                <w:color w:val="0D0D0D" w:themeColor="text1" w:themeTint="F2"/>
                                <w:sz w:val="36"/>
                                <w:szCs w:val="40"/>
                              </w:rPr>
                              <w:t>3</w:t>
                            </w:r>
                          </w:p>
                          <w:p w14:paraId="30A5C7B0" w14:textId="058B4CA9" w:rsidR="00072C3D" w:rsidRPr="00723329" w:rsidRDefault="00072C3D" w:rsidP="00D16705">
                            <w:pPr>
                              <w:spacing w:after="0" w:line="240" w:lineRule="auto"/>
                              <w:rPr>
                                <w:rFonts w:ascii="Cambria" w:hAnsi="Cambria" w:cstheme="majorBidi"/>
                                <w:color w:val="0D0D0D" w:themeColor="text1" w:themeTint="F2"/>
                                <w:szCs w:val="22"/>
                              </w:rPr>
                            </w:pPr>
                            <w:r w:rsidRPr="00723329">
                              <w:rPr>
                                <w:rFonts w:ascii="Cambria" w:hAnsi="Cambria" w:cstheme="majorBidi"/>
                                <w:color w:val="0D0D0D" w:themeColor="text1" w:themeTint="F2"/>
                                <w:szCs w:val="22"/>
                              </w:rPr>
                              <w:t xml:space="preserve">REPORT ON </w:t>
                            </w:r>
                            <w:r w:rsidR="003F6921" w:rsidRPr="00723329">
                              <w:rPr>
                                <w:rFonts w:ascii="Cambria" w:hAnsi="Cambria" w:cstheme="majorBidi"/>
                                <w:color w:val="0D0D0D" w:themeColor="text1" w:themeTint="F2"/>
                                <w:szCs w:val="22"/>
                              </w:rPr>
                              <w:t>IN</w:t>
                            </w:r>
                            <w:r w:rsidRPr="00723329">
                              <w:rPr>
                                <w:rFonts w:ascii="Cambria" w:hAnsi="Cambria" w:cstheme="majorBidi"/>
                                <w:color w:val="0D0D0D" w:themeColor="text1" w:themeTint="F2"/>
                                <w:szCs w:val="22"/>
                              </w:rPr>
                              <w:t xml:space="preserve">ADMISSIBILITY </w:t>
                            </w:r>
                          </w:p>
                          <w:p w14:paraId="62EA6D52" w14:textId="77777777" w:rsidR="00072C3D" w:rsidRPr="00723329" w:rsidRDefault="00072C3D" w:rsidP="00072C3D">
                            <w:pPr>
                              <w:spacing w:line="276" w:lineRule="auto"/>
                              <w:rPr>
                                <w:rFonts w:ascii="Cambria" w:hAnsi="Cambria" w:cstheme="majorBidi"/>
                                <w:color w:val="0D0D0D" w:themeColor="text1" w:themeTint="F2"/>
                                <w:szCs w:val="22"/>
                              </w:rPr>
                            </w:pPr>
                          </w:p>
                          <w:p w14:paraId="0EAC3C33" w14:textId="7E5A229A" w:rsidR="00191173" w:rsidRPr="00723329" w:rsidRDefault="00191173" w:rsidP="00191173">
                            <w:pPr>
                              <w:spacing w:after="0" w:line="276" w:lineRule="auto"/>
                              <w:rPr>
                                <w:rFonts w:ascii="Cambria" w:hAnsi="Cambria" w:cstheme="majorBidi"/>
                                <w:bCs/>
                                <w:color w:val="0D0D0D" w:themeColor="text1" w:themeTint="F2"/>
                                <w:szCs w:val="22"/>
                              </w:rPr>
                            </w:pPr>
                            <w:r w:rsidRPr="00723329">
                              <w:rPr>
                                <w:rFonts w:ascii="Cambria" w:hAnsi="Cambria" w:cstheme="majorBidi"/>
                                <w:bCs/>
                                <w:color w:val="0D0D0D" w:themeColor="text1" w:themeTint="F2"/>
                                <w:szCs w:val="22"/>
                              </w:rPr>
                              <w:t xml:space="preserve">DEY GERMÁN VILLAREAL CADENA </w:t>
                            </w:r>
                            <w:r w:rsidR="00312787">
                              <w:rPr>
                                <w:rFonts w:ascii="Cambria" w:hAnsi="Cambria" w:cstheme="majorBidi"/>
                                <w:bCs/>
                                <w:color w:val="0D0D0D" w:themeColor="text1" w:themeTint="F2"/>
                                <w:szCs w:val="22"/>
                              </w:rPr>
                              <w:t xml:space="preserve">AND FAMILY MEMBERS </w:t>
                            </w:r>
                          </w:p>
                          <w:p w14:paraId="435F4058" w14:textId="557DC1F3" w:rsidR="00072C3D" w:rsidRPr="00723329" w:rsidRDefault="00191173" w:rsidP="00191173">
                            <w:pPr>
                              <w:spacing w:after="0" w:line="276" w:lineRule="auto"/>
                              <w:rPr>
                                <w:rFonts w:asciiTheme="majorHAnsi" w:hAnsiTheme="majorHAnsi"/>
                                <w:color w:val="0D0D0D" w:themeColor="text1" w:themeTint="F2"/>
                              </w:rPr>
                            </w:pPr>
                            <w:r w:rsidRPr="00723329">
                              <w:rPr>
                                <w:rFonts w:ascii="Cambria" w:hAnsi="Cambria" w:cstheme="majorBidi"/>
                                <w:bCs/>
                                <w:color w:val="0D0D0D" w:themeColor="text1" w:themeTint="F2"/>
                                <w:szCs w:val="22"/>
                              </w:rPr>
                              <w:t>COLOMBIA</w:t>
                            </w:r>
                          </w:p>
                          <w:p w14:paraId="38343C06" w14:textId="77777777" w:rsidR="00072C3D" w:rsidRPr="00723329" w:rsidRDefault="00072C3D" w:rsidP="00072C3D">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92FD" id="Text Box 6"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T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UeW07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0VPE30C&#10;AABeBQAADgAAAAAAAAAAAAAAAAAuAgAAZHJzL2Uyb0RvYy54bWxQSwECLQAUAAYACAAAACEA6rKH&#10;/eEAAAAKAQAADwAAAAAAAAAAAAAAAADXBAAAZHJzL2Rvd25yZXYueG1sUEsFBgAAAAAEAAQA8wAA&#10;AOUFAAAAAA==&#10;" filled="f" stroked="f" strokeweight=".5pt">
                <v:textbox>
                  <w:txbxContent>
                    <w:p w14:paraId="6ACB3D56" w14:textId="043E2F4E" w:rsidR="00072C3D" w:rsidRPr="00723329" w:rsidRDefault="00072C3D" w:rsidP="00D16705">
                      <w:pPr>
                        <w:spacing w:after="0" w:line="240"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REPORT No. </w:t>
                      </w:r>
                      <w:r w:rsidR="00A23A93">
                        <w:rPr>
                          <w:rFonts w:ascii="Cambria" w:hAnsi="Cambria" w:cstheme="majorBidi"/>
                          <w:b/>
                          <w:bCs/>
                          <w:color w:val="0D0D0D" w:themeColor="text1" w:themeTint="F2"/>
                          <w:sz w:val="36"/>
                          <w:szCs w:val="40"/>
                        </w:rPr>
                        <w:t>212</w:t>
                      </w:r>
                      <w:r w:rsidRPr="00723329">
                        <w:rPr>
                          <w:rFonts w:ascii="Cambria" w:hAnsi="Cambria" w:cstheme="majorBidi"/>
                          <w:b/>
                          <w:bCs/>
                          <w:color w:val="0D0D0D" w:themeColor="text1" w:themeTint="F2"/>
                          <w:sz w:val="36"/>
                          <w:szCs w:val="40"/>
                        </w:rPr>
                        <w:t>/24</w:t>
                      </w:r>
                    </w:p>
                    <w:p w14:paraId="11FCF73E" w14:textId="55AD2A93" w:rsidR="00072C3D" w:rsidRPr="00723329" w:rsidRDefault="00072C3D" w:rsidP="00D16705">
                      <w:pPr>
                        <w:spacing w:after="0" w:line="240"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PETITION </w:t>
                      </w:r>
                      <w:r w:rsidR="002670A9" w:rsidRPr="00723329">
                        <w:rPr>
                          <w:rFonts w:ascii="Cambria" w:hAnsi="Cambria" w:cstheme="majorBidi"/>
                          <w:b/>
                          <w:bCs/>
                          <w:color w:val="0D0D0D" w:themeColor="text1" w:themeTint="F2"/>
                          <w:sz w:val="36"/>
                          <w:szCs w:val="40"/>
                        </w:rPr>
                        <w:t>2040</w:t>
                      </w:r>
                      <w:r w:rsidRPr="00723329">
                        <w:rPr>
                          <w:rFonts w:ascii="Cambria" w:hAnsi="Cambria" w:cstheme="majorBidi"/>
                          <w:b/>
                          <w:bCs/>
                          <w:color w:val="0D0D0D" w:themeColor="text1" w:themeTint="F2"/>
                          <w:sz w:val="36"/>
                          <w:szCs w:val="40"/>
                        </w:rPr>
                        <w:t>-1</w:t>
                      </w:r>
                      <w:r w:rsidR="002670A9" w:rsidRPr="00723329">
                        <w:rPr>
                          <w:rFonts w:ascii="Cambria" w:hAnsi="Cambria" w:cstheme="majorBidi"/>
                          <w:b/>
                          <w:bCs/>
                          <w:color w:val="0D0D0D" w:themeColor="text1" w:themeTint="F2"/>
                          <w:sz w:val="36"/>
                          <w:szCs w:val="40"/>
                        </w:rPr>
                        <w:t>3</w:t>
                      </w:r>
                    </w:p>
                    <w:p w14:paraId="30A5C7B0" w14:textId="058B4CA9" w:rsidR="00072C3D" w:rsidRPr="00723329" w:rsidRDefault="00072C3D" w:rsidP="00D16705">
                      <w:pPr>
                        <w:spacing w:after="0" w:line="240" w:lineRule="auto"/>
                        <w:rPr>
                          <w:rFonts w:ascii="Cambria" w:hAnsi="Cambria" w:cstheme="majorBidi"/>
                          <w:color w:val="0D0D0D" w:themeColor="text1" w:themeTint="F2"/>
                          <w:szCs w:val="22"/>
                        </w:rPr>
                      </w:pPr>
                      <w:r w:rsidRPr="00723329">
                        <w:rPr>
                          <w:rFonts w:ascii="Cambria" w:hAnsi="Cambria" w:cstheme="majorBidi"/>
                          <w:color w:val="0D0D0D" w:themeColor="text1" w:themeTint="F2"/>
                          <w:szCs w:val="22"/>
                        </w:rPr>
                        <w:t xml:space="preserve">REPORT ON </w:t>
                      </w:r>
                      <w:r w:rsidR="003F6921" w:rsidRPr="00723329">
                        <w:rPr>
                          <w:rFonts w:ascii="Cambria" w:hAnsi="Cambria" w:cstheme="majorBidi"/>
                          <w:color w:val="0D0D0D" w:themeColor="text1" w:themeTint="F2"/>
                          <w:szCs w:val="22"/>
                        </w:rPr>
                        <w:t>IN</w:t>
                      </w:r>
                      <w:r w:rsidRPr="00723329">
                        <w:rPr>
                          <w:rFonts w:ascii="Cambria" w:hAnsi="Cambria" w:cstheme="majorBidi"/>
                          <w:color w:val="0D0D0D" w:themeColor="text1" w:themeTint="F2"/>
                          <w:szCs w:val="22"/>
                        </w:rPr>
                        <w:t xml:space="preserve">ADMISSIBILITY </w:t>
                      </w:r>
                    </w:p>
                    <w:p w14:paraId="62EA6D52" w14:textId="77777777" w:rsidR="00072C3D" w:rsidRPr="00723329" w:rsidRDefault="00072C3D" w:rsidP="00072C3D">
                      <w:pPr>
                        <w:spacing w:line="276" w:lineRule="auto"/>
                        <w:rPr>
                          <w:rFonts w:ascii="Cambria" w:hAnsi="Cambria" w:cstheme="majorBidi"/>
                          <w:color w:val="0D0D0D" w:themeColor="text1" w:themeTint="F2"/>
                          <w:szCs w:val="22"/>
                        </w:rPr>
                      </w:pPr>
                    </w:p>
                    <w:p w14:paraId="0EAC3C33" w14:textId="7E5A229A" w:rsidR="00191173" w:rsidRPr="00723329" w:rsidRDefault="00191173" w:rsidP="00191173">
                      <w:pPr>
                        <w:spacing w:after="0" w:line="276" w:lineRule="auto"/>
                        <w:rPr>
                          <w:rFonts w:ascii="Cambria" w:hAnsi="Cambria" w:cstheme="majorBidi"/>
                          <w:bCs/>
                          <w:color w:val="0D0D0D" w:themeColor="text1" w:themeTint="F2"/>
                          <w:szCs w:val="22"/>
                        </w:rPr>
                      </w:pPr>
                      <w:r w:rsidRPr="00723329">
                        <w:rPr>
                          <w:rFonts w:ascii="Cambria" w:hAnsi="Cambria" w:cstheme="majorBidi"/>
                          <w:bCs/>
                          <w:color w:val="0D0D0D" w:themeColor="text1" w:themeTint="F2"/>
                          <w:szCs w:val="22"/>
                        </w:rPr>
                        <w:t xml:space="preserve">DEY GERMÁN VILLAREAL CADENA </w:t>
                      </w:r>
                      <w:r w:rsidR="00312787">
                        <w:rPr>
                          <w:rFonts w:ascii="Cambria" w:hAnsi="Cambria" w:cstheme="majorBidi"/>
                          <w:bCs/>
                          <w:color w:val="0D0D0D" w:themeColor="text1" w:themeTint="F2"/>
                          <w:szCs w:val="22"/>
                        </w:rPr>
                        <w:t xml:space="preserve">AND FAMILY MEMBERS </w:t>
                      </w:r>
                    </w:p>
                    <w:p w14:paraId="435F4058" w14:textId="557DC1F3" w:rsidR="00072C3D" w:rsidRPr="00723329" w:rsidRDefault="00191173" w:rsidP="00191173">
                      <w:pPr>
                        <w:spacing w:after="0" w:line="276" w:lineRule="auto"/>
                        <w:rPr>
                          <w:rFonts w:asciiTheme="majorHAnsi" w:hAnsiTheme="majorHAnsi"/>
                          <w:color w:val="0D0D0D" w:themeColor="text1" w:themeTint="F2"/>
                        </w:rPr>
                      </w:pPr>
                      <w:r w:rsidRPr="00723329">
                        <w:rPr>
                          <w:rFonts w:ascii="Cambria" w:hAnsi="Cambria" w:cstheme="majorBidi"/>
                          <w:bCs/>
                          <w:color w:val="0D0D0D" w:themeColor="text1" w:themeTint="F2"/>
                          <w:szCs w:val="22"/>
                        </w:rPr>
                        <w:t>COLOMBIA</w:t>
                      </w:r>
                    </w:p>
                    <w:p w14:paraId="38343C06" w14:textId="77777777" w:rsidR="00072C3D" w:rsidRPr="00723329" w:rsidRDefault="00072C3D" w:rsidP="00072C3D">
                      <w:pPr>
                        <w:spacing w:line="276" w:lineRule="auto"/>
                        <w:rPr>
                          <w:rFonts w:asciiTheme="majorHAnsi" w:hAnsiTheme="majorHAnsi"/>
                          <w:color w:val="0D0D0D" w:themeColor="text1" w:themeTint="F2"/>
                        </w:rPr>
                      </w:pPr>
                    </w:p>
                  </w:txbxContent>
                </v:textbox>
              </v:shape>
            </w:pict>
          </mc:Fallback>
        </mc:AlternateContent>
      </w:r>
      <w:r>
        <w:rPr>
          <w:rFonts w:ascii="Cambria" w:eastAsia="Arial Unicode MS" w:hAnsi="Cambria" w:cstheme="majorBidi"/>
          <w:noProof/>
          <w:kern w:val="0"/>
          <w:bdr w:val="nil"/>
          <w:lang w:eastAsia="en-US"/>
        </w:rPr>
        <mc:AlternateContent>
          <mc:Choice Requires="wps">
            <w:drawing>
              <wp:anchor distT="0" distB="0" distL="114300" distR="114300" simplePos="0" relativeHeight="251657216" behindDoc="0" locked="0" layoutInCell="1" allowOverlap="1" wp14:anchorId="7087DCF5" wp14:editId="563ED919">
                <wp:simplePos x="0" y="0"/>
                <wp:positionH relativeFrom="column">
                  <wp:posOffset>-371475</wp:posOffset>
                </wp:positionH>
                <wp:positionV relativeFrom="paragraph">
                  <wp:posOffset>127000</wp:posOffset>
                </wp:positionV>
                <wp:extent cx="1334135" cy="1377315"/>
                <wp:effectExtent l="0" t="0" r="0" b="0"/>
                <wp:wrapNone/>
                <wp:docPr id="4741478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53784" w14:textId="60A98772" w:rsidR="00072C3D" w:rsidRPr="00553DD6" w:rsidRDefault="00072C3D" w:rsidP="00553DD6">
                            <w:pPr>
                              <w:spacing w:after="0" w:line="240" w:lineRule="auto"/>
                              <w:jc w:val="right"/>
                              <w:rPr>
                                <w:rFonts w:ascii="Calibri" w:hAnsi="Calibri" w:cs="Calibri"/>
                                <w:color w:val="FFFFFF" w:themeColor="background1"/>
                                <w:sz w:val="22"/>
                                <w:lang w:val="pt-BR"/>
                              </w:rPr>
                            </w:pPr>
                            <w:r w:rsidRPr="00553DD6">
                              <w:rPr>
                                <w:rFonts w:ascii="Calibri" w:hAnsi="Calibri" w:cs="Calibri"/>
                                <w:color w:val="FFFFFF" w:themeColor="background1"/>
                                <w:sz w:val="22"/>
                                <w:lang w:val="pt-BR"/>
                              </w:rPr>
                              <w:t>OAS/Ser.L/V/II</w:t>
                            </w:r>
                          </w:p>
                          <w:p w14:paraId="739FBF55" w14:textId="278DB8CC" w:rsidR="00072C3D" w:rsidRPr="00CD2D2E" w:rsidRDefault="00072C3D" w:rsidP="00553DD6">
                            <w:pPr>
                              <w:spacing w:after="0" w:line="240" w:lineRule="auto"/>
                              <w:jc w:val="right"/>
                              <w:rPr>
                                <w:rFonts w:ascii="Calibri" w:hAnsi="Calibri" w:cs="Calibri"/>
                                <w:color w:val="FFFFFF" w:themeColor="background1"/>
                                <w:sz w:val="22"/>
                                <w:lang w:val="pt-BR"/>
                              </w:rPr>
                            </w:pPr>
                            <w:r w:rsidRPr="00CD2D2E">
                              <w:rPr>
                                <w:rFonts w:ascii="Calibri" w:hAnsi="Calibri" w:cs="Calibri"/>
                                <w:color w:val="FFFFFF" w:themeColor="background1"/>
                                <w:sz w:val="22"/>
                                <w:lang w:val="pt-BR"/>
                              </w:rPr>
                              <w:t xml:space="preserve">Doc. </w:t>
                            </w:r>
                            <w:r w:rsidR="00A23A93" w:rsidRPr="00CD2D2E">
                              <w:rPr>
                                <w:rFonts w:ascii="Calibri" w:hAnsi="Calibri" w:cs="Calibri"/>
                                <w:color w:val="FFFFFF" w:themeColor="background1"/>
                                <w:sz w:val="22"/>
                                <w:lang w:val="pt-BR"/>
                              </w:rPr>
                              <w:t>221</w:t>
                            </w:r>
                          </w:p>
                          <w:p w14:paraId="527C0DCC" w14:textId="1B1E606A" w:rsidR="00072C3D" w:rsidRPr="00553DD6" w:rsidRDefault="00A23A93" w:rsidP="00553DD6">
                            <w:pPr>
                              <w:spacing w:after="0" w:line="240" w:lineRule="auto"/>
                              <w:jc w:val="right"/>
                              <w:rPr>
                                <w:rFonts w:ascii="Calibri" w:hAnsi="Calibri" w:cs="Calibri"/>
                                <w:color w:val="FFFFFF" w:themeColor="background1"/>
                                <w:sz w:val="22"/>
                              </w:rPr>
                            </w:pPr>
                            <w:r>
                              <w:rPr>
                                <w:rFonts w:ascii="Calibri" w:hAnsi="Calibri" w:cs="Calibri"/>
                                <w:color w:val="FFFFFF" w:themeColor="background1"/>
                                <w:sz w:val="22"/>
                              </w:rPr>
                              <w:t>19 November</w:t>
                            </w:r>
                            <w:r w:rsidR="00072C3D" w:rsidRPr="00553DD6">
                              <w:rPr>
                                <w:rFonts w:ascii="Calibri" w:hAnsi="Calibri" w:cs="Calibri"/>
                                <w:color w:val="FFFFFF" w:themeColor="background1"/>
                                <w:sz w:val="22"/>
                              </w:rPr>
                              <w:t xml:space="preserve"> 2024</w:t>
                            </w:r>
                          </w:p>
                          <w:p w14:paraId="7C2A36EE" w14:textId="77777777" w:rsidR="00072C3D" w:rsidRPr="00553DD6" w:rsidRDefault="00072C3D" w:rsidP="00553DD6">
                            <w:pPr>
                              <w:spacing w:after="0" w:line="240" w:lineRule="auto"/>
                              <w:jc w:val="right"/>
                              <w:rPr>
                                <w:rFonts w:ascii="Calibri" w:hAnsi="Calibri" w:cs="Calibri"/>
                                <w:color w:val="FFFFFF" w:themeColor="background1"/>
                                <w:sz w:val="22"/>
                              </w:rPr>
                            </w:pPr>
                            <w:r w:rsidRPr="00553DD6">
                              <w:rPr>
                                <w:rFonts w:ascii="Calibri" w:hAnsi="Calibri" w:cs="Calibr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DCF5" id="Text Box 5"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" filled="f" stroked="f" strokeweight=".5pt">
                <v:textbox>
                  <w:txbxContent>
                    <w:p w14:paraId="6B353784" w14:textId="60A98772" w:rsidR="00072C3D" w:rsidRPr="00553DD6" w:rsidRDefault="00072C3D" w:rsidP="00553DD6">
                      <w:pPr>
                        <w:spacing w:after="0" w:line="240" w:lineRule="auto"/>
                        <w:jc w:val="right"/>
                        <w:rPr>
                          <w:rFonts w:ascii="Calibri" w:hAnsi="Calibri" w:cs="Calibri"/>
                          <w:color w:val="FFFFFF" w:themeColor="background1"/>
                          <w:sz w:val="22"/>
                          <w:lang w:val="pt-BR"/>
                        </w:rPr>
                      </w:pPr>
                      <w:r w:rsidRPr="00553DD6">
                        <w:rPr>
                          <w:rFonts w:ascii="Calibri" w:hAnsi="Calibri" w:cs="Calibri"/>
                          <w:color w:val="FFFFFF" w:themeColor="background1"/>
                          <w:sz w:val="22"/>
                          <w:lang w:val="pt-BR"/>
                        </w:rPr>
                        <w:t>OAS/Ser.L/V/II</w:t>
                      </w:r>
                    </w:p>
                    <w:p w14:paraId="739FBF55" w14:textId="278DB8CC" w:rsidR="00072C3D" w:rsidRPr="00CD2D2E" w:rsidRDefault="00072C3D" w:rsidP="00553DD6">
                      <w:pPr>
                        <w:spacing w:after="0" w:line="240" w:lineRule="auto"/>
                        <w:jc w:val="right"/>
                        <w:rPr>
                          <w:rFonts w:ascii="Calibri" w:hAnsi="Calibri" w:cs="Calibri"/>
                          <w:color w:val="FFFFFF" w:themeColor="background1"/>
                          <w:sz w:val="22"/>
                          <w:lang w:val="pt-BR"/>
                        </w:rPr>
                      </w:pPr>
                      <w:r w:rsidRPr="00CD2D2E">
                        <w:rPr>
                          <w:rFonts w:ascii="Calibri" w:hAnsi="Calibri" w:cs="Calibri"/>
                          <w:color w:val="FFFFFF" w:themeColor="background1"/>
                          <w:sz w:val="22"/>
                          <w:lang w:val="pt-BR"/>
                        </w:rPr>
                        <w:t xml:space="preserve">Doc. </w:t>
                      </w:r>
                      <w:r w:rsidR="00A23A93" w:rsidRPr="00CD2D2E">
                        <w:rPr>
                          <w:rFonts w:ascii="Calibri" w:hAnsi="Calibri" w:cs="Calibri"/>
                          <w:color w:val="FFFFFF" w:themeColor="background1"/>
                          <w:sz w:val="22"/>
                          <w:lang w:val="pt-BR"/>
                        </w:rPr>
                        <w:t>221</w:t>
                      </w:r>
                    </w:p>
                    <w:p w14:paraId="527C0DCC" w14:textId="1B1E606A" w:rsidR="00072C3D" w:rsidRPr="00553DD6" w:rsidRDefault="00A23A93" w:rsidP="00553DD6">
                      <w:pPr>
                        <w:spacing w:after="0" w:line="240" w:lineRule="auto"/>
                        <w:jc w:val="right"/>
                        <w:rPr>
                          <w:rFonts w:ascii="Calibri" w:hAnsi="Calibri" w:cs="Calibri"/>
                          <w:color w:val="FFFFFF" w:themeColor="background1"/>
                          <w:sz w:val="22"/>
                        </w:rPr>
                      </w:pPr>
                      <w:r>
                        <w:rPr>
                          <w:rFonts w:ascii="Calibri" w:hAnsi="Calibri" w:cs="Calibri"/>
                          <w:color w:val="FFFFFF" w:themeColor="background1"/>
                          <w:sz w:val="22"/>
                        </w:rPr>
                        <w:t>19 November</w:t>
                      </w:r>
                      <w:r w:rsidR="00072C3D" w:rsidRPr="00553DD6">
                        <w:rPr>
                          <w:rFonts w:ascii="Calibri" w:hAnsi="Calibri" w:cs="Calibri"/>
                          <w:color w:val="FFFFFF" w:themeColor="background1"/>
                          <w:sz w:val="22"/>
                        </w:rPr>
                        <w:t xml:space="preserve"> 2024</w:t>
                      </w:r>
                    </w:p>
                    <w:p w14:paraId="7C2A36EE" w14:textId="77777777" w:rsidR="00072C3D" w:rsidRPr="00553DD6" w:rsidRDefault="00072C3D" w:rsidP="00553DD6">
                      <w:pPr>
                        <w:spacing w:after="0" w:line="240" w:lineRule="auto"/>
                        <w:jc w:val="right"/>
                        <w:rPr>
                          <w:rFonts w:ascii="Calibri" w:hAnsi="Calibri" w:cs="Calibri"/>
                          <w:color w:val="FFFFFF" w:themeColor="background1"/>
                          <w:sz w:val="22"/>
                        </w:rPr>
                      </w:pPr>
                      <w:r w:rsidRPr="00553DD6">
                        <w:rPr>
                          <w:rFonts w:ascii="Calibri" w:hAnsi="Calibri" w:cs="Calibri"/>
                          <w:color w:val="FFFFFF" w:themeColor="background1"/>
                          <w:sz w:val="22"/>
                        </w:rPr>
                        <w:t>Original: Spanish</w:t>
                      </w:r>
                    </w:p>
                  </w:txbxContent>
                </v:textbox>
              </v:shape>
            </w:pict>
          </mc:Fallback>
        </mc:AlternateContent>
      </w:r>
    </w:p>
    <w:p w14:paraId="469F340B"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649C61E3"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E641DC6"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1D72CBE"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6DC3981"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9970AD0"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3286BEA1"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64C0412"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D4521B8"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02B815C"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600E8761"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286C6FBA"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63070417"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1F34D82D"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955E674"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F76BB24"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08F64D77"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C068B98"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2263D5B"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00C9EB5"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F3146A5"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06FE6F5"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FFC15A1"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4D6860D"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4E15BEA"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4900CE0" w14:textId="6E0D86EF" w:rsidR="00072C3D" w:rsidRPr="00072C3D" w:rsidRDefault="00094A5A"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56192" behindDoc="0" locked="0" layoutInCell="1" allowOverlap="1" wp14:anchorId="2734962C" wp14:editId="28A8C801">
                <wp:simplePos x="0" y="0"/>
                <wp:positionH relativeFrom="column">
                  <wp:posOffset>1202690</wp:posOffset>
                </wp:positionH>
                <wp:positionV relativeFrom="paragraph">
                  <wp:posOffset>57150</wp:posOffset>
                </wp:positionV>
                <wp:extent cx="4595495" cy="695325"/>
                <wp:effectExtent l="0" t="0" r="0" b="0"/>
                <wp:wrapNone/>
                <wp:docPr id="19603366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7BCD4" w14:textId="5EBAD199" w:rsidR="00072C3D" w:rsidRPr="00723329" w:rsidRDefault="00A23A93" w:rsidP="00072C3D">
                            <w:pPr>
                              <w:tabs>
                                <w:tab w:val="center" w:pos="5400"/>
                              </w:tabs>
                              <w:suppressAutoHyphens/>
                              <w:spacing w:before="60"/>
                              <w:rPr>
                                <w:rFonts w:asciiTheme="majorHAnsi" w:hAnsiTheme="majorHAnsi"/>
                                <w:color w:val="0D0D0D" w:themeColor="text1" w:themeTint="F2"/>
                                <w:sz w:val="18"/>
                                <w:szCs w:val="22"/>
                              </w:rPr>
                            </w:pPr>
                            <w:r>
                              <w:rPr>
                                <w:rFonts w:ascii="Cambria" w:hAnsi="Cambria"/>
                                <w:color w:val="0D0D0D" w:themeColor="text1" w:themeTint="F2"/>
                                <w:sz w:val="18"/>
                                <w:szCs w:val="22"/>
                              </w:rPr>
                              <w:t>A</w:t>
                            </w:r>
                            <w:r w:rsidRPr="00723329">
                              <w:rPr>
                                <w:rFonts w:ascii="Cambria" w:hAnsi="Cambria"/>
                                <w:color w:val="0D0D0D" w:themeColor="text1" w:themeTint="F2"/>
                                <w:sz w:val="18"/>
                                <w:szCs w:val="22"/>
                              </w:rPr>
                              <w:t>pproved</w:t>
                            </w:r>
                            <w:r w:rsidR="00072C3D" w:rsidRPr="00723329">
                              <w:rPr>
                                <w:rFonts w:ascii="Cambria" w:hAnsi="Cambria"/>
                                <w:color w:val="0D0D0D" w:themeColor="text1" w:themeTint="F2"/>
                                <w:sz w:val="18"/>
                                <w:szCs w:val="22"/>
                              </w:rPr>
                              <w:t xml:space="preserve"> electronically by the Commission on </w:t>
                            </w:r>
                            <w:r>
                              <w:rPr>
                                <w:rFonts w:ascii="Cambria" w:hAnsi="Cambria"/>
                                <w:color w:val="0D0D0D" w:themeColor="text1" w:themeTint="F2"/>
                                <w:sz w:val="18"/>
                                <w:szCs w:val="22"/>
                              </w:rPr>
                              <w:t>November 19,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4962C" id="Text Box 4" o:spid="_x0000_s1029" type="#_x0000_t202" style="position:absolute;left:0;text-align:left;margin-left:94.7pt;margin-top:4.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" filled="f" stroked="f" strokeweight=".5pt">
                <v:textbox>
                  <w:txbxContent>
                    <w:p w14:paraId="1FB7BCD4" w14:textId="5EBAD199" w:rsidR="00072C3D" w:rsidRPr="00723329" w:rsidRDefault="00A23A93" w:rsidP="00072C3D">
                      <w:pPr>
                        <w:tabs>
                          <w:tab w:val="center" w:pos="5400"/>
                        </w:tabs>
                        <w:suppressAutoHyphens/>
                        <w:spacing w:before="60"/>
                        <w:rPr>
                          <w:rFonts w:asciiTheme="majorHAnsi" w:hAnsiTheme="majorHAnsi"/>
                          <w:color w:val="0D0D0D" w:themeColor="text1" w:themeTint="F2"/>
                          <w:sz w:val="18"/>
                          <w:szCs w:val="22"/>
                        </w:rPr>
                      </w:pPr>
                      <w:r>
                        <w:rPr>
                          <w:rFonts w:ascii="Cambria" w:hAnsi="Cambria"/>
                          <w:color w:val="0D0D0D" w:themeColor="text1" w:themeTint="F2"/>
                          <w:sz w:val="18"/>
                          <w:szCs w:val="22"/>
                        </w:rPr>
                        <w:t>A</w:t>
                      </w:r>
                      <w:r w:rsidRPr="00723329">
                        <w:rPr>
                          <w:rFonts w:ascii="Cambria" w:hAnsi="Cambria"/>
                          <w:color w:val="0D0D0D" w:themeColor="text1" w:themeTint="F2"/>
                          <w:sz w:val="18"/>
                          <w:szCs w:val="22"/>
                        </w:rPr>
                        <w:t>pproved</w:t>
                      </w:r>
                      <w:r w:rsidR="00072C3D" w:rsidRPr="00723329">
                        <w:rPr>
                          <w:rFonts w:ascii="Cambria" w:hAnsi="Cambria"/>
                          <w:color w:val="0D0D0D" w:themeColor="text1" w:themeTint="F2"/>
                          <w:sz w:val="18"/>
                          <w:szCs w:val="22"/>
                        </w:rPr>
                        <w:t xml:space="preserve"> electronically by the Commission on </w:t>
                      </w:r>
                      <w:r>
                        <w:rPr>
                          <w:rFonts w:ascii="Cambria" w:hAnsi="Cambria"/>
                          <w:color w:val="0D0D0D" w:themeColor="text1" w:themeTint="F2"/>
                          <w:sz w:val="18"/>
                          <w:szCs w:val="22"/>
                        </w:rPr>
                        <w:t>November 19, 2024.</w:t>
                      </w:r>
                    </w:p>
                  </w:txbxContent>
                </v:textbox>
              </v:shape>
            </w:pict>
          </mc:Fallback>
        </mc:AlternateContent>
      </w:r>
    </w:p>
    <w:p w14:paraId="054AEAA9"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618FD7C"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7C13858"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A9B4795"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2160122" w14:textId="59F336B3" w:rsidR="00072C3D" w:rsidRPr="00072C3D" w:rsidRDefault="00094A5A"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59264" behindDoc="0" locked="0" layoutInCell="1" allowOverlap="1" wp14:anchorId="2771D081" wp14:editId="3FD1428F">
                <wp:simplePos x="0" y="0"/>
                <wp:positionH relativeFrom="column">
                  <wp:posOffset>1209675</wp:posOffset>
                </wp:positionH>
                <wp:positionV relativeFrom="paragraph">
                  <wp:posOffset>92075</wp:posOffset>
                </wp:positionV>
                <wp:extent cx="4824095" cy="609600"/>
                <wp:effectExtent l="0" t="0" r="0" b="0"/>
                <wp:wrapNone/>
                <wp:docPr id="2495659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A61CF" w14:textId="0A5C939F" w:rsidR="00072C3D" w:rsidRPr="00723329" w:rsidRDefault="00072C3D" w:rsidP="00072C3D">
                            <w:pPr>
                              <w:spacing w:line="276" w:lineRule="auto"/>
                              <w:rPr>
                                <w:rFonts w:ascii="Cambria" w:hAnsi="Cambria"/>
                                <w:color w:val="595959" w:themeColor="text1" w:themeTint="A6"/>
                                <w:sz w:val="18"/>
                              </w:rPr>
                            </w:pPr>
                            <w:r w:rsidRPr="00723329">
                              <w:rPr>
                                <w:rFonts w:ascii="Cambria" w:hAnsi="Cambria"/>
                                <w:b/>
                                <w:color w:val="595959" w:themeColor="text1" w:themeTint="A6"/>
                                <w:sz w:val="18"/>
                              </w:rPr>
                              <w:t xml:space="preserve">Cite as: </w:t>
                            </w:r>
                            <w:r w:rsidRPr="00723329">
                              <w:rPr>
                                <w:rFonts w:ascii="Cambria" w:hAnsi="Cambria"/>
                                <w:color w:val="595959" w:themeColor="text1" w:themeTint="A6"/>
                                <w:sz w:val="18"/>
                              </w:rPr>
                              <w:t xml:space="preserve">IACHR, Report No. </w:t>
                            </w:r>
                            <w:r w:rsidR="009D714C">
                              <w:rPr>
                                <w:rFonts w:ascii="Cambria" w:hAnsi="Cambria"/>
                                <w:color w:val="595959" w:themeColor="text1" w:themeTint="A6"/>
                                <w:sz w:val="18"/>
                              </w:rPr>
                              <w:t>212</w:t>
                            </w:r>
                            <w:r w:rsidRPr="00723329">
                              <w:rPr>
                                <w:rFonts w:ascii="Cambria" w:hAnsi="Cambria"/>
                                <w:color w:val="595959" w:themeColor="text1" w:themeTint="A6"/>
                                <w:sz w:val="18"/>
                              </w:rPr>
                              <w:t>/</w:t>
                            </w:r>
                            <w:r w:rsidR="009D714C">
                              <w:rPr>
                                <w:rFonts w:ascii="Cambria" w:hAnsi="Cambria"/>
                                <w:color w:val="595959" w:themeColor="text1" w:themeTint="A6"/>
                                <w:sz w:val="18"/>
                              </w:rPr>
                              <w:t>24</w:t>
                            </w:r>
                            <w:r w:rsidRPr="00723329">
                              <w:rPr>
                                <w:rFonts w:ascii="Cambria" w:hAnsi="Cambria"/>
                                <w:color w:val="595959" w:themeColor="text1" w:themeTint="A6"/>
                                <w:sz w:val="18"/>
                              </w:rPr>
                              <w:t xml:space="preserve">, Petition </w:t>
                            </w:r>
                            <w:r w:rsidR="005158F2" w:rsidRPr="00723329">
                              <w:rPr>
                                <w:rFonts w:ascii="Cambria" w:hAnsi="Cambria"/>
                                <w:color w:val="595959" w:themeColor="text1" w:themeTint="A6"/>
                                <w:sz w:val="18"/>
                              </w:rPr>
                              <w:t>2040</w:t>
                            </w:r>
                            <w:r w:rsidRPr="00723329">
                              <w:rPr>
                                <w:rFonts w:ascii="Cambria" w:hAnsi="Cambria"/>
                                <w:color w:val="595959" w:themeColor="text1" w:themeTint="A6"/>
                                <w:sz w:val="18"/>
                              </w:rPr>
                              <w:t>-1</w:t>
                            </w:r>
                            <w:r w:rsidR="005158F2" w:rsidRPr="00723329">
                              <w:rPr>
                                <w:rFonts w:ascii="Cambria" w:hAnsi="Cambria"/>
                                <w:color w:val="595959" w:themeColor="text1" w:themeTint="A6"/>
                                <w:sz w:val="18"/>
                              </w:rPr>
                              <w:t>3</w:t>
                            </w:r>
                            <w:r w:rsidRPr="00723329">
                              <w:rPr>
                                <w:rFonts w:ascii="Cambria" w:hAnsi="Cambria"/>
                                <w:color w:val="595959" w:themeColor="text1" w:themeTint="A6"/>
                                <w:sz w:val="18"/>
                              </w:rPr>
                              <w:t xml:space="preserve">. </w:t>
                            </w:r>
                            <w:r w:rsidR="005158F2" w:rsidRPr="00723329">
                              <w:rPr>
                                <w:rFonts w:ascii="Cambria" w:hAnsi="Cambria"/>
                                <w:color w:val="595959" w:themeColor="text1" w:themeTint="A6"/>
                                <w:sz w:val="18"/>
                              </w:rPr>
                              <w:t>Ina</w:t>
                            </w:r>
                            <w:r w:rsidRPr="00723329">
                              <w:rPr>
                                <w:rFonts w:ascii="Cambria" w:hAnsi="Cambria"/>
                                <w:color w:val="595959" w:themeColor="text1" w:themeTint="A6"/>
                                <w:sz w:val="18"/>
                              </w:rPr>
                              <w:t xml:space="preserve">dmissibility. </w:t>
                            </w:r>
                            <w:r w:rsidR="005158F2" w:rsidRPr="00723329">
                              <w:rPr>
                                <w:rFonts w:ascii="Cambria" w:hAnsi="Cambria"/>
                                <w:color w:val="595959" w:themeColor="text1" w:themeTint="A6"/>
                                <w:sz w:val="18"/>
                              </w:rPr>
                              <w:t>D</w:t>
                            </w:r>
                            <w:r w:rsidR="005066A8">
                              <w:rPr>
                                <w:rFonts w:ascii="Cambria" w:hAnsi="Cambria"/>
                                <w:color w:val="595959" w:themeColor="text1" w:themeTint="A6"/>
                                <w:sz w:val="18"/>
                              </w:rPr>
                              <w:t>e</w:t>
                            </w:r>
                            <w:r w:rsidR="005158F2" w:rsidRPr="00723329">
                              <w:rPr>
                                <w:rFonts w:ascii="Cambria" w:hAnsi="Cambria"/>
                                <w:color w:val="595959" w:themeColor="text1" w:themeTint="A6"/>
                                <w:sz w:val="18"/>
                              </w:rPr>
                              <w:t xml:space="preserve">y Germán Villareal Cadena and family members. </w:t>
                            </w:r>
                            <w:r w:rsidRPr="00723329">
                              <w:rPr>
                                <w:rFonts w:ascii="Cambria" w:hAnsi="Cambria"/>
                                <w:color w:val="595959" w:themeColor="text1" w:themeTint="A6"/>
                                <w:sz w:val="18"/>
                              </w:rPr>
                              <w:t xml:space="preserve">Colombia. </w:t>
                            </w:r>
                            <w:r w:rsidR="00250716">
                              <w:rPr>
                                <w:rFonts w:ascii="Cambria" w:hAnsi="Cambria"/>
                                <w:color w:val="595959" w:themeColor="text1" w:themeTint="A6"/>
                                <w:sz w:val="18"/>
                              </w:rPr>
                              <w:t>November 19, 2024</w:t>
                            </w:r>
                            <w:r w:rsidRPr="00723329">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D081" id="Text Box 3"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686A61CF" w14:textId="0A5C939F" w:rsidR="00072C3D" w:rsidRPr="00723329" w:rsidRDefault="00072C3D" w:rsidP="00072C3D">
                      <w:pPr>
                        <w:spacing w:line="276" w:lineRule="auto"/>
                        <w:rPr>
                          <w:rFonts w:ascii="Cambria" w:hAnsi="Cambria"/>
                          <w:color w:val="595959" w:themeColor="text1" w:themeTint="A6"/>
                          <w:sz w:val="18"/>
                        </w:rPr>
                      </w:pPr>
                      <w:r w:rsidRPr="00723329">
                        <w:rPr>
                          <w:rFonts w:ascii="Cambria" w:hAnsi="Cambria"/>
                          <w:b/>
                          <w:color w:val="595959" w:themeColor="text1" w:themeTint="A6"/>
                          <w:sz w:val="18"/>
                        </w:rPr>
                        <w:t xml:space="preserve">Cite as: </w:t>
                      </w:r>
                      <w:r w:rsidRPr="00723329">
                        <w:rPr>
                          <w:rFonts w:ascii="Cambria" w:hAnsi="Cambria"/>
                          <w:color w:val="595959" w:themeColor="text1" w:themeTint="A6"/>
                          <w:sz w:val="18"/>
                        </w:rPr>
                        <w:t xml:space="preserve">IACHR, Report No. </w:t>
                      </w:r>
                      <w:r w:rsidR="009D714C">
                        <w:rPr>
                          <w:rFonts w:ascii="Cambria" w:hAnsi="Cambria"/>
                          <w:color w:val="595959" w:themeColor="text1" w:themeTint="A6"/>
                          <w:sz w:val="18"/>
                        </w:rPr>
                        <w:t>212</w:t>
                      </w:r>
                      <w:r w:rsidRPr="00723329">
                        <w:rPr>
                          <w:rFonts w:ascii="Cambria" w:hAnsi="Cambria"/>
                          <w:color w:val="595959" w:themeColor="text1" w:themeTint="A6"/>
                          <w:sz w:val="18"/>
                        </w:rPr>
                        <w:t>/</w:t>
                      </w:r>
                      <w:r w:rsidR="009D714C">
                        <w:rPr>
                          <w:rFonts w:ascii="Cambria" w:hAnsi="Cambria"/>
                          <w:color w:val="595959" w:themeColor="text1" w:themeTint="A6"/>
                          <w:sz w:val="18"/>
                        </w:rPr>
                        <w:t>24</w:t>
                      </w:r>
                      <w:r w:rsidRPr="00723329">
                        <w:rPr>
                          <w:rFonts w:ascii="Cambria" w:hAnsi="Cambria"/>
                          <w:color w:val="595959" w:themeColor="text1" w:themeTint="A6"/>
                          <w:sz w:val="18"/>
                        </w:rPr>
                        <w:t xml:space="preserve">, Petition </w:t>
                      </w:r>
                      <w:r w:rsidR="005158F2" w:rsidRPr="00723329">
                        <w:rPr>
                          <w:rFonts w:ascii="Cambria" w:hAnsi="Cambria"/>
                          <w:color w:val="595959" w:themeColor="text1" w:themeTint="A6"/>
                          <w:sz w:val="18"/>
                        </w:rPr>
                        <w:t>2040</w:t>
                      </w:r>
                      <w:r w:rsidRPr="00723329">
                        <w:rPr>
                          <w:rFonts w:ascii="Cambria" w:hAnsi="Cambria"/>
                          <w:color w:val="595959" w:themeColor="text1" w:themeTint="A6"/>
                          <w:sz w:val="18"/>
                        </w:rPr>
                        <w:t>-1</w:t>
                      </w:r>
                      <w:r w:rsidR="005158F2" w:rsidRPr="00723329">
                        <w:rPr>
                          <w:rFonts w:ascii="Cambria" w:hAnsi="Cambria"/>
                          <w:color w:val="595959" w:themeColor="text1" w:themeTint="A6"/>
                          <w:sz w:val="18"/>
                        </w:rPr>
                        <w:t>3</w:t>
                      </w:r>
                      <w:r w:rsidRPr="00723329">
                        <w:rPr>
                          <w:rFonts w:ascii="Cambria" w:hAnsi="Cambria"/>
                          <w:color w:val="595959" w:themeColor="text1" w:themeTint="A6"/>
                          <w:sz w:val="18"/>
                        </w:rPr>
                        <w:t xml:space="preserve">. </w:t>
                      </w:r>
                      <w:r w:rsidR="005158F2" w:rsidRPr="00723329">
                        <w:rPr>
                          <w:rFonts w:ascii="Cambria" w:hAnsi="Cambria"/>
                          <w:color w:val="595959" w:themeColor="text1" w:themeTint="A6"/>
                          <w:sz w:val="18"/>
                        </w:rPr>
                        <w:t>Ina</w:t>
                      </w:r>
                      <w:r w:rsidRPr="00723329">
                        <w:rPr>
                          <w:rFonts w:ascii="Cambria" w:hAnsi="Cambria"/>
                          <w:color w:val="595959" w:themeColor="text1" w:themeTint="A6"/>
                          <w:sz w:val="18"/>
                        </w:rPr>
                        <w:t xml:space="preserve">dmissibility. </w:t>
                      </w:r>
                      <w:r w:rsidR="005158F2" w:rsidRPr="00723329">
                        <w:rPr>
                          <w:rFonts w:ascii="Cambria" w:hAnsi="Cambria"/>
                          <w:color w:val="595959" w:themeColor="text1" w:themeTint="A6"/>
                          <w:sz w:val="18"/>
                        </w:rPr>
                        <w:t>D</w:t>
                      </w:r>
                      <w:r w:rsidR="005066A8">
                        <w:rPr>
                          <w:rFonts w:ascii="Cambria" w:hAnsi="Cambria"/>
                          <w:color w:val="595959" w:themeColor="text1" w:themeTint="A6"/>
                          <w:sz w:val="18"/>
                        </w:rPr>
                        <w:t>e</w:t>
                      </w:r>
                      <w:r w:rsidR="005158F2" w:rsidRPr="00723329">
                        <w:rPr>
                          <w:rFonts w:ascii="Cambria" w:hAnsi="Cambria"/>
                          <w:color w:val="595959" w:themeColor="text1" w:themeTint="A6"/>
                          <w:sz w:val="18"/>
                        </w:rPr>
                        <w:t xml:space="preserve">y Germán Villareal Cadena and family members. </w:t>
                      </w:r>
                      <w:r w:rsidRPr="00723329">
                        <w:rPr>
                          <w:rFonts w:ascii="Cambria" w:hAnsi="Cambria"/>
                          <w:color w:val="595959" w:themeColor="text1" w:themeTint="A6"/>
                          <w:sz w:val="18"/>
                        </w:rPr>
                        <w:t xml:space="preserve">Colombia. </w:t>
                      </w:r>
                      <w:r w:rsidR="00250716">
                        <w:rPr>
                          <w:rFonts w:ascii="Cambria" w:hAnsi="Cambria"/>
                          <w:color w:val="595959" w:themeColor="text1" w:themeTint="A6"/>
                          <w:sz w:val="18"/>
                        </w:rPr>
                        <w:t>November 19, 2024</w:t>
                      </w:r>
                      <w:r w:rsidRPr="00723329">
                        <w:rPr>
                          <w:rFonts w:ascii="Cambria" w:hAnsi="Cambria"/>
                          <w:color w:val="595959" w:themeColor="text1" w:themeTint="A6"/>
                          <w:sz w:val="18"/>
                        </w:rPr>
                        <w:t>.</w:t>
                      </w:r>
                    </w:p>
                  </w:txbxContent>
                </v:textbox>
              </v:shape>
            </w:pict>
          </mc:Fallback>
        </mc:AlternateContent>
      </w:r>
    </w:p>
    <w:p w14:paraId="513665AB"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EE735C0"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705DE6A" w14:textId="220B868A"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7327647" w14:textId="02FD192C" w:rsidR="00072C3D" w:rsidRPr="00072C3D" w:rsidRDefault="00CC5650"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61312" behindDoc="0" locked="0" layoutInCell="1" allowOverlap="1" wp14:anchorId="5458B962" wp14:editId="4D12722F">
                <wp:simplePos x="0" y="0"/>
                <wp:positionH relativeFrom="column">
                  <wp:posOffset>-299085</wp:posOffset>
                </wp:positionH>
                <wp:positionV relativeFrom="paragraph">
                  <wp:posOffset>449107</wp:posOffset>
                </wp:positionV>
                <wp:extent cx="1181100" cy="332740"/>
                <wp:effectExtent l="0" t="0" r="0" b="0"/>
                <wp:wrapNone/>
                <wp:docPr id="2055190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BAD10" w14:textId="6C97FD93" w:rsidR="00072C3D" w:rsidRPr="00723329" w:rsidRDefault="00072C3D" w:rsidP="00072C3D">
                            <w:pPr>
                              <w:jc w:val="center"/>
                              <w:rPr>
                                <w:b/>
                                <w:color w:val="FFFFFF" w:themeColor="background1"/>
                              </w:rPr>
                            </w:pPr>
                            <w:r w:rsidRPr="00723329">
                              <w:rPr>
                                <w:b/>
                                <w:color w:val="FFFFFF" w:themeColor="background1"/>
                              </w:rPr>
                              <w:t>www.</w:t>
                            </w:r>
                            <w:r w:rsidR="00553DD6">
                              <w:rPr>
                                <w:b/>
                                <w:color w:val="FFFFFF" w:themeColor="background1"/>
                              </w:rPr>
                              <w:t>cidh</w:t>
                            </w:r>
                            <w:r w:rsidRPr="00723329">
                              <w:rPr>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B962" id="Text Box 2" o:spid="_x0000_s1031" type="#_x0000_t202" style="position:absolute;left:0;text-align:left;margin-left:-23.55pt;margin-top:35.3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" filled="f" stroked="f" strokeweight=".5pt">
                <v:textbox>
                  <w:txbxContent>
                    <w:p w14:paraId="656BAD10" w14:textId="6C97FD93" w:rsidR="00072C3D" w:rsidRPr="00723329" w:rsidRDefault="00072C3D" w:rsidP="00072C3D">
                      <w:pPr>
                        <w:jc w:val="center"/>
                        <w:rPr>
                          <w:b/>
                          <w:color w:val="FFFFFF" w:themeColor="background1"/>
                        </w:rPr>
                      </w:pPr>
                      <w:r w:rsidRPr="00723329">
                        <w:rPr>
                          <w:b/>
                          <w:color w:val="FFFFFF" w:themeColor="background1"/>
                        </w:rPr>
                        <w:t>www.</w:t>
                      </w:r>
                      <w:r w:rsidR="00553DD6">
                        <w:rPr>
                          <w:b/>
                          <w:color w:val="FFFFFF" w:themeColor="background1"/>
                        </w:rPr>
                        <w:t>cidh</w:t>
                      </w:r>
                      <w:r w:rsidRPr="00723329">
                        <w:rPr>
                          <w:b/>
                          <w:color w:val="FFFFFF" w:themeColor="background1"/>
                        </w:rPr>
                        <w:t>.org</w:t>
                      </w:r>
                    </w:p>
                  </w:txbxContent>
                </v:textbox>
              </v:shape>
            </w:pict>
          </mc:Fallback>
        </mc:AlternateContent>
      </w:r>
      <w:r w:rsidR="00250716" w:rsidRPr="00723329">
        <w:rPr>
          <w:noProof/>
        </w:rPr>
        <w:drawing>
          <wp:anchor distT="0" distB="0" distL="114300" distR="114300" simplePos="0" relativeHeight="251653120" behindDoc="0" locked="0" layoutInCell="1" allowOverlap="1" wp14:anchorId="19E308F3" wp14:editId="42BB6734">
            <wp:simplePos x="0" y="0"/>
            <wp:positionH relativeFrom="column">
              <wp:posOffset>1286510</wp:posOffset>
            </wp:positionH>
            <wp:positionV relativeFrom="paragraph">
              <wp:posOffset>270037</wp:posOffset>
            </wp:positionV>
            <wp:extent cx="1581150" cy="460330"/>
            <wp:effectExtent l="0" t="0" r="0" b="0"/>
            <wp:wrapSquare wrapText="bothSides"/>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46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A5A">
        <w:rPr>
          <w:rFonts w:ascii="Cambria" w:eastAsia="Arial Unicode MS" w:hAnsi="Cambria" w:cstheme="majorBidi"/>
          <w:noProof/>
          <w:kern w:val="0"/>
          <w:bdr w:val="nil"/>
          <w:lang w:eastAsia="en-US"/>
        </w:rPr>
        <mc:AlternateContent>
          <mc:Choice Requires="wps">
            <w:drawing>
              <wp:anchor distT="0" distB="0" distL="114300" distR="114300" simplePos="0" relativeHeight="251660288" behindDoc="0" locked="0" layoutInCell="1" allowOverlap="1" wp14:anchorId="6ACCBA3E" wp14:editId="64EE0A0E">
                <wp:simplePos x="0" y="0"/>
                <wp:positionH relativeFrom="column">
                  <wp:posOffset>1208405</wp:posOffset>
                </wp:positionH>
                <wp:positionV relativeFrom="paragraph">
                  <wp:posOffset>722630</wp:posOffset>
                </wp:positionV>
                <wp:extent cx="2085975" cy="485775"/>
                <wp:effectExtent l="0" t="0" r="0" b="0"/>
                <wp:wrapNone/>
                <wp:docPr id="10855369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7736D" w14:textId="01451D8B" w:rsidR="00072C3D" w:rsidRPr="00723329" w:rsidRDefault="00072C3D" w:rsidP="00072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CBA3E" id="Text Box 1"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6B97736D" w14:textId="01451D8B" w:rsidR="00072C3D" w:rsidRPr="00723329" w:rsidRDefault="00072C3D" w:rsidP="00072C3D"/>
                  </w:txbxContent>
                </v:textbox>
              </v:shape>
            </w:pict>
          </mc:Fallback>
        </mc:AlternateContent>
      </w:r>
    </w:p>
    <w:p w14:paraId="25F05FAE" w14:textId="77777777" w:rsidR="00072C3D" w:rsidRPr="00072C3D" w:rsidRDefault="00072C3D" w:rsidP="00072C3D">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sectPr w:rsidR="00072C3D" w:rsidRPr="00072C3D" w:rsidSect="00072C3D">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1193608B" w14:textId="77777777" w:rsidR="00072C3D" w:rsidRPr="00072C3D" w:rsidRDefault="00072C3D" w:rsidP="00072C3D">
      <w:pPr>
        <w:pBdr>
          <w:top w:val="nil"/>
          <w:left w:val="nil"/>
          <w:bottom w:val="nil"/>
          <w:right w:val="nil"/>
          <w:between w:val="nil"/>
          <w:bar w:val="nil"/>
        </w:pBdr>
        <w:spacing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lastRenderedPageBreak/>
        <w:t>I.</w:t>
      </w:r>
      <w:r w:rsidRPr="00072C3D">
        <w:rPr>
          <w:rFonts w:ascii="Cambria" w:eastAsia="Arial Unicode MS" w:hAnsi="Cambria" w:cstheme="majorBidi"/>
          <w:b/>
          <w:bCs/>
          <w:kern w:val="0"/>
          <w:sz w:val="20"/>
          <w:szCs w:val="20"/>
          <w:bdr w:val="nil"/>
          <w:lang w:eastAsia="en-US"/>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72C3D" w:rsidRPr="00072C3D" w14:paraId="299AB9E2" w14:textId="77777777" w:rsidTr="00E15BCB">
        <w:tc>
          <w:tcPr>
            <w:tcW w:w="3690" w:type="dxa"/>
            <w:tcBorders>
              <w:top w:val="single" w:sz="4" w:space="0" w:color="auto"/>
              <w:bottom w:val="single" w:sz="6" w:space="0" w:color="auto"/>
            </w:tcBorders>
            <w:shd w:val="clear" w:color="auto" w:fill="67AE3C"/>
            <w:vAlign w:val="center"/>
          </w:tcPr>
          <w:p w14:paraId="5DEB6F2A"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Petitioner:</w:t>
            </w:r>
          </w:p>
        </w:tc>
        <w:tc>
          <w:tcPr>
            <w:tcW w:w="5670" w:type="dxa"/>
            <w:vAlign w:val="center"/>
          </w:tcPr>
          <w:p w14:paraId="2C1480B7" w14:textId="68B43ED4" w:rsidR="00072C3D" w:rsidRPr="00072C3D" w:rsidRDefault="00E100EC" w:rsidP="00072C3D">
            <w:pPr>
              <w:jc w:val="both"/>
              <w:rPr>
                <w:rFonts w:ascii="Cambria" w:hAnsi="Cambria" w:cstheme="majorBidi"/>
                <w:bCs/>
                <w:lang w:val="en-US" w:eastAsia="en-US"/>
              </w:rPr>
            </w:pPr>
            <w:r w:rsidRPr="00CB3C0E">
              <w:rPr>
                <w:rFonts w:ascii="Cambria" w:hAnsi="Cambria" w:cstheme="majorBidi"/>
                <w:bCs/>
                <w:lang w:val="en-US" w:eastAsia="en-US"/>
              </w:rPr>
              <w:t>José Alberto Leguizamo Velásquez</w:t>
            </w:r>
          </w:p>
        </w:tc>
      </w:tr>
      <w:tr w:rsidR="00072C3D" w:rsidRPr="00072C3D" w14:paraId="3B3D298B" w14:textId="77777777" w:rsidTr="00E15BCB">
        <w:tc>
          <w:tcPr>
            <w:tcW w:w="3690" w:type="dxa"/>
            <w:tcBorders>
              <w:top w:val="single" w:sz="6" w:space="0" w:color="auto"/>
              <w:bottom w:val="single" w:sz="6" w:space="0" w:color="auto"/>
            </w:tcBorders>
            <w:shd w:val="clear" w:color="auto" w:fill="67AE3C"/>
            <w:vAlign w:val="center"/>
          </w:tcPr>
          <w:p w14:paraId="2FD9DEEE" w14:textId="77777777" w:rsidR="00072C3D" w:rsidRPr="00072C3D" w:rsidRDefault="00741805" w:rsidP="00072C3D">
            <w:pPr>
              <w:jc w:val="center"/>
              <w:rPr>
                <w:rFonts w:ascii="Cambria" w:hAnsi="Cambria" w:cstheme="majorBidi"/>
                <w:b/>
                <w:bCs/>
                <w:color w:val="FFFFFF" w:themeColor="background1"/>
                <w:lang w:val="en-US" w:eastAsia="en-US"/>
              </w:rPr>
            </w:pPr>
            <w:sdt>
              <w:sdtPr>
                <w:rPr>
                  <w:rFonts w:ascii="Cambria" w:hAnsi="Cambria" w:cstheme="majorBidi"/>
                  <w:b/>
                  <w:bCs/>
                  <w:color w:val="FFFFFF" w:themeColor="background1"/>
                  <w:lang w:eastAsia="en-US"/>
                </w:rPr>
                <w:alias w:val="Elegir una opción"/>
                <w:tag w:val="Elegir una opción"/>
                <w:id w:val="931095713"/>
                <w:placeholder>
                  <w:docPart w:val="FD39DD29248A4C1A84FB445583640389"/>
                </w:placeholder>
                <w:dropDownList>
                  <w:listItem w:value="Choose an item."/>
                  <w:listItem w:displayText="Alleged victim" w:value="Alleged victim"/>
                  <w:listItem w:displayText="Alleged victims" w:value="Alleged victims"/>
                </w:dropDownList>
              </w:sdtPr>
              <w:sdtEndPr/>
              <w:sdtContent>
                <w:r w:rsidR="00072C3D" w:rsidRPr="00072C3D">
                  <w:rPr>
                    <w:rFonts w:ascii="Cambria" w:hAnsi="Cambria" w:cstheme="majorBidi"/>
                    <w:b/>
                    <w:bCs/>
                    <w:color w:val="FFFFFF" w:themeColor="background1"/>
                    <w:lang w:val="en-US" w:eastAsia="en-US"/>
                  </w:rPr>
                  <w:t>Alleged victims</w:t>
                </w:r>
              </w:sdtContent>
            </w:sdt>
            <w:r w:rsidR="00072C3D" w:rsidRPr="00072C3D">
              <w:rPr>
                <w:rFonts w:ascii="Cambria" w:hAnsi="Cambria" w:cstheme="majorBidi"/>
                <w:b/>
                <w:bCs/>
                <w:color w:val="FFFFFF" w:themeColor="background1"/>
                <w:lang w:val="en-US" w:eastAsia="en-US"/>
              </w:rPr>
              <w:t>:</w:t>
            </w:r>
          </w:p>
        </w:tc>
        <w:tc>
          <w:tcPr>
            <w:tcW w:w="5670" w:type="dxa"/>
            <w:vAlign w:val="center"/>
          </w:tcPr>
          <w:p w14:paraId="544A2368" w14:textId="7325CDBF" w:rsidR="00072C3D" w:rsidRPr="00072C3D" w:rsidRDefault="00CE7F9F" w:rsidP="00072C3D">
            <w:pPr>
              <w:jc w:val="both"/>
              <w:rPr>
                <w:rFonts w:ascii="Cambria" w:hAnsi="Cambria" w:cstheme="majorBidi"/>
                <w:bCs/>
                <w:lang w:val="en-US" w:eastAsia="en-US"/>
              </w:rPr>
            </w:pPr>
            <w:r w:rsidRPr="00CB3C0E">
              <w:rPr>
                <w:rFonts w:ascii="Cambria" w:hAnsi="Cambria" w:cstheme="majorBidi"/>
                <w:bCs/>
                <w:lang w:val="en-US" w:eastAsia="en-US"/>
              </w:rPr>
              <w:t xml:space="preserve">Dey Germán Villareal Cadena </w:t>
            </w:r>
            <w:r w:rsidR="005066A8">
              <w:rPr>
                <w:rFonts w:ascii="Cambria" w:hAnsi="Cambria" w:cstheme="majorBidi"/>
                <w:bCs/>
                <w:lang w:val="en-US" w:eastAsia="en-US"/>
              </w:rPr>
              <w:t>and family members</w:t>
            </w:r>
            <w:r w:rsidR="00184DD8" w:rsidRPr="00CB3C0E">
              <w:rPr>
                <w:rStyle w:val="FootnoteReference"/>
                <w:rFonts w:ascii="Cambria" w:hAnsi="Cambria"/>
                <w:bCs/>
                <w:lang w:val="en-US"/>
              </w:rPr>
              <w:footnoteReference w:id="1"/>
            </w:r>
          </w:p>
        </w:tc>
      </w:tr>
      <w:tr w:rsidR="00072C3D" w:rsidRPr="00072C3D" w14:paraId="0E386C9E" w14:textId="77777777" w:rsidTr="00E15BCB">
        <w:tc>
          <w:tcPr>
            <w:tcW w:w="3690" w:type="dxa"/>
            <w:tcBorders>
              <w:top w:val="single" w:sz="6" w:space="0" w:color="auto"/>
              <w:bottom w:val="single" w:sz="6" w:space="0" w:color="auto"/>
            </w:tcBorders>
            <w:shd w:val="clear" w:color="auto" w:fill="67AE3C"/>
            <w:vAlign w:val="center"/>
          </w:tcPr>
          <w:p w14:paraId="346F8E64"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Respondent State:</w:t>
            </w:r>
          </w:p>
        </w:tc>
        <w:tc>
          <w:tcPr>
            <w:tcW w:w="5670" w:type="dxa"/>
            <w:vAlign w:val="center"/>
          </w:tcPr>
          <w:p w14:paraId="36B66473" w14:textId="77777777" w:rsidR="00072C3D" w:rsidRPr="00072C3D" w:rsidRDefault="00072C3D" w:rsidP="00072C3D">
            <w:pPr>
              <w:jc w:val="both"/>
              <w:rPr>
                <w:rFonts w:ascii="Cambria" w:hAnsi="Cambria" w:cstheme="majorBidi"/>
                <w:bCs/>
                <w:lang w:val="en-US" w:eastAsia="en-US"/>
              </w:rPr>
            </w:pPr>
            <w:r w:rsidRPr="00072C3D">
              <w:rPr>
                <w:rFonts w:ascii="Cambria" w:hAnsi="Cambria" w:cstheme="majorBidi"/>
                <w:bCs/>
                <w:lang w:val="en-US" w:eastAsia="en-US"/>
              </w:rPr>
              <w:t>Colombia</w:t>
            </w:r>
            <w:r w:rsidRPr="00072C3D">
              <w:rPr>
                <w:rFonts w:ascii="Cambria" w:hAnsi="Cambria" w:cstheme="majorBidi"/>
                <w:bCs/>
                <w:vertAlign w:val="superscript"/>
                <w:lang w:val="en-US" w:eastAsia="en-US"/>
              </w:rPr>
              <w:footnoteReference w:id="2"/>
            </w:r>
          </w:p>
        </w:tc>
      </w:tr>
      <w:tr w:rsidR="00072C3D" w:rsidRPr="00072C3D" w14:paraId="28F143CC" w14:textId="77777777" w:rsidTr="00E15BCB">
        <w:tc>
          <w:tcPr>
            <w:tcW w:w="3690" w:type="dxa"/>
            <w:tcBorders>
              <w:top w:val="single" w:sz="6" w:space="0" w:color="auto"/>
              <w:bottom w:val="single" w:sz="6" w:space="0" w:color="auto"/>
            </w:tcBorders>
            <w:shd w:val="clear" w:color="auto" w:fill="67AE3C"/>
            <w:vAlign w:val="center"/>
          </w:tcPr>
          <w:p w14:paraId="25AB9EE6"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Rights invoked:</w:t>
            </w:r>
          </w:p>
        </w:tc>
        <w:tc>
          <w:tcPr>
            <w:tcW w:w="5670" w:type="dxa"/>
            <w:vAlign w:val="center"/>
          </w:tcPr>
          <w:p w14:paraId="43FBAB8E" w14:textId="7CD7E9BF" w:rsidR="00072C3D" w:rsidRPr="00072C3D" w:rsidRDefault="00072C3D" w:rsidP="004D5E4A">
            <w:pPr>
              <w:jc w:val="both"/>
              <w:rPr>
                <w:rFonts w:ascii="Cambria" w:hAnsi="Cambria" w:cstheme="majorBidi"/>
                <w:bCs/>
                <w:lang w:val="en-US" w:eastAsia="en-US"/>
              </w:rPr>
            </w:pPr>
            <w:r w:rsidRPr="00072C3D">
              <w:rPr>
                <w:rFonts w:ascii="Cambria" w:hAnsi="Cambria" w:cstheme="majorBidi"/>
                <w:bCs/>
                <w:lang w:val="en-US" w:eastAsia="en-US"/>
              </w:rPr>
              <w:t xml:space="preserve">Articles </w:t>
            </w:r>
            <w:r w:rsidR="00B44192" w:rsidRPr="00CB3C0E">
              <w:rPr>
                <w:rFonts w:ascii="Cambria" w:hAnsi="Cambria" w:cstheme="majorBidi"/>
                <w:bCs/>
                <w:lang w:val="en-US" w:eastAsia="en-US"/>
              </w:rPr>
              <w:t>4 (life), 5 (humane treatment), 7 (personal liberty), 8</w:t>
            </w:r>
            <w:r w:rsidRPr="00072C3D">
              <w:rPr>
                <w:rFonts w:ascii="Cambria" w:hAnsi="Cambria" w:cstheme="majorBidi"/>
                <w:bCs/>
                <w:lang w:val="en-US" w:eastAsia="en-US"/>
              </w:rPr>
              <w:t xml:space="preserve"> (judicial guarantees), </w:t>
            </w:r>
            <w:r w:rsidR="00B44192" w:rsidRPr="00CB3C0E">
              <w:rPr>
                <w:rFonts w:ascii="Cambria" w:hAnsi="Cambria" w:cstheme="majorBidi"/>
                <w:bCs/>
                <w:lang w:val="en-US" w:eastAsia="en-US"/>
              </w:rPr>
              <w:t xml:space="preserve">10 (compensation), 17 (protection of the family), 21 (private property), 22 (movement and residence) and 25 (judicial protection) </w:t>
            </w:r>
            <w:r w:rsidRPr="00072C3D">
              <w:rPr>
                <w:rFonts w:ascii="Cambria" w:hAnsi="Cambria" w:cstheme="majorBidi"/>
                <w:bCs/>
                <w:lang w:val="en-US" w:eastAsia="en-US"/>
              </w:rPr>
              <w:t>of the American Convention on Human Rights,</w:t>
            </w:r>
            <w:r w:rsidRPr="00072C3D">
              <w:rPr>
                <w:rFonts w:ascii="Cambria" w:hAnsi="Cambria" w:cstheme="majorBidi"/>
                <w:vertAlign w:val="superscript"/>
                <w:lang w:val="en-US" w:eastAsia="en-US"/>
              </w:rPr>
              <w:footnoteReference w:id="3"/>
            </w:r>
            <w:r w:rsidRPr="00072C3D">
              <w:rPr>
                <w:rFonts w:ascii="Cambria" w:hAnsi="Cambria" w:cstheme="majorBidi"/>
                <w:bCs/>
                <w:lang w:val="en-US" w:eastAsia="en-US"/>
              </w:rPr>
              <w:t xml:space="preserve"> in relation to its Article 1 (obligation to respect rights) </w:t>
            </w:r>
          </w:p>
        </w:tc>
      </w:tr>
    </w:tbl>
    <w:p w14:paraId="4AC2C173" w14:textId="77777777" w:rsidR="00072C3D" w:rsidRPr="00072C3D" w:rsidRDefault="00072C3D" w:rsidP="00072C3D">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t>II.</w:t>
      </w:r>
      <w:r w:rsidRPr="00072C3D">
        <w:rPr>
          <w:rFonts w:ascii="Cambria" w:eastAsia="Arial Unicode MS" w:hAnsi="Cambria" w:cstheme="majorBidi"/>
          <w:b/>
          <w:bCs/>
          <w:kern w:val="0"/>
          <w:sz w:val="20"/>
          <w:szCs w:val="20"/>
          <w:bdr w:val="nil"/>
          <w:lang w:eastAsia="en-US"/>
        </w:rPr>
        <w:tab/>
        <w:t>PROCEEDINGS BEFORE THE IACHR</w:t>
      </w:r>
      <w:r w:rsidRPr="00072C3D">
        <w:rPr>
          <w:rFonts w:ascii="Cambria" w:eastAsia="Arial Unicode MS" w:hAnsi="Cambria" w:cstheme="majorBidi"/>
          <w:b/>
          <w:kern w:val="0"/>
          <w:sz w:val="20"/>
          <w:szCs w:val="20"/>
          <w:bdr w:val="nil"/>
          <w:vertAlign w:val="superscript"/>
          <w:lang w:eastAsia="en-U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72C3D" w:rsidRPr="00072C3D" w14:paraId="449B9E4A" w14:textId="77777777" w:rsidTr="00E15BCB">
        <w:tc>
          <w:tcPr>
            <w:tcW w:w="3690" w:type="dxa"/>
            <w:tcBorders>
              <w:top w:val="single" w:sz="6" w:space="0" w:color="auto"/>
              <w:bottom w:val="single" w:sz="6" w:space="0" w:color="auto"/>
            </w:tcBorders>
            <w:shd w:val="clear" w:color="auto" w:fill="67AE3C"/>
            <w:vAlign w:val="center"/>
          </w:tcPr>
          <w:p w14:paraId="2C84388A"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Filing of the petition:</w:t>
            </w:r>
          </w:p>
        </w:tc>
        <w:tc>
          <w:tcPr>
            <w:tcW w:w="5670" w:type="dxa"/>
            <w:vAlign w:val="center"/>
          </w:tcPr>
          <w:p w14:paraId="6779BEDA" w14:textId="26A7C093" w:rsidR="00072C3D" w:rsidRPr="00072C3D" w:rsidRDefault="00D65EE4" w:rsidP="00072C3D">
            <w:pPr>
              <w:jc w:val="both"/>
              <w:rPr>
                <w:rFonts w:ascii="Cambria" w:hAnsi="Cambria" w:cstheme="majorBidi"/>
                <w:bCs/>
                <w:lang w:val="en-US" w:eastAsia="en-US"/>
              </w:rPr>
            </w:pPr>
            <w:r w:rsidRPr="00CB3C0E">
              <w:rPr>
                <w:rFonts w:ascii="Cambria" w:hAnsi="Cambria" w:cstheme="majorBidi"/>
                <w:bCs/>
                <w:lang w:val="en-US" w:eastAsia="en-US"/>
              </w:rPr>
              <w:t>December 13, 2013</w:t>
            </w:r>
            <w:r w:rsidR="00072C3D" w:rsidRPr="00072C3D">
              <w:rPr>
                <w:rFonts w:ascii="Cambria" w:hAnsi="Cambria" w:cstheme="majorBidi"/>
                <w:bCs/>
                <w:lang w:val="en-US" w:eastAsia="en-US"/>
              </w:rPr>
              <w:t xml:space="preserve"> </w:t>
            </w:r>
          </w:p>
        </w:tc>
      </w:tr>
      <w:tr w:rsidR="003B72FB" w:rsidRPr="00CB3C0E" w14:paraId="0BA27FF6" w14:textId="77777777" w:rsidTr="00E15BCB">
        <w:tc>
          <w:tcPr>
            <w:tcW w:w="3690" w:type="dxa"/>
            <w:tcBorders>
              <w:top w:val="single" w:sz="6" w:space="0" w:color="auto"/>
              <w:bottom w:val="single" w:sz="6" w:space="0" w:color="auto"/>
            </w:tcBorders>
            <w:shd w:val="clear" w:color="auto" w:fill="67AE3C"/>
            <w:vAlign w:val="center"/>
          </w:tcPr>
          <w:p w14:paraId="008236F1" w14:textId="34DC9A3D" w:rsidR="003B72FB" w:rsidRPr="00CB3C0E" w:rsidRDefault="003B72FB" w:rsidP="00072C3D">
            <w:pPr>
              <w:jc w:val="center"/>
              <w:rPr>
                <w:rFonts w:ascii="Cambria" w:hAnsi="Cambria" w:cstheme="majorBidi"/>
                <w:b/>
                <w:bCs/>
                <w:color w:val="FFFFFF" w:themeColor="background1"/>
                <w:lang w:val="en-US" w:eastAsia="en-US"/>
              </w:rPr>
            </w:pPr>
            <w:r w:rsidRPr="00CB3C0E">
              <w:rPr>
                <w:rFonts w:ascii="Cambria" w:hAnsi="Cambria" w:cstheme="majorBidi"/>
                <w:b/>
                <w:bCs/>
                <w:color w:val="FFFFFF" w:themeColor="background1"/>
                <w:lang w:val="en-US" w:eastAsia="en-US"/>
              </w:rPr>
              <w:t>Warning of possible archiving</w:t>
            </w:r>
          </w:p>
        </w:tc>
        <w:tc>
          <w:tcPr>
            <w:tcW w:w="5670" w:type="dxa"/>
            <w:vAlign w:val="center"/>
          </w:tcPr>
          <w:p w14:paraId="1E82667D" w14:textId="1052EE4E" w:rsidR="003B72FB" w:rsidRPr="00CB3C0E" w:rsidRDefault="00D65EE4" w:rsidP="00072C3D">
            <w:pPr>
              <w:jc w:val="both"/>
              <w:rPr>
                <w:rFonts w:ascii="Cambria" w:hAnsi="Cambria" w:cstheme="majorBidi"/>
                <w:bCs/>
                <w:lang w:val="en-US" w:eastAsia="en-US"/>
              </w:rPr>
            </w:pPr>
            <w:r w:rsidRPr="00CB3C0E">
              <w:rPr>
                <w:rFonts w:ascii="Cambria" w:hAnsi="Cambria" w:cstheme="majorBidi"/>
                <w:bCs/>
                <w:lang w:val="en-US" w:eastAsia="en-US"/>
              </w:rPr>
              <w:t>May 23, 2017</w:t>
            </w:r>
          </w:p>
        </w:tc>
      </w:tr>
      <w:tr w:rsidR="004B4053" w:rsidRPr="00CB3C0E" w14:paraId="14B5886B" w14:textId="77777777" w:rsidTr="00E15BCB">
        <w:tc>
          <w:tcPr>
            <w:tcW w:w="3690" w:type="dxa"/>
            <w:tcBorders>
              <w:top w:val="single" w:sz="6" w:space="0" w:color="auto"/>
              <w:bottom w:val="single" w:sz="6" w:space="0" w:color="auto"/>
            </w:tcBorders>
            <w:shd w:val="clear" w:color="auto" w:fill="67AE3C"/>
            <w:vAlign w:val="center"/>
          </w:tcPr>
          <w:p w14:paraId="2C3CEF20" w14:textId="26ABBC67" w:rsidR="004B4053" w:rsidRPr="00CB3C0E" w:rsidRDefault="004B4053" w:rsidP="00072C3D">
            <w:pPr>
              <w:jc w:val="center"/>
              <w:rPr>
                <w:rFonts w:ascii="Cambria" w:hAnsi="Cambria" w:cstheme="majorBidi"/>
                <w:b/>
                <w:bCs/>
                <w:color w:val="FFFFFF" w:themeColor="background1"/>
                <w:lang w:val="en-US" w:eastAsia="en-US"/>
              </w:rPr>
            </w:pPr>
            <w:r w:rsidRPr="00CB3C0E">
              <w:rPr>
                <w:rFonts w:ascii="Cambria" w:hAnsi="Cambria" w:cstheme="majorBidi"/>
                <w:b/>
                <w:bCs/>
                <w:color w:val="FFFFFF" w:themeColor="background1"/>
                <w:lang w:val="en-US" w:eastAsia="en-US"/>
              </w:rPr>
              <w:t xml:space="preserve">Petitioner’s response to warning of </w:t>
            </w:r>
            <w:r w:rsidR="00B76F92" w:rsidRPr="00CB3C0E">
              <w:rPr>
                <w:rFonts w:ascii="Cambria" w:hAnsi="Cambria" w:cstheme="majorBidi"/>
                <w:b/>
                <w:bCs/>
                <w:color w:val="FFFFFF" w:themeColor="background1"/>
                <w:lang w:val="en-US" w:eastAsia="en-US"/>
              </w:rPr>
              <w:t>possible</w:t>
            </w:r>
            <w:r w:rsidRPr="00CB3C0E">
              <w:rPr>
                <w:rFonts w:ascii="Cambria" w:hAnsi="Cambria" w:cstheme="majorBidi"/>
                <w:b/>
                <w:bCs/>
                <w:color w:val="FFFFFF" w:themeColor="background1"/>
                <w:lang w:val="en-US" w:eastAsia="en-US"/>
              </w:rPr>
              <w:t xml:space="preserve"> archiving</w:t>
            </w:r>
          </w:p>
        </w:tc>
        <w:tc>
          <w:tcPr>
            <w:tcW w:w="5670" w:type="dxa"/>
            <w:vAlign w:val="center"/>
          </w:tcPr>
          <w:p w14:paraId="38AE606A" w14:textId="6BBC449B" w:rsidR="004B4053" w:rsidRPr="00CB3C0E" w:rsidRDefault="00D65EE4" w:rsidP="00072C3D">
            <w:pPr>
              <w:jc w:val="both"/>
              <w:rPr>
                <w:rFonts w:ascii="Cambria" w:hAnsi="Cambria" w:cstheme="majorBidi"/>
                <w:bCs/>
                <w:lang w:val="en-US" w:eastAsia="en-US"/>
              </w:rPr>
            </w:pPr>
            <w:r w:rsidRPr="00CB3C0E">
              <w:rPr>
                <w:rFonts w:ascii="Cambria" w:hAnsi="Cambria" w:cstheme="majorBidi"/>
                <w:bCs/>
                <w:lang w:val="en-US" w:eastAsia="en-US"/>
              </w:rPr>
              <w:t>June 25, 2018</w:t>
            </w:r>
          </w:p>
        </w:tc>
      </w:tr>
      <w:tr w:rsidR="00072C3D" w:rsidRPr="00072C3D" w14:paraId="05DD7EE4" w14:textId="77777777" w:rsidTr="00E15BCB">
        <w:tc>
          <w:tcPr>
            <w:tcW w:w="3690" w:type="dxa"/>
            <w:tcBorders>
              <w:top w:val="single" w:sz="6" w:space="0" w:color="auto"/>
              <w:bottom w:val="single" w:sz="6" w:space="0" w:color="auto"/>
            </w:tcBorders>
            <w:shd w:val="clear" w:color="auto" w:fill="67AE3C"/>
            <w:vAlign w:val="center"/>
          </w:tcPr>
          <w:p w14:paraId="211468B5"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color w:val="FFFFFF" w:themeColor="background1"/>
                <w:lang w:val="en-US" w:eastAsia="en-US"/>
              </w:rPr>
              <w:t>Notification of the petition to the State:</w:t>
            </w:r>
          </w:p>
        </w:tc>
        <w:tc>
          <w:tcPr>
            <w:tcW w:w="5670" w:type="dxa"/>
            <w:vAlign w:val="center"/>
          </w:tcPr>
          <w:p w14:paraId="2701A9D8" w14:textId="0B86D380" w:rsidR="00072C3D" w:rsidRPr="00072C3D" w:rsidRDefault="00D65EE4" w:rsidP="00072C3D">
            <w:pPr>
              <w:jc w:val="both"/>
              <w:rPr>
                <w:rFonts w:ascii="Cambria" w:hAnsi="Cambria" w:cstheme="majorBidi"/>
                <w:bCs/>
                <w:lang w:val="en-US" w:eastAsia="en-US"/>
              </w:rPr>
            </w:pPr>
            <w:r w:rsidRPr="00CB3C0E">
              <w:rPr>
                <w:rFonts w:ascii="Cambria" w:hAnsi="Cambria" w:cstheme="majorBidi"/>
                <w:bCs/>
                <w:lang w:val="en-US" w:eastAsia="en-US"/>
              </w:rPr>
              <w:t xml:space="preserve">January 3, </w:t>
            </w:r>
            <w:r w:rsidR="00072C3D" w:rsidRPr="00072C3D">
              <w:rPr>
                <w:rFonts w:ascii="Cambria" w:hAnsi="Cambria" w:cstheme="majorBidi"/>
                <w:bCs/>
                <w:lang w:val="en-US" w:eastAsia="en-US"/>
              </w:rPr>
              <w:t xml:space="preserve">2019 </w:t>
            </w:r>
          </w:p>
        </w:tc>
      </w:tr>
      <w:tr w:rsidR="00B76F92" w:rsidRPr="00CB3C0E" w14:paraId="2849B659" w14:textId="77777777" w:rsidTr="00E15BCB">
        <w:tc>
          <w:tcPr>
            <w:tcW w:w="3690" w:type="dxa"/>
            <w:tcBorders>
              <w:top w:val="single" w:sz="6" w:space="0" w:color="auto"/>
              <w:bottom w:val="single" w:sz="6" w:space="0" w:color="auto"/>
            </w:tcBorders>
            <w:shd w:val="clear" w:color="auto" w:fill="67AE3C"/>
            <w:vAlign w:val="center"/>
          </w:tcPr>
          <w:p w14:paraId="22F42C23" w14:textId="374AEEAA" w:rsidR="00B76F92" w:rsidRPr="00CB3C0E" w:rsidRDefault="00B76F92" w:rsidP="00072C3D">
            <w:pPr>
              <w:jc w:val="center"/>
              <w:rPr>
                <w:rFonts w:ascii="Cambria" w:hAnsi="Cambria" w:cstheme="majorBidi"/>
                <w:b/>
                <w:color w:val="FFFFFF" w:themeColor="background1"/>
                <w:lang w:val="en-US" w:eastAsia="en-US"/>
              </w:rPr>
            </w:pPr>
            <w:r w:rsidRPr="00CB3C0E">
              <w:rPr>
                <w:rFonts w:ascii="Cambria" w:hAnsi="Cambria" w:cstheme="majorBidi"/>
                <w:b/>
                <w:color w:val="FFFFFF" w:themeColor="background1"/>
                <w:lang w:val="en-US" w:eastAsia="en-US"/>
              </w:rPr>
              <w:t>Request for extensi</w:t>
            </w:r>
            <w:r w:rsidR="00444F4C" w:rsidRPr="00CB3C0E">
              <w:rPr>
                <w:rFonts w:ascii="Cambria" w:hAnsi="Cambria" w:cstheme="majorBidi"/>
                <w:b/>
                <w:color w:val="FFFFFF" w:themeColor="background1"/>
                <w:lang w:val="en-US" w:eastAsia="en-US"/>
              </w:rPr>
              <w:t xml:space="preserve">on: </w:t>
            </w:r>
          </w:p>
        </w:tc>
        <w:tc>
          <w:tcPr>
            <w:tcW w:w="5670" w:type="dxa"/>
            <w:vAlign w:val="center"/>
          </w:tcPr>
          <w:p w14:paraId="0C4E0605" w14:textId="60D79BF6" w:rsidR="00B76F92" w:rsidRPr="00CB3C0E" w:rsidRDefault="00D65EE4" w:rsidP="00072C3D">
            <w:pPr>
              <w:jc w:val="both"/>
              <w:rPr>
                <w:rFonts w:ascii="Cambria" w:hAnsi="Cambria" w:cstheme="majorBidi"/>
                <w:bCs/>
                <w:lang w:val="en-US" w:eastAsia="en-US"/>
              </w:rPr>
            </w:pPr>
            <w:r w:rsidRPr="00CB3C0E">
              <w:rPr>
                <w:rFonts w:ascii="Cambria" w:hAnsi="Cambria" w:cstheme="majorBidi"/>
                <w:bCs/>
                <w:lang w:val="en-US" w:eastAsia="en-US"/>
              </w:rPr>
              <w:t>April 3, 2019</w:t>
            </w:r>
          </w:p>
        </w:tc>
      </w:tr>
      <w:tr w:rsidR="00072C3D" w:rsidRPr="00072C3D" w14:paraId="377CD3D2" w14:textId="77777777" w:rsidTr="00E15BCB">
        <w:trPr>
          <w:trHeight w:val="264"/>
        </w:trPr>
        <w:tc>
          <w:tcPr>
            <w:tcW w:w="3690" w:type="dxa"/>
            <w:tcBorders>
              <w:top w:val="single" w:sz="6" w:space="0" w:color="auto"/>
              <w:bottom w:val="single" w:sz="6" w:space="0" w:color="auto"/>
            </w:tcBorders>
            <w:shd w:val="clear" w:color="auto" w:fill="67AE3C"/>
            <w:vAlign w:val="center"/>
          </w:tcPr>
          <w:p w14:paraId="1D59A5E1"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color w:val="FFFFFF" w:themeColor="background1"/>
                <w:lang w:val="en-US" w:eastAsia="en-US"/>
              </w:rPr>
              <w:t>State’s first response:</w:t>
            </w:r>
          </w:p>
        </w:tc>
        <w:tc>
          <w:tcPr>
            <w:tcW w:w="5670" w:type="dxa"/>
            <w:vAlign w:val="center"/>
          </w:tcPr>
          <w:p w14:paraId="133D734C" w14:textId="04028ACE" w:rsidR="00072C3D" w:rsidRPr="00072C3D" w:rsidRDefault="002D3C00" w:rsidP="00072C3D">
            <w:pPr>
              <w:jc w:val="both"/>
              <w:rPr>
                <w:rFonts w:ascii="Cambria" w:hAnsi="Cambria" w:cstheme="majorBidi"/>
                <w:bCs/>
                <w:lang w:val="en-US" w:eastAsia="en-US"/>
              </w:rPr>
            </w:pPr>
            <w:r w:rsidRPr="00CB3C0E">
              <w:rPr>
                <w:rFonts w:ascii="Cambria" w:hAnsi="Cambria" w:cstheme="majorBidi"/>
                <w:bCs/>
                <w:lang w:val="en-US" w:eastAsia="en-US"/>
              </w:rPr>
              <w:t xml:space="preserve">April 25, </w:t>
            </w:r>
            <w:r w:rsidR="00072C3D" w:rsidRPr="00072C3D">
              <w:rPr>
                <w:rFonts w:ascii="Cambria" w:hAnsi="Cambria" w:cstheme="majorBidi"/>
                <w:bCs/>
                <w:lang w:val="en-US" w:eastAsia="en-US"/>
              </w:rPr>
              <w:t>2019</w:t>
            </w:r>
          </w:p>
        </w:tc>
      </w:tr>
      <w:tr w:rsidR="00072C3D" w:rsidRPr="00072C3D" w14:paraId="4969D640" w14:textId="77777777" w:rsidTr="00E15BCB">
        <w:tc>
          <w:tcPr>
            <w:tcW w:w="3690" w:type="dxa"/>
            <w:tcBorders>
              <w:top w:val="single" w:sz="6" w:space="0" w:color="auto"/>
              <w:bottom w:val="single" w:sz="6" w:space="0" w:color="auto"/>
            </w:tcBorders>
            <w:shd w:val="clear" w:color="auto" w:fill="67AE3C"/>
            <w:vAlign w:val="center"/>
          </w:tcPr>
          <w:p w14:paraId="4AD6F562" w14:textId="3BC28CAD" w:rsidR="00072C3D" w:rsidRPr="00072C3D" w:rsidRDefault="009A5E30" w:rsidP="00072C3D">
            <w:pPr>
              <w:jc w:val="center"/>
              <w:rPr>
                <w:rFonts w:ascii="Cambria" w:hAnsi="Cambria" w:cstheme="majorBidi"/>
                <w:b/>
                <w:bCs/>
                <w:color w:val="FFFFFF" w:themeColor="background1"/>
                <w:lang w:val="en-US" w:eastAsia="en-US"/>
              </w:rPr>
            </w:pPr>
            <w:r w:rsidRPr="00CB3C0E">
              <w:rPr>
                <w:rFonts w:ascii="Cambria" w:hAnsi="Cambria" w:cstheme="majorBidi"/>
                <w:b/>
                <w:bCs/>
                <w:color w:val="FFFFFF" w:themeColor="background1"/>
                <w:lang w:val="en-US" w:eastAsia="en-US"/>
              </w:rPr>
              <w:t>Warning of possible archiving</w:t>
            </w:r>
            <w:r w:rsidR="00072C3D" w:rsidRPr="00072C3D">
              <w:rPr>
                <w:rFonts w:ascii="Cambria" w:hAnsi="Cambria" w:cstheme="majorBidi"/>
                <w:b/>
                <w:bCs/>
                <w:color w:val="FFFFFF" w:themeColor="background1"/>
                <w:lang w:val="en-US" w:eastAsia="en-US"/>
              </w:rPr>
              <w:t>:</w:t>
            </w:r>
          </w:p>
        </w:tc>
        <w:tc>
          <w:tcPr>
            <w:tcW w:w="5670" w:type="dxa"/>
            <w:vAlign w:val="center"/>
          </w:tcPr>
          <w:p w14:paraId="33907F21" w14:textId="5E4187A8" w:rsidR="00072C3D" w:rsidRPr="00072C3D" w:rsidRDefault="002D3C00" w:rsidP="00072C3D">
            <w:pPr>
              <w:jc w:val="both"/>
              <w:rPr>
                <w:rFonts w:ascii="Cambria" w:hAnsi="Cambria" w:cstheme="majorBidi"/>
                <w:bCs/>
                <w:lang w:val="en-US" w:eastAsia="en-US"/>
              </w:rPr>
            </w:pPr>
            <w:r w:rsidRPr="00CB3C0E">
              <w:rPr>
                <w:rFonts w:ascii="Cambria" w:hAnsi="Cambria" w:cstheme="majorBidi"/>
                <w:bCs/>
                <w:lang w:val="en-US" w:eastAsia="en-US"/>
              </w:rPr>
              <w:t xml:space="preserve">May 13, 2022 </w:t>
            </w:r>
          </w:p>
        </w:tc>
      </w:tr>
      <w:tr w:rsidR="00072C3D" w:rsidRPr="00072C3D" w14:paraId="16C9C350" w14:textId="77777777" w:rsidTr="00E15BCB">
        <w:tc>
          <w:tcPr>
            <w:tcW w:w="3690" w:type="dxa"/>
            <w:tcBorders>
              <w:top w:val="single" w:sz="6" w:space="0" w:color="auto"/>
              <w:bottom w:val="single" w:sz="6" w:space="0" w:color="auto"/>
            </w:tcBorders>
            <w:shd w:val="clear" w:color="auto" w:fill="67AE3C"/>
            <w:vAlign w:val="center"/>
          </w:tcPr>
          <w:p w14:paraId="7C4D371A" w14:textId="656DAC8F" w:rsidR="00072C3D" w:rsidRPr="00072C3D" w:rsidRDefault="00D65EE4" w:rsidP="00072C3D">
            <w:pPr>
              <w:jc w:val="center"/>
              <w:rPr>
                <w:rFonts w:ascii="Cambria" w:hAnsi="Cambria" w:cstheme="majorBidi"/>
                <w:b/>
                <w:bCs/>
                <w:color w:val="FFFFFF" w:themeColor="background1"/>
                <w:lang w:val="en-US" w:eastAsia="en-US"/>
              </w:rPr>
            </w:pPr>
            <w:r w:rsidRPr="00CB3C0E">
              <w:rPr>
                <w:rFonts w:ascii="Cambria" w:hAnsi="Cambria" w:cstheme="majorBidi"/>
                <w:b/>
                <w:bCs/>
                <w:color w:val="FFFFFF" w:themeColor="background1"/>
                <w:lang w:val="en-US" w:eastAsia="en-US"/>
              </w:rPr>
              <w:t>Petitioner’s response to warning of possible archiving</w:t>
            </w:r>
            <w:r w:rsidR="00072C3D" w:rsidRPr="00072C3D">
              <w:rPr>
                <w:rFonts w:ascii="Cambria" w:hAnsi="Cambria" w:cstheme="majorBidi"/>
                <w:b/>
                <w:bCs/>
                <w:color w:val="FFFFFF" w:themeColor="background1"/>
                <w:lang w:val="en-US" w:eastAsia="en-US"/>
              </w:rPr>
              <w:t>:</w:t>
            </w:r>
          </w:p>
        </w:tc>
        <w:tc>
          <w:tcPr>
            <w:tcW w:w="5670" w:type="dxa"/>
            <w:vAlign w:val="center"/>
          </w:tcPr>
          <w:p w14:paraId="3947E931" w14:textId="095B788D" w:rsidR="00072C3D" w:rsidRPr="00072C3D" w:rsidRDefault="002D3C00" w:rsidP="00072C3D">
            <w:pPr>
              <w:jc w:val="both"/>
              <w:rPr>
                <w:rFonts w:ascii="Cambria" w:hAnsi="Cambria" w:cstheme="majorBidi"/>
                <w:bCs/>
                <w:lang w:val="en-US" w:eastAsia="en-US"/>
              </w:rPr>
            </w:pPr>
            <w:r w:rsidRPr="00CB3C0E">
              <w:rPr>
                <w:rFonts w:ascii="Cambria" w:hAnsi="Cambria" w:cstheme="majorBidi"/>
                <w:bCs/>
                <w:lang w:val="en-US" w:eastAsia="en-US"/>
              </w:rPr>
              <w:t>April 10, 2024, April 24, 2024</w:t>
            </w:r>
          </w:p>
        </w:tc>
      </w:tr>
    </w:tbl>
    <w:p w14:paraId="5556849D" w14:textId="77777777" w:rsidR="00072C3D" w:rsidRPr="00072C3D" w:rsidRDefault="00072C3D" w:rsidP="00072C3D">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t xml:space="preserve">III. </w:t>
      </w:r>
      <w:r w:rsidRPr="00072C3D">
        <w:rPr>
          <w:rFonts w:ascii="Cambria" w:eastAsia="Arial Unicode MS" w:hAnsi="Cambria" w:cstheme="majorBidi"/>
          <w:b/>
          <w:bCs/>
          <w:kern w:val="0"/>
          <w:sz w:val="20"/>
          <w:szCs w:val="20"/>
          <w:bdr w:val="nil"/>
          <w:lang w:eastAsia="en-US"/>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072C3D" w:rsidRPr="00072C3D" w14:paraId="48DF798A" w14:textId="77777777" w:rsidTr="00E15BCB">
        <w:trPr>
          <w:cantSplit/>
        </w:trPr>
        <w:tc>
          <w:tcPr>
            <w:tcW w:w="3690" w:type="dxa"/>
            <w:tcBorders>
              <w:top w:val="single" w:sz="4" w:space="0" w:color="auto"/>
              <w:bottom w:val="single" w:sz="6" w:space="0" w:color="auto"/>
            </w:tcBorders>
            <w:shd w:val="clear" w:color="auto" w:fill="67AE3C"/>
            <w:vAlign w:val="center"/>
          </w:tcPr>
          <w:p w14:paraId="732A6FD8" w14:textId="77777777" w:rsidR="00072C3D" w:rsidRPr="00072C3D" w:rsidRDefault="00072C3D" w:rsidP="00072C3D">
            <w:pPr>
              <w:jc w:val="center"/>
              <w:rPr>
                <w:rFonts w:ascii="Cambria" w:hAnsi="Cambria" w:cstheme="majorBidi"/>
                <w:b/>
                <w:bCs/>
                <w:i/>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personae:</w:t>
            </w:r>
          </w:p>
        </w:tc>
        <w:tc>
          <w:tcPr>
            <w:tcW w:w="5670" w:type="dxa"/>
            <w:vAlign w:val="center"/>
          </w:tcPr>
          <w:p w14:paraId="3E11B87D" w14:textId="77777777" w:rsidR="00072C3D" w:rsidRPr="00072C3D" w:rsidRDefault="00072C3D" w:rsidP="00072C3D">
            <w:pPr>
              <w:rPr>
                <w:rFonts w:ascii="Cambria" w:hAnsi="Cambria" w:cstheme="majorBidi"/>
                <w:bCs/>
                <w:lang w:val="en-US" w:eastAsia="en-US"/>
              </w:rPr>
            </w:pPr>
            <w:r w:rsidRPr="00072C3D">
              <w:rPr>
                <w:rFonts w:ascii="Cambria" w:hAnsi="Cambria" w:cstheme="majorBidi"/>
                <w:bCs/>
                <w:lang w:val="en-US" w:eastAsia="en-US"/>
              </w:rPr>
              <w:t>Yes</w:t>
            </w:r>
          </w:p>
        </w:tc>
      </w:tr>
      <w:tr w:rsidR="00072C3D" w:rsidRPr="00072C3D" w14:paraId="7887BF1A" w14:textId="77777777" w:rsidTr="00E15BCB">
        <w:trPr>
          <w:cantSplit/>
        </w:trPr>
        <w:tc>
          <w:tcPr>
            <w:tcW w:w="3690" w:type="dxa"/>
            <w:tcBorders>
              <w:top w:val="single" w:sz="6" w:space="0" w:color="auto"/>
              <w:bottom w:val="single" w:sz="6" w:space="0" w:color="auto"/>
            </w:tcBorders>
            <w:shd w:val="clear" w:color="auto" w:fill="67AE3C"/>
            <w:vAlign w:val="center"/>
          </w:tcPr>
          <w:p w14:paraId="40466CB6"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loci</w:t>
            </w:r>
            <w:r w:rsidRPr="00072C3D">
              <w:rPr>
                <w:rFonts w:ascii="Cambria" w:hAnsi="Cambria" w:cstheme="majorBidi"/>
                <w:b/>
                <w:bCs/>
                <w:color w:val="FFFFFF" w:themeColor="background1"/>
                <w:lang w:val="en-US" w:eastAsia="en-US"/>
              </w:rPr>
              <w:t>:</w:t>
            </w:r>
          </w:p>
        </w:tc>
        <w:tc>
          <w:tcPr>
            <w:tcW w:w="5670" w:type="dxa"/>
            <w:vAlign w:val="center"/>
          </w:tcPr>
          <w:p w14:paraId="68C56A31" w14:textId="77777777" w:rsidR="00072C3D" w:rsidRPr="00072C3D" w:rsidRDefault="00072C3D" w:rsidP="00072C3D">
            <w:pPr>
              <w:rPr>
                <w:rFonts w:ascii="Cambria" w:hAnsi="Cambria" w:cstheme="majorBidi"/>
                <w:bCs/>
                <w:lang w:val="en-US" w:eastAsia="en-US"/>
              </w:rPr>
            </w:pPr>
            <w:r w:rsidRPr="00072C3D">
              <w:rPr>
                <w:rFonts w:ascii="Cambria" w:hAnsi="Cambria" w:cstheme="majorBidi"/>
                <w:bCs/>
                <w:lang w:val="en-US" w:eastAsia="en-US"/>
              </w:rPr>
              <w:t>Yes</w:t>
            </w:r>
          </w:p>
        </w:tc>
      </w:tr>
      <w:tr w:rsidR="00072C3D" w:rsidRPr="00072C3D" w14:paraId="6DF6ACB2" w14:textId="77777777" w:rsidTr="00E15BCB">
        <w:trPr>
          <w:cantSplit/>
        </w:trPr>
        <w:tc>
          <w:tcPr>
            <w:tcW w:w="3690" w:type="dxa"/>
            <w:tcBorders>
              <w:top w:val="single" w:sz="6" w:space="0" w:color="auto"/>
              <w:bottom w:val="single" w:sz="6" w:space="0" w:color="auto"/>
            </w:tcBorders>
            <w:shd w:val="clear" w:color="auto" w:fill="67AE3C"/>
            <w:vAlign w:val="center"/>
          </w:tcPr>
          <w:p w14:paraId="0ABB3877"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temporis</w:t>
            </w:r>
            <w:r w:rsidRPr="00072C3D">
              <w:rPr>
                <w:rFonts w:ascii="Cambria" w:hAnsi="Cambria" w:cstheme="majorBidi"/>
                <w:b/>
                <w:bCs/>
                <w:color w:val="FFFFFF" w:themeColor="background1"/>
                <w:lang w:val="en-US" w:eastAsia="en-US"/>
              </w:rPr>
              <w:t>:</w:t>
            </w:r>
          </w:p>
        </w:tc>
        <w:tc>
          <w:tcPr>
            <w:tcW w:w="5670" w:type="dxa"/>
            <w:vAlign w:val="center"/>
          </w:tcPr>
          <w:p w14:paraId="4B71F5FC" w14:textId="77777777" w:rsidR="00072C3D" w:rsidRPr="00072C3D" w:rsidRDefault="00072C3D" w:rsidP="00072C3D">
            <w:pPr>
              <w:rPr>
                <w:rFonts w:ascii="Cambria" w:hAnsi="Cambria" w:cstheme="majorBidi"/>
                <w:bCs/>
                <w:lang w:val="en-US" w:eastAsia="en-US"/>
              </w:rPr>
            </w:pPr>
            <w:r w:rsidRPr="00072C3D">
              <w:rPr>
                <w:rFonts w:ascii="Cambria" w:hAnsi="Cambria" w:cstheme="majorBidi"/>
                <w:bCs/>
                <w:lang w:val="en-US" w:eastAsia="en-US"/>
              </w:rPr>
              <w:t>Yes</w:t>
            </w:r>
          </w:p>
        </w:tc>
      </w:tr>
      <w:tr w:rsidR="00072C3D" w:rsidRPr="00072C3D" w14:paraId="4D476222" w14:textId="77777777" w:rsidTr="00E15BCB">
        <w:trPr>
          <w:cantSplit/>
        </w:trPr>
        <w:tc>
          <w:tcPr>
            <w:tcW w:w="3690" w:type="dxa"/>
            <w:tcBorders>
              <w:top w:val="single" w:sz="6" w:space="0" w:color="auto"/>
              <w:bottom w:val="single" w:sz="6" w:space="0" w:color="auto"/>
            </w:tcBorders>
            <w:shd w:val="clear" w:color="auto" w:fill="67AE3C"/>
            <w:vAlign w:val="center"/>
          </w:tcPr>
          <w:p w14:paraId="2B4C14F0"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materiae</w:t>
            </w:r>
            <w:r w:rsidRPr="00072C3D">
              <w:rPr>
                <w:rFonts w:ascii="Cambria" w:hAnsi="Cambria" w:cstheme="majorBidi"/>
                <w:b/>
                <w:bCs/>
                <w:color w:val="FFFFFF" w:themeColor="background1"/>
                <w:lang w:val="en-US" w:eastAsia="en-US"/>
              </w:rPr>
              <w:t>:</w:t>
            </w:r>
          </w:p>
        </w:tc>
        <w:tc>
          <w:tcPr>
            <w:tcW w:w="5670" w:type="dxa"/>
            <w:vAlign w:val="center"/>
          </w:tcPr>
          <w:p w14:paraId="20CC00CC" w14:textId="77777777" w:rsidR="00072C3D" w:rsidRPr="00072C3D" w:rsidRDefault="00072C3D" w:rsidP="00072C3D">
            <w:pPr>
              <w:jc w:val="both"/>
              <w:rPr>
                <w:rFonts w:ascii="Cambria" w:hAnsi="Cambria" w:cstheme="majorBidi"/>
                <w:bCs/>
                <w:lang w:val="en-US" w:eastAsia="en-US"/>
              </w:rPr>
            </w:pPr>
            <w:r w:rsidRPr="00072C3D">
              <w:rPr>
                <w:rFonts w:ascii="Cambria" w:hAnsi="Cambria" w:cstheme="majorBidi"/>
                <w:bCs/>
                <w:lang w:val="en-US" w:eastAsia="en-US"/>
              </w:rPr>
              <w:t>Yes, American Convention (deposit of instrument of ratification done July 31, 1973)</w:t>
            </w:r>
          </w:p>
        </w:tc>
      </w:tr>
    </w:tbl>
    <w:p w14:paraId="468C8BE4" w14:textId="77777777" w:rsidR="00072C3D" w:rsidRPr="00072C3D" w:rsidRDefault="00072C3D" w:rsidP="00072C3D">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t xml:space="preserve">IV. </w:t>
      </w:r>
      <w:r w:rsidRPr="00072C3D">
        <w:rPr>
          <w:rFonts w:ascii="Cambria" w:eastAsia="Arial Unicode MS" w:hAnsi="Cambria" w:cstheme="majorBidi"/>
          <w:b/>
          <w:bCs/>
          <w:kern w:val="0"/>
          <w:sz w:val="20"/>
          <w:szCs w:val="20"/>
          <w:bdr w:val="nil"/>
          <w:lang w:eastAsia="en-US"/>
        </w:rPr>
        <w:tab/>
        <w:t xml:space="preserve">DUPLICATION OF PROCEDURES AND INTERNATIONAL </w:t>
      </w:r>
      <w:r w:rsidRPr="00072C3D">
        <w:rPr>
          <w:rFonts w:ascii="Cambria" w:eastAsia="Arial Unicode MS" w:hAnsi="Cambria" w:cstheme="majorBidi"/>
          <w:b/>
          <w:bCs/>
          <w:i/>
          <w:kern w:val="0"/>
          <w:sz w:val="20"/>
          <w:szCs w:val="20"/>
          <w:bdr w:val="nil"/>
          <w:lang w:eastAsia="en-US"/>
        </w:rPr>
        <w:t>RES JUDICATA</w:t>
      </w:r>
      <w:r w:rsidRPr="00072C3D">
        <w:rPr>
          <w:rFonts w:ascii="Cambria" w:eastAsia="Arial Unicode MS" w:hAnsi="Cambria" w:cstheme="majorBidi"/>
          <w:b/>
          <w:bCs/>
          <w:kern w:val="0"/>
          <w:sz w:val="20"/>
          <w:szCs w:val="20"/>
          <w:bdr w:val="nil"/>
          <w:lang w:eastAsia="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072C3D" w:rsidRPr="00072C3D" w14:paraId="4FA3FFBF" w14:textId="77777777" w:rsidTr="00E15BCB">
        <w:trPr>
          <w:cantSplit/>
        </w:trPr>
        <w:tc>
          <w:tcPr>
            <w:tcW w:w="3690" w:type="dxa"/>
            <w:tcBorders>
              <w:top w:val="single" w:sz="4" w:space="0" w:color="auto"/>
              <w:bottom w:val="single" w:sz="6" w:space="0" w:color="auto"/>
            </w:tcBorders>
            <w:shd w:val="clear" w:color="auto" w:fill="67AE3C"/>
            <w:vAlign w:val="center"/>
          </w:tcPr>
          <w:p w14:paraId="18DF85FE"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 xml:space="preserve">Duplication of procedures and International </w:t>
            </w:r>
            <w:r w:rsidRPr="00072C3D">
              <w:rPr>
                <w:rFonts w:ascii="Cambria" w:hAnsi="Cambria" w:cstheme="majorBidi"/>
                <w:b/>
                <w:bCs/>
                <w:i/>
                <w:color w:val="FFFFFF" w:themeColor="background1"/>
                <w:lang w:val="en-US" w:eastAsia="en-US"/>
              </w:rPr>
              <w:t>res judicata</w:t>
            </w:r>
            <w:r w:rsidRPr="00072C3D">
              <w:rPr>
                <w:rFonts w:ascii="Cambria" w:hAnsi="Cambria" w:cstheme="majorBidi"/>
                <w:b/>
                <w:bCs/>
                <w:color w:val="FFFFFF" w:themeColor="background1"/>
                <w:lang w:val="en-US" w:eastAsia="en-US"/>
              </w:rPr>
              <w:t>:</w:t>
            </w:r>
          </w:p>
        </w:tc>
        <w:tc>
          <w:tcPr>
            <w:tcW w:w="5670" w:type="dxa"/>
            <w:vAlign w:val="center"/>
          </w:tcPr>
          <w:p w14:paraId="522424C8" w14:textId="77777777" w:rsidR="00072C3D" w:rsidRPr="00072C3D" w:rsidRDefault="00072C3D" w:rsidP="00072C3D">
            <w:pPr>
              <w:jc w:val="both"/>
              <w:rPr>
                <w:rFonts w:ascii="Cambria" w:hAnsi="Cambria" w:cstheme="majorBidi"/>
                <w:bCs/>
                <w:lang w:val="en-US" w:eastAsia="en-US"/>
              </w:rPr>
            </w:pPr>
            <w:r w:rsidRPr="00072C3D">
              <w:rPr>
                <w:rFonts w:ascii="Cambria" w:hAnsi="Cambria" w:cstheme="majorBidi"/>
                <w:bCs/>
                <w:lang w:val="en-US" w:eastAsia="en-US"/>
              </w:rPr>
              <w:t>No</w:t>
            </w:r>
          </w:p>
        </w:tc>
      </w:tr>
      <w:tr w:rsidR="00072C3D" w:rsidRPr="00072C3D" w14:paraId="3696886A" w14:textId="77777777" w:rsidTr="00E15BCB">
        <w:trPr>
          <w:cantSplit/>
        </w:trPr>
        <w:tc>
          <w:tcPr>
            <w:tcW w:w="3690" w:type="dxa"/>
            <w:tcBorders>
              <w:top w:val="single" w:sz="6" w:space="0" w:color="auto"/>
              <w:bottom w:val="single" w:sz="6" w:space="0" w:color="auto"/>
            </w:tcBorders>
            <w:shd w:val="clear" w:color="auto" w:fill="67AE3C"/>
            <w:vAlign w:val="center"/>
          </w:tcPr>
          <w:p w14:paraId="61971C39" w14:textId="77777777" w:rsidR="00072C3D" w:rsidRPr="00072C3D" w:rsidRDefault="00072C3D" w:rsidP="00072C3D">
            <w:pPr>
              <w:jc w:val="center"/>
              <w:rPr>
                <w:rFonts w:ascii="Cambria" w:hAnsi="Cambria" w:cstheme="majorBidi"/>
                <w:b/>
                <w:bCs/>
                <w:i/>
                <w:color w:val="FFFFFF" w:themeColor="background1"/>
                <w:lang w:val="en-US" w:eastAsia="en-US"/>
              </w:rPr>
            </w:pPr>
            <w:r w:rsidRPr="00072C3D">
              <w:rPr>
                <w:rFonts w:ascii="Cambria" w:hAnsi="Cambria" w:cstheme="majorBidi"/>
                <w:b/>
                <w:bCs/>
                <w:color w:val="FFFFFF" w:themeColor="background1"/>
                <w:lang w:val="en-US" w:eastAsia="en-US"/>
              </w:rPr>
              <w:t>Rights declared admissible</w:t>
            </w:r>
          </w:p>
        </w:tc>
        <w:tc>
          <w:tcPr>
            <w:tcW w:w="5670" w:type="dxa"/>
            <w:vAlign w:val="center"/>
          </w:tcPr>
          <w:p w14:paraId="7D22AEBD" w14:textId="60C28F73" w:rsidR="00072C3D" w:rsidRPr="00072C3D" w:rsidRDefault="00A46D5E" w:rsidP="00072C3D">
            <w:pPr>
              <w:jc w:val="both"/>
              <w:rPr>
                <w:rFonts w:ascii="Cambria" w:hAnsi="Cambria" w:cstheme="majorBidi"/>
                <w:bCs/>
                <w:lang w:val="en-US" w:eastAsia="en-US"/>
              </w:rPr>
            </w:pPr>
            <w:r w:rsidRPr="00CB3C0E">
              <w:rPr>
                <w:rFonts w:ascii="Cambria" w:hAnsi="Cambria" w:cstheme="majorBidi"/>
                <w:bCs/>
                <w:lang w:val="en-US" w:eastAsia="en-US"/>
              </w:rPr>
              <w:t>None</w:t>
            </w:r>
          </w:p>
        </w:tc>
      </w:tr>
      <w:tr w:rsidR="00072C3D" w:rsidRPr="00072C3D" w14:paraId="5FF23A1C" w14:textId="77777777" w:rsidTr="00E15BCB">
        <w:trPr>
          <w:cantSplit/>
        </w:trPr>
        <w:tc>
          <w:tcPr>
            <w:tcW w:w="3690" w:type="dxa"/>
            <w:tcBorders>
              <w:top w:val="single" w:sz="6" w:space="0" w:color="auto"/>
              <w:bottom w:val="single" w:sz="6" w:space="0" w:color="auto"/>
            </w:tcBorders>
            <w:shd w:val="clear" w:color="auto" w:fill="67AE3C"/>
            <w:vAlign w:val="center"/>
          </w:tcPr>
          <w:p w14:paraId="47FC18CF"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Exhaustion of domestic remedies or applicability of an exception to the rule:</w:t>
            </w:r>
          </w:p>
        </w:tc>
        <w:tc>
          <w:tcPr>
            <w:tcW w:w="5670" w:type="dxa"/>
            <w:vAlign w:val="center"/>
          </w:tcPr>
          <w:p w14:paraId="2D508FEC" w14:textId="622E69BF" w:rsidR="00072C3D" w:rsidRPr="00072C3D" w:rsidRDefault="00A46D5E" w:rsidP="00072C3D">
            <w:pPr>
              <w:rPr>
                <w:rFonts w:ascii="Cambria" w:hAnsi="Cambria" w:cstheme="majorBidi"/>
                <w:bCs/>
                <w:lang w:val="en-US" w:eastAsia="en-US"/>
              </w:rPr>
            </w:pPr>
            <w:r w:rsidRPr="00CB3C0E">
              <w:rPr>
                <w:rFonts w:ascii="Cambria" w:hAnsi="Cambria" w:cstheme="majorBidi"/>
                <w:bCs/>
                <w:lang w:val="en-US" w:eastAsia="en-US"/>
              </w:rPr>
              <w:t xml:space="preserve">No, </w:t>
            </w:r>
            <w:r w:rsidR="00072C3D" w:rsidRPr="00072C3D">
              <w:rPr>
                <w:rFonts w:ascii="Cambria" w:hAnsi="Cambria" w:cstheme="majorBidi"/>
                <w:bCs/>
                <w:lang w:val="en-US" w:eastAsia="en-US"/>
              </w:rPr>
              <w:t>in the terms of Section VI</w:t>
            </w:r>
          </w:p>
          <w:p w14:paraId="06AE1898" w14:textId="77777777" w:rsidR="00072C3D" w:rsidRPr="00072C3D" w:rsidRDefault="00072C3D" w:rsidP="00072C3D">
            <w:pPr>
              <w:rPr>
                <w:rFonts w:ascii="Cambria" w:hAnsi="Cambria" w:cstheme="majorBidi"/>
                <w:bCs/>
                <w:lang w:val="en-US" w:eastAsia="en-US"/>
              </w:rPr>
            </w:pPr>
          </w:p>
        </w:tc>
      </w:tr>
      <w:tr w:rsidR="00072C3D" w:rsidRPr="00072C3D" w14:paraId="54BC4D26" w14:textId="77777777" w:rsidTr="00E15BCB">
        <w:trPr>
          <w:cantSplit/>
        </w:trPr>
        <w:tc>
          <w:tcPr>
            <w:tcW w:w="3690" w:type="dxa"/>
            <w:tcBorders>
              <w:top w:val="single" w:sz="6" w:space="0" w:color="auto"/>
              <w:bottom w:val="single" w:sz="6" w:space="0" w:color="auto"/>
            </w:tcBorders>
            <w:shd w:val="clear" w:color="auto" w:fill="67AE3C"/>
            <w:vAlign w:val="center"/>
          </w:tcPr>
          <w:p w14:paraId="6AAC3B88" w14:textId="77777777" w:rsidR="00072C3D" w:rsidRPr="00072C3D" w:rsidRDefault="00072C3D" w:rsidP="00072C3D">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Timeliness of the petition:</w:t>
            </w:r>
          </w:p>
        </w:tc>
        <w:tc>
          <w:tcPr>
            <w:tcW w:w="5670" w:type="dxa"/>
            <w:vAlign w:val="center"/>
          </w:tcPr>
          <w:p w14:paraId="6C74B7CE" w14:textId="36814873" w:rsidR="00072C3D" w:rsidRPr="00072C3D" w:rsidRDefault="00A46D5E" w:rsidP="00072C3D">
            <w:pPr>
              <w:rPr>
                <w:rFonts w:ascii="Cambria" w:hAnsi="Cambria" w:cstheme="majorBidi"/>
                <w:bCs/>
                <w:lang w:val="en-US" w:eastAsia="en-US"/>
              </w:rPr>
            </w:pPr>
            <w:r w:rsidRPr="00CB3C0E">
              <w:rPr>
                <w:rFonts w:ascii="Cambria" w:hAnsi="Cambria" w:cstheme="majorBidi"/>
                <w:bCs/>
                <w:lang w:val="en-US" w:eastAsia="en-US"/>
              </w:rPr>
              <w:t xml:space="preserve">No, </w:t>
            </w:r>
            <w:r w:rsidR="00072C3D" w:rsidRPr="00072C3D">
              <w:rPr>
                <w:rFonts w:ascii="Cambria" w:hAnsi="Cambria" w:cstheme="majorBidi"/>
                <w:bCs/>
                <w:lang w:val="en-US" w:eastAsia="en-US"/>
              </w:rPr>
              <w:t>in the terms of Section VI</w:t>
            </w:r>
          </w:p>
        </w:tc>
      </w:tr>
    </w:tbl>
    <w:p w14:paraId="180DB417" w14:textId="77777777" w:rsidR="00F14DC1" w:rsidRDefault="00F14DC1" w:rsidP="00651C94">
      <w:pPr>
        <w:spacing w:before="240" w:after="240"/>
        <w:ind w:firstLine="720"/>
        <w:jc w:val="both"/>
        <w:rPr>
          <w:rFonts w:ascii="Cambria" w:hAnsi="Cambria"/>
          <w:b/>
          <w:sz w:val="20"/>
          <w:szCs w:val="20"/>
        </w:rPr>
      </w:pPr>
    </w:p>
    <w:p w14:paraId="567A651C" w14:textId="62BD6D0F" w:rsidR="00651C94" w:rsidRPr="00CB3C0E" w:rsidRDefault="00651C94" w:rsidP="00651C94">
      <w:pPr>
        <w:spacing w:before="240" w:after="240"/>
        <w:ind w:firstLine="720"/>
        <w:jc w:val="both"/>
        <w:rPr>
          <w:rFonts w:ascii="Cambria" w:hAnsi="Cambria"/>
          <w:b/>
          <w:sz w:val="20"/>
          <w:szCs w:val="20"/>
        </w:rPr>
      </w:pPr>
      <w:r w:rsidRPr="00CB3C0E">
        <w:rPr>
          <w:rFonts w:ascii="Cambria" w:hAnsi="Cambria"/>
          <w:b/>
          <w:sz w:val="20"/>
          <w:szCs w:val="20"/>
        </w:rPr>
        <w:lastRenderedPageBreak/>
        <w:t xml:space="preserve">V. </w:t>
      </w:r>
      <w:r w:rsidRPr="00CB3C0E">
        <w:rPr>
          <w:rFonts w:ascii="Cambria" w:hAnsi="Cambria"/>
          <w:b/>
          <w:sz w:val="20"/>
          <w:szCs w:val="20"/>
        </w:rPr>
        <w:tab/>
      </w:r>
      <w:r w:rsidR="00F14DC1">
        <w:rPr>
          <w:rFonts w:ascii="Cambria" w:hAnsi="Cambria"/>
          <w:b/>
          <w:sz w:val="20"/>
          <w:szCs w:val="20"/>
        </w:rPr>
        <w:t>PARTIES’ POSITIONS</w:t>
      </w:r>
      <w:r w:rsidRPr="00CB3C0E">
        <w:rPr>
          <w:rFonts w:ascii="Cambria" w:hAnsi="Cambria"/>
          <w:b/>
          <w:sz w:val="20"/>
          <w:szCs w:val="20"/>
        </w:rPr>
        <w:t xml:space="preserve"> </w:t>
      </w:r>
    </w:p>
    <w:p w14:paraId="3085BDD6" w14:textId="77777777" w:rsidR="00651C94" w:rsidRDefault="00651C94" w:rsidP="00651C94">
      <w:pPr>
        <w:pStyle w:val="ListParagraph"/>
        <w:widowControl w:val="0"/>
        <w:autoSpaceDE w:val="0"/>
        <w:autoSpaceDN w:val="0"/>
        <w:spacing w:before="240" w:after="240"/>
        <w:jc w:val="both"/>
        <w:rPr>
          <w:rFonts w:ascii="Cambria" w:hAnsi="Cambria"/>
          <w:i/>
          <w:iCs/>
          <w:sz w:val="20"/>
          <w:szCs w:val="20"/>
        </w:rPr>
      </w:pPr>
      <w:r w:rsidRPr="00CB3C0E">
        <w:rPr>
          <w:rFonts w:ascii="Cambria" w:hAnsi="Cambria"/>
          <w:i/>
          <w:iCs/>
          <w:sz w:val="20"/>
          <w:szCs w:val="20"/>
        </w:rPr>
        <w:t xml:space="preserve">Petitioner </w:t>
      </w:r>
    </w:p>
    <w:p w14:paraId="2FB1682D" w14:textId="77777777" w:rsidR="00672DFC" w:rsidRPr="002E1EEC" w:rsidRDefault="00672DFC" w:rsidP="002E1EEC">
      <w:pPr>
        <w:pStyle w:val="ListParagraph"/>
        <w:widowControl w:val="0"/>
        <w:autoSpaceDE w:val="0"/>
        <w:autoSpaceDN w:val="0"/>
        <w:spacing w:before="240" w:after="240"/>
        <w:ind w:left="0"/>
        <w:jc w:val="both"/>
        <w:rPr>
          <w:rFonts w:ascii="Cambria" w:hAnsi="Cambria"/>
          <w:sz w:val="20"/>
          <w:szCs w:val="20"/>
        </w:rPr>
      </w:pPr>
    </w:p>
    <w:p w14:paraId="15D08C58" w14:textId="3BDA954A"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The petitioner alleges the lack of compensation for the death of Dey Germán Villarreal Cadena at the hands of paramilitary forces with the Bloque Meta y Vichada </w:t>
      </w:r>
      <w:r w:rsidR="00405355">
        <w:rPr>
          <w:rFonts w:ascii="Cambria" w:hAnsi="Cambria"/>
          <w:sz w:val="20"/>
          <w:szCs w:val="20"/>
        </w:rPr>
        <w:t xml:space="preserve">(Meta and Vichada Bloc) </w:t>
      </w:r>
      <w:r w:rsidRPr="00CB3C0E">
        <w:rPr>
          <w:rFonts w:ascii="Cambria" w:hAnsi="Cambria"/>
          <w:sz w:val="20"/>
          <w:szCs w:val="20"/>
        </w:rPr>
        <w:t xml:space="preserve">of the Autodefensas Unidas de Colombia (AUC), as well as for the forced displacement of his family. </w:t>
      </w:r>
    </w:p>
    <w:p w14:paraId="7CA4B806" w14:textId="52866545"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The petitioner recounts that on December 14, 2000, at 11 p.m., armed members of an illegal group stole the family pickup truck, a Toyota Hilux, in the village of Peralonzo, municipality of Puerto López, Meta. Dey Germán Villarreal Cadena and </w:t>
      </w:r>
      <w:r w:rsidR="00B127D2">
        <w:rPr>
          <w:rFonts w:ascii="Cambria" w:hAnsi="Cambria"/>
          <w:sz w:val="20"/>
          <w:szCs w:val="20"/>
        </w:rPr>
        <w:t xml:space="preserve">his </w:t>
      </w:r>
      <w:r w:rsidRPr="00CB3C0E">
        <w:rPr>
          <w:rFonts w:ascii="Cambria" w:hAnsi="Cambria"/>
          <w:sz w:val="20"/>
          <w:szCs w:val="20"/>
        </w:rPr>
        <w:t xml:space="preserve">family </w:t>
      </w:r>
      <w:r w:rsidR="00B127D2">
        <w:rPr>
          <w:rFonts w:ascii="Cambria" w:hAnsi="Cambria"/>
          <w:sz w:val="20"/>
          <w:szCs w:val="20"/>
        </w:rPr>
        <w:t xml:space="preserve">used the pickup truck </w:t>
      </w:r>
      <w:r w:rsidRPr="00CB3C0E">
        <w:rPr>
          <w:rFonts w:ascii="Cambria" w:hAnsi="Cambria"/>
          <w:sz w:val="20"/>
          <w:szCs w:val="20"/>
        </w:rPr>
        <w:t xml:space="preserve">for their work. </w:t>
      </w:r>
    </w:p>
    <w:p w14:paraId="5634B6E3" w14:textId="4A2FB6D1"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On January 1, 2001, Dey Germán Villarreal Cadena was assassinated in the village of Murujuy, municipality of Puerto López, Meta, by paramilitary forces</w:t>
      </w:r>
      <w:r w:rsidR="00837353">
        <w:rPr>
          <w:rFonts w:ascii="Cambria" w:hAnsi="Cambria"/>
          <w:sz w:val="20"/>
          <w:szCs w:val="20"/>
        </w:rPr>
        <w:t>,</w:t>
      </w:r>
      <w:r w:rsidRPr="00CB3C0E">
        <w:rPr>
          <w:rFonts w:ascii="Cambria" w:hAnsi="Cambria"/>
          <w:sz w:val="20"/>
          <w:szCs w:val="20"/>
        </w:rPr>
        <w:t xml:space="preserve"> while defenseless. At the time of the facts Dey Germán Villarreal Cadena was living with Ms. Deicy Janeth Díaz Vargas. His assassination caused serious economic and moral harm that they have not overcome. It is also a</w:t>
      </w:r>
      <w:r w:rsidR="0005211B">
        <w:rPr>
          <w:rFonts w:ascii="Cambria" w:hAnsi="Cambria"/>
          <w:sz w:val="20"/>
          <w:szCs w:val="20"/>
        </w:rPr>
        <w:t xml:space="preserve">rgued </w:t>
      </w:r>
      <w:r w:rsidRPr="00CB3C0E">
        <w:rPr>
          <w:rFonts w:ascii="Cambria" w:hAnsi="Cambria"/>
          <w:sz w:val="20"/>
          <w:szCs w:val="20"/>
        </w:rPr>
        <w:t>that he provided economic and moral support to his mother, Nancy Cadena Castro; his father, Diomedes Villarreal Heredia; his siblings Didier Diomedes Villarreal Cadena and Diana Milena Villarreal Cadena; and his daughter Daniela Mercedes Villarreal D</w:t>
      </w:r>
      <w:r w:rsidRPr="00553DD6">
        <w:rPr>
          <w:rFonts w:ascii="Cambria" w:hAnsi="Cambria"/>
          <w:sz w:val="20"/>
          <w:szCs w:val="20"/>
        </w:rPr>
        <w:t>í</w:t>
      </w:r>
      <w:r w:rsidRPr="00CB3C0E">
        <w:rPr>
          <w:rFonts w:ascii="Cambria" w:hAnsi="Cambria"/>
          <w:sz w:val="20"/>
          <w:szCs w:val="20"/>
        </w:rPr>
        <w:t>az.</w:t>
      </w:r>
    </w:p>
    <w:p w14:paraId="3F591448" w14:textId="532D5CDA"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Subsequently (the petitioner presents the information in this manner, without indicating dates), </w:t>
      </w:r>
      <w:r w:rsidR="007E3F0F">
        <w:rPr>
          <w:rFonts w:ascii="Cambria" w:hAnsi="Cambria"/>
          <w:sz w:val="20"/>
          <w:szCs w:val="20"/>
        </w:rPr>
        <w:t xml:space="preserve">petitioners argue, </w:t>
      </w:r>
      <w:r w:rsidRPr="00CB3C0E">
        <w:rPr>
          <w:rFonts w:ascii="Cambria" w:hAnsi="Cambria"/>
          <w:sz w:val="20"/>
          <w:szCs w:val="20"/>
        </w:rPr>
        <w:t xml:space="preserve">the family’s system for accessing </w:t>
      </w:r>
      <w:r w:rsidR="003E725E" w:rsidRPr="00CB3C0E">
        <w:rPr>
          <w:rFonts w:ascii="Cambria" w:hAnsi="Cambria"/>
          <w:sz w:val="20"/>
          <w:szCs w:val="20"/>
        </w:rPr>
        <w:t>the Internet</w:t>
      </w:r>
      <w:r w:rsidRPr="00CB3C0E">
        <w:rPr>
          <w:rFonts w:ascii="Cambria" w:hAnsi="Cambria"/>
          <w:sz w:val="20"/>
          <w:szCs w:val="20"/>
        </w:rPr>
        <w:t xml:space="preserve"> in the village was sabotaged, which the</w:t>
      </w:r>
      <w:r w:rsidR="00134137">
        <w:rPr>
          <w:rFonts w:ascii="Cambria" w:hAnsi="Cambria"/>
          <w:sz w:val="20"/>
          <w:szCs w:val="20"/>
        </w:rPr>
        <w:t xml:space="preserve"> family</w:t>
      </w:r>
      <w:r w:rsidRPr="00CB3C0E">
        <w:rPr>
          <w:rFonts w:ascii="Cambria" w:hAnsi="Cambria"/>
          <w:sz w:val="20"/>
          <w:szCs w:val="20"/>
        </w:rPr>
        <w:t xml:space="preserve"> interpreted as a threat. In addition, in March 2002 Didier Diomedes Villarreal Cadena, the son of Dey Germán Villarreal Cadena, who was studying </w:t>
      </w:r>
      <w:r w:rsidR="003E725E">
        <w:rPr>
          <w:rFonts w:ascii="Cambria" w:hAnsi="Cambria"/>
          <w:sz w:val="20"/>
          <w:szCs w:val="20"/>
        </w:rPr>
        <w:t>at</w:t>
      </w:r>
      <w:r w:rsidRPr="00CB3C0E">
        <w:rPr>
          <w:rFonts w:ascii="Cambria" w:hAnsi="Cambria"/>
          <w:sz w:val="20"/>
          <w:szCs w:val="20"/>
        </w:rPr>
        <w:t xml:space="preserve"> the Servicio Nacional de Aprendizaje (</w:t>
      </w:r>
      <w:r w:rsidR="003E725E">
        <w:rPr>
          <w:rFonts w:ascii="Cambria" w:hAnsi="Cambria"/>
          <w:sz w:val="20"/>
          <w:szCs w:val="20"/>
        </w:rPr>
        <w:t xml:space="preserve">SENA: </w:t>
      </w:r>
      <w:r w:rsidRPr="00CB3C0E">
        <w:rPr>
          <w:rFonts w:ascii="Cambria" w:hAnsi="Cambria"/>
          <w:sz w:val="20"/>
          <w:szCs w:val="20"/>
        </w:rPr>
        <w:t>National Learning Service), was chased by two motorcycles with four persons</w:t>
      </w:r>
      <w:r w:rsidR="00C41E5E">
        <w:rPr>
          <w:rFonts w:ascii="Cambria" w:hAnsi="Cambria"/>
          <w:sz w:val="20"/>
          <w:szCs w:val="20"/>
        </w:rPr>
        <w:t xml:space="preserve"> in all,</w:t>
      </w:r>
      <w:r w:rsidRPr="00CB3C0E">
        <w:rPr>
          <w:rFonts w:ascii="Cambria" w:hAnsi="Cambria"/>
          <w:sz w:val="20"/>
          <w:szCs w:val="20"/>
        </w:rPr>
        <w:t xml:space="preserve"> who shot at him. As a result, </w:t>
      </w:r>
      <w:r w:rsidR="003238E5">
        <w:rPr>
          <w:rFonts w:ascii="Cambria" w:hAnsi="Cambria"/>
          <w:sz w:val="20"/>
          <w:szCs w:val="20"/>
        </w:rPr>
        <w:t xml:space="preserve">petitioners argue, </w:t>
      </w:r>
      <w:r w:rsidRPr="00CB3C0E">
        <w:rPr>
          <w:rFonts w:ascii="Cambria" w:hAnsi="Cambria"/>
          <w:sz w:val="20"/>
          <w:szCs w:val="20"/>
        </w:rPr>
        <w:t xml:space="preserve">the family was forced to get him out of the village and send him to Bogotá, thereby initiating his forced displacement. </w:t>
      </w:r>
    </w:p>
    <w:p w14:paraId="576BE49F" w14:textId="59EB541E"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The petitioner says that the robbery of the vehicle, the sabotage of the SAI, and the forced displacement are attributable to the Bloque Meta y Vichada of the AUC, and that the Colombian State is responsible for failing in its duty to provide security in the jurisdiction of the municipality of Puerto López, Meta, </w:t>
      </w:r>
      <w:r w:rsidR="00CF2430">
        <w:rPr>
          <w:rFonts w:ascii="Cambria" w:hAnsi="Cambria"/>
          <w:sz w:val="20"/>
          <w:szCs w:val="20"/>
        </w:rPr>
        <w:t xml:space="preserve">in keeping with </w:t>
      </w:r>
      <w:r w:rsidRPr="00CB3C0E">
        <w:rPr>
          <w:rFonts w:ascii="Cambria" w:hAnsi="Cambria"/>
          <w:sz w:val="20"/>
          <w:szCs w:val="20"/>
        </w:rPr>
        <w:t>the international human rights treaties signed by Colombia.</w:t>
      </w:r>
    </w:p>
    <w:p w14:paraId="612E9920" w14:textId="14EDF2B5"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With respect to the domestic proceedings, the petition is quite terse. It indicates that “</w:t>
      </w:r>
      <w:r w:rsidRPr="00CB3C0E">
        <w:rPr>
          <w:rFonts w:ascii="Cambria" w:hAnsi="Cambria"/>
          <w:i/>
          <w:iCs/>
          <w:sz w:val="20"/>
          <w:szCs w:val="20"/>
        </w:rPr>
        <w:t xml:space="preserve">these crimes were reported to the authorities in Colombia, and in the regular proceedings by the Office of the Attorney General.” </w:t>
      </w:r>
      <w:r w:rsidRPr="00CB3C0E">
        <w:rPr>
          <w:rFonts w:ascii="Cambria" w:hAnsi="Cambria"/>
          <w:sz w:val="20"/>
          <w:szCs w:val="20"/>
        </w:rPr>
        <w:t xml:space="preserve">It notes that the instant case was tried in a proceeding under the Law on Justice and Peace, as case number 035768, but the objectives of truth, justice, and reparation were not attained. </w:t>
      </w:r>
    </w:p>
    <w:p w14:paraId="53B55A02" w14:textId="530AB1A3"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In addition, the petitioner generically adduces that the Justice and Peace Courts did not attain the objectives of truth, justice, and reparation </w:t>
      </w:r>
      <w:r w:rsidR="00406856">
        <w:rPr>
          <w:rFonts w:ascii="Cambria" w:hAnsi="Cambria"/>
          <w:sz w:val="20"/>
          <w:szCs w:val="20"/>
        </w:rPr>
        <w:t xml:space="preserve">as </w:t>
      </w:r>
      <w:r w:rsidRPr="00CB3C0E">
        <w:rPr>
          <w:rFonts w:ascii="Cambria" w:hAnsi="Cambria"/>
          <w:sz w:val="20"/>
          <w:szCs w:val="20"/>
        </w:rPr>
        <w:t xml:space="preserve">proposed, for of the 35,200 </w:t>
      </w:r>
      <w:r w:rsidR="000652EA">
        <w:rPr>
          <w:rFonts w:ascii="Cambria" w:hAnsi="Cambria"/>
          <w:sz w:val="20"/>
          <w:szCs w:val="20"/>
        </w:rPr>
        <w:t>perpetrators</w:t>
      </w:r>
      <w:r w:rsidR="00406856">
        <w:rPr>
          <w:rFonts w:ascii="Cambria" w:hAnsi="Cambria"/>
          <w:sz w:val="20"/>
          <w:szCs w:val="20"/>
        </w:rPr>
        <w:t>,</w:t>
      </w:r>
      <w:r w:rsidRPr="00CB3C0E">
        <w:rPr>
          <w:rFonts w:ascii="Cambria" w:hAnsi="Cambria"/>
          <w:sz w:val="20"/>
          <w:szCs w:val="20"/>
        </w:rPr>
        <w:t xml:space="preserve"> only 11 received a judgment</w:t>
      </w:r>
      <w:r w:rsidR="00406856">
        <w:rPr>
          <w:rFonts w:ascii="Cambria" w:hAnsi="Cambria"/>
          <w:sz w:val="20"/>
          <w:szCs w:val="20"/>
        </w:rPr>
        <w:t>,</w:t>
      </w:r>
      <w:r w:rsidRPr="00CB3C0E">
        <w:rPr>
          <w:rFonts w:ascii="Cambria" w:hAnsi="Cambria"/>
          <w:sz w:val="20"/>
          <w:szCs w:val="20"/>
        </w:rPr>
        <w:t xml:space="preserve"> as of 2013</w:t>
      </w:r>
      <w:r w:rsidR="00406856">
        <w:rPr>
          <w:rFonts w:ascii="Cambria" w:hAnsi="Cambria"/>
          <w:sz w:val="20"/>
          <w:szCs w:val="20"/>
        </w:rPr>
        <w:t xml:space="preserve">; and </w:t>
      </w:r>
      <w:r w:rsidRPr="00CB3C0E">
        <w:rPr>
          <w:rFonts w:ascii="Cambria" w:hAnsi="Cambria"/>
          <w:sz w:val="20"/>
          <w:szCs w:val="20"/>
        </w:rPr>
        <w:t xml:space="preserve">reparation had been made to approximately 5% of </w:t>
      </w:r>
      <w:r w:rsidR="001A62B6" w:rsidRPr="00CB3C0E">
        <w:rPr>
          <w:rFonts w:ascii="Cambria" w:hAnsi="Cambria"/>
          <w:sz w:val="20"/>
          <w:szCs w:val="20"/>
        </w:rPr>
        <w:t>the 6 million victims</w:t>
      </w:r>
      <w:r w:rsidRPr="00CB3C0E">
        <w:rPr>
          <w:rFonts w:ascii="Cambria" w:hAnsi="Cambria"/>
          <w:sz w:val="20"/>
          <w:szCs w:val="20"/>
        </w:rPr>
        <w:t xml:space="preserve">. </w:t>
      </w:r>
    </w:p>
    <w:p w14:paraId="6F4AE274" w14:textId="2D3DDF25"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In conclusion, petitioner</w:t>
      </w:r>
      <w:r w:rsidR="001A62B6">
        <w:rPr>
          <w:rFonts w:ascii="Cambria" w:hAnsi="Cambria"/>
          <w:sz w:val="20"/>
          <w:szCs w:val="20"/>
        </w:rPr>
        <w:t>s</w:t>
      </w:r>
      <w:r w:rsidRPr="00CB3C0E">
        <w:rPr>
          <w:rFonts w:ascii="Cambria" w:hAnsi="Cambria"/>
          <w:sz w:val="20"/>
          <w:szCs w:val="20"/>
        </w:rPr>
        <w:t xml:space="preserve"> ask the IACHR to order the State to pay fair compensation to the family members of Dey Germán Villareal Cadena for the moral and economic harm caused. </w:t>
      </w:r>
    </w:p>
    <w:p w14:paraId="26DE7347" w14:textId="77777777" w:rsidR="00651C94" w:rsidRDefault="00651C94" w:rsidP="00651C94">
      <w:pPr>
        <w:pStyle w:val="ListParagraph"/>
        <w:widowControl w:val="0"/>
        <w:autoSpaceDE w:val="0"/>
        <w:autoSpaceDN w:val="0"/>
        <w:spacing w:before="240" w:after="240"/>
        <w:jc w:val="both"/>
        <w:rPr>
          <w:rFonts w:ascii="Cambria" w:hAnsi="Cambria"/>
          <w:i/>
          <w:iCs/>
          <w:sz w:val="20"/>
          <w:szCs w:val="20"/>
        </w:rPr>
      </w:pPr>
      <w:r w:rsidRPr="00CB3C0E">
        <w:rPr>
          <w:rFonts w:ascii="Cambria" w:hAnsi="Cambria"/>
          <w:i/>
          <w:iCs/>
          <w:sz w:val="20"/>
          <w:szCs w:val="20"/>
        </w:rPr>
        <w:t xml:space="preserve">The Colombian State </w:t>
      </w:r>
    </w:p>
    <w:p w14:paraId="6C20AE95" w14:textId="77777777" w:rsidR="0002570A" w:rsidRPr="000652EA" w:rsidRDefault="0002570A" w:rsidP="000652EA">
      <w:pPr>
        <w:pStyle w:val="ListParagraph"/>
        <w:widowControl w:val="0"/>
        <w:autoSpaceDE w:val="0"/>
        <w:autoSpaceDN w:val="0"/>
        <w:spacing w:before="240" w:after="240"/>
        <w:ind w:left="0"/>
        <w:jc w:val="both"/>
        <w:rPr>
          <w:rFonts w:ascii="Cambria" w:hAnsi="Cambria"/>
          <w:sz w:val="20"/>
          <w:szCs w:val="20"/>
        </w:rPr>
      </w:pPr>
    </w:p>
    <w:p w14:paraId="3EF93D70" w14:textId="66F9DCE8"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After presenting its own summary of the facts narrated by the petitioner, the State reports that the Office of the Attorney General, through its Bureau of Transitional Justice, specifically Office 22 Delegate before the Superior Court of the Judicial District, documented the crimes committed by the Bloque Autodefensas Campesinas del Meta y Vichada (hereinafter “ACMV”). This process of documentation was subsequently reassigned to the Sixth Office Delegate before the Superior Court of the Judicial District by Resolution No. 0273 of July 21, 2017. </w:t>
      </w:r>
    </w:p>
    <w:p w14:paraId="7AB6D8EF" w14:textId="67E7E0FC"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lastRenderedPageBreak/>
        <w:t xml:space="preserve">The Office of the Attorney General also </w:t>
      </w:r>
      <w:r w:rsidR="00F27E9D">
        <w:rPr>
          <w:rFonts w:ascii="Cambria" w:hAnsi="Cambria"/>
          <w:sz w:val="20"/>
          <w:szCs w:val="20"/>
        </w:rPr>
        <w:t xml:space="preserve">undertook </w:t>
      </w:r>
      <w:r w:rsidRPr="00CB3C0E">
        <w:rPr>
          <w:rFonts w:ascii="Cambria" w:hAnsi="Cambria"/>
          <w:sz w:val="20"/>
          <w:szCs w:val="20"/>
        </w:rPr>
        <w:t>criminal investigation No. 292760 for the aggravated homicide of Mr. Villareal Cadena. The State mentioned several actions undertaken in the context of this investigation, such as the inspection of the corpse on January 1, 2001; the autopsy protocol of January 2, 2001; the taking of statements from family members and persons close to Dey Germán Villareal Cadena who attested to his death; the review of preliminary investigation No. 35786, undertaken by the Office of the 8</w:t>
      </w:r>
      <w:r w:rsidRPr="00CB3C0E">
        <w:rPr>
          <w:rFonts w:ascii="Cambria" w:hAnsi="Cambria"/>
          <w:sz w:val="20"/>
          <w:szCs w:val="20"/>
          <w:vertAlign w:val="superscript"/>
        </w:rPr>
        <w:t>th</w:t>
      </w:r>
      <w:r w:rsidRPr="00CB3C0E">
        <w:rPr>
          <w:rFonts w:ascii="Cambria" w:hAnsi="Cambria"/>
          <w:sz w:val="20"/>
          <w:szCs w:val="20"/>
        </w:rPr>
        <w:t xml:space="preserve"> Departmental Prosecutor of Villavicencio. In addition, the </w:t>
      </w:r>
      <w:r w:rsidR="00F27E9D">
        <w:rPr>
          <w:rFonts w:ascii="Cambria" w:hAnsi="Cambria"/>
          <w:sz w:val="20"/>
          <w:szCs w:val="20"/>
        </w:rPr>
        <w:t xml:space="preserve">Office of the Attorney General </w:t>
      </w:r>
      <w:r w:rsidRPr="00CB3C0E">
        <w:rPr>
          <w:rFonts w:ascii="Cambria" w:hAnsi="Cambria"/>
          <w:sz w:val="20"/>
          <w:szCs w:val="20"/>
        </w:rPr>
        <w:t xml:space="preserve">took into account the unsworn statements of the </w:t>
      </w:r>
      <w:r w:rsidR="004E03A0">
        <w:rPr>
          <w:rFonts w:ascii="Cambria" w:hAnsi="Cambria"/>
          <w:sz w:val="20"/>
          <w:szCs w:val="20"/>
        </w:rPr>
        <w:t xml:space="preserve">candidates (for benefits of the Justice and Peace Law) </w:t>
      </w:r>
      <w:r w:rsidRPr="00CB3C0E">
        <w:rPr>
          <w:rFonts w:ascii="Cambria" w:hAnsi="Cambria"/>
          <w:sz w:val="20"/>
          <w:szCs w:val="20"/>
        </w:rPr>
        <w:t xml:space="preserve">José Baldomero Linares Moreno (December 23, 2008 and January 28, 2010) and Miguel Ángel Achury Peñuela (January 28, 2010 and December 23, 2008), </w:t>
      </w:r>
      <w:r w:rsidR="00217AD7">
        <w:rPr>
          <w:rFonts w:ascii="Cambria" w:hAnsi="Cambria"/>
          <w:sz w:val="20"/>
          <w:szCs w:val="20"/>
        </w:rPr>
        <w:t xml:space="preserve">both seeking to be judged by the Justice and Peace Courts, </w:t>
      </w:r>
      <w:r w:rsidR="004E03A0">
        <w:rPr>
          <w:rFonts w:ascii="Cambria" w:hAnsi="Cambria"/>
          <w:sz w:val="20"/>
          <w:szCs w:val="20"/>
        </w:rPr>
        <w:t xml:space="preserve">and </w:t>
      </w:r>
      <w:r w:rsidRPr="00CB3C0E">
        <w:rPr>
          <w:rFonts w:ascii="Cambria" w:hAnsi="Cambria"/>
          <w:sz w:val="20"/>
          <w:szCs w:val="20"/>
        </w:rPr>
        <w:t>who confessed their participation in the homicide of Mr. Dey Germán Villareal Cadena. According to the State, the actions of the Office of the Attorney General made it possible to clarify the facts and to identify, as mediate perpetrators of the death of Mr. Villarreal, José Baldomero Linares, Rafael Salgado Merchán, and as co-perpetrator Miguel Ángel Achury Peñuela, all members of the ACMV.</w:t>
      </w:r>
    </w:p>
    <w:p w14:paraId="53AD5491" w14:textId="09542957"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The State also reports that in the context of the proceedings of the Justice and Peace Courts, on December 6, 2013, the Superior Court of Bogotá handed down a judgment in proceeding No. 11-001-60-00253-2006-80531. In that judgment the court convicted José Baldomero Linares, Rafael Salgado Merchán, and Miguel Ángel Achury Peñuela of the crime of homicide of a protected person with respect to the death of Dey Germán Villareal Cadena, imposing 40-year prison terms </w:t>
      </w:r>
      <w:r w:rsidR="000F2D56">
        <w:rPr>
          <w:rFonts w:ascii="Cambria" w:hAnsi="Cambria"/>
          <w:sz w:val="20"/>
          <w:szCs w:val="20"/>
        </w:rPr>
        <w:t xml:space="preserve">on each of them. </w:t>
      </w:r>
      <w:r w:rsidRPr="00CB3C0E">
        <w:rPr>
          <w:rFonts w:ascii="Cambria" w:hAnsi="Cambria"/>
          <w:sz w:val="20"/>
          <w:szCs w:val="20"/>
        </w:rPr>
        <w:t>The judgment also held them liable for the crimes of illegal use of uniforms and insignia, homicide of a protected person, homicide of a protected person in the modality of attempt, forced disappearance, forced displacement of the civilian population,</w:t>
      </w:r>
      <w:r w:rsidR="00522A19">
        <w:rPr>
          <w:rFonts w:ascii="Cambria" w:hAnsi="Cambria"/>
          <w:sz w:val="20"/>
          <w:szCs w:val="20"/>
        </w:rPr>
        <w:t xml:space="preserve"> aggravated </w:t>
      </w:r>
      <w:r w:rsidR="006A3E46">
        <w:rPr>
          <w:rFonts w:ascii="Cambria" w:hAnsi="Cambria"/>
          <w:sz w:val="20"/>
          <w:szCs w:val="20"/>
        </w:rPr>
        <w:t xml:space="preserve">larceny </w:t>
      </w:r>
      <w:r w:rsidRPr="00CB3C0E">
        <w:rPr>
          <w:rFonts w:ascii="Cambria" w:hAnsi="Cambria"/>
          <w:sz w:val="20"/>
          <w:szCs w:val="20"/>
        </w:rPr>
        <w:t>(</w:t>
      </w:r>
      <w:r w:rsidRPr="00522A19">
        <w:rPr>
          <w:rFonts w:ascii="Cambria" w:hAnsi="Cambria"/>
          <w:i/>
          <w:iCs/>
          <w:sz w:val="20"/>
          <w:szCs w:val="20"/>
        </w:rPr>
        <w:t>hurto calificado y agravado</w:t>
      </w:r>
      <w:r w:rsidRPr="00CB3C0E">
        <w:rPr>
          <w:rFonts w:ascii="Cambria" w:hAnsi="Cambria"/>
          <w:sz w:val="20"/>
          <w:szCs w:val="20"/>
        </w:rPr>
        <w:t xml:space="preserve">), </w:t>
      </w:r>
      <w:r w:rsidR="002259C9">
        <w:rPr>
          <w:rFonts w:ascii="Cambria" w:hAnsi="Cambria"/>
          <w:sz w:val="20"/>
          <w:szCs w:val="20"/>
        </w:rPr>
        <w:t xml:space="preserve">unaggravated </w:t>
      </w:r>
      <w:r w:rsidRPr="00CB3C0E">
        <w:rPr>
          <w:rFonts w:ascii="Cambria" w:hAnsi="Cambria"/>
          <w:sz w:val="20"/>
          <w:szCs w:val="20"/>
        </w:rPr>
        <w:t>and aggravated kidnapping, acts of terrorism, torture of a protected person, destruction and appropriation of protected property, exac</w:t>
      </w:r>
      <w:r w:rsidR="00153F63">
        <w:rPr>
          <w:rFonts w:ascii="Cambria" w:hAnsi="Cambria"/>
          <w:sz w:val="20"/>
          <w:szCs w:val="20"/>
        </w:rPr>
        <w:t xml:space="preserve">tion </w:t>
      </w:r>
      <w:r w:rsidRPr="00CB3C0E">
        <w:rPr>
          <w:rFonts w:ascii="Cambria" w:hAnsi="Cambria"/>
          <w:sz w:val="20"/>
          <w:szCs w:val="20"/>
        </w:rPr>
        <w:t xml:space="preserve">or arbitrary contributions, and unlawful recruitment of minors </w:t>
      </w:r>
      <w:r w:rsidR="002B4EF6">
        <w:rPr>
          <w:rFonts w:ascii="Cambria" w:hAnsi="Cambria"/>
          <w:sz w:val="20"/>
          <w:szCs w:val="20"/>
        </w:rPr>
        <w:t xml:space="preserve">all stemming from </w:t>
      </w:r>
      <w:r w:rsidRPr="00CB3C0E">
        <w:rPr>
          <w:rFonts w:ascii="Cambria" w:hAnsi="Cambria"/>
          <w:sz w:val="20"/>
          <w:szCs w:val="20"/>
        </w:rPr>
        <w:t xml:space="preserve">their paramilitary activities. </w:t>
      </w:r>
    </w:p>
    <w:p w14:paraId="3B920F60" w14:textId="707E6C3E" w:rsidR="00651C94" w:rsidRPr="00CB3C0E" w:rsidRDefault="00651C94" w:rsidP="00651C94">
      <w:pPr>
        <w:pStyle w:val="ListParagraph"/>
        <w:widowControl w:val="0"/>
        <w:numPr>
          <w:ilvl w:val="0"/>
          <w:numId w:val="1"/>
        </w:numPr>
        <w:pBdr>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The family members of Dey Germán Villareal Cadena filed a motion for appeal, arguing that the Court had failed to include the crimes of forced displacement and </w:t>
      </w:r>
      <w:r w:rsidR="00FF74F1">
        <w:rPr>
          <w:rFonts w:ascii="Cambria" w:hAnsi="Cambria"/>
          <w:sz w:val="20"/>
          <w:szCs w:val="20"/>
        </w:rPr>
        <w:t>larceny</w:t>
      </w:r>
      <w:r w:rsidRPr="00CB3C0E">
        <w:rPr>
          <w:rFonts w:ascii="Cambria" w:hAnsi="Cambria"/>
          <w:sz w:val="20"/>
          <w:szCs w:val="20"/>
        </w:rPr>
        <w:t xml:space="preserve"> among the conduct of which they were accused. On June 17, 2015, the Chamber of Criminal Cassation of the Supreme Court of Justice affirmed the judgment after considering, in summary, that the </w:t>
      </w:r>
      <w:r w:rsidR="006A2B73">
        <w:rPr>
          <w:rFonts w:ascii="Cambria" w:hAnsi="Cambria"/>
          <w:sz w:val="20"/>
          <w:szCs w:val="20"/>
        </w:rPr>
        <w:t xml:space="preserve">candidates (for the benefits) </w:t>
      </w:r>
      <w:r w:rsidRPr="00CB3C0E">
        <w:rPr>
          <w:rFonts w:ascii="Cambria" w:hAnsi="Cambria"/>
          <w:sz w:val="20"/>
          <w:szCs w:val="20"/>
        </w:rPr>
        <w:t xml:space="preserve">did not confess to or accept that the organization to which they belonged was involved in stealing the pickup truck or in the threats </w:t>
      </w:r>
      <w:r w:rsidR="00527912">
        <w:rPr>
          <w:rFonts w:ascii="Cambria" w:hAnsi="Cambria"/>
          <w:sz w:val="20"/>
          <w:szCs w:val="20"/>
        </w:rPr>
        <w:t xml:space="preserve">made </w:t>
      </w:r>
      <w:r w:rsidRPr="00CB3C0E">
        <w:rPr>
          <w:rFonts w:ascii="Cambria" w:hAnsi="Cambria"/>
          <w:sz w:val="20"/>
          <w:szCs w:val="20"/>
        </w:rPr>
        <w:t xml:space="preserve">to the family members of Dey Germán Villareal Cadena. The failure of the </w:t>
      </w:r>
      <w:r w:rsidR="006A2B73">
        <w:rPr>
          <w:rFonts w:ascii="Cambria" w:hAnsi="Cambria"/>
          <w:sz w:val="20"/>
          <w:szCs w:val="20"/>
        </w:rPr>
        <w:t xml:space="preserve">candidates </w:t>
      </w:r>
      <w:r w:rsidRPr="00CB3C0E">
        <w:rPr>
          <w:rFonts w:ascii="Cambria" w:hAnsi="Cambria"/>
          <w:sz w:val="20"/>
          <w:szCs w:val="20"/>
        </w:rPr>
        <w:t xml:space="preserve">to confess to and accept these facts was sufficient for the Office of the Attorney General to set aside the charges for the crimes of </w:t>
      </w:r>
      <w:r w:rsidR="00FF74F1">
        <w:rPr>
          <w:rFonts w:ascii="Cambria" w:hAnsi="Cambria"/>
          <w:sz w:val="20"/>
          <w:szCs w:val="20"/>
        </w:rPr>
        <w:t xml:space="preserve">larceny </w:t>
      </w:r>
      <w:r w:rsidRPr="00CB3C0E">
        <w:rPr>
          <w:rFonts w:ascii="Cambria" w:hAnsi="Cambria"/>
          <w:sz w:val="20"/>
          <w:szCs w:val="20"/>
        </w:rPr>
        <w:t xml:space="preserve">and forced displacement from the bill of indictment. In the record, the prosecutor delegate explained that there were not sufficient material elements to tie the organization to these crimes, which kept the Court from legalizing charges that were not the subject of a confession and of which they were not accused during the judicial proceeding. </w:t>
      </w:r>
    </w:p>
    <w:p w14:paraId="6D64A166" w14:textId="77777777"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Based on the foregoing, the State asserts that the Inter-American Commission lacks jurisdiction to review the decisions of the Colombian authorities, since they were made in the context of domestic legal proceedings and with full respect for due process guarantees. </w:t>
      </w:r>
    </w:p>
    <w:p w14:paraId="4890C9DA" w14:textId="4BC6268C"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In addition, it argues that the petitioners did not exhaust domestic remedies, particularly the action for direct reparation, which is available in Colombia to </w:t>
      </w:r>
      <w:r w:rsidR="00F7224C">
        <w:rPr>
          <w:rFonts w:ascii="Cambria" w:hAnsi="Cambria"/>
          <w:sz w:val="20"/>
          <w:szCs w:val="20"/>
        </w:rPr>
        <w:t xml:space="preserve">make alleging state </w:t>
      </w:r>
      <w:r w:rsidRPr="00CB3C0E">
        <w:rPr>
          <w:rFonts w:ascii="Cambria" w:hAnsi="Cambria"/>
          <w:sz w:val="20"/>
          <w:szCs w:val="20"/>
        </w:rPr>
        <w:t xml:space="preserve">responsibility, and to seek full reparation for the damages. It adduces that the action for direct reparation is a suitable and effective remedy for securing compensation for material and non-material damages caused by the act or omission of state agents. </w:t>
      </w:r>
    </w:p>
    <w:p w14:paraId="759C9D83" w14:textId="0811692E" w:rsidR="00651C94"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The State also argues that the petition is manifestly groundless because: (i) the petitioners do no</w:t>
      </w:r>
      <w:r w:rsidR="00442BFA">
        <w:rPr>
          <w:rFonts w:ascii="Cambria" w:hAnsi="Cambria"/>
          <w:sz w:val="20"/>
          <w:szCs w:val="20"/>
        </w:rPr>
        <w:t>t</w:t>
      </w:r>
      <w:r w:rsidRPr="00CB3C0E">
        <w:rPr>
          <w:rFonts w:ascii="Cambria" w:hAnsi="Cambria"/>
          <w:sz w:val="20"/>
          <w:szCs w:val="20"/>
        </w:rPr>
        <w:t xml:space="preserve"> produce sufficient evidence to uphold the alleged violations of Articles 17, 19, 21, and 22 of the American Convention; (ii) the homicide, robbery of the vehicle, and threats were purportedly committed by non-state agents, thus </w:t>
      </w:r>
      <w:r w:rsidR="00442BFA">
        <w:rPr>
          <w:rFonts w:ascii="Cambria" w:hAnsi="Cambria"/>
          <w:sz w:val="20"/>
          <w:szCs w:val="20"/>
        </w:rPr>
        <w:t xml:space="preserve">they </w:t>
      </w:r>
      <w:r w:rsidRPr="00CB3C0E">
        <w:rPr>
          <w:rFonts w:ascii="Cambria" w:hAnsi="Cambria"/>
          <w:sz w:val="20"/>
          <w:szCs w:val="20"/>
        </w:rPr>
        <w:t>are not directly attributable to the State; (iii) there is no evidence of tolerance, complicity, or acquiescence of state agents in those crimes; and (iv) the State did not have prior knowledge of any specific risk to Dey Germán Villareal Cadena, his family</w:t>
      </w:r>
      <w:r w:rsidR="00583AFF">
        <w:rPr>
          <w:rFonts w:ascii="Cambria" w:hAnsi="Cambria"/>
          <w:sz w:val="20"/>
          <w:szCs w:val="20"/>
        </w:rPr>
        <w:t>,</w:t>
      </w:r>
      <w:r w:rsidRPr="00CB3C0E">
        <w:rPr>
          <w:rFonts w:ascii="Cambria" w:hAnsi="Cambria"/>
          <w:sz w:val="20"/>
          <w:szCs w:val="20"/>
        </w:rPr>
        <w:t xml:space="preserve"> or their property, thus it could not have prevented the acts committed by the ACMV.</w:t>
      </w:r>
    </w:p>
    <w:p w14:paraId="161ACAD8" w14:textId="77777777" w:rsidR="00CC5650" w:rsidRPr="00CB3C0E" w:rsidRDefault="00CC5650" w:rsidP="00CC5650">
      <w:pPr>
        <w:pStyle w:val="ListParagraph"/>
        <w:widowControl w:val="0"/>
        <w:pBdr>
          <w:top w:val="nil"/>
          <w:left w:val="nil"/>
          <w:bottom w:val="nil"/>
          <w:right w:val="nil"/>
          <w:between w:val="nil"/>
          <w:bar w:val="nil"/>
        </w:pBdr>
        <w:autoSpaceDE w:val="0"/>
        <w:autoSpaceDN w:val="0"/>
        <w:spacing w:before="240" w:after="240" w:line="240" w:lineRule="auto"/>
        <w:contextualSpacing w:val="0"/>
        <w:jc w:val="both"/>
        <w:rPr>
          <w:rFonts w:ascii="Cambria" w:hAnsi="Cambria"/>
          <w:sz w:val="20"/>
          <w:szCs w:val="20"/>
        </w:rPr>
      </w:pPr>
    </w:p>
    <w:p w14:paraId="1453AB52" w14:textId="77777777" w:rsidR="00651C94" w:rsidRPr="00CB3C0E" w:rsidRDefault="00651C94" w:rsidP="00651C94">
      <w:pPr>
        <w:pStyle w:val="ListParagraph"/>
        <w:widowControl w:val="0"/>
        <w:numPr>
          <w:ilvl w:val="0"/>
          <w:numId w:val="1"/>
        </w:numPr>
        <w:pBdr>
          <w:top w:val="nil"/>
          <w:left w:val="nil"/>
          <w:bottom w:val="nil"/>
          <w:right w:val="nil"/>
          <w:between w:val="nil"/>
          <w:bar w:val="nil"/>
        </w:pBd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lastRenderedPageBreak/>
        <w:t xml:space="preserve">Based on the arguments presented, the Colombian State asks the Inter-American Commission on Human Rights to find the petition inadmissible on the basis of Article 47(b) of the American Convention, as it constitutes a fourth instance review; that it find the petition inadmissible based on Article 46(1)(a) of the American Convention, for failure to exhaust domestic remedies; and that it find the petition inadmissible based on Article 47(c) of the American Convention as the petitioners’ allegations are manifestly groundless. </w:t>
      </w:r>
    </w:p>
    <w:p w14:paraId="68E01EA9" w14:textId="77777777" w:rsidR="00651C94" w:rsidRDefault="00651C94" w:rsidP="00651C94">
      <w:pPr>
        <w:pStyle w:val="ListParagraph"/>
        <w:widowControl w:val="0"/>
        <w:autoSpaceDE w:val="0"/>
        <w:autoSpaceDN w:val="0"/>
        <w:spacing w:before="240" w:after="240"/>
        <w:jc w:val="both"/>
        <w:rPr>
          <w:rFonts w:ascii="Cambria" w:hAnsi="Cambria"/>
          <w:b/>
          <w:bCs/>
          <w:sz w:val="20"/>
          <w:szCs w:val="20"/>
        </w:rPr>
      </w:pPr>
      <w:r w:rsidRPr="00CB3C0E">
        <w:rPr>
          <w:rFonts w:ascii="Cambria" w:hAnsi="Cambria"/>
          <w:b/>
          <w:sz w:val="20"/>
          <w:szCs w:val="20"/>
        </w:rPr>
        <w:t xml:space="preserve">VI. </w:t>
      </w:r>
      <w:r w:rsidRPr="00CB3C0E">
        <w:rPr>
          <w:rFonts w:ascii="Cambria" w:hAnsi="Cambria"/>
          <w:b/>
          <w:sz w:val="20"/>
          <w:szCs w:val="20"/>
        </w:rPr>
        <w:tab/>
        <w:t xml:space="preserve">ANALYSIS OF EXHAUSTION OF DOMESTIC REMEDIES AND </w:t>
      </w:r>
      <w:r w:rsidRPr="00CB3C0E">
        <w:rPr>
          <w:rFonts w:ascii="Cambria" w:hAnsi="Cambria"/>
          <w:b/>
          <w:bCs/>
          <w:sz w:val="20"/>
          <w:szCs w:val="20"/>
        </w:rPr>
        <w:t>TIMELINESS OF THE PETITION</w:t>
      </w:r>
    </w:p>
    <w:p w14:paraId="2C13365D" w14:textId="77777777" w:rsidR="00F777D5" w:rsidRPr="00CB3C0E" w:rsidRDefault="00F777D5" w:rsidP="000652EA">
      <w:pPr>
        <w:pStyle w:val="ListParagraph"/>
        <w:widowControl w:val="0"/>
        <w:autoSpaceDE w:val="0"/>
        <w:autoSpaceDN w:val="0"/>
        <w:spacing w:before="240" w:after="240"/>
        <w:ind w:left="0"/>
        <w:jc w:val="both"/>
        <w:rPr>
          <w:rFonts w:ascii="Cambria" w:hAnsi="Cambria"/>
          <w:sz w:val="20"/>
          <w:szCs w:val="20"/>
        </w:rPr>
      </w:pPr>
    </w:p>
    <w:p w14:paraId="79052A3C" w14:textId="756AD55C" w:rsidR="00651C94" w:rsidRPr="00CB3C0E" w:rsidRDefault="00651C94" w:rsidP="00651C94">
      <w:pPr>
        <w:pStyle w:val="ListParagraph"/>
        <w:widowControl w:val="0"/>
        <w:numPr>
          <w:ilvl w:val="0"/>
          <w:numId w:val="1"/>
        </w:numP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 xml:space="preserve">For the purposes of evaluating the suitability of the remedies available domestically, the Commission usually establishes </w:t>
      </w:r>
      <w:r w:rsidR="009A4239">
        <w:rPr>
          <w:rFonts w:ascii="Cambria" w:hAnsi="Cambria"/>
          <w:sz w:val="20"/>
          <w:szCs w:val="20"/>
        </w:rPr>
        <w:t xml:space="preserve">just </w:t>
      </w:r>
      <w:r w:rsidRPr="00CB3C0E">
        <w:rPr>
          <w:rFonts w:ascii="Cambria" w:hAnsi="Cambria"/>
          <w:sz w:val="20"/>
          <w:szCs w:val="20"/>
        </w:rPr>
        <w:t>what is the specific claim that has been made, so as to then identify the judicial remedies provided by the domestic legal system that were available and adequate to raise that particular claim. For that is what the suitability and effectiveness of each specific remedy considered entails, i.e. providing a genuine opportunity for the alleged harm to human rights to be remedied and resolved by the national authorities before it can be brought to the inter-American human rights system.</w:t>
      </w:r>
      <w:r w:rsidRPr="00CB3C0E">
        <w:rPr>
          <w:rStyle w:val="FootnoteReference"/>
          <w:rFonts w:ascii="Cambria" w:hAnsi="Cambria"/>
          <w:sz w:val="20"/>
          <w:szCs w:val="20"/>
        </w:rPr>
        <w:footnoteReference w:id="5"/>
      </w:r>
    </w:p>
    <w:p w14:paraId="56322EC4" w14:textId="64A971A9" w:rsidR="00651C94" w:rsidRPr="00CB3C0E" w:rsidRDefault="00651C94" w:rsidP="00651C94">
      <w:pPr>
        <w:pStyle w:val="ListParagraph"/>
        <w:widowControl w:val="0"/>
        <w:numPr>
          <w:ilvl w:val="0"/>
          <w:numId w:val="1"/>
        </w:numP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Accordingly, the Commission observes that the main claim of the petitioner is the lack of compensation provided by the State in the wake of the forced displacement of the alleged victims. In effect, petitioner</w:t>
      </w:r>
      <w:r w:rsidR="00C2026B">
        <w:rPr>
          <w:rFonts w:ascii="Cambria" w:hAnsi="Cambria"/>
          <w:sz w:val="20"/>
          <w:szCs w:val="20"/>
        </w:rPr>
        <w:t>s</w:t>
      </w:r>
      <w:r w:rsidRPr="00CB3C0E">
        <w:rPr>
          <w:rFonts w:ascii="Cambria" w:hAnsi="Cambria"/>
          <w:sz w:val="20"/>
          <w:szCs w:val="20"/>
        </w:rPr>
        <w:t xml:space="preserve"> emphasize in </w:t>
      </w:r>
      <w:r w:rsidR="00C2026B">
        <w:rPr>
          <w:rFonts w:ascii="Cambria" w:hAnsi="Cambria"/>
          <w:sz w:val="20"/>
          <w:szCs w:val="20"/>
        </w:rPr>
        <w:t xml:space="preserve">their </w:t>
      </w:r>
      <w:r w:rsidRPr="00CB3C0E">
        <w:rPr>
          <w:rFonts w:ascii="Cambria" w:hAnsi="Cambria"/>
          <w:sz w:val="20"/>
          <w:szCs w:val="20"/>
        </w:rPr>
        <w:t>initial petition that “</w:t>
      </w:r>
      <w:r w:rsidRPr="00CB3C0E">
        <w:rPr>
          <w:rFonts w:ascii="Cambria" w:hAnsi="Cambria"/>
          <w:i/>
          <w:iCs/>
          <w:sz w:val="20"/>
          <w:szCs w:val="20"/>
        </w:rPr>
        <w:t>the State of Colombia has not fairly compensated the victims for the moral and economic damages caused, failing to carry out its international human rights obligations.</w:t>
      </w:r>
      <w:r w:rsidRPr="00CB3C0E">
        <w:rPr>
          <w:rFonts w:ascii="Cambria" w:hAnsi="Cambria"/>
          <w:sz w:val="20"/>
          <w:szCs w:val="20"/>
        </w:rPr>
        <w:t>” Taking stock, the IACHR considers that the remedy provided for by the domestic legislation to address the claim seeking compensation for human rights violations in Colombia is the action for direct reparation against the State, i.e. an action before the contentious-administrative courts.</w:t>
      </w:r>
      <w:r w:rsidRPr="00CB3C0E">
        <w:rPr>
          <w:rStyle w:val="FootnoteReference"/>
          <w:rFonts w:ascii="Cambria" w:hAnsi="Cambria"/>
          <w:sz w:val="20"/>
          <w:szCs w:val="20"/>
        </w:rPr>
        <w:footnoteReference w:id="6"/>
      </w:r>
      <w:r w:rsidRPr="00CB3C0E">
        <w:rPr>
          <w:rFonts w:ascii="Cambria" w:hAnsi="Cambria"/>
          <w:sz w:val="20"/>
          <w:szCs w:val="20"/>
        </w:rPr>
        <w:t xml:space="preserve"> </w:t>
      </w:r>
    </w:p>
    <w:p w14:paraId="5E38EF7D" w14:textId="201C6765" w:rsidR="00651C94" w:rsidRPr="00CB3C0E" w:rsidRDefault="00651C94" w:rsidP="00651C94">
      <w:pPr>
        <w:pStyle w:val="ListParagraph"/>
        <w:widowControl w:val="0"/>
        <w:numPr>
          <w:ilvl w:val="0"/>
          <w:numId w:val="1"/>
        </w:numP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Nonetheless, if the petitioner</w:t>
      </w:r>
      <w:r w:rsidR="00507835">
        <w:rPr>
          <w:rFonts w:ascii="Cambria" w:hAnsi="Cambria"/>
          <w:sz w:val="20"/>
          <w:szCs w:val="20"/>
        </w:rPr>
        <w:t>s</w:t>
      </w:r>
      <w:r w:rsidRPr="00CB3C0E">
        <w:rPr>
          <w:rFonts w:ascii="Cambria" w:hAnsi="Cambria"/>
          <w:sz w:val="20"/>
          <w:szCs w:val="20"/>
        </w:rPr>
        <w:t xml:space="preserve"> decide to pursue the administrative remedy of reparation, </w:t>
      </w:r>
      <w:r w:rsidR="00507835">
        <w:rPr>
          <w:rFonts w:ascii="Cambria" w:hAnsi="Cambria"/>
          <w:sz w:val="20"/>
          <w:szCs w:val="20"/>
        </w:rPr>
        <w:t xml:space="preserve">they </w:t>
      </w:r>
      <w:r w:rsidRPr="00CB3C0E">
        <w:rPr>
          <w:rFonts w:ascii="Cambria" w:hAnsi="Cambria"/>
          <w:sz w:val="20"/>
          <w:szCs w:val="20"/>
        </w:rPr>
        <w:t>must exhaust it, as well as the regular judicial remedies to which the administrative process is subject to obtain fair compensation. In this respect, the State reported tha</w:t>
      </w:r>
      <w:r w:rsidR="00BF6407">
        <w:rPr>
          <w:rFonts w:ascii="Cambria" w:hAnsi="Cambria"/>
          <w:sz w:val="20"/>
          <w:szCs w:val="20"/>
        </w:rPr>
        <w:t>t</w:t>
      </w:r>
      <w:r w:rsidRPr="00CB3C0E">
        <w:rPr>
          <w:rFonts w:ascii="Cambria" w:hAnsi="Cambria"/>
          <w:sz w:val="20"/>
          <w:szCs w:val="20"/>
        </w:rPr>
        <w:t xml:space="preserve"> the petitioner</w:t>
      </w:r>
      <w:r w:rsidR="00BF6407">
        <w:rPr>
          <w:rFonts w:ascii="Cambria" w:hAnsi="Cambria"/>
          <w:sz w:val="20"/>
          <w:szCs w:val="20"/>
        </w:rPr>
        <w:t>s</w:t>
      </w:r>
      <w:r w:rsidRPr="00CB3C0E">
        <w:rPr>
          <w:rFonts w:ascii="Cambria" w:hAnsi="Cambria"/>
          <w:sz w:val="20"/>
          <w:szCs w:val="20"/>
        </w:rPr>
        <w:t xml:space="preserve"> did not file any action domestically </w:t>
      </w:r>
      <w:r w:rsidR="00BF6407">
        <w:rPr>
          <w:rFonts w:ascii="Cambria" w:hAnsi="Cambria"/>
          <w:sz w:val="20"/>
          <w:szCs w:val="20"/>
        </w:rPr>
        <w:t xml:space="preserve">to make such a claim. </w:t>
      </w:r>
    </w:p>
    <w:p w14:paraId="494889E4" w14:textId="51305A5A" w:rsidR="00651C94" w:rsidRPr="00CB3C0E" w:rsidRDefault="00651C94" w:rsidP="00651C94">
      <w:pPr>
        <w:pStyle w:val="ListParagraph"/>
        <w:widowControl w:val="0"/>
        <w:numPr>
          <w:ilvl w:val="0"/>
          <w:numId w:val="1"/>
        </w:numP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Given that the petitioner</w:t>
      </w:r>
      <w:r w:rsidR="00BF6407">
        <w:rPr>
          <w:rFonts w:ascii="Cambria" w:hAnsi="Cambria"/>
          <w:sz w:val="20"/>
          <w:szCs w:val="20"/>
        </w:rPr>
        <w:t>s</w:t>
      </w:r>
      <w:r w:rsidRPr="00CB3C0E">
        <w:rPr>
          <w:rFonts w:ascii="Cambria" w:hAnsi="Cambria"/>
          <w:sz w:val="20"/>
          <w:szCs w:val="20"/>
        </w:rPr>
        <w:t xml:space="preserve"> did not show </w:t>
      </w:r>
      <w:r w:rsidR="00BF6407">
        <w:rPr>
          <w:rFonts w:ascii="Cambria" w:hAnsi="Cambria"/>
          <w:sz w:val="20"/>
          <w:szCs w:val="20"/>
        </w:rPr>
        <w:t xml:space="preserve">they </w:t>
      </w:r>
      <w:r w:rsidRPr="00CB3C0E">
        <w:rPr>
          <w:rFonts w:ascii="Cambria" w:hAnsi="Cambria"/>
          <w:sz w:val="20"/>
          <w:szCs w:val="20"/>
        </w:rPr>
        <w:t>exhausted the action for direct reparation, the Commission cannot consider that the requirement of prior exhaustion of domestic remedies, provided for at Article 46(1)(a) of the American Convention, to have been met. According</w:t>
      </w:r>
      <w:r w:rsidR="00314B88">
        <w:rPr>
          <w:rFonts w:ascii="Cambria" w:hAnsi="Cambria"/>
          <w:sz w:val="20"/>
          <w:szCs w:val="20"/>
        </w:rPr>
        <w:t>ly</w:t>
      </w:r>
      <w:r w:rsidRPr="00CB3C0E">
        <w:rPr>
          <w:rFonts w:ascii="Cambria" w:hAnsi="Cambria"/>
          <w:sz w:val="20"/>
          <w:szCs w:val="20"/>
        </w:rPr>
        <w:t>, it must find this petition inadmissible.</w:t>
      </w:r>
      <w:r w:rsidRPr="00CB3C0E">
        <w:rPr>
          <w:rStyle w:val="FootnoteReference"/>
          <w:rFonts w:ascii="Cambria" w:hAnsi="Cambria"/>
          <w:sz w:val="20"/>
          <w:szCs w:val="20"/>
        </w:rPr>
        <w:footnoteReference w:id="7"/>
      </w:r>
    </w:p>
    <w:p w14:paraId="7EDED6DA" w14:textId="452AD2B1" w:rsidR="00651C94" w:rsidRPr="00CB3C0E" w:rsidRDefault="00651C94" w:rsidP="00651C94">
      <w:pPr>
        <w:pStyle w:val="ListParagraph"/>
        <w:widowControl w:val="0"/>
        <w:numPr>
          <w:ilvl w:val="0"/>
          <w:numId w:val="1"/>
        </w:numPr>
        <w:autoSpaceDE w:val="0"/>
        <w:autoSpaceDN w:val="0"/>
        <w:spacing w:before="240" w:after="240" w:line="240" w:lineRule="auto"/>
        <w:ind w:left="0" w:firstLine="720"/>
        <w:contextualSpacing w:val="0"/>
        <w:jc w:val="both"/>
        <w:rPr>
          <w:rFonts w:ascii="Cambria" w:hAnsi="Cambria"/>
          <w:sz w:val="20"/>
          <w:szCs w:val="20"/>
        </w:rPr>
      </w:pPr>
      <w:r w:rsidRPr="00CB3C0E">
        <w:rPr>
          <w:rFonts w:ascii="Cambria" w:hAnsi="Cambria"/>
          <w:sz w:val="20"/>
          <w:szCs w:val="20"/>
        </w:rPr>
        <w:t>Finally, the Inter-American Commission recalls that the filing of contentious cases with the organs of the inter-American human rights system, while not</w:t>
      </w:r>
      <w:r w:rsidR="00314B88">
        <w:rPr>
          <w:rFonts w:ascii="Cambria" w:hAnsi="Cambria"/>
          <w:sz w:val="20"/>
          <w:szCs w:val="20"/>
        </w:rPr>
        <w:t xml:space="preserve"> </w:t>
      </w:r>
      <w:r w:rsidRPr="00CB3C0E">
        <w:rPr>
          <w:rFonts w:ascii="Cambria" w:hAnsi="Cambria"/>
          <w:sz w:val="20"/>
          <w:szCs w:val="20"/>
        </w:rPr>
        <w:t>very</w:t>
      </w:r>
      <w:r w:rsidR="00314B88">
        <w:rPr>
          <w:rFonts w:ascii="Cambria" w:hAnsi="Cambria"/>
          <w:sz w:val="20"/>
          <w:szCs w:val="20"/>
        </w:rPr>
        <w:t xml:space="preserve"> </w:t>
      </w:r>
      <w:r w:rsidRPr="00CB3C0E">
        <w:rPr>
          <w:rFonts w:ascii="Cambria" w:hAnsi="Cambria"/>
          <w:sz w:val="20"/>
          <w:szCs w:val="20"/>
        </w:rPr>
        <w:t xml:space="preserve">formalistic given its nature, compared to other </w:t>
      </w:r>
      <w:r w:rsidR="00314B88">
        <w:rPr>
          <w:rFonts w:ascii="Cambria" w:hAnsi="Cambria"/>
          <w:sz w:val="20"/>
          <w:szCs w:val="20"/>
        </w:rPr>
        <w:t xml:space="preserve">domestic </w:t>
      </w:r>
      <w:r w:rsidRPr="00CB3C0E">
        <w:rPr>
          <w:rFonts w:ascii="Cambria" w:hAnsi="Cambria"/>
          <w:sz w:val="20"/>
          <w:szCs w:val="20"/>
        </w:rPr>
        <w:t>judicial proc</w:t>
      </w:r>
      <w:r w:rsidR="00314B88">
        <w:rPr>
          <w:rFonts w:ascii="Cambria" w:hAnsi="Cambria"/>
          <w:sz w:val="20"/>
          <w:szCs w:val="20"/>
        </w:rPr>
        <w:t>edures</w:t>
      </w:r>
      <w:r w:rsidRPr="00CB3C0E">
        <w:rPr>
          <w:rFonts w:ascii="Cambria" w:hAnsi="Cambria"/>
          <w:sz w:val="20"/>
          <w:szCs w:val="20"/>
        </w:rPr>
        <w:t xml:space="preserve">, does demand that a series of requirements and minimal conditions be met; and it requires a level of commitment and ethics on the part of petitioners before the organs of the inter-American system, and above all vis-à-vis the victims themselves, who are clearly the objective and the </w:t>
      </w:r>
      <w:r w:rsidR="006D3264" w:rsidRPr="006D3264">
        <w:rPr>
          <w:rFonts w:ascii="Cambria" w:hAnsi="Cambria"/>
          <w:sz w:val="20"/>
          <w:szCs w:val="20"/>
        </w:rPr>
        <w:t>raison d'être</w:t>
      </w:r>
      <w:r w:rsidR="006D3264">
        <w:rPr>
          <w:rFonts w:ascii="Cambria" w:hAnsi="Cambria"/>
          <w:sz w:val="20"/>
          <w:szCs w:val="20"/>
        </w:rPr>
        <w:t xml:space="preserve"> </w:t>
      </w:r>
      <w:r w:rsidRPr="00CB3C0E">
        <w:rPr>
          <w:rFonts w:ascii="Cambria" w:hAnsi="Cambria"/>
          <w:sz w:val="20"/>
          <w:szCs w:val="20"/>
        </w:rPr>
        <w:t>of international human rights law.</w:t>
      </w:r>
      <w:r w:rsidRPr="00CB3C0E">
        <w:rPr>
          <w:rStyle w:val="FootnoteReference"/>
          <w:rFonts w:ascii="Cambria" w:hAnsi="Cambria"/>
          <w:sz w:val="20"/>
          <w:szCs w:val="20"/>
        </w:rPr>
        <w:footnoteReference w:id="8"/>
      </w:r>
    </w:p>
    <w:p w14:paraId="45E56008" w14:textId="77777777" w:rsidR="00651C94" w:rsidRPr="00CB3C0E" w:rsidRDefault="00651C94" w:rsidP="00A92159">
      <w:pPr>
        <w:pStyle w:val="ListParagraph"/>
        <w:keepNext/>
        <w:spacing w:before="240" w:after="240"/>
        <w:jc w:val="both"/>
        <w:rPr>
          <w:rFonts w:ascii="Cambria" w:hAnsi="Cambria"/>
          <w:b/>
          <w:sz w:val="20"/>
          <w:szCs w:val="20"/>
        </w:rPr>
      </w:pPr>
      <w:r w:rsidRPr="00CB3C0E">
        <w:rPr>
          <w:rFonts w:ascii="Cambria" w:hAnsi="Cambria"/>
          <w:b/>
          <w:sz w:val="20"/>
          <w:szCs w:val="20"/>
        </w:rPr>
        <w:lastRenderedPageBreak/>
        <w:t xml:space="preserve">VII. </w:t>
      </w:r>
      <w:r w:rsidRPr="00CB3C0E">
        <w:rPr>
          <w:rFonts w:ascii="Cambria" w:hAnsi="Cambria"/>
          <w:b/>
          <w:sz w:val="20"/>
          <w:szCs w:val="20"/>
        </w:rPr>
        <w:tab/>
      </w:r>
      <w:r w:rsidRPr="00CB3C0E">
        <w:rPr>
          <w:rFonts w:ascii="Cambria" w:hAnsi="Cambria"/>
          <w:b/>
          <w:bCs/>
          <w:sz w:val="20"/>
          <w:szCs w:val="20"/>
        </w:rPr>
        <w:t>DECISION</w:t>
      </w:r>
    </w:p>
    <w:p w14:paraId="0BA1F00C" w14:textId="2F8D2360" w:rsidR="00651C94" w:rsidRDefault="00651C94" w:rsidP="00651C94">
      <w:pPr>
        <w:widowControl w:val="0"/>
        <w:numPr>
          <w:ilvl w:val="0"/>
          <w:numId w:val="2"/>
        </w:numPr>
        <w:suppressAutoHyphens/>
        <w:autoSpaceDE w:val="0"/>
        <w:autoSpaceDN w:val="0"/>
        <w:spacing w:before="240" w:after="240" w:line="240" w:lineRule="auto"/>
        <w:ind w:left="0" w:firstLine="709"/>
        <w:jc w:val="both"/>
        <w:rPr>
          <w:rFonts w:ascii="Cambria" w:hAnsi="Cambria"/>
          <w:sz w:val="20"/>
          <w:szCs w:val="20"/>
        </w:rPr>
      </w:pPr>
      <w:r w:rsidRPr="00CB3C0E">
        <w:rPr>
          <w:rFonts w:ascii="Cambria" w:hAnsi="Cambria"/>
          <w:sz w:val="20"/>
          <w:szCs w:val="20"/>
        </w:rPr>
        <w:t>To find the instant petition inadmissible</w:t>
      </w:r>
      <w:r w:rsidR="00CC5650">
        <w:rPr>
          <w:rFonts w:ascii="Cambria" w:hAnsi="Cambria"/>
          <w:sz w:val="20"/>
          <w:szCs w:val="20"/>
        </w:rPr>
        <w:t>.</w:t>
      </w:r>
    </w:p>
    <w:p w14:paraId="624D65B6" w14:textId="21B21CDF" w:rsidR="00027A67" w:rsidRDefault="00027A67" w:rsidP="00651C94">
      <w:pPr>
        <w:widowControl w:val="0"/>
        <w:numPr>
          <w:ilvl w:val="0"/>
          <w:numId w:val="2"/>
        </w:numPr>
        <w:suppressAutoHyphens/>
        <w:autoSpaceDE w:val="0"/>
        <w:autoSpaceDN w:val="0"/>
        <w:spacing w:before="240" w:after="240" w:line="240" w:lineRule="auto"/>
        <w:ind w:left="0" w:firstLine="709"/>
        <w:jc w:val="both"/>
        <w:rPr>
          <w:rFonts w:ascii="Cambria" w:hAnsi="Cambria"/>
          <w:sz w:val="20"/>
          <w:szCs w:val="20"/>
        </w:rPr>
      </w:pPr>
      <w:r w:rsidRPr="00CB3C0E">
        <w:rPr>
          <w:rFonts w:ascii="Cambria" w:hAnsi="Cambria"/>
          <w:sz w:val="20"/>
          <w:szCs w:val="20"/>
        </w:rPr>
        <w:t>To notify the parties of this decision; to publish this decision and include it in its Annual Report to the General Assembly of the Organization of American States.</w:t>
      </w:r>
    </w:p>
    <w:p w14:paraId="17874264" w14:textId="63892827" w:rsidR="002A57A8" w:rsidRDefault="002A57A8" w:rsidP="002A57A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19</w:t>
      </w:r>
      <w:r w:rsidRPr="002A57A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November,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1F343CE" w14:textId="77777777" w:rsidR="00CC5650" w:rsidRPr="00CB3C0E" w:rsidRDefault="00CC5650" w:rsidP="00CC5650">
      <w:pPr>
        <w:widowControl w:val="0"/>
        <w:suppressAutoHyphens/>
        <w:autoSpaceDE w:val="0"/>
        <w:autoSpaceDN w:val="0"/>
        <w:spacing w:before="240" w:after="240" w:line="240" w:lineRule="auto"/>
        <w:ind w:left="709"/>
        <w:jc w:val="both"/>
        <w:rPr>
          <w:rFonts w:ascii="Cambria" w:hAnsi="Cambria"/>
          <w:sz w:val="20"/>
          <w:szCs w:val="20"/>
        </w:rPr>
      </w:pPr>
    </w:p>
    <w:p w14:paraId="36F69C1A" w14:textId="3341BC46" w:rsidR="008C0F23" w:rsidRPr="000652EA" w:rsidRDefault="008C0F23" w:rsidP="00651C94">
      <w:pPr>
        <w:rPr>
          <w:rFonts w:ascii="Cambria" w:hAnsi="Cambria"/>
          <w:sz w:val="22"/>
          <w:szCs w:val="22"/>
        </w:rPr>
      </w:pPr>
    </w:p>
    <w:sectPr w:rsidR="008C0F23" w:rsidRPr="00065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8203" w14:textId="77777777" w:rsidR="0005614B" w:rsidRPr="00723329" w:rsidRDefault="0005614B" w:rsidP="00072C3D">
      <w:pPr>
        <w:spacing w:after="0" w:line="240" w:lineRule="auto"/>
      </w:pPr>
      <w:r w:rsidRPr="00723329">
        <w:separator/>
      </w:r>
    </w:p>
  </w:endnote>
  <w:endnote w:type="continuationSeparator" w:id="0">
    <w:p w14:paraId="4B417AF4" w14:textId="77777777" w:rsidR="0005614B" w:rsidRPr="00723329" w:rsidRDefault="0005614B" w:rsidP="00072C3D">
      <w:pPr>
        <w:spacing w:after="0" w:line="240" w:lineRule="auto"/>
      </w:pPr>
      <w:r w:rsidRPr="007233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sz w:val="16"/>
      </w:rPr>
    </w:sdtEndPr>
    <w:sdtContent>
      <w:p w14:paraId="2AF93E4C" w14:textId="77777777" w:rsidR="00072C3D" w:rsidRPr="00723329" w:rsidRDefault="00072C3D">
        <w:pPr>
          <w:pStyle w:val="Footer"/>
          <w:jc w:val="center"/>
          <w:rPr>
            <w:sz w:val="16"/>
          </w:rPr>
        </w:pPr>
        <w:r w:rsidRPr="00723329">
          <w:rPr>
            <w:sz w:val="16"/>
          </w:rPr>
          <w:fldChar w:fldCharType="begin"/>
        </w:r>
        <w:r w:rsidRPr="00723329">
          <w:rPr>
            <w:sz w:val="16"/>
          </w:rPr>
          <w:instrText xml:space="preserve"> PAGE   \* MERGEFORMAT </w:instrText>
        </w:r>
        <w:r w:rsidRPr="00723329">
          <w:rPr>
            <w:sz w:val="16"/>
          </w:rPr>
          <w:fldChar w:fldCharType="separate"/>
        </w:r>
        <w:r w:rsidRPr="00723329">
          <w:rPr>
            <w:sz w:val="16"/>
          </w:rPr>
          <w:t>2</w:t>
        </w:r>
        <w:r w:rsidRPr="00723329">
          <w:rPr>
            <w:sz w:val="16"/>
          </w:rPr>
          <w:fldChar w:fldCharType="end"/>
        </w:r>
      </w:p>
    </w:sdtContent>
  </w:sdt>
  <w:p w14:paraId="36D7B4EA" w14:textId="77777777" w:rsidR="00072C3D" w:rsidRPr="00723329" w:rsidRDefault="00072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A61" w14:textId="77777777" w:rsidR="00072C3D" w:rsidRPr="00723329" w:rsidRDefault="00072C3D">
    <w:pPr>
      <w:pStyle w:val="Footer"/>
      <w:jc w:val="center"/>
    </w:pPr>
  </w:p>
  <w:p w14:paraId="750A1D82" w14:textId="77777777" w:rsidR="00072C3D" w:rsidRPr="00723329" w:rsidRDefault="0007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5C27" w14:textId="77777777" w:rsidR="0005614B" w:rsidRPr="00723329" w:rsidRDefault="0005614B" w:rsidP="00072C3D">
      <w:pPr>
        <w:spacing w:after="0" w:line="240" w:lineRule="auto"/>
      </w:pPr>
      <w:r w:rsidRPr="00723329">
        <w:separator/>
      </w:r>
    </w:p>
  </w:footnote>
  <w:footnote w:type="continuationSeparator" w:id="0">
    <w:p w14:paraId="33709893" w14:textId="77777777" w:rsidR="0005614B" w:rsidRPr="00723329" w:rsidRDefault="0005614B" w:rsidP="00072C3D">
      <w:pPr>
        <w:spacing w:after="0" w:line="240" w:lineRule="auto"/>
      </w:pPr>
      <w:r w:rsidRPr="00723329">
        <w:continuationSeparator/>
      </w:r>
    </w:p>
  </w:footnote>
  <w:footnote w:id="1">
    <w:p w14:paraId="044BDD9B" w14:textId="0E1D03C9" w:rsidR="00184DD8" w:rsidRPr="002A42B0" w:rsidRDefault="00184DD8" w:rsidP="00A92159">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w:t>
      </w:r>
      <w:bookmarkStart w:id="0" w:name="_Hlk179194996"/>
      <w:r w:rsidRPr="002A42B0">
        <w:rPr>
          <w:rFonts w:ascii="Cambria" w:hAnsi="Cambria"/>
          <w:sz w:val="16"/>
          <w:szCs w:val="16"/>
        </w:rPr>
        <w:t>Diomedes Villarreal Heredia (</w:t>
      </w:r>
      <w:r w:rsidR="00795341" w:rsidRPr="002A42B0">
        <w:rPr>
          <w:rFonts w:ascii="Cambria" w:hAnsi="Cambria"/>
          <w:sz w:val="16"/>
          <w:szCs w:val="16"/>
        </w:rPr>
        <w:t>father</w:t>
      </w:r>
      <w:r w:rsidRPr="002A42B0">
        <w:rPr>
          <w:rFonts w:ascii="Cambria" w:hAnsi="Cambria"/>
          <w:sz w:val="16"/>
          <w:szCs w:val="16"/>
        </w:rPr>
        <w:t>), Nancy Cadena Castro (m</w:t>
      </w:r>
      <w:r w:rsidR="00795341" w:rsidRPr="002A42B0">
        <w:rPr>
          <w:rFonts w:ascii="Cambria" w:hAnsi="Cambria"/>
          <w:sz w:val="16"/>
          <w:szCs w:val="16"/>
        </w:rPr>
        <w:t>other</w:t>
      </w:r>
      <w:r w:rsidRPr="002A42B0">
        <w:rPr>
          <w:rFonts w:ascii="Cambria" w:hAnsi="Cambria"/>
          <w:sz w:val="16"/>
          <w:szCs w:val="16"/>
        </w:rPr>
        <w:t>), Deicy Janeth Díaz Vargas (</w:t>
      </w:r>
      <w:r w:rsidR="00C71420" w:rsidRPr="002A42B0">
        <w:rPr>
          <w:rFonts w:ascii="Cambria" w:hAnsi="Cambria"/>
          <w:sz w:val="16"/>
          <w:szCs w:val="16"/>
        </w:rPr>
        <w:t>common-law wife</w:t>
      </w:r>
      <w:r w:rsidRPr="002A42B0">
        <w:rPr>
          <w:rFonts w:ascii="Cambria" w:hAnsi="Cambria"/>
          <w:sz w:val="16"/>
          <w:szCs w:val="16"/>
        </w:rPr>
        <w:t>), Didier Diomedes Villareal Heredia (</w:t>
      </w:r>
      <w:r w:rsidR="00C71420" w:rsidRPr="002A42B0">
        <w:rPr>
          <w:rFonts w:ascii="Cambria" w:hAnsi="Cambria"/>
          <w:sz w:val="16"/>
          <w:szCs w:val="16"/>
        </w:rPr>
        <w:t>brother</w:t>
      </w:r>
      <w:r w:rsidRPr="002A42B0">
        <w:rPr>
          <w:rFonts w:ascii="Cambria" w:hAnsi="Cambria"/>
          <w:sz w:val="16"/>
          <w:szCs w:val="16"/>
        </w:rPr>
        <w:t>), Diana Milena Villarreal Cadena (</w:t>
      </w:r>
      <w:r w:rsidR="00C71420" w:rsidRPr="002A42B0">
        <w:rPr>
          <w:rFonts w:ascii="Cambria" w:hAnsi="Cambria"/>
          <w:sz w:val="16"/>
          <w:szCs w:val="16"/>
        </w:rPr>
        <w:t>brother</w:t>
      </w:r>
      <w:r w:rsidRPr="002A42B0">
        <w:rPr>
          <w:rFonts w:ascii="Cambria" w:hAnsi="Cambria"/>
          <w:sz w:val="16"/>
          <w:szCs w:val="16"/>
        </w:rPr>
        <w:t>), Daniela Mercedes Villareal Díaz (</w:t>
      </w:r>
      <w:r w:rsidR="00C71420" w:rsidRPr="002A42B0">
        <w:rPr>
          <w:rFonts w:ascii="Cambria" w:hAnsi="Cambria"/>
          <w:sz w:val="16"/>
          <w:szCs w:val="16"/>
        </w:rPr>
        <w:t>daughter</w:t>
      </w:r>
      <w:r w:rsidRPr="002A42B0">
        <w:rPr>
          <w:rFonts w:ascii="Cambria" w:hAnsi="Cambria"/>
          <w:sz w:val="16"/>
          <w:szCs w:val="16"/>
        </w:rPr>
        <w:t>).</w:t>
      </w:r>
      <w:bookmarkEnd w:id="0"/>
    </w:p>
  </w:footnote>
  <w:footnote w:id="2">
    <w:p w14:paraId="5BCF7399" w14:textId="77777777" w:rsidR="00072C3D" w:rsidRPr="002A42B0" w:rsidRDefault="00072C3D" w:rsidP="00A92159">
      <w:pPr>
        <w:pStyle w:val="FootnoteText"/>
        <w:ind w:firstLine="720"/>
        <w:jc w:val="both"/>
        <w:rPr>
          <w:rFonts w:ascii="Cambria" w:hAnsi="Cambria"/>
        </w:rPr>
      </w:pPr>
      <w:r w:rsidRPr="002A42B0">
        <w:rPr>
          <w:rStyle w:val="FootnoteReference"/>
          <w:rFonts w:ascii="Cambria" w:hAnsi="Cambria"/>
        </w:rPr>
        <w:footnoteRef/>
      </w:r>
      <w:r w:rsidRPr="002A42B0">
        <w:rPr>
          <w:rFonts w:ascii="Cambria" w:hAnsi="Cambria"/>
        </w:rPr>
        <w:t xml:space="preserve"> </w:t>
      </w:r>
      <w:r w:rsidRPr="002A42B0">
        <w:rPr>
          <w:rFonts w:ascii="Cambria" w:hAnsi="Cambria"/>
          <w:sz w:val="16"/>
          <w:szCs w:val="16"/>
        </w:rPr>
        <w:t xml:space="preserve">In keeping with Article 17(2)(a) of the Commission’s Rules of Procedure, Commissioner Carlos Bernal Pulido, of Colombian nationality, did not participate in the decision in the instant matter. </w:t>
      </w:r>
    </w:p>
  </w:footnote>
  <w:footnote w:id="3">
    <w:p w14:paraId="40928BB9" w14:textId="77777777" w:rsidR="00072C3D" w:rsidRPr="002A42B0" w:rsidRDefault="00072C3D" w:rsidP="00A92159">
      <w:pPr>
        <w:pStyle w:val="FootnoteText"/>
        <w:ind w:firstLine="720"/>
        <w:jc w:val="both"/>
        <w:rPr>
          <w:rFonts w:ascii="Cambria" w:hAnsi="Cambria"/>
          <w:sz w:val="16"/>
          <w:szCs w:val="16"/>
        </w:rPr>
      </w:pPr>
      <w:r w:rsidRPr="002A42B0">
        <w:rPr>
          <w:rFonts w:ascii="Cambria" w:hAnsi="Cambria"/>
          <w:sz w:val="16"/>
          <w:szCs w:val="16"/>
          <w:vertAlign w:val="superscript"/>
        </w:rPr>
        <w:footnoteRef/>
      </w:r>
      <w:r w:rsidRPr="002A42B0">
        <w:rPr>
          <w:rFonts w:ascii="Cambria" w:hAnsi="Cambria"/>
          <w:sz w:val="16"/>
          <w:szCs w:val="16"/>
        </w:rPr>
        <w:t xml:space="preserve"> Hereinafter “the American Convention” or “the Convention.” </w:t>
      </w:r>
    </w:p>
  </w:footnote>
  <w:footnote w:id="4">
    <w:p w14:paraId="51071B90" w14:textId="355C78E1" w:rsidR="00072C3D" w:rsidRPr="002A42B0" w:rsidRDefault="00072C3D" w:rsidP="00A92159">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Each party’s observations were duly </w:t>
      </w:r>
      <w:r w:rsidR="00EC26BA" w:rsidRPr="002A42B0">
        <w:rPr>
          <w:rFonts w:ascii="Cambria" w:hAnsi="Cambria"/>
          <w:sz w:val="16"/>
          <w:szCs w:val="16"/>
        </w:rPr>
        <w:t xml:space="preserve">considered and </w:t>
      </w:r>
      <w:r w:rsidRPr="002A42B0">
        <w:rPr>
          <w:rFonts w:ascii="Cambria" w:hAnsi="Cambria"/>
          <w:sz w:val="16"/>
          <w:szCs w:val="16"/>
        </w:rPr>
        <w:t xml:space="preserve">forwarded to the other party. </w:t>
      </w:r>
    </w:p>
  </w:footnote>
  <w:footnote w:id="5">
    <w:p w14:paraId="555BA507" w14:textId="07BF9E84" w:rsidR="00651C94" w:rsidRPr="002A42B0" w:rsidRDefault="00651C94" w:rsidP="00A92159">
      <w:pPr>
        <w:pStyle w:val="FootnoteText"/>
        <w:ind w:firstLine="720"/>
        <w:jc w:val="both"/>
        <w:rPr>
          <w:rFonts w:ascii="Cambria" w:hAnsi="Cambria"/>
        </w:rPr>
      </w:pPr>
      <w:r w:rsidRPr="002A42B0">
        <w:rPr>
          <w:rStyle w:val="FootnoteReference"/>
          <w:rFonts w:ascii="Cambria" w:hAnsi="Cambria"/>
          <w:sz w:val="16"/>
          <w:szCs w:val="16"/>
        </w:rPr>
        <w:footnoteRef/>
      </w:r>
      <w:r w:rsidRPr="002A42B0">
        <w:rPr>
          <w:rFonts w:ascii="Cambria" w:hAnsi="Cambria"/>
          <w:sz w:val="16"/>
          <w:szCs w:val="16"/>
        </w:rPr>
        <w:t xml:space="preserve">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279/21. </w:t>
      </w:r>
      <w:r w:rsidR="002A42B0">
        <w:rPr>
          <w:rFonts w:ascii="Cambria" w:hAnsi="Cambria"/>
          <w:sz w:val="16"/>
          <w:szCs w:val="16"/>
        </w:rPr>
        <w:t>Petition</w:t>
      </w:r>
      <w:r w:rsidRPr="002A42B0">
        <w:rPr>
          <w:rFonts w:ascii="Cambria" w:hAnsi="Cambria"/>
          <w:sz w:val="16"/>
          <w:szCs w:val="16"/>
        </w:rPr>
        <w:t xml:space="preserve"> 2106-12. </w:t>
      </w:r>
      <w:r w:rsidR="002A42B0">
        <w:rPr>
          <w:rFonts w:ascii="Cambria" w:hAnsi="Cambria"/>
          <w:sz w:val="16"/>
          <w:szCs w:val="16"/>
        </w:rPr>
        <w:t>Admissibility</w:t>
      </w:r>
      <w:r w:rsidRPr="002A42B0">
        <w:rPr>
          <w:rFonts w:ascii="Cambria" w:hAnsi="Cambria"/>
          <w:sz w:val="16"/>
          <w:szCs w:val="16"/>
        </w:rPr>
        <w:t xml:space="preserve">. Huitosachi, Mogótavo </w:t>
      </w:r>
      <w:r w:rsidR="00950AB1">
        <w:rPr>
          <w:rFonts w:ascii="Cambria" w:hAnsi="Cambria"/>
          <w:sz w:val="16"/>
          <w:szCs w:val="16"/>
        </w:rPr>
        <w:t>and</w:t>
      </w:r>
      <w:r w:rsidRPr="002A42B0">
        <w:rPr>
          <w:rFonts w:ascii="Cambria" w:hAnsi="Cambria"/>
          <w:sz w:val="16"/>
          <w:szCs w:val="16"/>
        </w:rPr>
        <w:t xml:space="preserve"> Bacajípare </w:t>
      </w:r>
      <w:r w:rsidR="00950AB1">
        <w:rPr>
          <w:rFonts w:ascii="Cambria" w:hAnsi="Cambria"/>
          <w:sz w:val="16"/>
          <w:szCs w:val="16"/>
        </w:rPr>
        <w:t xml:space="preserve">Communities of the </w:t>
      </w:r>
      <w:r w:rsidRPr="002A42B0">
        <w:rPr>
          <w:rFonts w:ascii="Cambria" w:hAnsi="Cambria"/>
          <w:sz w:val="16"/>
          <w:szCs w:val="16"/>
        </w:rPr>
        <w:t>Rarámuri</w:t>
      </w:r>
      <w:r w:rsidR="00950AB1">
        <w:rPr>
          <w:rFonts w:ascii="Cambria" w:hAnsi="Cambria"/>
          <w:sz w:val="16"/>
          <w:szCs w:val="16"/>
        </w:rPr>
        <w:t xml:space="preserve"> indigenous people</w:t>
      </w:r>
      <w:r w:rsidRPr="002A42B0">
        <w:rPr>
          <w:rFonts w:ascii="Cambria" w:hAnsi="Cambria"/>
          <w:sz w:val="16"/>
          <w:szCs w:val="16"/>
        </w:rPr>
        <w:t>.</w:t>
      </w:r>
      <w:r w:rsidR="00950AB1">
        <w:rPr>
          <w:rFonts w:ascii="Cambria" w:hAnsi="Cambria"/>
          <w:sz w:val="16"/>
          <w:szCs w:val="16"/>
        </w:rPr>
        <w:t xml:space="preserve"> </w:t>
      </w:r>
      <w:r w:rsidRPr="002A42B0">
        <w:rPr>
          <w:rFonts w:ascii="Cambria" w:hAnsi="Cambria"/>
          <w:sz w:val="16"/>
          <w:szCs w:val="16"/>
        </w:rPr>
        <w:t>M</w:t>
      </w:r>
      <w:r w:rsidR="00950AB1">
        <w:rPr>
          <w:rFonts w:ascii="Cambria" w:hAnsi="Cambria"/>
          <w:sz w:val="16"/>
          <w:szCs w:val="16"/>
        </w:rPr>
        <w:t>e</w:t>
      </w:r>
      <w:r w:rsidRPr="002A42B0">
        <w:rPr>
          <w:rFonts w:ascii="Cambria" w:hAnsi="Cambria"/>
          <w:sz w:val="16"/>
          <w:szCs w:val="16"/>
        </w:rPr>
        <w:t xml:space="preserve">xico. </w:t>
      </w:r>
      <w:r w:rsidR="00950AB1">
        <w:rPr>
          <w:rFonts w:ascii="Cambria" w:hAnsi="Cambria"/>
          <w:sz w:val="16"/>
          <w:szCs w:val="16"/>
        </w:rPr>
        <w:t xml:space="preserve">October </w:t>
      </w:r>
      <w:r w:rsidRPr="002A42B0">
        <w:rPr>
          <w:rFonts w:ascii="Cambria" w:hAnsi="Cambria"/>
          <w:sz w:val="16"/>
          <w:szCs w:val="16"/>
        </w:rPr>
        <w:t>29</w:t>
      </w:r>
      <w:r w:rsidR="00950AB1">
        <w:rPr>
          <w:rFonts w:ascii="Cambria" w:hAnsi="Cambria"/>
          <w:sz w:val="16"/>
          <w:szCs w:val="16"/>
        </w:rPr>
        <w:t>,</w:t>
      </w:r>
      <w:r w:rsidRPr="002A42B0">
        <w:rPr>
          <w:rFonts w:ascii="Cambria" w:hAnsi="Cambria"/>
          <w:sz w:val="16"/>
          <w:szCs w:val="16"/>
        </w:rPr>
        <w:t xml:space="preserve"> 2021, </w:t>
      </w:r>
      <w:r w:rsidR="00371A02">
        <w:rPr>
          <w:rFonts w:ascii="Cambria" w:hAnsi="Cambria"/>
          <w:sz w:val="16"/>
          <w:szCs w:val="16"/>
        </w:rPr>
        <w:t>para.</w:t>
      </w:r>
      <w:r w:rsidRPr="002A42B0">
        <w:rPr>
          <w:rFonts w:ascii="Cambria" w:hAnsi="Cambria"/>
          <w:sz w:val="16"/>
          <w:szCs w:val="16"/>
        </w:rPr>
        <w:t xml:space="preserve"> 29; </w:t>
      </w:r>
      <w:r w:rsidR="00371A02">
        <w:rPr>
          <w:rFonts w:ascii="Cambria" w:hAnsi="Cambria"/>
          <w:sz w:val="16"/>
          <w:szCs w:val="16"/>
        </w:rPr>
        <w:t>and</w:t>
      </w:r>
      <w:r w:rsidRPr="002A42B0">
        <w:rPr>
          <w:rFonts w:ascii="Cambria" w:hAnsi="Cambria"/>
          <w:sz w:val="16"/>
          <w:szCs w:val="16"/>
        </w:rPr>
        <w:t xml:space="preserve">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89/21, </w:t>
      </w:r>
      <w:r w:rsidR="002A42B0">
        <w:rPr>
          <w:rFonts w:ascii="Cambria" w:hAnsi="Cambria"/>
          <w:sz w:val="16"/>
          <w:szCs w:val="16"/>
        </w:rPr>
        <w:t>Petition</w:t>
      </w:r>
      <w:r w:rsidRPr="002A42B0">
        <w:rPr>
          <w:rFonts w:ascii="Cambria" w:hAnsi="Cambria"/>
          <w:sz w:val="16"/>
          <w:szCs w:val="16"/>
        </w:rPr>
        <w:t xml:space="preserve"> 5-12, </w:t>
      </w:r>
      <w:r w:rsidR="00371A02">
        <w:rPr>
          <w:rFonts w:ascii="Cambria" w:hAnsi="Cambria"/>
          <w:sz w:val="16"/>
          <w:szCs w:val="16"/>
        </w:rPr>
        <w:t>Mine</w:t>
      </w:r>
      <w:r w:rsidR="0058148F">
        <w:rPr>
          <w:rFonts w:ascii="Cambria" w:hAnsi="Cambria"/>
          <w:sz w:val="16"/>
          <w:szCs w:val="16"/>
        </w:rPr>
        <w:t xml:space="preserve"> W</w:t>
      </w:r>
      <w:r w:rsidR="00371A02">
        <w:rPr>
          <w:rFonts w:ascii="Cambria" w:hAnsi="Cambria"/>
          <w:sz w:val="16"/>
          <w:szCs w:val="16"/>
        </w:rPr>
        <w:t xml:space="preserve">orkers of </w:t>
      </w:r>
      <w:r w:rsidRPr="002A42B0">
        <w:rPr>
          <w:rFonts w:ascii="Cambria" w:hAnsi="Cambria"/>
          <w:sz w:val="16"/>
          <w:szCs w:val="16"/>
        </w:rPr>
        <w:t xml:space="preserve">Cananea </w:t>
      </w:r>
      <w:r w:rsidR="00371A02">
        <w:rPr>
          <w:rFonts w:ascii="Cambria" w:hAnsi="Cambria"/>
          <w:sz w:val="16"/>
          <w:szCs w:val="16"/>
        </w:rPr>
        <w:t>and their famil</w:t>
      </w:r>
      <w:r w:rsidR="0058148F">
        <w:rPr>
          <w:rFonts w:ascii="Cambria" w:hAnsi="Cambria"/>
          <w:sz w:val="16"/>
          <w:szCs w:val="16"/>
        </w:rPr>
        <w:t>ies</w:t>
      </w:r>
      <w:r w:rsidR="00371A02">
        <w:rPr>
          <w:rFonts w:ascii="Cambria" w:hAnsi="Cambria"/>
          <w:sz w:val="16"/>
          <w:szCs w:val="16"/>
        </w:rPr>
        <w:t xml:space="preserve">. </w:t>
      </w:r>
      <w:r w:rsidRPr="002A42B0">
        <w:rPr>
          <w:rFonts w:ascii="Cambria" w:hAnsi="Cambria"/>
          <w:sz w:val="16"/>
          <w:szCs w:val="16"/>
        </w:rPr>
        <w:t>M</w:t>
      </w:r>
      <w:r w:rsidR="00371A02">
        <w:rPr>
          <w:rFonts w:ascii="Cambria" w:hAnsi="Cambria"/>
          <w:sz w:val="16"/>
          <w:szCs w:val="16"/>
        </w:rPr>
        <w:t>e</w:t>
      </w:r>
      <w:r w:rsidRPr="002A42B0">
        <w:rPr>
          <w:rFonts w:ascii="Cambria" w:hAnsi="Cambria"/>
          <w:sz w:val="16"/>
          <w:szCs w:val="16"/>
        </w:rPr>
        <w:t xml:space="preserve">xico. </w:t>
      </w:r>
      <w:r w:rsidR="00371A02">
        <w:rPr>
          <w:rFonts w:ascii="Cambria" w:hAnsi="Cambria"/>
          <w:sz w:val="16"/>
          <w:szCs w:val="16"/>
        </w:rPr>
        <w:t xml:space="preserve">March </w:t>
      </w:r>
      <w:r w:rsidRPr="002A42B0">
        <w:rPr>
          <w:rFonts w:ascii="Cambria" w:hAnsi="Cambria"/>
          <w:sz w:val="16"/>
          <w:szCs w:val="16"/>
        </w:rPr>
        <w:t>28</w:t>
      </w:r>
      <w:r w:rsidR="00371A02">
        <w:rPr>
          <w:rFonts w:ascii="Cambria" w:hAnsi="Cambria"/>
          <w:sz w:val="16"/>
          <w:szCs w:val="16"/>
        </w:rPr>
        <w:t>,</w:t>
      </w:r>
      <w:r w:rsidRPr="002A42B0">
        <w:rPr>
          <w:rFonts w:ascii="Cambria" w:hAnsi="Cambria"/>
          <w:sz w:val="16"/>
          <w:szCs w:val="16"/>
        </w:rPr>
        <w:t xml:space="preserve"> 2021, </w:t>
      </w:r>
      <w:r w:rsidR="00371A02">
        <w:rPr>
          <w:rFonts w:ascii="Cambria" w:hAnsi="Cambria"/>
          <w:sz w:val="16"/>
          <w:szCs w:val="16"/>
        </w:rPr>
        <w:t>para.</w:t>
      </w:r>
      <w:r w:rsidRPr="002A42B0">
        <w:rPr>
          <w:rFonts w:ascii="Cambria" w:hAnsi="Cambria"/>
          <w:sz w:val="16"/>
          <w:szCs w:val="16"/>
        </w:rPr>
        <w:t xml:space="preserve"> 32.</w:t>
      </w:r>
    </w:p>
  </w:footnote>
  <w:footnote w:id="6">
    <w:p w14:paraId="37D6DC41" w14:textId="5D30E972" w:rsidR="00651C94" w:rsidRPr="002A42B0" w:rsidRDefault="00651C94" w:rsidP="00A92159">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241/22. </w:t>
      </w:r>
      <w:r w:rsidR="002A42B0">
        <w:rPr>
          <w:rFonts w:ascii="Cambria" w:hAnsi="Cambria"/>
          <w:sz w:val="16"/>
          <w:szCs w:val="16"/>
        </w:rPr>
        <w:t>Petition</w:t>
      </w:r>
      <w:r w:rsidRPr="002A42B0">
        <w:rPr>
          <w:rFonts w:ascii="Cambria" w:hAnsi="Cambria"/>
          <w:sz w:val="16"/>
          <w:szCs w:val="16"/>
        </w:rPr>
        <w:t xml:space="preserve"> 2377-12. </w:t>
      </w:r>
      <w:r w:rsidR="002A42B0">
        <w:rPr>
          <w:rFonts w:ascii="Cambria" w:hAnsi="Cambria"/>
          <w:sz w:val="16"/>
          <w:szCs w:val="16"/>
        </w:rPr>
        <w:t>Inadmissibility</w:t>
      </w:r>
      <w:r w:rsidRPr="002A42B0">
        <w:rPr>
          <w:rFonts w:ascii="Cambria" w:hAnsi="Cambria"/>
          <w:sz w:val="16"/>
          <w:szCs w:val="16"/>
        </w:rPr>
        <w:t>. Zuluaga Obando</w:t>
      </w:r>
      <w:r w:rsidR="00371A02">
        <w:rPr>
          <w:rFonts w:ascii="Cambria" w:hAnsi="Cambria"/>
          <w:sz w:val="16"/>
          <w:szCs w:val="16"/>
        </w:rPr>
        <w:t xml:space="preserve"> Family</w:t>
      </w:r>
      <w:r w:rsidRPr="002A42B0">
        <w:rPr>
          <w:rFonts w:ascii="Cambria" w:hAnsi="Cambria"/>
          <w:sz w:val="16"/>
          <w:szCs w:val="16"/>
        </w:rPr>
        <w:t xml:space="preserve">. Colombia. </w:t>
      </w:r>
      <w:r w:rsidR="00371A02">
        <w:rPr>
          <w:rFonts w:ascii="Cambria" w:hAnsi="Cambria"/>
          <w:sz w:val="16"/>
          <w:szCs w:val="16"/>
        </w:rPr>
        <w:t xml:space="preserve">September </w:t>
      </w:r>
      <w:r w:rsidRPr="002A42B0">
        <w:rPr>
          <w:rFonts w:ascii="Cambria" w:hAnsi="Cambria"/>
          <w:sz w:val="16"/>
          <w:szCs w:val="16"/>
        </w:rPr>
        <w:t>26</w:t>
      </w:r>
      <w:r w:rsidR="00371A02">
        <w:rPr>
          <w:rFonts w:ascii="Cambria" w:hAnsi="Cambria"/>
          <w:sz w:val="16"/>
          <w:szCs w:val="16"/>
        </w:rPr>
        <w:t>,</w:t>
      </w:r>
      <w:r w:rsidRPr="002A42B0">
        <w:rPr>
          <w:rFonts w:ascii="Cambria" w:hAnsi="Cambria"/>
          <w:sz w:val="16"/>
          <w:szCs w:val="16"/>
        </w:rPr>
        <w:t xml:space="preserve"> 2022, </w:t>
      </w:r>
      <w:r w:rsidR="00371A02">
        <w:rPr>
          <w:rFonts w:ascii="Cambria" w:hAnsi="Cambria"/>
          <w:sz w:val="16"/>
          <w:szCs w:val="16"/>
        </w:rPr>
        <w:t>para.</w:t>
      </w:r>
      <w:r w:rsidRPr="002A42B0">
        <w:rPr>
          <w:rFonts w:ascii="Cambria" w:hAnsi="Cambria"/>
          <w:sz w:val="16"/>
          <w:szCs w:val="16"/>
        </w:rPr>
        <w:t xml:space="preserve"> 18;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236/22. </w:t>
      </w:r>
      <w:r w:rsidR="002A42B0">
        <w:rPr>
          <w:rFonts w:ascii="Cambria" w:hAnsi="Cambria"/>
          <w:sz w:val="16"/>
          <w:szCs w:val="16"/>
        </w:rPr>
        <w:t>Petition</w:t>
      </w:r>
      <w:r w:rsidRPr="002A42B0">
        <w:rPr>
          <w:rFonts w:ascii="Cambria" w:hAnsi="Cambria"/>
          <w:sz w:val="16"/>
          <w:szCs w:val="16"/>
        </w:rPr>
        <w:t xml:space="preserve"> 1828-12. </w:t>
      </w:r>
      <w:r w:rsidR="002A42B0">
        <w:rPr>
          <w:rFonts w:ascii="Cambria" w:hAnsi="Cambria"/>
          <w:sz w:val="16"/>
          <w:szCs w:val="16"/>
        </w:rPr>
        <w:t>Inadmissibility</w:t>
      </w:r>
      <w:r w:rsidRPr="002A42B0">
        <w:rPr>
          <w:rFonts w:ascii="Cambria" w:hAnsi="Cambria"/>
          <w:sz w:val="16"/>
          <w:szCs w:val="16"/>
        </w:rPr>
        <w:t xml:space="preserve">. </w:t>
      </w:r>
      <w:r w:rsidR="00B41BC4">
        <w:rPr>
          <w:rFonts w:ascii="Cambria" w:hAnsi="Cambria"/>
          <w:sz w:val="16"/>
          <w:szCs w:val="16"/>
        </w:rPr>
        <w:t xml:space="preserve">Relatives </w:t>
      </w:r>
      <w:r w:rsidR="00371A02">
        <w:rPr>
          <w:rFonts w:ascii="Cambria" w:hAnsi="Cambria"/>
          <w:sz w:val="16"/>
          <w:szCs w:val="16"/>
        </w:rPr>
        <w:t xml:space="preserve">of </w:t>
      </w:r>
      <w:r w:rsidRPr="002A42B0">
        <w:rPr>
          <w:rFonts w:ascii="Cambria" w:hAnsi="Cambria"/>
          <w:sz w:val="16"/>
          <w:szCs w:val="16"/>
        </w:rPr>
        <w:t xml:space="preserve">Julio César Cardona Lozano. Colombia. </w:t>
      </w:r>
      <w:r w:rsidR="00371A02">
        <w:rPr>
          <w:rFonts w:ascii="Cambria" w:hAnsi="Cambria"/>
          <w:sz w:val="16"/>
          <w:szCs w:val="16"/>
        </w:rPr>
        <w:t xml:space="preserve">September </w:t>
      </w:r>
      <w:r w:rsidRPr="002A42B0">
        <w:rPr>
          <w:rFonts w:ascii="Cambria" w:hAnsi="Cambria"/>
          <w:sz w:val="16"/>
          <w:szCs w:val="16"/>
        </w:rPr>
        <w:t>17</w:t>
      </w:r>
      <w:r w:rsidR="00371A02">
        <w:rPr>
          <w:rFonts w:ascii="Cambria" w:hAnsi="Cambria"/>
          <w:sz w:val="16"/>
          <w:szCs w:val="16"/>
        </w:rPr>
        <w:t>,</w:t>
      </w:r>
      <w:r w:rsidRPr="002A42B0">
        <w:rPr>
          <w:rFonts w:ascii="Cambria" w:hAnsi="Cambria"/>
          <w:sz w:val="16"/>
          <w:szCs w:val="16"/>
        </w:rPr>
        <w:t xml:space="preserve"> 2022, </w:t>
      </w:r>
      <w:r w:rsidR="00371A02">
        <w:rPr>
          <w:rFonts w:ascii="Cambria" w:hAnsi="Cambria"/>
          <w:sz w:val="16"/>
          <w:szCs w:val="16"/>
        </w:rPr>
        <w:t>para.</w:t>
      </w:r>
      <w:r w:rsidRPr="002A42B0">
        <w:rPr>
          <w:rFonts w:ascii="Cambria" w:hAnsi="Cambria"/>
          <w:sz w:val="16"/>
          <w:szCs w:val="16"/>
        </w:rPr>
        <w:t xml:space="preserve"> 12; </w:t>
      </w:r>
      <w:r w:rsidR="00371A02">
        <w:rPr>
          <w:rFonts w:ascii="Cambria" w:hAnsi="Cambria"/>
          <w:sz w:val="16"/>
          <w:szCs w:val="16"/>
        </w:rPr>
        <w:t>and</w:t>
      </w:r>
      <w:r w:rsidRPr="002A42B0">
        <w:rPr>
          <w:rFonts w:ascii="Cambria" w:hAnsi="Cambria"/>
          <w:sz w:val="16"/>
          <w:szCs w:val="16"/>
        </w:rPr>
        <w:t xml:space="preserve">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328/22. </w:t>
      </w:r>
      <w:r w:rsidR="002A42B0">
        <w:rPr>
          <w:rFonts w:ascii="Cambria" w:hAnsi="Cambria"/>
          <w:sz w:val="16"/>
          <w:szCs w:val="16"/>
        </w:rPr>
        <w:t>Petition</w:t>
      </w:r>
      <w:r w:rsidRPr="002A42B0">
        <w:rPr>
          <w:rFonts w:ascii="Cambria" w:hAnsi="Cambria"/>
          <w:sz w:val="16"/>
          <w:szCs w:val="16"/>
        </w:rPr>
        <w:t xml:space="preserve"> 657-08. </w:t>
      </w:r>
      <w:r w:rsidR="002A42B0">
        <w:rPr>
          <w:rFonts w:ascii="Cambria" w:hAnsi="Cambria"/>
          <w:sz w:val="16"/>
          <w:szCs w:val="16"/>
        </w:rPr>
        <w:t>Inadmissibility</w:t>
      </w:r>
      <w:r w:rsidRPr="002A42B0">
        <w:rPr>
          <w:rFonts w:ascii="Cambria" w:hAnsi="Cambria"/>
          <w:sz w:val="16"/>
          <w:szCs w:val="16"/>
        </w:rPr>
        <w:t>. Famil</w:t>
      </w:r>
      <w:r w:rsidR="00371A02">
        <w:rPr>
          <w:rFonts w:ascii="Cambria" w:hAnsi="Cambria"/>
          <w:sz w:val="16"/>
          <w:szCs w:val="16"/>
        </w:rPr>
        <w:t>y members of</w:t>
      </w:r>
      <w:r w:rsidRPr="002A42B0">
        <w:rPr>
          <w:rFonts w:ascii="Cambria" w:hAnsi="Cambria"/>
          <w:sz w:val="16"/>
          <w:szCs w:val="16"/>
        </w:rPr>
        <w:t xml:space="preserve"> Julio Roldán Burbano Lasso. Colombia. </w:t>
      </w:r>
      <w:r w:rsidR="00371A02">
        <w:rPr>
          <w:rFonts w:ascii="Cambria" w:hAnsi="Cambria"/>
          <w:sz w:val="16"/>
          <w:szCs w:val="16"/>
        </w:rPr>
        <w:t xml:space="preserve">November </w:t>
      </w:r>
      <w:r w:rsidRPr="002A42B0">
        <w:rPr>
          <w:rFonts w:ascii="Cambria" w:hAnsi="Cambria"/>
          <w:sz w:val="16"/>
          <w:szCs w:val="16"/>
        </w:rPr>
        <w:t>29</w:t>
      </w:r>
      <w:r w:rsidR="00371A02">
        <w:rPr>
          <w:rFonts w:ascii="Cambria" w:hAnsi="Cambria"/>
          <w:sz w:val="16"/>
          <w:szCs w:val="16"/>
        </w:rPr>
        <w:t>,</w:t>
      </w:r>
      <w:r w:rsidRPr="002A42B0">
        <w:rPr>
          <w:rFonts w:ascii="Cambria" w:hAnsi="Cambria"/>
          <w:sz w:val="16"/>
          <w:szCs w:val="16"/>
        </w:rPr>
        <w:t xml:space="preserve"> 2022, </w:t>
      </w:r>
      <w:r w:rsidR="00371A02">
        <w:rPr>
          <w:rFonts w:ascii="Cambria" w:hAnsi="Cambria"/>
          <w:sz w:val="16"/>
          <w:szCs w:val="16"/>
        </w:rPr>
        <w:t>para.</w:t>
      </w:r>
      <w:r w:rsidRPr="002A42B0">
        <w:rPr>
          <w:rFonts w:ascii="Cambria" w:hAnsi="Cambria"/>
          <w:sz w:val="16"/>
          <w:szCs w:val="16"/>
        </w:rPr>
        <w:t xml:space="preserve"> 10.</w:t>
      </w:r>
    </w:p>
  </w:footnote>
  <w:footnote w:id="7">
    <w:p w14:paraId="48CC73DE" w14:textId="342F0777" w:rsidR="00651C94" w:rsidRPr="002A42B0" w:rsidRDefault="00651C94" w:rsidP="00A92159">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w:t>
      </w:r>
      <w:r w:rsidR="00371A02">
        <w:rPr>
          <w:rFonts w:ascii="Cambria" w:hAnsi="Cambria"/>
          <w:sz w:val="16"/>
          <w:szCs w:val="16"/>
        </w:rPr>
        <w:t>Along the same lines</w:t>
      </w:r>
      <w:r w:rsidRPr="002A42B0">
        <w:rPr>
          <w:rFonts w:ascii="Cambria" w:hAnsi="Cambria"/>
          <w:sz w:val="16"/>
          <w:szCs w:val="16"/>
        </w:rPr>
        <w:t xml:space="preserve">: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22/24. </w:t>
      </w:r>
      <w:r w:rsidR="002A42B0">
        <w:rPr>
          <w:rFonts w:ascii="Cambria" w:hAnsi="Cambria"/>
          <w:sz w:val="16"/>
          <w:szCs w:val="16"/>
        </w:rPr>
        <w:t>Petition</w:t>
      </w:r>
      <w:r w:rsidRPr="002A42B0">
        <w:rPr>
          <w:rFonts w:ascii="Cambria" w:hAnsi="Cambria"/>
          <w:sz w:val="16"/>
          <w:szCs w:val="16"/>
        </w:rPr>
        <w:t xml:space="preserve"> 2030-13. </w:t>
      </w:r>
      <w:r w:rsidR="002A42B0">
        <w:rPr>
          <w:rFonts w:ascii="Cambria" w:hAnsi="Cambria"/>
          <w:sz w:val="16"/>
          <w:szCs w:val="16"/>
        </w:rPr>
        <w:t>Inadmissibility</w:t>
      </w:r>
      <w:r w:rsidRPr="002A42B0">
        <w:rPr>
          <w:rFonts w:ascii="Cambria" w:hAnsi="Cambria"/>
          <w:sz w:val="16"/>
          <w:szCs w:val="16"/>
        </w:rPr>
        <w:t xml:space="preserve">. Lucero Sarria Reyes </w:t>
      </w:r>
      <w:r w:rsidR="00371A02">
        <w:rPr>
          <w:rFonts w:ascii="Cambria" w:hAnsi="Cambria"/>
          <w:sz w:val="16"/>
          <w:szCs w:val="16"/>
        </w:rPr>
        <w:t>and</w:t>
      </w:r>
      <w:r w:rsidRPr="002A42B0">
        <w:rPr>
          <w:rFonts w:ascii="Cambria" w:hAnsi="Cambria"/>
          <w:sz w:val="16"/>
          <w:szCs w:val="16"/>
        </w:rPr>
        <w:t xml:space="preserve"> Alón Esthewar Sarria Reyes. Colombia. </w:t>
      </w:r>
      <w:r w:rsidR="00371A02">
        <w:rPr>
          <w:rFonts w:ascii="Cambria" w:hAnsi="Cambria"/>
          <w:sz w:val="16"/>
          <w:szCs w:val="16"/>
        </w:rPr>
        <w:t xml:space="preserve">April </w:t>
      </w:r>
      <w:r w:rsidRPr="002A42B0">
        <w:rPr>
          <w:rFonts w:ascii="Cambria" w:hAnsi="Cambria"/>
          <w:sz w:val="16"/>
          <w:szCs w:val="16"/>
        </w:rPr>
        <w:t>30</w:t>
      </w:r>
      <w:r w:rsidR="00371A02">
        <w:rPr>
          <w:rFonts w:ascii="Cambria" w:hAnsi="Cambria"/>
          <w:sz w:val="16"/>
          <w:szCs w:val="16"/>
        </w:rPr>
        <w:t>,</w:t>
      </w:r>
      <w:r w:rsidRPr="002A42B0">
        <w:rPr>
          <w:rFonts w:ascii="Cambria" w:hAnsi="Cambria"/>
          <w:sz w:val="16"/>
          <w:szCs w:val="16"/>
        </w:rPr>
        <w:t xml:space="preserve"> 2024, </w:t>
      </w:r>
      <w:r w:rsidR="00371A02">
        <w:rPr>
          <w:rFonts w:ascii="Cambria" w:hAnsi="Cambria"/>
          <w:sz w:val="16"/>
          <w:szCs w:val="16"/>
        </w:rPr>
        <w:t xml:space="preserve">para. </w:t>
      </w:r>
      <w:r w:rsidRPr="002A42B0">
        <w:rPr>
          <w:rFonts w:ascii="Cambria" w:hAnsi="Cambria"/>
          <w:sz w:val="16"/>
          <w:szCs w:val="16"/>
        </w:rPr>
        <w:t>17.</w:t>
      </w:r>
    </w:p>
  </w:footnote>
  <w:footnote w:id="8">
    <w:p w14:paraId="6685E5B6" w14:textId="779248B7" w:rsidR="00651C94" w:rsidRPr="002A42B0" w:rsidRDefault="00651C94" w:rsidP="00A92159">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w:t>
      </w:r>
      <w:r w:rsidR="002A42B0" w:rsidRPr="002A42B0">
        <w:rPr>
          <w:rFonts w:ascii="Cambria" w:hAnsi="Cambria"/>
          <w:sz w:val="16"/>
          <w:szCs w:val="16"/>
        </w:rPr>
        <w:t>IACHR</w:t>
      </w:r>
      <w:r w:rsidRPr="002A42B0">
        <w:rPr>
          <w:rFonts w:ascii="Cambria" w:hAnsi="Cambria"/>
          <w:sz w:val="16"/>
          <w:szCs w:val="16"/>
        </w:rPr>
        <w:t xml:space="preserve">, </w:t>
      </w:r>
      <w:r w:rsidR="002A42B0" w:rsidRPr="002A42B0">
        <w:rPr>
          <w:rFonts w:ascii="Cambria" w:hAnsi="Cambria"/>
          <w:sz w:val="16"/>
          <w:szCs w:val="16"/>
        </w:rPr>
        <w:t>Report</w:t>
      </w:r>
      <w:r w:rsidRPr="002A42B0">
        <w:rPr>
          <w:rFonts w:ascii="Cambria" w:hAnsi="Cambria"/>
          <w:sz w:val="16"/>
          <w:szCs w:val="16"/>
        </w:rPr>
        <w:t xml:space="preserve"> No. 193/22. </w:t>
      </w:r>
      <w:r w:rsidR="002A42B0">
        <w:rPr>
          <w:rFonts w:ascii="Cambria" w:hAnsi="Cambria"/>
          <w:sz w:val="16"/>
          <w:szCs w:val="16"/>
        </w:rPr>
        <w:t>Petition</w:t>
      </w:r>
      <w:r w:rsidRPr="002A42B0">
        <w:rPr>
          <w:rFonts w:ascii="Cambria" w:hAnsi="Cambria"/>
          <w:sz w:val="16"/>
          <w:szCs w:val="16"/>
        </w:rPr>
        <w:t xml:space="preserve"> 1153-12 </w:t>
      </w:r>
      <w:r w:rsidR="002A42B0">
        <w:rPr>
          <w:rFonts w:ascii="Cambria" w:hAnsi="Cambria"/>
          <w:sz w:val="16"/>
          <w:szCs w:val="16"/>
        </w:rPr>
        <w:t>Inadmissibility</w:t>
      </w:r>
      <w:r w:rsidRPr="002A42B0">
        <w:rPr>
          <w:rFonts w:ascii="Cambria" w:hAnsi="Cambria"/>
          <w:sz w:val="16"/>
          <w:szCs w:val="16"/>
        </w:rPr>
        <w:t xml:space="preserve">. Luis Alejandro Cárdenas Tafur </w:t>
      </w:r>
      <w:r w:rsidR="00371A02">
        <w:rPr>
          <w:rFonts w:ascii="Cambria" w:hAnsi="Cambria"/>
          <w:sz w:val="16"/>
          <w:szCs w:val="16"/>
        </w:rPr>
        <w:t xml:space="preserve">and </w:t>
      </w:r>
      <w:r w:rsidRPr="002A42B0">
        <w:rPr>
          <w:rFonts w:ascii="Cambria" w:hAnsi="Cambria"/>
          <w:sz w:val="16"/>
          <w:szCs w:val="16"/>
        </w:rPr>
        <w:t>Famil</w:t>
      </w:r>
      <w:r w:rsidR="00371A02">
        <w:rPr>
          <w:rFonts w:ascii="Cambria" w:hAnsi="Cambria"/>
          <w:sz w:val="16"/>
          <w:szCs w:val="16"/>
        </w:rPr>
        <w:t>y</w:t>
      </w:r>
      <w:r w:rsidRPr="002A42B0">
        <w:rPr>
          <w:rFonts w:ascii="Cambria" w:hAnsi="Cambria"/>
          <w:sz w:val="16"/>
          <w:szCs w:val="16"/>
        </w:rPr>
        <w:t xml:space="preserve">. Colombia. </w:t>
      </w:r>
      <w:r w:rsidR="00371A02">
        <w:rPr>
          <w:rFonts w:ascii="Cambria" w:hAnsi="Cambria"/>
          <w:sz w:val="16"/>
          <w:szCs w:val="16"/>
        </w:rPr>
        <w:t xml:space="preserve">August </w:t>
      </w:r>
      <w:r w:rsidRPr="002A42B0">
        <w:rPr>
          <w:rFonts w:ascii="Cambria" w:hAnsi="Cambria"/>
          <w:sz w:val="16"/>
          <w:szCs w:val="16"/>
        </w:rPr>
        <w:t>3</w:t>
      </w:r>
      <w:r w:rsidR="00371A02">
        <w:rPr>
          <w:rFonts w:ascii="Cambria" w:hAnsi="Cambria"/>
          <w:sz w:val="16"/>
          <w:szCs w:val="16"/>
        </w:rPr>
        <w:t>,</w:t>
      </w:r>
      <w:r w:rsidRPr="002A42B0">
        <w:rPr>
          <w:rFonts w:ascii="Cambria" w:hAnsi="Cambria"/>
          <w:sz w:val="16"/>
          <w:szCs w:val="16"/>
        </w:rPr>
        <w:t xml:space="preserve"> 2022, </w:t>
      </w:r>
      <w:r w:rsidR="00371A02">
        <w:rPr>
          <w:rFonts w:ascii="Cambria" w:hAnsi="Cambria"/>
          <w:sz w:val="16"/>
          <w:szCs w:val="16"/>
        </w:rPr>
        <w:t>para.</w:t>
      </w:r>
      <w:r w:rsidRPr="002A42B0">
        <w:rPr>
          <w:rFonts w:ascii="Cambria" w:hAnsi="Cambria"/>
          <w:sz w:val="16"/>
          <w:szCs w:val="16"/>
        </w:rPr>
        <w:t xml:space="preserve">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1C6A" w14:textId="77777777" w:rsidR="00072C3D" w:rsidRPr="00723329" w:rsidRDefault="00072C3D" w:rsidP="00B54CDF">
    <w:pPr>
      <w:pStyle w:val="Header"/>
      <w:framePr w:wrap="around" w:vAnchor="text" w:hAnchor="margin" w:xAlign="center" w:y="1"/>
      <w:rPr>
        <w:rStyle w:val="PageNumber"/>
        <w:rFonts w:eastAsia="Trebuchet MS"/>
      </w:rPr>
    </w:pPr>
    <w:r w:rsidRPr="00723329">
      <w:rPr>
        <w:rStyle w:val="PageNumber"/>
        <w:rFonts w:eastAsia="Trebuchet MS"/>
      </w:rPr>
      <w:fldChar w:fldCharType="begin"/>
    </w:r>
    <w:r w:rsidRPr="00723329">
      <w:rPr>
        <w:rStyle w:val="PageNumber"/>
        <w:rFonts w:eastAsia="Trebuchet MS"/>
      </w:rPr>
      <w:instrText xml:space="preserve">PAGE  </w:instrText>
    </w:r>
    <w:r w:rsidRPr="00723329">
      <w:rPr>
        <w:rStyle w:val="PageNumber"/>
        <w:rFonts w:eastAsia="Trebuchet MS"/>
      </w:rPr>
      <w:fldChar w:fldCharType="end"/>
    </w:r>
  </w:p>
  <w:p w14:paraId="0429BF97" w14:textId="77777777" w:rsidR="00072C3D" w:rsidRPr="00723329" w:rsidRDefault="00072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AB3B" w14:textId="77777777" w:rsidR="00072C3D" w:rsidRPr="00723329" w:rsidRDefault="00072C3D" w:rsidP="002C1641">
    <w:pPr>
      <w:pStyle w:val="Header"/>
      <w:jc w:val="center"/>
      <w:rPr>
        <w:sz w:val="22"/>
        <w:szCs w:val="22"/>
      </w:rPr>
    </w:pPr>
    <w:r w:rsidRPr="00723329">
      <w:rPr>
        <w:noProof/>
        <w:sz w:val="22"/>
        <w:szCs w:val="22"/>
      </w:rPr>
      <w:drawing>
        <wp:inline distT="0" distB="0" distL="0" distR="0" wp14:anchorId="444FA6B2" wp14:editId="3EBAD06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3B4DF08" w14:textId="77777777" w:rsidR="00072C3D" w:rsidRPr="00723329" w:rsidRDefault="00741805" w:rsidP="002C1641">
    <w:pPr>
      <w:pStyle w:val="Header"/>
      <w:jc w:val="center"/>
      <w:rPr>
        <w:sz w:val="22"/>
        <w:szCs w:val="22"/>
      </w:rPr>
    </w:pPr>
    <w:r>
      <w:rPr>
        <w:sz w:val="22"/>
        <w:szCs w:val="22"/>
      </w:rPr>
      <w:pict w14:anchorId="18B9379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16cid:durableId="665792024">
    <w:abstractNumId w:val="1"/>
  </w:num>
  <w:num w:numId="2" w16cid:durableId="184073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D"/>
    <w:rsid w:val="000178C9"/>
    <w:rsid w:val="0002570A"/>
    <w:rsid w:val="00027A67"/>
    <w:rsid w:val="0005211B"/>
    <w:rsid w:val="0005614B"/>
    <w:rsid w:val="000652EA"/>
    <w:rsid w:val="00072C3D"/>
    <w:rsid w:val="00094A5A"/>
    <w:rsid w:val="000D4E36"/>
    <w:rsid w:val="000F2D56"/>
    <w:rsid w:val="00122752"/>
    <w:rsid w:val="00134137"/>
    <w:rsid w:val="0014624A"/>
    <w:rsid w:val="00153F63"/>
    <w:rsid w:val="00184DD8"/>
    <w:rsid w:val="00191173"/>
    <w:rsid w:val="001A62B6"/>
    <w:rsid w:val="001F0479"/>
    <w:rsid w:val="001F1CD5"/>
    <w:rsid w:val="00217AD7"/>
    <w:rsid w:val="002259C9"/>
    <w:rsid w:val="00250716"/>
    <w:rsid w:val="002670A9"/>
    <w:rsid w:val="002A1F94"/>
    <w:rsid w:val="002A42B0"/>
    <w:rsid w:val="002A57A8"/>
    <w:rsid w:val="002B4EF6"/>
    <w:rsid w:val="002D3C00"/>
    <w:rsid w:val="002E1EEC"/>
    <w:rsid w:val="00312787"/>
    <w:rsid w:val="00314B88"/>
    <w:rsid w:val="003238E5"/>
    <w:rsid w:val="00325B83"/>
    <w:rsid w:val="00371A02"/>
    <w:rsid w:val="003A40F3"/>
    <w:rsid w:val="003A491E"/>
    <w:rsid w:val="003B0FF8"/>
    <w:rsid w:val="003B72FB"/>
    <w:rsid w:val="003C1603"/>
    <w:rsid w:val="003E725E"/>
    <w:rsid w:val="003F6921"/>
    <w:rsid w:val="00405355"/>
    <w:rsid w:val="00406856"/>
    <w:rsid w:val="00442BFA"/>
    <w:rsid w:val="00444F4C"/>
    <w:rsid w:val="004A4241"/>
    <w:rsid w:val="004B4053"/>
    <w:rsid w:val="004C58DA"/>
    <w:rsid w:val="004D5E4A"/>
    <w:rsid w:val="004E03A0"/>
    <w:rsid w:val="005066A8"/>
    <w:rsid w:val="00507835"/>
    <w:rsid w:val="005158F2"/>
    <w:rsid w:val="00522A19"/>
    <w:rsid w:val="00527912"/>
    <w:rsid w:val="005364C0"/>
    <w:rsid w:val="00541A87"/>
    <w:rsid w:val="00553DD6"/>
    <w:rsid w:val="00561715"/>
    <w:rsid w:val="0058148F"/>
    <w:rsid w:val="0058302A"/>
    <w:rsid w:val="00583AFF"/>
    <w:rsid w:val="005B42E5"/>
    <w:rsid w:val="005C582C"/>
    <w:rsid w:val="00651C94"/>
    <w:rsid w:val="00662458"/>
    <w:rsid w:val="00672DFC"/>
    <w:rsid w:val="006A2B73"/>
    <w:rsid w:val="006A3E46"/>
    <w:rsid w:val="006D178E"/>
    <w:rsid w:val="006D3264"/>
    <w:rsid w:val="00710AA3"/>
    <w:rsid w:val="00723329"/>
    <w:rsid w:val="00741805"/>
    <w:rsid w:val="0079256D"/>
    <w:rsid w:val="00795341"/>
    <w:rsid w:val="007B0309"/>
    <w:rsid w:val="007E3F0F"/>
    <w:rsid w:val="007E66B7"/>
    <w:rsid w:val="00837353"/>
    <w:rsid w:val="00841B23"/>
    <w:rsid w:val="008C0F23"/>
    <w:rsid w:val="008E46B2"/>
    <w:rsid w:val="00950AB1"/>
    <w:rsid w:val="009A2A07"/>
    <w:rsid w:val="009A4239"/>
    <w:rsid w:val="009A5E30"/>
    <w:rsid w:val="009B72BC"/>
    <w:rsid w:val="009D714C"/>
    <w:rsid w:val="00A23A93"/>
    <w:rsid w:val="00A46D5E"/>
    <w:rsid w:val="00A92159"/>
    <w:rsid w:val="00B127D2"/>
    <w:rsid w:val="00B151FF"/>
    <w:rsid w:val="00B41BC4"/>
    <w:rsid w:val="00B42784"/>
    <w:rsid w:val="00B44192"/>
    <w:rsid w:val="00B76F92"/>
    <w:rsid w:val="00BF6407"/>
    <w:rsid w:val="00C2026B"/>
    <w:rsid w:val="00C41E5E"/>
    <w:rsid w:val="00C548A6"/>
    <w:rsid w:val="00C67E1D"/>
    <w:rsid w:val="00C71420"/>
    <w:rsid w:val="00C91B98"/>
    <w:rsid w:val="00CA4BC7"/>
    <w:rsid w:val="00CB3C0E"/>
    <w:rsid w:val="00CC5650"/>
    <w:rsid w:val="00CD2D2E"/>
    <w:rsid w:val="00CE7F9F"/>
    <w:rsid w:val="00CF2430"/>
    <w:rsid w:val="00D15085"/>
    <w:rsid w:val="00D16705"/>
    <w:rsid w:val="00D35817"/>
    <w:rsid w:val="00D65EE4"/>
    <w:rsid w:val="00DC0B30"/>
    <w:rsid w:val="00E100EC"/>
    <w:rsid w:val="00E22591"/>
    <w:rsid w:val="00E25D4D"/>
    <w:rsid w:val="00E40855"/>
    <w:rsid w:val="00E5080A"/>
    <w:rsid w:val="00EC26BA"/>
    <w:rsid w:val="00F0471B"/>
    <w:rsid w:val="00F14DC1"/>
    <w:rsid w:val="00F27E9D"/>
    <w:rsid w:val="00F31258"/>
    <w:rsid w:val="00F415D4"/>
    <w:rsid w:val="00F7224C"/>
    <w:rsid w:val="00F777D5"/>
    <w:rsid w:val="00FF74F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B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C3D"/>
    <w:rPr>
      <w:rFonts w:eastAsiaTheme="majorEastAsia" w:cstheme="majorBidi"/>
      <w:color w:val="272727" w:themeColor="text1" w:themeTint="D8"/>
    </w:rPr>
  </w:style>
  <w:style w:type="paragraph" w:styleId="Title">
    <w:name w:val="Title"/>
    <w:basedOn w:val="Normal"/>
    <w:next w:val="Normal"/>
    <w:link w:val="TitleChar"/>
    <w:uiPriority w:val="10"/>
    <w:qFormat/>
    <w:rsid w:val="00072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C3D"/>
    <w:pPr>
      <w:spacing w:before="160"/>
      <w:jc w:val="center"/>
    </w:pPr>
    <w:rPr>
      <w:i/>
      <w:iCs/>
      <w:color w:val="404040" w:themeColor="text1" w:themeTint="BF"/>
    </w:rPr>
  </w:style>
  <w:style w:type="character" w:customStyle="1" w:styleId="QuoteChar">
    <w:name w:val="Quote Char"/>
    <w:basedOn w:val="DefaultParagraphFont"/>
    <w:link w:val="Quote"/>
    <w:uiPriority w:val="29"/>
    <w:rsid w:val="00072C3D"/>
    <w:rPr>
      <w:i/>
      <w:iCs/>
      <w:color w:val="404040" w:themeColor="text1" w:themeTint="BF"/>
    </w:rPr>
  </w:style>
  <w:style w:type="paragraph" w:styleId="ListParagraph">
    <w:name w:val="List Paragraph"/>
    <w:basedOn w:val="Normal"/>
    <w:uiPriority w:val="1"/>
    <w:qFormat/>
    <w:rsid w:val="00072C3D"/>
    <w:pPr>
      <w:ind w:left="720"/>
      <w:contextualSpacing/>
    </w:pPr>
  </w:style>
  <w:style w:type="character" w:styleId="IntenseEmphasis">
    <w:name w:val="Intense Emphasis"/>
    <w:basedOn w:val="DefaultParagraphFont"/>
    <w:uiPriority w:val="21"/>
    <w:qFormat/>
    <w:rsid w:val="00072C3D"/>
    <w:rPr>
      <w:i/>
      <w:iCs/>
      <w:color w:val="0F4761" w:themeColor="accent1" w:themeShade="BF"/>
    </w:rPr>
  </w:style>
  <w:style w:type="paragraph" w:styleId="IntenseQuote">
    <w:name w:val="Intense Quote"/>
    <w:basedOn w:val="Normal"/>
    <w:next w:val="Normal"/>
    <w:link w:val="IntenseQuoteChar"/>
    <w:uiPriority w:val="30"/>
    <w:qFormat/>
    <w:rsid w:val="00072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C3D"/>
    <w:rPr>
      <w:i/>
      <w:iCs/>
      <w:color w:val="0F4761" w:themeColor="accent1" w:themeShade="BF"/>
    </w:rPr>
  </w:style>
  <w:style w:type="character" w:styleId="IntenseReference">
    <w:name w:val="Intense Reference"/>
    <w:basedOn w:val="DefaultParagraphFont"/>
    <w:uiPriority w:val="32"/>
    <w:qFormat/>
    <w:rsid w:val="00072C3D"/>
    <w:rPr>
      <w:b/>
      <w:bCs/>
      <w:smallCaps/>
      <w:color w:val="0F4761" w:themeColor="accent1" w:themeShade="BF"/>
      <w:spacing w:val="5"/>
    </w:rPr>
  </w:style>
  <w:style w:type="paragraph" w:styleId="Footer">
    <w:name w:val="footer"/>
    <w:basedOn w:val="Normal"/>
    <w:link w:val="FooterChar"/>
    <w:uiPriority w:val="99"/>
    <w:unhideWhenUsed/>
    <w:rsid w:val="00072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3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basedOn w:val="Normal"/>
    <w:link w:val="FootnoteTextChar"/>
    <w:unhideWhenUsed/>
    <w:qFormat/>
    <w:rsid w:val="00072C3D"/>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072C3D"/>
    <w:rPr>
      <w:sz w:val="20"/>
      <w:szCs w:val="20"/>
    </w:rPr>
  </w:style>
  <w:style w:type="paragraph" w:styleId="Header">
    <w:name w:val="header"/>
    <w:basedOn w:val="Normal"/>
    <w:link w:val="HeaderChar"/>
    <w:uiPriority w:val="99"/>
    <w:unhideWhenUsed/>
    <w:rsid w:val="0007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3D"/>
  </w:style>
  <w:style w:type="character" w:styleId="PageNumber">
    <w:name w:val="page number"/>
    <w:basedOn w:val="DefaultParagraphFont"/>
    <w:rsid w:val="00072C3D"/>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link w:val="4GChar"/>
    <w:qFormat/>
    <w:rsid w:val="00072C3D"/>
    <w:rPr>
      <w:rFonts w:cs="Times New Roman"/>
      <w:vertAlign w:val="superscript"/>
    </w:rPr>
  </w:style>
  <w:style w:type="table" w:styleId="TableGrid">
    <w:name w:val="Table Grid"/>
    <w:basedOn w:val="TableNormal"/>
    <w:uiPriority w:val="39"/>
    <w:rsid w:val="00072C3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072C3D"/>
    <w:pPr>
      <w:spacing w:after="0" w:line="240" w:lineRule="auto"/>
      <w:jc w:val="both"/>
    </w:pPr>
    <w:rPr>
      <w:rFonts w:cs="Times New Roman"/>
      <w:vertAlign w:val="superscript"/>
    </w:rPr>
  </w:style>
  <w:style w:type="character" w:customStyle="1" w:styleId="normaltextrun">
    <w:name w:val="normaltextrun"/>
    <w:basedOn w:val="DefaultParagraphFont"/>
    <w:rsid w:val="002A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39DD29248A4C1A84FB445583640389"/>
        <w:category>
          <w:name w:val="General"/>
          <w:gallery w:val="placeholder"/>
        </w:category>
        <w:types>
          <w:type w:val="bbPlcHdr"/>
        </w:types>
        <w:behaviors>
          <w:behavior w:val="content"/>
        </w:behaviors>
        <w:guid w:val="{4293C31A-616A-46BC-A944-0AE951B1C404}"/>
      </w:docPartPr>
      <w:docPartBody>
        <w:p w:rsidR="00AC2E83" w:rsidRDefault="006A072B" w:rsidP="006A072B">
          <w:pPr>
            <w:pStyle w:val="FD39DD29248A4C1A84FB44558364038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2B"/>
    <w:rsid w:val="001F0479"/>
    <w:rsid w:val="00317AF4"/>
    <w:rsid w:val="003344A2"/>
    <w:rsid w:val="005C3DB2"/>
    <w:rsid w:val="006A072B"/>
    <w:rsid w:val="006D178E"/>
    <w:rsid w:val="008E46B2"/>
    <w:rsid w:val="00AC2E83"/>
    <w:rsid w:val="00F415D4"/>
    <w:rsid w:val="00FB73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72B"/>
    <w:rPr>
      <w:color w:val="808080"/>
    </w:rPr>
  </w:style>
  <w:style w:type="paragraph" w:customStyle="1" w:styleId="FD39DD29248A4C1A84FB445583640389">
    <w:name w:val="FD39DD29248A4C1A84FB445583640389"/>
    <w:rsid w:val="006A0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A579-4671-413B-BBAD-1380100E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2025-01-28T15:12:00Z</dcterms:created>
  <dcterms:modified xsi:type="dcterms:W3CDTF">2025-01-28T15:12:00Z</dcterms:modified>
</cp:coreProperties>
</file>