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E71E" w14:textId="669FCF56" w:rsidR="000542A2" w:rsidRPr="007307F4" w:rsidRDefault="00D112B8" w:rsidP="000542A2">
      <w:pPr>
        <w:pBdr>
          <w:top w:val="nil"/>
          <w:left w:val="nil"/>
          <w:bottom w:val="nil"/>
          <w:right w:val="nil"/>
          <w:between w:val="nil"/>
          <w:bar w:val="nil"/>
        </w:pBdr>
        <w:spacing w:after="0" w:line="240" w:lineRule="auto"/>
        <w:jc w:val="both"/>
        <w:rPr>
          <w:rFonts w:ascii="Cambria" w:eastAsia="Arial Unicode MS" w:hAnsi="Cambria" w:cs="Univers"/>
          <w:b/>
          <w:bCs/>
          <w:kern w:val="0"/>
          <w:sz w:val="22"/>
          <w:szCs w:val="22"/>
          <w:bdr w:val="nil"/>
          <w:lang w:eastAsia="en-US"/>
        </w:rPr>
      </w:pPr>
      <w:r w:rsidRPr="007307F4">
        <w:rPr>
          <w:rFonts w:ascii="Cambria" w:eastAsia="Arial Unicode MS" w:hAnsi="Cambria" w:cs="Times New Roman"/>
          <w:noProof/>
          <w:kern w:val="0"/>
          <w:bdr w:val="nil"/>
          <w:lang w:eastAsia="en-US"/>
        </w:rPr>
        <mc:AlternateContent>
          <mc:Choice Requires="wps">
            <w:drawing>
              <wp:anchor distT="0" distB="0" distL="114300" distR="114300" simplePos="0" relativeHeight="251654144" behindDoc="0" locked="0" layoutInCell="1" allowOverlap="1" wp14:anchorId="1DC3AE00" wp14:editId="4B0E0A63">
                <wp:simplePos x="0" y="0"/>
                <wp:positionH relativeFrom="column">
                  <wp:posOffset>-415925</wp:posOffset>
                </wp:positionH>
                <wp:positionV relativeFrom="paragraph">
                  <wp:posOffset>-285115</wp:posOffset>
                </wp:positionV>
                <wp:extent cx="1409700" cy="8491855"/>
                <wp:effectExtent l="0" t="0" r="0" b="0"/>
                <wp:wrapNone/>
                <wp:docPr id="112503639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49185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35B40BB" id="Rectangle 8" o:spid="_x0000_s1026" style="position:absolute;margin-left:-32.75pt;margin-top:-22.45pt;width:111pt;height:668.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" fillcolor="#67ae3c" stroked="f" strokeweight="1pt"/>
            </w:pict>
          </mc:Fallback>
        </mc:AlternateContent>
      </w:r>
      <w:r w:rsidRPr="007307F4">
        <w:rPr>
          <w:rFonts w:ascii="Cambria" w:eastAsia="Arial Unicode MS" w:hAnsi="Cambria" w:cs="Times New Roman"/>
          <w:noProof/>
          <w:kern w:val="0"/>
          <w:bdr w:val="nil"/>
          <w:lang w:eastAsia="en-US"/>
        </w:rPr>
        <mc:AlternateContent>
          <mc:Choice Requires="wps">
            <w:drawing>
              <wp:anchor distT="0" distB="0" distL="114300" distR="114300" simplePos="0" relativeHeight="251658240" behindDoc="0" locked="0" layoutInCell="1" allowOverlap="1" wp14:anchorId="76F701E6" wp14:editId="4D6E3C5C">
                <wp:simplePos x="0" y="0"/>
                <wp:positionH relativeFrom="column">
                  <wp:posOffset>1143000</wp:posOffset>
                </wp:positionH>
                <wp:positionV relativeFrom="paragraph">
                  <wp:posOffset>-371475</wp:posOffset>
                </wp:positionV>
                <wp:extent cx="4486275" cy="752475"/>
                <wp:effectExtent l="0" t="0" r="0" b="0"/>
                <wp:wrapNone/>
                <wp:docPr id="14059422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506B7" w14:textId="77777777" w:rsidR="000542A2" w:rsidRDefault="000542A2" w:rsidP="000542A2">
                            <w:r>
                              <w:rPr>
                                <w:noProof/>
                              </w:rPr>
                              <w:drawing>
                                <wp:inline distT="0" distB="0" distL="0" distR="0" wp14:anchorId="5207E862" wp14:editId="146AE0C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701E6" id="_x0000_t202" coordsize="21600,21600" o:spt="202" path="m,l,21600r21600,l21600,xe">
                <v:stroke joinstyle="miter"/>
                <v:path gradientshapeok="t" o:connecttype="rect"/>
              </v:shapetype>
              <v:shape id="Text Box 7"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" filled="f" stroked="f" strokeweight=".5pt">
                <v:textbox>
                  <w:txbxContent>
                    <w:p w14:paraId="31D506B7" w14:textId="77777777" w:rsidR="000542A2" w:rsidRDefault="000542A2" w:rsidP="000542A2">
                      <w:r>
                        <w:rPr>
                          <w:noProof/>
                        </w:rPr>
                        <w:drawing>
                          <wp:inline distT="0" distB="0" distL="0" distR="0" wp14:anchorId="5207E862" wp14:editId="146AE0C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1CB6756B" w14:textId="7EEDB065"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kern w:val="0"/>
          <w:sz w:val="22"/>
          <w:szCs w:val="22"/>
          <w:bdr w:val="nil"/>
          <w:lang w:eastAsia="en-US"/>
        </w:rPr>
      </w:pPr>
    </w:p>
    <w:p w14:paraId="1EC345BE" w14:textId="763695CD"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kern w:val="0"/>
          <w:sz w:val="22"/>
          <w:szCs w:val="22"/>
          <w:bdr w:val="nil"/>
          <w:lang w:eastAsia="en-US"/>
        </w:rPr>
      </w:pPr>
    </w:p>
    <w:p w14:paraId="44574285" w14:textId="3E46E6F5" w:rsidR="000542A2" w:rsidRPr="007307F4" w:rsidRDefault="000542A2" w:rsidP="000542A2">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kern w:val="0"/>
          <w:sz w:val="22"/>
          <w:szCs w:val="22"/>
          <w:bdr w:val="nil"/>
          <w:lang w:eastAsia="en-US"/>
        </w:rPr>
      </w:pPr>
    </w:p>
    <w:p w14:paraId="629FC081" w14:textId="21E4955F" w:rsidR="000542A2" w:rsidRPr="007307F4" w:rsidRDefault="000542A2" w:rsidP="000542A2">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kern w:val="0"/>
          <w:sz w:val="22"/>
          <w:szCs w:val="22"/>
          <w:bdr w:val="nil"/>
          <w:lang w:eastAsia="en-US"/>
        </w:rPr>
      </w:pPr>
    </w:p>
    <w:p w14:paraId="25A90D0D" w14:textId="2A41CF44" w:rsidR="000542A2" w:rsidRPr="007307F4" w:rsidRDefault="000542A2" w:rsidP="000542A2">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kern w:val="0"/>
          <w:sz w:val="22"/>
          <w:szCs w:val="22"/>
          <w:bdr w:val="nil"/>
          <w:lang w:eastAsia="en-US"/>
        </w:rPr>
      </w:pPr>
    </w:p>
    <w:p w14:paraId="61666CAF" w14:textId="2934D60D"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316461EC" w14:textId="3E0D5F63"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730D673C" w14:textId="10FE8187"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643E5418" w14:textId="34ABD27C"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462CFAC1" w14:textId="40BBC746"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469C9661" w14:textId="31097441"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0041E008" w14:textId="0E7045C5"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7A3C4FBF" w14:textId="5EC67D18"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kern w:val="0"/>
          <w:sz w:val="22"/>
          <w:szCs w:val="22"/>
          <w:bdr w:val="nil"/>
          <w:lang w:eastAsia="en-US"/>
        </w:rPr>
      </w:pPr>
    </w:p>
    <w:p w14:paraId="76CC3F1B" w14:textId="7BCBBC4F" w:rsidR="000542A2" w:rsidRPr="007307F4" w:rsidRDefault="00D112B8"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r w:rsidRPr="007307F4">
        <w:rPr>
          <w:rFonts w:ascii="Cambria" w:eastAsia="Arial Unicode MS" w:hAnsi="Cambria" w:cstheme="majorBidi"/>
          <w:noProof/>
          <w:kern w:val="0"/>
          <w:bdr w:val="nil"/>
          <w:lang w:eastAsia="en-US"/>
        </w:rPr>
        <mc:AlternateContent>
          <mc:Choice Requires="wps">
            <w:drawing>
              <wp:anchor distT="0" distB="0" distL="114300" distR="114300" simplePos="0" relativeHeight="251655168" behindDoc="0" locked="0" layoutInCell="1" allowOverlap="1" wp14:anchorId="7D10D4D4" wp14:editId="021DDC4B">
                <wp:simplePos x="0" y="0"/>
                <wp:positionH relativeFrom="column">
                  <wp:posOffset>1209675</wp:posOffset>
                </wp:positionH>
                <wp:positionV relativeFrom="paragraph">
                  <wp:posOffset>79375</wp:posOffset>
                </wp:positionV>
                <wp:extent cx="4333875" cy="2350770"/>
                <wp:effectExtent l="0" t="0" r="0" b="0"/>
                <wp:wrapNone/>
                <wp:docPr id="8647505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EF336" w14:textId="4D62CD5D" w:rsidR="000542A2" w:rsidRPr="00B2511D" w:rsidRDefault="000542A2" w:rsidP="00501A46">
                            <w:pPr>
                              <w:spacing w:after="0" w:line="276" w:lineRule="auto"/>
                              <w:rPr>
                                <w:rFonts w:ascii="Cambria" w:hAnsi="Cambria" w:cstheme="majorBidi"/>
                                <w:b/>
                                <w:bCs/>
                                <w:color w:val="0D0D0D" w:themeColor="text1" w:themeTint="F2"/>
                                <w:sz w:val="36"/>
                                <w:szCs w:val="40"/>
                              </w:rPr>
                            </w:pPr>
                            <w:r w:rsidRPr="00B2511D">
                              <w:rPr>
                                <w:rFonts w:ascii="Cambria" w:hAnsi="Cambria" w:cstheme="majorBidi"/>
                                <w:b/>
                                <w:bCs/>
                                <w:color w:val="0D0D0D" w:themeColor="text1" w:themeTint="F2"/>
                                <w:sz w:val="36"/>
                                <w:szCs w:val="40"/>
                              </w:rPr>
                              <w:t xml:space="preserve">REPORT No. </w:t>
                            </w:r>
                            <w:r w:rsidR="00EC6E5A">
                              <w:rPr>
                                <w:rFonts w:ascii="Cambria" w:hAnsi="Cambria" w:cstheme="majorBidi"/>
                                <w:b/>
                                <w:bCs/>
                                <w:color w:val="0D0D0D" w:themeColor="text1" w:themeTint="F2"/>
                                <w:sz w:val="36"/>
                                <w:szCs w:val="40"/>
                              </w:rPr>
                              <w:t>228</w:t>
                            </w:r>
                            <w:r w:rsidRPr="00B2511D">
                              <w:rPr>
                                <w:rFonts w:ascii="Cambria" w:hAnsi="Cambria" w:cstheme="majorBidi"/>
                                <w:b/>
                                <w:bCs/>
                                <w:color w:val="0D0D0D" w:themeColor="text1" w:themeTint="F2"/>
                                <w:sz w:val="36"/>
                                <w:szCs w:val="40"/>
                              </w:rPr>
                              <w:t>/24</w:t>
                            </w:r>
                          </w:p>
                          <w:p w14:paraId="01053730" w14:textId="213233F6" w:rsidR="000542A2" w:rsidRPr="00FF1015" w:rsidRDefault="000542A2" w:rsidP="00501A46">
                            <w:pPr>
                              <w:spacing w:after="0" w:line="276" w:lineRule="auto"/>
                              <w:rPr>
                                <w:rFonts w:ascii="Cambria" w:hAnsi="Cambria" w:cstheme="majorBidi"/>
                                <w:b/>
                                <w:bCs/>
                                <w:color w:val="0D0D0D" w:themeColor="text1" w:themeTint="F2"/>
                                <w:sz w:val="36"/>
                                <w:szCs w:val="40"/>
                              </w:rPr>
                            </w:pPr>
                            <w:r w:rsidRPr="00FF1015">
                              <w:rPr>
                                <w:rFonts w:ascii="Cambria" w:hAnsi="Cambria" w:cstheme="majorBidi"/>
                                <w:b/>
                                <w:bCs/>
                                <w:color w:val="0D0D0D" w:themeColor="text1" w:themeTint="F2"/>
                                <w:sz w:val="36"/>
                                <w:szCs w:val="40"/>
                              </w:rPr>
                              <w:t xml:space="preserve">PETITION </w:t>
                            </w:r>
                            <w:r w:rsidR="00823F7C" w:rsidRPr="00FF1015">
                              <w:rPr>
                                <w:rFonts w:ascii="Cambria" w:hAnsi="Cambria" w:cstheme="majorBidi"/>
                                <w:b/>
                                <w:bCs/>
                                <w:color w:val="0D0D0D" w:themeColor="text1" w:themeTint="F2"/>
                                <w:sz w:val="36"/>
                                <w:szCs w:val="40"/>
                              </w:rPr>
                              <w:t>1204-14</w:t>
                            </w:r>
                          </w:p>
                          <w:p w14:paraId="4022D460" w14:textId="77777777" w:rsidR="000542A2" w:rsidRPr="00FF1015" w:rsidRDefault="000542A2" w:rsidP="00501A46">
                            <w:pPr>
                              <w:spacing w:after="0" w:line="276" w:lineRule="auto"/>
                              <w:rPr>
                                <w:rFonts w:ascii="Cambria" w:hAnsi="Cambria" w:cstheme="majorBidi"/>
                                <w:color w:val="0D0D0D" w:themeColor="text1" w:themeTint="F2"/>
                                <w:szCs w:val="22"/>
                              </w:rPr>
                            </w:pPr>
                            <w:r w:rsidRPr="00FF1015">
                              <w:rPr>
                                <w:rFonts w:ascii="Cambria" w:hAnsi="Cambria" w:cstheme="majorBidi"/>
                                <w:color w:val="0D0D0D" w:themeColor="text1" w:themeTint="F2"/>
                                <w:szCs w:val="22"/>
                              </w:rPr>
                              <w:t xml:space="preserve">REPORT ON ADMISSIBILITY </w:t>
                            </w:r>
                          </w:p>
                          <w:p w14:paraId="133A399A" w14:textId="77777777" w:rsidR="000542A2" w:rsidRPr="00FF1015" w:rsidRDefault="000542A2" w:rsidP="00501A46">
                            <w:pPr>
                              <w:spacing w:after="0" w:line="276" w:lineRule="auto"/>
                              <w:rPr>
                                <w:rFonts w:ascii="Cambria" w:hAnsi="Cambria" w:cstheme="majorBidi"/>
                                <w:color w:val="0D0D0D" w:themeColor="text1" w:themeTint="F2"/>
                                <w:szCs w:val="22"/>
                              </w:rPr>
                            </w:pPr>
                          </w:p>
                          <w:p w14:paraId="5234E180" w14:textId="5D83919F" w:rsidR="00501A46" w:rsidRPr="00501A46" w:rsidRDefault="00501A46" w:rsidP="00501A46">
                            <w:pPr>
                              <w:spacing w:after="0" w:line="276" w:lineRule="auto"/>
                              <w:rPr>
                                <w:rFonts w:ascii="Cambria" w:hAnsi="Cambria" w:cstheme="majorBidi"/>
                                <w:bCs/>
                                <w:color w:val="0D0D0D" w:themeColor="text1" w:themeTint="F2"/>
                                <w:szCs w:val="22"/>
                                <w:lang w:val="es-ES"/>
                              </w:rPr>
                            </w:pPr>
                            <w:r w:rsidRPr="00501A46">
                              <w:rPr>
                                <w:rFonts w:ascii="Cambria" w:hAnsi="Cambria" w:cstheme="majorBidi"/>
                                <w:bCs/>
                                <w:color w:val="0D0D0D" w:themeColor="text1" w:themeTint="F2"/>
                                <w:szCs w:val="22"/>
                                <w:lang w:val="es-ES"/>
                              </w:rPr>
                              <w:t xml:space="preserve">MARÍA ELIA GONZÁLEZ JIMÉNEZ </w:t>
                            </w:r>
                            <w:r>
                              <w:rPr>
                                <w:rFonts w:ascii="Cambria" w:hAnsi="Cambria" w:cstheme="majorBidi"/>
                                <w:bCs/>
                                <w:color w:val="0D0D0D" w:themeColor="text1" w:themeTint="F2"/>
                                <w:szCs w:val="22"/>
                                <w:lang w:val="es-ES"/>
                              </w:rPr>
                              <w:t xml:space="preserve">ET AL. </w:t>
                            </w:r>
                          </w:p>
                          <w:p w14:paraId="3BC075E7" w14:textId="17597B4C" w:rsidR="00501A46" w:rsidRDefault="00501A46" w:rsidP="00501A46">
                            <w:pPr>
                              <w:spacing w:after="0" w:line="276" w:lineRule="auto"/>
                              <w:rPr>
                                <w:rFonts w:asciiTheme="majorHAnsi" w:hAnsiTheme="majorHAnsi"/>
                                <w:color w:val="0D0D0D" w:themeColor="text1" w:themeTint="F2"/>
                                <w:lang w:val="es-ES_tradnl"/>
                              </w:rPr>
                            </w:pPr>
                            <w:r w:rsidRPr="00501A46">
                              <w:rPr>
                                <w:rFonts w:ascii="Cambria" w:hAnsi="Cambria" w:cstheme="majorBidi"/>
                                <w:bCs/>
                                <w:color w:val="0D0D0D" w:themeColor="text1" w:themeTint="F2"/>
                                <w:szCs w:val="22"/>
                                <w:lang w:val="es-ES"/>
                              </w:rPr>
                              <w:t>M</w:t>
                            </w:r>
                            <w:r>
                              <w:rPr>
                                <w:rFonts w:ascii="Cambria" w:hAnsi="Cambria" w:cstheme="majorBidi"/>
                                <w:bCs/>
                                <w:color w:val="0D0D0D" w:themeColor="text1" w:themeTint="F2"/>
                                <w:szCs w:val="22"/>
                                <w:lang w:val="es-ES"/>
                              </w:rPr>
                              <w:t>E</w:t>
                            </w:r>
                            <w:r w:rsidRPr="00501A46">
                              <w:rPr>
                                <w:rFonts w:ascii="Cambria" w:hAnsi="Cambria" w:cstheme="majorBidi"/>
                                <w:bCs/>
                                <w:color w:val="0D0D0D" w:themeColor="text1" w:themeTint="F2"/>
                                <w:szCs w:val="22"/>
                                <w:lang w:val="es-ES"/>
                              </w:rPr>
                              <w:t xml:space="preserve">XICO </w:t>
                            </w:r>
                          </w:p>
                          <w:p w14:paraId="6177F828" w14:textId="348FCCBA" w:rsidR="000542A2" w:rsidRDefault="000542A2" w:rsidP="000542A2">
                            <w:pPr>
                              <w:spacing w:line="276" w:lineRule="auto"/>
                              <w:rPr>
                                <w:rFonts w:asciiTheme="majorHAnsi" w:hAnsiTheme="majorHAnsi"/>
                                <w:color w:val="0D0D0D" w:themeColor="text1" w:themeTint="F2"/>
                                <w:lang w:val="es-ES_tradnl"/>
                              </w:rPr>
                            </w:pPr>
                          </w:p>
                          <w:p w14:paraId="5277FD2F" w14:textId="77777777" w:rsidR="000542A2" w:rsidRPr="004B7EB6" w:rsidRDefault="000542A2" w:rsidP="000542A2">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0D4D4" id="Text Box 6" o:spid="_x0000_s1027"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" filled="f" stroked="f" strokeweight=".5pt">
                <v:textbox>
                  <w:txbxContent>
                    <w:p w14:paraId="633EF336" w14:textId="4D62CD5D" w:rsidR="000542A2" w:rsidRPr="00B2511D" w:rsidRDefault="000542A2" w:rsidP="00501A46">
                      <w:pPr>
                        <w:spacing w:after="0" w:line="276" w:lineRule="auto"/>
                        <w:rPr>
                          <w:rFonts w:ascii="Cambria" w:hAnsi="Cambria" w:cstheme="majorBidi"/>
                          <w:b/>
                          <w:bCs/>
                          <w:color w:val="0D0D0D" w:themeColor="text1" w:themeTint="F2"/>
                          <w:sz w:val="36"/>
                          <w:szCs w:val="40"/>
                        </w:rPr>
                      </w:pPr>
                      <w:r w:rsidRPr="00B2511D">
                        <w:rPr>
                          <w:rFonts w:ascii="Cambria" w:hAnsi="Cambria" w:cstheme="majorBidi"/>
                          <w:b/>
                          <w:bCs/>
                          <w:color w:val="0D0D0D" w:themeColor="text1" w:themeTint="F2"/>
                          <w:sz w:val="36"/>
                          <w:szCs w:val="40"/>
                        </w:rPr>
                        <w:t xml:space="preserve">REPORT No. </w:t>
                      </w:r>
                      <w:r w:rsidR="00EC6E5A">
                        <w:rPr>
                          <w:rFonts w:ascii="Cambria" w:hAnsi="Cambria" w:cstheme="majorBidi"/>
                          <w:b/>
                          <w:bCs/>
                          <w:color w:val="0D0D0D" w:themeColor="text1" w:themeTint="F2"/>
                          <w:sz w:val="36"/>
                          <w:szCs w:val="40"/>
                        </w:rPr>
                        <w:t>228</w:t>
                      </w:r>
                      <w:r w:rsidRPr="00B2511D">
                        <w:rPr>
                          <w:rFonts w:ascii="Cambria" w:hAnsi="Cambria" w:cstheme="majorBidi"/>
                          <w:b/>
                          <w:bCs/>
                          <w:color w:val="0D0D0D" w:themeColor="text1" w:themeTint="F2"/>
                          <w:sz w:val="36"/>
                          <w:szCs w:val="40"/>
                        </w:rPr>
                        <w:t>/24</w:t>
                      </w:r>
                    </w:p>
                    <w:p w14:paraId="01053730" w14:textId="213233F6" w:rsidR="000542A2" w:rsidRPr="00FF1015" w:rsidRDefault="000542A2" w:rsidP="00501A46">
                      <w:pPr>
                        <w:spacing w:after="0" w:line="276" w:lineRule="auto"/>
                        <w:rPr>
                          <w:rFonts w:ascii="Cambria" w:hAnsi="Cambria" w:cstheme="majorBidi"/>
                          <w:b/>
                          <w:bCs/>
                          <w:color w:val="0D0D0D" w:themeColor="text1" w:themeTint="F2"/>
                          <w:sz w:val="36"/>
                          <w:szCs w:val="40"/>
                        </w:rPr>
                      </w:pPr>
                      <w:r w:rsidRPr="00FF1015">
                        <w:rPr>
                          <w:rFonts w:ascii="Cambria" w:hAnsi="Cambria" w:cstheme="majorBidi"/>
                          <w:b/>
                          <w:bCs/>
                          <w:color w:val="0D0D0D" w:themeColor="text1" w:themeTint="F2"/>
                          <w:sz w:val="36"/>
                          <w:szCs w:val="40"/>
                        </w:rPr>
                        <w:t xml:space="preserve">PETITION </w:t>
                      </w:r>
                      <w:r w:rsidR="00823F7C" w:rsidRPr="00FF1015">
                        <w:rPr>
                          <w:rFonts w:ascii="Cambria" w:hAnsi="Cambria" w:cstheme="majorBidi"/>
                          <w:b/>
                          <w:bCs/>
                          <w:color w:val="0D0D0D" w:themeColor="text1" w:themeTint="F2"/>
                          <w:sz w:val="36"/>
                          <w:szCs w:val="40"/>
                        </w:rPr>
                        <w:t>1204-14</w:t>
                      </w:r>
                    </w:p>
                    <w:p w14:paraId="4022D460" w14:textId="77777777" w:rsidR="000542A2" w:rsidRPr="00FF1015" w:rsidRDefault="000542A2" w:rsidP="00501A46">
                      <w:pPr>
                        <w:spacing w:after="0" w:line="276" w:lineRule="auto"/>
                        <w:rPr>
                          <w:rFonts w:ascii="Cambria" w:hAnsi="Cambria" w:cstheme="majorBidi"/>
                          <w:color w:val="0D0D0D" w:themeColor="text1" w:themeTint="F2"/>
                          <w:szCs w:val="22"/>
                        </w:rPr>
                      </w:pPr>
                      <w:r w:rsidRPr="00FF1015">
                        <w:rPr>
                          <w:rFonts w:ascii="Cambria" w:hAnsi="Cambria" w:cstheme="majorBidi"/>
                          <w:color w:val="0D0D0D" w:themeColor="text1" w:themeTint="F2"/>
                          <w:szCs w:val="22"/>
                        </w:rPr>
                        <w:t xml:space="preserve">REPORT ON ADMISSIBILITY </w:t>
                      </w:r>
                    </w:p>
                    <w:p w14:paraId="133A399A" w14:textId="77777777" w:rsidR="000542A2" w:rsidRPr="00FF1015" w:rsidRDefault="000542A2" w:rsidP="00501A46">
                      <w:pPr>
                        <w:spacing w:after="0" w:line="276" w:lineRule="auto"/>
                        <w:rPr>
                          <w:rFonts w:ascii="Cambria" w:hAnsi="Cambria" w:cstheme="majorBidi"/>
                          <w:color w:val="0D0D0D" w:themeColor="text1" w:themeTint="F2"/>
                          <w:szCs w:val="22"/>
                        </w:rPr>
                      </w:pPr>
                    </w:p>
                    <w:p w14:paraId="5234E180" w14:textId="5D83919F" w:rsidR="00501A46" w:rsidRPr="00501A46" w:rsidRDefault="00501A46" w:rsidP="00501A46">
                      <w:pPr>
                        <w:spacing w:after="0" w:line="276" w:lineRule="auto"/>
                        <w:rPr>
                          <w:rFonts w:ascii="Cambria" w:hAnsi="Cambria" w:cstheme="majorBidi"/>
                          <w:bCs/>
                          <w:color w:val="0D0D0D" w:themeColor="text1" w:themeTint="F2"/>
                          <w:szCs w:val="22"/>
                          <w:lang w:val="es-ES"/>
                        </w:rPr>
                      </w:pPr>
                      <w:r w:rsidRPr="00501A46">
                        <w:rPr>
                          <w:rFonts w:ascii="Cambria" w:hAnsi="Cambria" w:cstheme="majorBidi"/>
                          <w:bCs/>
                          <w:color w:val="0D0D0D" w:themeColor="text1" w:themeTint="F2"/>
                          <w:szCs w:val="22"/>
                          <w:lang w:val="es-ES"/>
                        </w:rPr>
                        <w:t xml:space="preserve">MARÍA ELIA GONZÁLEZ JIMÉNEZ </w:t>
                      </w:r>
                      <w:r>
                        <w:rPr>
                          <w:rFonts w:ascii="Cambria" w:hAnsi="Cambria" w:cstheme="majorBidi"/>
                          <w:bCs/>
                          <w:color w:val="0D0D0D" w:themeColor="text1" w:themeTint="F2"/>
                          <w:szCs w:val="22"/>
                          <w:lang w:val="es-ES"/>
                        </w:rPr>
                        <w:t xml:space="preserve">ET AL. </w:t>
                      </w:r>
                    </w:p>
                    <w:p w14:paraId="3BC075E7" w14:textId="17597B4C" w:rsidR="00501A46" w:rsidRDefault="00501A46" w:rsidP="00501A46">
                      <w:pPr>
                        <w:spacing w:after="0" w:line="276" w:lineRule="auto"/>
                        <w:rPr>
                          <w:rFonts w:asciiTheme="majorHAnsi" w:hAnsiTheme="majorHAnsi"/>
                          <w:color w:val="0D0D0D" w:themeColor="text1" w:themeTint="F2"/>
                          <w:lang w:val="es-ES_tradnl"/>
                        </w:rPr>
                      </w:pPr>
                      <w:r w:rsidRPr="00501A46">
                        <w:rPr>
                          <w:rFonts w:ascii="Cambria" w:hAnsi="Cambria" w:cstheme="majorBidi"/>
                          <w:bCs/>
                          <w:color w:val="0D0D0D" w:themeColor="text1" w:themeTint="F2"/>
                          <w:szCs w:val="22"/>
                          <w:lang w:val="es-ES"/>
                        </w:rPr>
                        <w:t>M</w:t>
                      </w:r>
                      <w:r>
                        <w:rPr>
                          <w:rFonts w:ascii="Cambria" w:hAnsi="Cambria" w:cstheme="majorBidi"/>
                          <w:bCs/>
                          <w:color w:val="0D0D0D" w:themeColor="text1" w:themeTint="F2"/>
                          <w:szCs w:val="22"/>
                          <w:lang w:val="es-ES"/>
                        </w:rPr>
                        <w:t>E</w:t>
                      </w:r>
                      <w:r w:rsidRPr="00501A46">
                        <w:rPr>
                          <w:rFonts w:ascii="Cambria" w:hAnsi="Cambria" w:cstheme="majorBidi"/>
                          <w:bCs/>
                          <w:color w:val="0D0D0D" w:themeColor="text1" w:themeTint="F2"/>
                          <w:szCs w:val="22"/>
                          <w:lang w:val="es-ES"/>
                        </w:rPr>
                        <w:t xml:space="preserve">XICO </w:t>
                      </w:r>
                    </w:p>
                    <w:p w14:paraId="6177F828" w14:textId="348FCCBA" w:rsidR="000542A2" w:rsidRDefault="000542A2" w:rsidP="000542A2">
                      <w:pPr>
                        <w:spacing w:line="276" w:lineRule="auto"/>
                        <w:rPr>
                          <w:rFonts w:asciiTheme="majorHAnsi" w:hAnsiTheme="majorHAnsi"/>
                          <w:color w:val="0D0D0D" w:themeColor="text1" w:themeTint="F2"/>
                          <w:lang w:val="es-ES_tradnl"/>
                        </w:rPr>
                      </w:pPr>
                    </w:p>
                    <w:p w14:paraId="5277FD2F" w14:textId="77777777" w:rsidR="000542A2" w:rsidRPr="004B7EB6" w:rsidRDefault="000542A2" w:rsidP="000542A2">
                      <w:pPr>
                        <w:spacing w:line="276" w:lineRule="auto"/>
                        <w:rPr>
                          <w:rFonts w:asciiTheme="majorHAnsi" w:hAnsiTheme="majorHAnsi"/>
                          <w:color w:val="0D0D0D" w:themeColor="text1" w:themeTint="F2"/>
                          <w:lang w:val="es-ES_tradnl"/>
                        </w:rPr>
                      </w:pPr>
                    </w:p>
                  </w:txbxContent>
                </v:textbox>
              </v:shape>
            </w:pict>
          </mc:Fallback>
        </mc:AlternateContent>
      </w:r>
      <w:r w:rsidRPr="007307F4">
        <w:rPr>
          <w:rFonts w:ascii="Cambria" w:eastAsia="Arial Unicode MS" w:hAnsi="Cambria" w:cstheme="majorBidi"/>
          <w:noProof/>
          <w:kern w:val="0"/>
          <w:bdr w:val="nil"/>
          <w:lang w:eastAsia="en-US"/>
        </w:rPr>
        <mc:AlternateContent>
          <mc:Choice Requires="wps">
            <w:drawing>
              <wp:anchor distT="0" distB="0" distL="114300" distR="114300" simplePos="0" relativeHeight="251657216" behindDoc="0" locked="0" layoutInCell="1" allowOverlap="1" wp14:anchorId="09C1C806" wp14:editId="0F07BAF7">
                <wp:simplePos x="0" y="0"/>
                <wp:positionH relativeFrom="column">
                  <wp:posOffset>-371475</wp:posOffset>
                </wp:positionH>
                <wp:positionV relativeFrom="paragraph">
                  <wp:posOffset>127000</wp:posOffset>
                </wp:positionV>
                <wp:extent cx="1334135" cy="1377315"/>
                <wp:effectExtent l="0" t="0" r="0" b="0"/>
                <wp:wrapNone/>
                <wp:docPr id="940837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025C3" w14:textId="626D598D" w:rsidR="000542A2" w:rsidRPr="004B7EB6" w:rsidRDefault="000542A2" w:rsidP="00823F7C">
                            <w:pPr>
                              <w:spacing w:after="0"/>
                              <w:jc w:val="right"/>
                              <w:rPr>
                                <w:color w:val="FFFFFF" w:themeColor="background1"/>
                                <w:sz w:val="22"/>
                                <w:lang w:val="pt-BR"/>
                              </w:rPr>
                            </w:pPr>
                            <w:r w:rsidRPr="004B7EB6">
                              <w:rPr>
                                <w:color w:val="FFFFFF" w:themeColor="background1"/>
                                <w:sz w:val="22"/>
                                <w:lang w:val="pt-BR"/>
                              </w:rPr>
                              <w:t>O</w:t>
                            </w:r>
                            <w:r>
                              <w:rPr>
                                <w:color w:val="FFFFFF" w:themeColor="background1"/>
                                <w:sz w:val="22"/>
                                <w:lang w:val="pt-BR"/>
                              </w:rPr>
                              <w:t>AS</w:t>
                            </w:r>
                            <w:r w:rsidRPr="004B7EB6">
                              <w:rPr>
                                <w:color w:val="FFFFFF" w:themeColor="background1"/>
                                <w:sz w:val="22"/>
                                <w:lang w:val="pt-BR"/>
                              </w:rPr>
                              <w:t>/Ser.L/V/II</w:t>
                            </w:r>
                          </w:p>
                          <w:p w14:paraId="6C95B820" w14:textId="2C71DC51" w:rsidR="000542A2" w:rsidRPr="00FF1015" w:rsidRDefault="000542A2" w:rsidP="00823F7C">
                            <w:pPr>
                              <w:spacing w:after="0"/>
                              <w:jc w:val="right"/>
                              <w:rPr>
                                <w:color w:val="FFFFFF" w:themeColor="background1"/>
                                <w:sz w:val="22"/>
                                <w:lang w:val="pt-BR"/>
                              </w:rPr>
                            </w:pPr>
                            <w:r w:rsidRPr="00FF1015">
                              <w:rPr>
                                <w:color w:val="FFFFFF" w:themeColor="background1"/>
                                <w:sz w:val="22"/>
                                <w:lang w:val="pt-BR"/>
                              </w:rPr>
                              <w:t xml:space="preserve">Doc. </w:t>
                            </w:r>
                            <w:r w:rsidR="00EC6E5A" w:rsidRPr="00FF1015">
                              <w:rPr>
                                <w:color w:val="FFFFFF" w:themeColor="background1"/>
                                <w:sz w:val="22"/>
                                <w:lang w:val="pt-BR"/>
                              </w:rPr>
                              <w:t>240</w:t>
                            </w:r>
                          </w:p>
                          <w:p w14:paraId="46C5A16E" w14:textId="75E41F87" w:rsidR="000542A2" w:rsidRPr="004B7EB6" w:rsidRDefault="00EC6E5A" w:rsidP="00823F7C">
                            <w:pPr>
                              <w:spacing w:after="0"/>
                              <w:jc w:val="right"/>
                              <w:rPr>
                                <w:color w:val="FFFFFF" w:themeColor="background1"/>
                                <w:sz w:val="22"/>
                              </w:rPr>
                            </w:pPr>
                            <w:r>
                              <w:rPr>
                                <w:color w:val="FFFFFF" w:themeColor="background1"/>
                                <w:sz w:val="22"/>
                              </w:rPr>
                              <w:t>5 December</w:t>
                            </w:r>
                            <w:r w:rsidR="000542A2">
                              <w:rPr>
                                <w:color w:val="FFFFFF" w:themeColor="background1"/>
                                <w:sz w:val="22"/>
                              </w:rPr>
                              <w:t xml:space="preserve"> </w:t>
                            </w:r>
                            <w:r w:rsidR="000542A2" w:rsidRPr="004B7EB6">
                              <w:rPr>
                                <w:color w:val="FFFFFF" w:themeColor="background1"/>
                                <w:sz w:val="22"/>
                              </w:rPr>
                              <w:t>20</w:t>
                            </w:r>
                            <w:r w:rsidR="000542A2">
                              <w:rPr>
                                <w:color w:val="FFFFFF" w:themeColor="background1"/>
                                <w:sz w:val="22"/>
                              </w:rPr>
                              <w:t>24</w:t>
                            </w:r>
                          </w:p>
                          <w:p w14:paraId="26CED1E7" w14:textId="77777777" w:rsidR="000542A2" w:rsidRPr="004B7EB6" w:rsidRDefault="000542A2" w:rsidP="00823F7C">
                            <w:pPr>
                              <w:spacing w:after="0"/>
                              <w:jc w:val="right"/>
                              <w:rPr>
                                <w:color w:val="FFFFFF" w:themeColor="background1"/>
                                <w:sz w:val="22"/>
                              </w:rPr>
                            </w:pPr>
                            <w:r w:rsidRPr="004B7EB6">
                              <w:rPr>
                                <w:color w:val="FFFFFF" w:themeColor="background1"/>
                                <w:sz w:val="22"/>
                              </w:rPr>
                              <w:t xml:space="preserve">Original: </w:t>
                            </w:r>
                            <w:r>
                              <w:rPr>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1C806" id="Text Box 5"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" filled="f" stroked="f" strokeweight=".5pt">
                <v:textbox>
                  <w:txbxContent>
                    <w:p w14:paraId="7D6025C3" w14:textId="626D598D" w:rsidR="000542A2" w:rsidRPr="004B7EB6" w:rsidRDefault="000542A2" w:rsidP="00823F7C">
                      <w:pPr>
                        <w:spacing w:after="0"/>
                        <w:jc w:val="right"/>
                        <w:rPr>
                          <w:color w:val="FFFFFF" w:themeColor="background1"/>
                          <w:sz w:val="22"/>
                          <w:lang w:val="pt-BR"/>
                        </w:rPr>
                      </w:pPr>
                      <w:r w:rsidRPr="004B7EB6">
                        <w:rPr>
                          <w:color w:val="FFFFFF" w:themeColor="background1"/>
                          <w:sz w:val="22"/>
                          <w:lang w:val="pt-BR"/>
                        </w:rPr>
                        <w:t>O</w:t>
                      </w:r>
                      <w:r>
                        <w:rPr>
                          <w:color w:val="FFFFFF" w:themeColor="background1"/>
                          <w:sz w:val="22"/>
                          <w:lang w:val="pt-BR"/>
                        </w:rPr>
                        <w:t>AS</w:t>
                      </w:r>
                      <w:r w:rsidRPr="004B7EB6">
                        <w:rPr>
                          <w:color w:val="FFFFFF" w:themeColor="background1"/>
                          <w:sz w:val="22"/>
                          <w:lang w:val="pt-BR"/>
                        </w:rPr>
                        <w:t>/Ser.L/V/II</w:t>
                      </w:r>
                    </w:p>
                    <w:p w14:paraId="6C95B820" w14:textId="2C71DC51" w:rsidR="000542A2" w:rsidRPr="00FF1015" w:rsidRDefault="000542A2" w:rsidP="00823F7C">
                      <w:pPr>
                        <w:spacing w:after="0"/>
                        <w:jc w:val="right"/>
                        <w:rPr>
                          <w:color w:val="FFFFFF" w:themeColor="background1"/>
                          <w:sz w:val="22"/>
                          <w:lang w:val="pt-BR"/>
                        </w:rPr>
                      </w:pPr>
                      <w:r w:rsidRPr="00FF1015">
                        <w:rPr>
                          <w:color w:val="FFFFFF" w:themeColor="background1"/>
                          <w:sz w:val="22"/>
                          <w:lang w:val="pt-BR"/>
                        </w:rPr>
                        <w:t xml:space="preserve">Doc. </w:t>
                      </w:r>
                      <w:r w:rsidR="00EC6E5A" w:rsidRPr="00FF1015">
                        <w:rPr>
                          <w:color w:val="FFFFFF" w:themeColor="background1"/>
                          <w:sz w:val="22"/>
                          <w:lang w:val="pt-BR"/>
                        </w:rPr>
                        <w:t>240</w:t>
                      </w:r>
                    </w:p>
                    <w:p w14:paraId="46C5A16E" w14:textId="75E41F87" w:rsidR="000542A2" w:rsidRPr="004B7EB6" w:rsidRDefault="00EC6E5A" w:rsidP="00823F7C">
                      <w:pPr>
                        <w:spacing w:after="0"/>
                        <w:jc w:val="right"/>
                        <w:rPr>
                          <w:color w:val="FFFFFF" w:themeColor="background1"/>
                          <w:sz w:val="22"/>
                        </w:rPr>
                      </w:pPr>
                      <w:r>
                        <w:rPr>
                          <w:color w:val="FFFFFF" w:themeColor="background1"/>
                          <w:sz w:val="22"/>
                        </w:rPr>
                        <w:t>5 December</w:t>
                      </w:r>
                      <w:r w:rsidR="000542A2">
                        <w:rPr>
                          <w:color w:val="FFFFFF" w:themeColor="background1"/>
                          <w:sz w:val="22"/>
                        </w:rPr>
                        <w:t xml:space="preserve"> </w:t>
                      </w:r>
                      <w:r w:rsidR="000542A2" w:rsidRPr="004B7EB6">
                        <w:rPr>
                          <w:color w:val="FFFFFF" w:themeColor="background1"/>
                          <w:sz w:val="22"/>
                        </w:rPr>
                        <w:t>20</w:t>
                      </w:r>
                      <w:r w:rsidR="000542A2">
                        <w:rPr>
                          <w:color w:val="FFFFFF" w:themeColor="background1"/>
                          <w:sz w:val="22"/>
                        </w:rPr>
                        <w:t>24</w:t>
                      </w:r>
                    </w:p>
                    <w:p w14:paraId="26CED1E7" w14:textId="77777777" w:rsidR="000542A2" w:rsidRPr="004B7EB6" w:rsidRDefault="000542A2" w:rsidP="00823F7C">
                      <w:pPr>
                        <w:spacing w:after="0"/>
                        <w:jc w:val="right"/>
                        <w:rPr>
                          <w:color w:val="FFFFFF" w:themeColor="background1"/>
                          <w:sz w:val="22"/>
                        </w:rPr>
                      </w:pPr>
                      <w:r w:rsidRPr="004B7EB6">
                        <w:rPr>
                          <w:color w:val="FFFFFF" w:themeColor="background1"/>
                          <w:sz w:val="22"/>
                        </w:rPr>
                        <w:t xml:space="preserve">Original: </w:t>
                      </w:r>
                      <w:r>
                        <w:rPr>
                          <w:color w:val="FFFFFF" w:themeColor="background1"/>
                          <w:sz w:val="22"/>
                        </w:rPr>
                        <w:t>Spanish</w:t>
                      </w:r>
                    </w:p>
                  </w:txbxContent>
                </v:textbox>
              </v:shape>
            </w:pict>
          </mc:Fallback>
        </mc:AlternateContent>
      </w:r>
    </w:p>
    <w:p w14:paraId="149DEC9E" w14:textId="43C41167"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098B1BFB" w14:textId="079BB927"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38BD1099" w14:textId="1334EBD7"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4832A210" w14:textId="0CB19065"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5980098A" w14:textId="3C9B757C"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1FFAE926" w14:textId="69E70C95"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77CF0D80" w14:textId="26A3C50E"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5D45D844" w14:textId="32EA882A"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5B8690C7" w14:textId="17FD16EB"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546D0798" w14:textId="18C508AC"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75C9423C" w14:textId="6FA98738"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44FEE6D7" w14:textId="5E2320FB"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01EAA771" w14:textId="1F9ECBAA"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22"/>
          <w:szCs w:val="22"/>
          <w:bdr w:val="nil"/>
          <w:lang w:eastAsia="en-US"/>
        </w:rPr>
      </w:pPr>
    </w:p>
    <w:p w14:paraId="22264BA8" w14:textId="09077FB0"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323128F4" w14:textId="4D166DBD"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22FCD69C" w14:textId="36BEEA5E"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58C1DA77" w14:textId="023105D9"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1FE6DF20" w14:textId="47313B1F"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770A8492" w14:textId="7290B569"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698CCCD9" w14:textId="30BA0794"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599B8BC1" w14:textId="001840A9"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3F4D4CAC" w14:textId="54F31A30"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138328FF" w14:textId="577DB3C0"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29C86F31" w14:textId="46F97EFA"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095E7941" w14:textId="1BCC377D"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085E6CE9" w14:textId="1E22117B" w:rsidR="000542A2" w:rsidRPr="007307F4" w:rsidRDefault="00D112B8"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r w:rsidRPr="007307F4">
        <w:rPr>
          <w:rFonts w:ascii="Cambria" w:eastAsia="Arial Unicode MS" w:hAnsi="Cambria" w:cstheme="majorBidi"/>
          <w:noProof/>
          <w:kern w:val="0"/>
          <w:bdr w:val="nil"/>
          <w:lang w:eastAsia="en-US"/>
        </w:rPr>
        <mc:AlternateContent>
          <mc:Choice Requires="wps">
            <w:drawing>
              <wp:anchor distT="0" distB="0" distL="114300" distR="114300" simplePos="0" relativeHeight="251656192" behindDoc="0" locked="0" layoutInCell="1" allowOverlap="1" wp14:anchorId="6A233D28" wp14:editId="1375812A">
                <wp:simplePos x="0" y="0"/>
                <wp:positionH relativeFrom="column">
                  <wp:posOffset>1202690</wp:posOffset>
                </wp:positionH>
                <wp:positionV relativeFrom="paragraph">
                  <wp:posOffset>57150</wp:posOffset>
                </wp:positionV>
                <wp:extent cx="4595495" cy="695325"/>
                <wp:effectExtent l="0" t="0" r="0" b="0"/>
                <wp:wrapNone/>
                <wp:docPr id="6534330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ABF2B" w14:textId="50075B0B" w:rsidR="000542A2" w:rsidRPr="003C32BC" w:rsidRDefault="000542A2" w:rsidP="000542A2">
                            <w:pPr>
                              <w:tabs>
                                <w:tab w:val="center" w:pos="5400"/>
                              </w:tabs>
                              <w:suppressAutoHyphens/>
                              <w:spacing w:before="60"/>
                              <w:rPr>
                                <w:rFonts w:asciiTheme="majorHAnsi" w:hAnsiTheme="majorHAnsi"/>
                                <w:color w:val="0D0D0D" w:themeColor="text1" w:themeTint="F2"/>
                                <w:sz w:val="18"/>
                                <w:szCs w:val="22"/>
                              </w:rPr>
                            </w:pPr>
                            <w:r w:rsidRPr="00C63880">
                              <w:rPr>
                                <w:rFonts w:ascii="Cambria" w:hAnsi="Cambria"/>
                                <w:color w:val="0D0D0D" w:themeColor="text1" w:themeTint="F2"/>
                                <w:sz w:val="18"/>
                                <w:szCs w:val="22"/>
                              </w:rPr>
                              <w:t xml:space="preserve">Approved electronically by the Commission on </w:t>
                            </w:r>
                            <w:r w:rsidR="00EC6E5A">
                              <w:rPr>
                                <w:rFonts w:ascii="Cambria" w:hAnsi="Cambria"/>
                                <w:color w:val="0D0D0D" w:themeColor="text1" w:themeTint="F2"/>
                                <w:sz w:val="18"/>
                                <w:szCs w:val="22"/>
                              </w:rPr>
                              <w:t>December 5</w:t>
                            </w:r>
                            <w:r w:rsidRPr="00C63880">
                              <w:rPr>
                                <w:rFonts w:ascii="Cambria" w:hAnsi="Cambria"/>
                                <w:color w:val="0D0D0D" w:themeColor="text1" w:themeTint="F2"/>
                                <w:sz w:val="18"/>
                                <w:szCs w:val="22"/>
                              </w:rPr>
                              <w:t>, 2024</w:t>
                            </w:r>
                            <w:r w:rsidR="00EC6E5A">
                              <w:rPr>
                                <w:rFonts w:ascii="Cambria" w:hAnsi="Cambria"/>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33D28" id="Text Box 4" o:spid="_x0000_s1029" type="#_x0000_t202" style="position:absolute;left:0;text-align:left;margin-left:94.7pt;margin-top:4.5pt;width:361.8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" filled="f" stroked="f" strokeweight=".5pt">
                <v:textbox>
                  <w:txbxContent>
                    <w:p w14:paraId="604ABF2B" w14:textId="50075B0B" w:rsidR="000542A2" w:rsidRPr="003C32BC" w:rsidRDefault="000542A2" w:rsidP="000542A2">
                      <w:pPr>
                        <w:tabs>
                          <w:tab w:val="center" w:pos="5400"/>
                        </w:tabs>
                        <w:suppressAutoHyphens/>
                        <w:spacing w:before="60"/>
                        <w:rPr>
                          <w:rFonts w:asciiTheme="majorHAnsi" w:hAnsiTheme="majorHAnsi"/>
                          <w:color w:val="0D0D0D" w:themeColor="text1" w:themeTint="F2"/>
                          <w:sz w:val="18"/>
                          <w:szCs w:val="22"/>
                        </w:rPr>
                      </w:pPr>
                      <w:r w:rsidRPr="00C63880">
                        <w:rPr>
                          <w:rFonts w:ascii="Cambria" w:hAnsi="Cambria"/>
                          <w:color w:val="0D0D0D" w:themeColor="text1" w:themeTint="F2"/>
                          <w:sz w:val="18"/>
                          <w:szCs w:val="22"/>
                        </w:rPr>
                        <w:t xml:space="preserve">Approved electronically by the Commission on </w:t>
                      </w:r>
                      <w:r w:rsidR="00EC6E5A">
                        <w:rPr>
                          <w:rFonts w:ascii="Cambria" w:hAnsi="Cambria"/>
                          <w:color w:val="0D0D0D" w:themeColor="text1" w:themeTint="F2"/>
                          <w:sz w:val="18"/>
                          <w:szCs w:val="22"/>
                        </w:rPr>
                        <w:t>December 5</w:t>
                      </w:r>
                      <w:r w:rsidRPr="00C63880">
                        <w:rPr>
                          <w:rFonts w:ascii="Cambria" w:hAnsi="Cambria"/>
                          <w:color w:val="0D0D0D" w:themeColor="text1" w:themeTint="F2"/>
                          <w:sz w:val="18"/>
                          <w:szCs w:val="22"/>
                        </w:rPr>
                        <w:t>, 2024</w:t>
                      </w:r>
                      <w:r w:rsidR="00EC6E5A">
                        <w:rPr>
                          <w:rFonts w:ascii="Cambria" w:hAnsi="Cambria"/>
                          <w:color w:val="0D0D0D" w:themeColor="text1" w:themeTint="F2"/>
                          <w:sz w:val="18"/>
                          <w:szCs w:val="22"/>
                        </w:rPr>
                        <w:t>.</w:t>
                      </w:r>
                    </w:p>
                  </w:txbxContent>
                </v:textbox>
              </v:shape>
            </w:pict>
          </mc:Fallback>
        </mc:AlternateContent>
      </w:r>
    </w:p>
    <w:p w14:paraId="2984E643" w14:textId="2972B4FE"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6A8253FB" w14:textId="737F6EBA"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24DCB481" w14:textId="22E15512"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4205770E" w14:textId="7B210146"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66B524C8" w14:textId="60D1E392" w:rsidR="000542A2" w:rsidRPr="007307F4" w:rsidRDefault="00D112B8"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r w:rsidRPr="007307F4">
        <w:rPr>
          <w:rFonts w:ascii="Cambria" w:eastAsia="Arial Unicode MS" w:hAnsi="Cambria" w:cstheme="majorBidi"/>
          <w:noProof/>
          <w:kern w:val="0"/>
          <w:bdr w:val="nil"/>
          <w:lang w:eastAsia="en-US"/>
        </w:rPr>
        <mc:AlternateContent>
          <mc:Choice Requires="wps">
            <w:drawing>
              <wp:anchor distT="0" distB="0" distL="114300" distR="114300" simplePos="0" relativeHeight="251659264" behindDoc="0" locked="0" layoutInCell="1" allowOverlap="1" wp14:anchorId="64EE2376" wp14:editId="7922C45C">
                <wp:simplePos x="0" y="0"/>
                <wp:positionH relativeFrom="column">
                  <wp:posOffset>1209675</wp:posOffset>
                </wp:positionH>
                <wp:positionV relativeFrom="paragraph">
                  <wp:posOffset>92075</wp:posOffset>
                </wp:positionV>
                <wp:extent cx="4824095" cy="609600"/>
                <wp:effectExtent l="0" t="0" r="0" b="0"/>
                <wp:wrapNone/>
                <wp:docPr id="3789282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E85EA" w14:textId="4A460831" w:rsidR="000542A2" w:rsidRPr="00AE1927" w:rsidRDefault="000542A2" w:rsidP="000542A2">
                            <w:pPr>
                              <w:spacing w:line="276" w:lineRule="auto"/>
                              <w:rPr>
                                <w:rFonts w:ascii="Cambria" w:hAnsi="Cambria"/>
                                <w:color w:val="595959" w:themeColor="text1" w:themeTint="A6"/>
                                <w:sz w:val="18"/>
                                <w:lang w:val="es-ES"/>
                              </w:rPr>
                            </w:pPr>
                            <w:r w:rsidRPr="00B46035">
                              <w:rPr>
                                <w:rFonts w:ascii="Cambria" w:hAnsi="Cambria"/>
                                <w:b/>
                                <w:color w:val="595959" w:themeColor="text1" w:themeTint="A6"/>
                                <w:sz w:val="18"/>
                              </w:rPr>
                              <w:t xml:space="preserve">Cite as: </w:t>
                            </w:r>
                            <w:r w:rsidRPr="00B46035">
                              <w:rPr>
                                <w:rFonts w:ascii="Cambria" w:hAnsi="Cambria"/>
                                <w:color w:val="595959" w:themeColor="text1" w:themeTint="A6"/>
                                <w:sz w:val="18"/>
                              </w:rPr>
                              <w:t xml:space="preserve">IACHR, Report No. </w:t>
                            </w:r>
                            <w:r w:rsidR="00AE1927">
                              <w:rPr>
                                <w:rFonts w:ascii="Cambria" w:hAnsi="Cambria"/>
                                <w:color w:val="595959" w:themeColor="text1" w:themeTint="A6"/>
                                <w:sz w:val="18"/>
                              </w:rPr>
                              <w:t>228</w:t>
                            </w:r>
                            <w:r w:rsidRPr="00B46035">
                              <w:rPr>
                                <w:rFonts w:ascii="Cambria" w:hAnsi="Cambria"/>
                                <w:color w:val="595959" w:themeColor="text1" w:themeTint="A6"/>
                                <w:sz w:val="18"/>
                              </w:rPr>
                              <w:t xml:space="preserve">/24, Petition </w:t>
                            </w:r>
                            <w:r w:rsidR="00465CA9" w:rsidRPr="00B46035">
                              <w:rPr>
                                <w:rFonts w:ascii="Cambria" w:hAnsi="Cambria"/>
                                <w:color w:val="595959" w:themeColor="text1" w:themeTint="A6"/>
                                <w:sz w:val="18"/>
                              </w:rPr>
                              <w:t>1204</w:t>
                            </w:r>
                            <w:r w:rsidRPr="00B46035">
                              <w:rPr>
                                <w:rFonts w:ascii="Cambria" w:hAnsi="Cambria"/>
                                <w:color w:val="595959" w:themeColor="text1" w:themeTint="A6"/>
                                <w:sz w:val="18"/>
                              </w:rPr>
                              <w:t xml:space="preserve">-14. </w:t>
                            </w:r>
                            <w:r w:rsidRPr="004557E3">
                              <w:rPr>
                                <w:rFonts w:ascii="Cambria" w:hAnsi="Cambria"/>
                                <w:color w:val="595959" w:themeColor="text1" w:themeTint="A6"/>
                                <w:sz w:val="18"/>
                                <w:lang w:val="es-US"/>
                              </w:rPr>
                              <w:t xml:space="preserve">Admissibility. </w:t>
                            </w:r>
                            <w:r w:rsidR="00A552B9" w:rsidRPr="004557E3">
                              <w:rPr>
                                <w:rFonts w:ascii="Cambria" w:hAnsi="Cambria"/>
                                <w:color w:val="595959" w:themeColor="text1" w:themeTint="A6"/>
                                <w:sz w:val="18"/>
                                <w:lang w:val="es-US"/>
                              </w:rPr>
                              <w:t>María El</w:t>
                            </w:r>
                            <w:r w:rsidR="00634845" w:rsidRPr="004557E3">
                              <w:rPr>
                                <w:rFonts w:ascii="Cambria" w:hAnsi="Cambria"/>
                                <w:color w:val="595959" w:themeColor="text1" w:themeTint="A6"/>
                                <w:sz w:val="18"/>
                                <w:lang w:val="es-US"/>
                              </w:rPr>
                              <w:t>i</w:t>
                            </w:r>
                            <w:r w:rsidR="00A552B9" w:rsidRPr="004557E3">
                              <w:rPr>
                                <w:rFonts w:ascii="Cambria" w:hAnsi="Cambria"/>
                                <w:color w:val="595959" w:themeColor="text1" w:themeTint="A6"/>
                                <w:sz w:val="18"/>
                                <w:lang w:val="es-US"/>
                              </w:rPr>
                              <w:t xml:space="preserve">a González Jiménez et al. </w:t>
                            </w:r>
                            <w:r w:rsidR="00A552B9" w:rsidRPr="00AE1927">
                              <w:rPr>
                                <w:rFonts w:ascii="Cambria" w:hAnsi="Cambria"/>
                                <w:color w:val="595959" w:themeColor="text1" w:themeTint="A6"/>
                                <w:sz w:val="18"/>
                                <w:lang w:val="es-ES"/>
                              </w:rPr>
                              <w:t xml:space="preserve">Mexico. </w:t>
                            </w:r>
                            <w:r w:rsidR="00AE1927">
                              <w:rPr>
                                <w:rFonts w:ascii="Cambria" w:hAnsi="Cambria"/>
                                <w:color w:val="595959" w:themeColor="text1" w:themeTint="A6"/>
                                <w:sz w:val="18"/>
                                <w:lang w:val="es-ES"/>
                              </w:rPr>
                              <w:t>December 5, 2024</w:t>
                            </w:r>
                            <w:r w:rsidRPr="00AE1927">
                              <w:rPr>
                                <w:rFonts w:ascii="Cambria" w:hAnsi="Cambria"/>
                                <w:color w:val="595959" w:themeColor="text1" w:themeTint="A6"/>
                                <w:sz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E2376" id="Text Box 3" o:spid="_x0000_s1030"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" filled="f" stroked="f" strokeweight=".5pt">
                <v:textbox>
                  <w:txbxContent>
                    <w:p w14:paraId="1D2E85EA" w14:textId="4A460831" w:rsidR="000542A2" w:rsidRPr="00AE1927" w:rsidRDefault="000542A2" w:rsidP="000542A2">
                      <w:pPr>
                        <w:spacing w:line="276" w:lineRule="auto"/>
                        <w:rPr>
                          <w:rFonts w:ascii="Cambria" w:hAnsi="Cambria"/>
                          <w:color w:val="595959" w:themeColor="text1" w:themeTint="A6"/>
                          <w:sz w:val="18"/>
                          <w:lang w:val="es-ES"/>
                        </w:rPr>
                      </w:pPr>
                      <w:r w:rsidRPr="00B46035">
                        <w:rPr>
                          <w:rFonts w:ascii="Cambria" w:hAnsi="Cambria"/>
                          <w:b/>
                          <w:color w:val="595959" w:themeColor="text1" w:themeTint="A6"/>
                          <w:sz w:val="18"/>
                        </w:rPr>
                        <w:t xml:space="preserve">Cite as: </w:t>
                      </w:r>
                      <w:r w:rsidRPr="00B46035">
                        <w:rPr>
                          <w:rFonts w:ascii="Cambria" w:hAnsi="Cambria"/>
                          <w:color w:val="595959" w:themeColor="text1" w:themeTint="A6"/>
                          <w:sz w:val="18"/>
                        </w:rPr>
                        <w:t xml:space="preserve">IACHR, Report No. </w:t>
                      </w:r>
                      <w:r w:rsidR="00AE1927">
                        <w:rPr>
                          <w:rFonts w:ascii="Cambria" w:hAnsi="Cambria"/>
                          <w:color w:val="595959" w:themeColor="text1" w:themeTint="A6"/>
                          <w:sz w:val="18"/>
                        </w:rPr>
                        <w:t>228</w:t>
                      </w:r>
                      <w:r w:rsidRPr="00B46035">
                        <w:rPr>
                          <w:rFonts w:ascii="Cambria" w:hAnsi="Cambria"/>
                          <w:color w:val="595959" w:themeColor="text1" w:themeTint="A6"/>
                          <w:sz w:val="18"/>
                        </w:rPr>
                        <w:t xml:space="preserve">/24, Petition </w:t>
                      </w:r>
                      <w:r w:rsidR="00465CA9" w:rsidRPr="00B46035">
                        <w:rPr>
                          <w:rFonts w:ascii="Cambria" w:hAnsi="Cambria"/>
                          <w:color w:val="595959" w:themeColor="text1" w:themeTint="A6"/>
                          <w:sz w:val="18"/>
                        </w:rPr>
                        <w:t>1204</w:t>
                      </w:r>
                      <w:r w:rsidRPr="00B46035">
                        <w:rPr>
                          <w:rFonts w:ascii="Cambria" w:hAnsi="Cambria"/>
                          <w:color w:val="595959" w:themeColor="text1" w:themeTint="A6"/>
                          <w:sz w:val="18"/>
                        </w:rPr>
                        <w:t xml:space="preserve">-14. </w:t>
                      </w:r>
                      <w:r w:rsidRPr="004557E3">
                        <w:rPr>
                          <w:rFonts w:ascii="Cambria" w:hAnsi="Cambria"/>
                          <w:color w:val="595959" w:themeColor="text1" w:themeTint="A6"/>
                          <w:sz w:val="18"/>
                          <w:lang w:val="es-US"/>
                        </w:rPr>
                        <w:t xml:space="preserve">Admissibility. </w:t>
                      </w:r>
                      <w:r w:rsidR="00A552B9" w:rsidRPr="004557E3">
                        <w:rPr>
                          <w:rFonts w:ascii="Cambria" w:hAnsi="Cambria"/>
                          <w:color w:val="595959" w:themeColor="text1" w:themeTint="A6"/>
                          <w:sz w:val="18"/>
                          <w:lang w:val="es-US"/>
                        </w:rPr>
                        <w:t>María El</w:t>
                      </w:r>
                      <w:r w:rsidR="00634845" w:rsidRPr="004557E3">
                        <w:rPr>
                          <w:rFonts w:ascii="Cambria" w:hAnsi="Cambria"/>
                          <w:color w:val="595959" w:themeColor="text1" w:themeTint="A6"/>
                          <w:sz w:val="18"/>
                          <w:lang w:val="es-US"/>
                        </w:rPr>
                        <w:t>i</w:t>
                      </w:r>
                      <w:r w:rsidR="00A552B9" w:rsidRPr="004557E3">
                        <w:rPr>
                          <w:rFonts w:ascii="Cambria" w:hAnsi="Cambria"/>
                          <w:color w:val="595959" w:themeColor="text1" w:themeTint="A6"/>
                          <w:sz w:val="18"/>
                          <w:lang w:val="es-US"/>
                        </w:rPr>
                        <w:t xml:space="preserve">a González Jiménez et al. </w:t>
                      </w:r>
                      <w:r w:rsidR="00A552B9" w:rsidRPr="00AE1927">
                        <w:rPr>
                          <w:rFonts w:ascii="Cambria" w:hAnsi="Cambria"/>
                          <w:color w:val="595959" w:themeColor="text1" w:themeTint="A6"/>
                          <w:sz w:val="18"/>
                          <w:lang w:val="es-ES"/>
                        </w:rPr>
                        <w:t xml:space="preserve">Mexico. </w:t>
                      </w:r>
                      <w:r w:rsidR="00AE1927">
                        <w:rPr>
                          <w:rFonts w:ascii="Cambria" w:hAnsi="Cambria"/>
                          <w:color w:val="595959" w:themeColor="text1" w:themeTint="A6"/>
                          <w:sz w:val="18"/>
                          <w:lang w:val="es-ES"/>
                        </w:rPr>
                        <w:t>December 5, 2024</w:t>
                      </w:r>
                      <w:r w:rsidRPr="00AE1927">
                        <w:rPr>
                          <w:rFonts w:ascii="Cambria" w:hAnsi="Cambria"/>
                          <w:color w:val="595959" w:themeColor="text1" w:themeTint="A6"/>
                          <w:sz w:val="18"/>
                          <w:lang w:val="es-ES"/>
                        </w:rPr>
                        <w:t>.</w:t>
                      </w:r>
                    </w:p>
                  </w:txbxContent>
                </v:textbox>
              </v:shape>
            </w:pict>
          </mc:Fallback>
        </mc:AlternateContent>
      </w:r>
    </w:p>
    <w:p w14:paraId="4E50FE8C" w14:textId="4E43009F"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14421E4C" w14:textId="41020DBA"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4791107E" w14:textId="6FC3F99C"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p>
    <w:p w14:paraId="2332852C" w14:textId="4C4BC95C" w:rsidR="000542A2" w:rsidRPr="007307F4" w:rsidRDefault="008B0B4E"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pPr>
      <w:r w:rsidRPr="007307F4">
        <w:rPr>
          <w:rFonts w:ascii="Cambria" w:hAnsi="Cambria"/>
          <w:noProof/>
          <w:sz w:val="22"/>
          <w:szCs w:val="22"/>
        </w:rPr>
        <mc:AlternateContent>
          <mc:Choice Requires="wps">
            <w:drawing>
              <wp:anchor distT="0" distB="0" distL="114300" distR="114300" simplePos="0" relativeHeight="251665408" behindDoc="0" locked="0" layoutInCell="1" allowOverlap="1" wp14:anchorId="21573A21" wp14:editId="1A0E650E">
                <wp:simplePos x="0" y="0"/>
                <wp:positionH relativeFrom="column">
                  <wp:posOffset>-292100</wp:posOffset>
                </wp:positionH>
                <wp:positionV relativeFrom="paragraph">
                  <wp:posOffset>454823</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132B1" w14:textId="77777777" w:rsidR="008B0B4E" w:rsidRPr="004B7EB6" w:rsidRDefault="008B0B4E" w:rsidP="008B0B4E">
                            <w:pPr>
                              <w:jc w:val="center"/>
                              <w:rPr>
                                <w:b/>
                                <w:color w:val="FFFFFF" w:themeColor="background1"/>
                              </w:rPr>
                            </w:pPr>
                            <w:r w:rsidRPr="004B7EB6">
                              <w:rPr>
                                <w:b/>
                                <w:color w:val="FFFFFF" w:themeColor="background1"/>
                                <w:lang w:val="pt-BR"/>
                              </w:rPr>
                              <w:t>www.</w:t>
                            </w:r>
                            <w:r>
                              <w:rPr>
                                <w:b/>
                                <w:color w:val="FFFFFF" w:themeColor="background1"/>
                                <w:lang w:val="pt-BR"/>
                              </w:rPr>
                              <w:t>cidh</w:t>
                            </w:r>
                            <w:r w:rsidRPr="004B7EB6">
                              <w:rPr>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3A21" id="_x0000_s1031" type="#_x0000_t202" style="position:absolute;left:0;text-align:left;margin-left:-23pt;margin-top:35.8pt;width:93pt;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" filled="f" stroked="f" strokeweight=".5pt">
                <v:textbox>
                  <w:txbxContent>
                    <w:p w14:paraId="3BF132B1" w14:textId="77777777" w:rsidR="008B0B4E" w:rsidRPr="004B7EB6" w:rsidRDefault="008B0B4E" w:rsidP="008B0B4E">
                      <w:pPr>
                        <w:jc w:val="center"/>
                        <w:rPr>
                          <w:b/>
                          <w:color w:val="FFFFFF" w:themeColor="background1"/>
                        </w:rPr>
                      </w:pPr>
                      <w:r w:rsidRPr="004B7EB6">
                        <w:rPr>
                          <w:b/>
                          <w:color w:val="FFFFFF" w:themeColor="background1"/>
                          <w:lang w:val="pt-BR"/>
                        </w:rPr>
                        <w:t>www.</w:t>
                      </w:r>
                      <w:r>
                        <w:rPr>
                          <w:b/>
                          <w:color w:val="FFFFFF" w:themeColor="background1"/>
                          <w:lang w:val="pt-BR"/>
                        </w:rPr>
                        <w:t>cidh</w:t>
                      </w:r>
                      <w:r w:rsidRPr="004B7EB6">
                        <w:rPr>
                          <w:b/>
                          <w:color w:val="FFFFFF" w:themeColor="background1"/>
                          <w:lang w:val="pt-BR"/>
                        </w:rPr>
                        <w:t>.org</w:t>
                      </w:r>
                    </w:p>
                  </w:txbxContent>
                </v:textbox>
              </v:shape>
            </w:pict>
          </mc:Fallback>
        </mc:AlternateContent>
      </w:r>
      <w:r w:rsidR="00E8492A" w:rsidRPr="007307F4">
        <w:rPr>
          <w:rFonts w:ascii="Cambria" w:hAnsi="Cambria"/>
          <w:noProof/>
        </w:rPr>
        <w:drawing>
          <wp:anchor distT="0" distB="0" distL="114300" distR="114300" simplePos="0" relativeHeight="251663360" behindDoc="0" locked="0" layoutInCell="1" allowOverlap="1" wp14:anchorId="3933F110" wp14:editId="2F24E129">
            <wp:simplePos x="0" y="0"/>
            <wp:positionH relativeFrom="column">
              <wp:posOffset>1225550</wp:posOffset>
            </wp:positionH>
            <wp:positionV relativeFrom="paragraph">
              <wp:posOffset>363220</wp:posOffset>
            </wp:positionV>
            <wp:extent cx="1581150" cy="400050"/>
            <wp:effectExtent l="0" t="0" r="0" b="0"/>
            <wp:wrapSquare wrapText="bothSides"/>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12B8" w:rsidRPr="007307F4">
        <w:rPr>
          <w:rFonts w:ascii="Cambria" w:eastAsia="Arial Unicode MS" w:hAnsi="Cambria" w:cstheme="majorBidi"/>
          <w:noProof/>
          <w:kern w:val="0"/>
          <w:bdr w:val="nil"/>
          <w:lang w:eastAsia="en-US"/>
        </w:rPr>
        <mc:AlternateContent>
          <mc:Choice Requires="wps">
            <w:drawing>
              <wp:anchor distT="0" distB="0" distL="114300" distR="114300" simplePos="0" relativeHeight="251661312" behindDoc="0" locked="0" layoutInCell="1" allowOverlap="1" wp14:anchorId="1ED35058" wp14:editId="2D3146F8">
                <wp:simplePos x="0" y="0"/>
                <wp:positionH relativeFrom="column">
                  <wp:posOffset>-299085</wp:posOffset>
                </wp:positionH>
                <wp:positionV relativeFrom="paragraph">
                  <wp:posOffset>859155</wp:posOffset>
                </wp:positionV>
                <wp:extent cx="1181100" cy="332740"/>
                <wp:effectExtent l="0" t="0" r="0" b="0"/>
                <wp:wrapNone/>
                <wp:docPr id="10315310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8A026" w14:textId="77777777" w:rsidR="000542A2" w:rsidRPr="004B7EB6" w:rsidRDefault="000542A2" w:rsidP="000542A2">
                            <w:pPr>
                              <w:jc w:val="center"/>
                              <w:rPr>
                                <w:b/>
                                <w:color w:val="FFFFFF" w:themeColor="background1"/>
                              </w:rPr>
                            </w:pPr>
                            <w:r w:rsidRPr="004B7EB6">
                              <w:rPr>
                                <w:b/>
                                <w:color w:val="FFFFFF" w:themeColor="background1"/>
                                <w:lang w:val="pt-BR"/>
                              </w:rPr>
                              <w:t>www.</w:t>
                            </w:r>
                            <w:r>
                              <w:rPr>
                                <w:b/>
                                <w:color w:val="FFFFFF" w:themeColor="background1"/>
                                <w:lang w:val="pt-BR"/>
                              </w:rPr>
                              <w:t>ia</w:t>
                            </w:r>
                            <w:r w:rsidRPr="004B7EB6">
                              <w:rPr>
                                <w:b/>
                                <w:color w:val="FFFFFF" w:themeColor="background1"/>
                                <w:lang w:val="pt-BR"/>
                              </w:rPr>
                              <w:t>ch</w:t>
                            </w:r>
                            <w:r>
                              <w:rPr>
                                <w:b/>
                                <w:color w:val="FFFFFF" w:themeColor="background1"/>
                                <w:lang w:val="pt-BR"/>
                              </w:rPr>
                              <w:t>r</w:t>
                            </w:r>
                            <w:r w:rsidRPr="004B7EB6">
                              <w:rPr>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35058" id="Text Box 2" o:spid="_x0000_s1032"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" filled="f" stroked="f" strokeweight=".5pt">
                <v:textbox>
                  <w:txbxContent>
                    <w:p w14:paraId="12B8A026" w14:textId="77777777" w:rsidR="000542A2" w:rsidRPr="004B7EB6" w:rsidRDefault="000542A2" w:rsidP="000542A2">
                      <w:pPr>
                        <w:jc w:val="center"/>
                        <w:rPr>
                          <w:b/>
                          <w:color w:val="FFFFFF" w:themeColor="background1"/>
                        </w:rPr>
                      </w:pPr>
                      <w:r w:rsidRPr="004B7EB6">
                        <w:rPr>
                          <w:b/>
                          <w:color w:val="FFFFFF" w:themeColor="background1"/>
                          <w:lang w:val="pt-BR"/>
                        </w:rPr>
                        <w:t>www.</w:t>
                      </w:r>
                      <w:r>
                        <w:rPr>
                          <w:b/>
                          <w:color w:val="FFFFFF" w:themeColor="background1"/>
                          <w:lang w:val="pt-BR"/>
                        </w:rPr>
                        <w:t>ia</w:t>
                      </w:r>
                      <w:r w:rsidRPr="004B7EB6">
                        <w:rPr>
                          <w:b/>
                          <w:color w:val="FFFFFF" w:themeColor="background1"/>
                          <w:lang w:val="pt-BR"/>
                        </w:rPr>
                        <w:t>ch</w:t>
                      </w:r>
                      <w:r>
                        <w:rPr>
                          <w:b/>
                          <w:color w:val="FFFFFF" w:themeColor="background1"/>
                          <w:lang w:val="pt-BR"/>
                        </w:rPr>
                        <w:t>r</w:t>
                      </w:r>
                      <w:r w:rsidRPr="004B7EB6">
                        <w:rPr>
                          <w:b/>
                          <w:color w:val="FFFFFF" w:themeColor="background1"/>
                          <w:lang w:val="pt-BR"/>
                        </w:rPr>
                        <w:t>.org</w:t>
                      </w:r>
                    </w:p>
                  </w:txbxContent>
                </v:textbox>
              </v:shape>
            </w:pict>
          </mc:Fallback>
        </mc:AlternateContent>
      </w:r>
      <w:r w:rsidR="00D112B8" w:rsidRPr="007307F4">
        <w:rPr>
          <w:rFonts w:ascii="Cambria" w:eastAsia="Arial Unicode MS" w:hAnsi="Cambria" w:cstheme="majorBidi"/>
          <w:noProof/>
          <w:kern w:val="0"/>
          <w:bdr w:val="nil"/>
          <w:lang w:eastAsia="en-US"/>
        </w:rPr>
        <mc:AlternateContent>
          <mc:Choice Requires="wps">
            <w:drawing>
              <wp:anchor distT="0" distB="0" distL="114300" distR="114300" simplePos="0" relativeHeight="251660288" behindDoc="0" locked="0" layoutInCell="1" allowOverlap="1" wp14:anchorId="2BBDF7B8" wp14:editId="2C397655">
                <wp:simplePos x="0" y="0"/>
                <wp:positionH relativeFrom="column">
                  <wp:posOffset>1208405</wp:posOffset>
                </wp:positionH>
                <wp:positionV relativeFrom="paragraph">
                  <wp:posOffset>722630</wp:posOffset>
                </wp:positionV>
                <wp:extent cx="2085975" cy="485775"/>
                <wp:effectExtent l="0" t="0" r="0" b="0"/>
                <wp:wrapNone/>
                <wp:docPr id="4879811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66512" w14:textId="2CBFF7D3" w:rsidR="000542A2" w:rsidRDefault="000542A2" w:rsidP="000542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DF7B8" id="Text Box 1" o:spid="_x0000_s1033"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" fillcolor="white [3201]" stroked="f" strokeweight=".5pt">
                <v:textbox>
                  <w:txbxContent>
                    <w:p w14:paraId="0D866512" w14:textId="2CBFF7D3" w:rsidR="000542A2" w:rsidRDefault="000542A2" w:rsidP="000542A2"/>
                  </w:txbxContent>
                </v:textbox>
              </v:shape>
            </w:pict>
          </mc:Fallback>
        </mc:AlternateContent>
      </w:r>
    </w:p>
    <w:p w14:paraId="642BA2D4" w14:textId="77777777" w:rsidR="000542A2" w:rsidRPr="007307F4" w:rsidRDefault="000542A2" w:rsidP="000542A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heme="majorBidi"/>
          <w:kern w:val="0"/>
          <w:sz w:val="18"/>
          <w:szCs w:val="22"/>
          <w:bdr w:val="nil"/>
          <w:lang w:eastAsia="en-US"/>
        </w:rPr>
        <w:sectPr w:rsidR="000542A2" w:rsidRPr="007307F4" w:rsidSect="000542A2">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p>
    <w:p w14:paraId="7912818B" w14:textId="77777777" w:rsidR="000542A2" w:rsidRPr="007307F4" w:rsidRDefault="000542A2" w:rsidP="000542A2">
      <w:pPr>
        <w:pBdr>
          <w:top w:val="nil"/>
          <w:left w:val="nil"/>
          <w:bottom w:val="nil"/>
          <w:right w:val="nil"/>
          <w:between w:val="nil"/>
          <w:bar w:val="nil"/>
        </w:pBdr>
        <w:spacing w:after="240" w:line="240" w:lineRule="auto"/>
        <w:ind w:firstLine="720"/>
        <w:jc w:val="both"/>
        <w:rPr>
          <w:rFonts w:ascii="Cambria" w:eastAsia="Arial Unicode MS" w:hAnsi="Cambria" w:cstheme="majorBidi"/>
          <w:b/>
          <w:bCs/>
          <w:kern w:val="0"/>
          <w:sz w:val="20"/>
          <w:szCs w:val="20"/>
          <w:bdr w:val="nil"/>
          <w:lang w:eastAsia="en-US"/>
        </w:rPr>
      </w:pPr>
      <w:r w:rsidRPr="007307F4">
        <w:rPr>
          <w:rFonts w:ascii="Cambria" w:eastAsia="Arial Unicode MS" w:hAnsi="Cambria" w:cstheme="majorBidi"/>
          <w:b/>
          <w:bCs/>
          <w:kern w:val="0"/>
          <w:sz w:val="20"/>
          <w:szCs w:val="20"/>
          <w:bdr w:val="nil"/>
          <w:lang w:eastAsia="en-US"/>
        </w:rPr>
        <w:lastRenderedPageBreak/>
        <w:t>I.</w:t>
      </w:r>
      <w:r w:rsidRPr="007307F4">
        <w:rPr>
          <w:rFonts w:ascii="Cambria" w:eastAsia="Arial Unicode MS" w:hAnsi="Cambria" w:cstheme="majorBidi"/>
          <w:b/>
          <w:bCs/>
          <w:kern w:val="0"/>
          <w:sz w:val="20"/>
          <w:szCs w:val="20"/>
          <w:bdr w:val="nil"/>
          <w:lang w:eastAsia="en-US"/>
        </w:rPr>
        <w:tab/>
        <w:t xml:space="preserve">INFORMATION ABOUT THE PETITION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0542A2" w:rsidRPr="004C22C6" w14:paraId="010FC725" w14:textId="77777777" w:rsidTr="00CC5FEC">
        <w:tc>
          <w:tcPr>
            <w:tcW w:w="3690" w:type="dxa"/>
            <w:tcBorders>
              <w:top w:val="single" w:sz="4" w:space="0" w:color="auto"/>
              <w:bottom w:val="single" w:sz="6" w:space="0" w:color="auto"/>
            </w:tcBorders>
            <w:shd w:val="clear" w:color="auto" w:fill="67AE3C"/>
            <w:vAlign w:val="center"/>
          </w:tcPr>
          <w:p w14:paraId="5600AC3A" w14:textId="03059E4C" w:rsidR="000542A2" w:rsidRPr="007307F4" w:rsidRDefault="000542A2" w:rsidP="000542A2">
            <w:pPr>
              <w:jc w:val="center"/>
              <w:rPr>
                <w:rFonts w:ascii="Cambria" w:hAnsi="Cambria" w:cstheme="majorBidi"/>
                <w:b/>
                <w:bCs/>
                <w:color w:val="FFFFFF" w:themeColor="background1"/>
                <w:lang w:val="en-US" w:eastAsia="en-US"/>
              </w:rPr>
            </w:pPr>
            <w:r w:rsidRPr="007307F4">
              <w:rPr>
                <w:rFonts w:ascii="Cambria" w:hAnsi="Cambria" w:cstheme="majorBidi"/>
                <w:b/>
                <w:bCs/>
                <w:color w:val="FFFFFF" w:themeColor="background1"/>
                <w:lang w:val="en-US" w:eastAsia="en-US"/>
              </w:rPr>
              <w:t>Petitioner</w:t>
            </w:r>
            <w:r w:rsidR="00C4482B" w:rsidRPr="007307F4">
              <w:rPr>
                <w:rFonts w:ascii="Cambria" w:hAnsi="Cambria" w:cstheme="majorBidi"/>
                <w:b/>
                <w:bCs/>
                <w:color w:val="FFFFFF" w:themeColor="background1"/>
                <w:lang w:val="en-US" w:eastAsia="en-US"/>
              </w:rPr>
              <w:t>s</w:t>
            </w:r>
            <w:r w:rsidRPr="007307F4">
              <w:rPr>
                <w:rFonts w:ascii="Cambria" w:hAnsi="Cambria" w:cstheme="majorBidi"/>
                <w:b/>
                <w:bCs/>
                <w:color w:val="FFFFFF" w:themeColor="background1"/>
                <w:lang w:val="en-US" w:eastAsia="en-US"/>
              </w:rPr>
              <w:t>:</w:t>
            </w:r>
          </w:p>
        </w:tc>
        <w:tc>
          <w:tcPr>
            <w:tcW w:w="5670" w:type="dxa"/>
            <w:vAlign w:val="center"/>
          </w:tcPr>
          <w:p w14:paraId="72DC1B49" w14:textId="5DD298E1" w:rsidR="000542A2" w:rsidRPr="007307F4" w:rsidRDefault="00980618" w:rsidP="000542A2">
            <w:pPr>
              <w:jc w:val="both"/>
              <w:rPr>
                <w:rFonts w:ascii="Cambria" w:hAnsi="Cambria" w:cstheme="majorBidi"/>
                <w:bCs/>
                <w:lang w:val="es-US" w:eastAsia="en-US"/>
              </w:rPr>
            </w:pPr>
            <w:r w:rsidRPr="007307F4">
              <w:rPr>
                <w:rFonts w:ascii="Cambria" w:hAnsi="Cambria" w:cstheme="majorBidi"/>
                <w:bCs/>
                <w:lang w:val="es-US" w:eastAsia="en-US"/>
              </w:rPr>
              <w:t>María Elia González Jiménez, Irene Díaz Reyes, Gabino Eduardo Castrejón García and Ana Beatriz Castrejón Díaz</w:t>
            </w:r>
          </w:p>
        </w:tc>
      </w:tr>
      <w:tr w:rsidR="000542A2" w:rsidRPr="004C22C6" w14:paraId="7DCF6587" w14:textId="77777777" w:rsidTr="00CC5FEC">
        <w:tc>
          <w:tcPr>
            <w:tcW w:w="3690" w:type="dxa"/>
            <w:tcBorders>
              <w:top w:val="single" w:sz="6" w:space="0" w:color="auto"/>
              <w:bottom w:val="single" w:sz="6" w:space="0" w:color="auto"/>
            </w:tcBorders>
            <w:shd w:val="clear" w:color="auto" w:fill="67AE3C"/>
            <w:vAlign w:val="center"/>
          </w:tcPr>
          <w:p w14:paraId="55578139" w14:textId="77777777" w:rsidR="000542A2" w:rsidRPr="007307F4" w:rsidRDefault="00D21B96" w:rsidP="000542A2">
            <w:pPr>
              <w:jc w:val="center"/>
              <w:rPr>
                <w:rFonts w:ascii="Cambria" w:hAnsi="Cambria" w:cstheme="majorBidi"/>
                <w:b/>
                <w:bCs/>
                <w:color w:val="FFFFFF" w:themeColor="background1"/>
                <w:lang w:val="en-US" w:eastAsia="en-US"/>
              </w:rPr>
            </w:pPr>
            <w:sdt>
              <w:sdtPr>
                <w:rPr>
                  <w:rFonts w:ascii="Cambria" w:hAnsi="Cambria" w:cstheme="majorBidi"/>
                  <w:b/>
                  <w:bCs/>
                  <w:color w:val="FFFFFF" w:themeColor="background1"/>
                  <w:lang w:eastAsia="en-US"/>
                </w:rPr>
                <w:alias w:val="Elegir una opción"/>
                <w:tag w:val="Elegir una opción"/>
                <w:id w:val="931095713"/>
                <w:placeholder>
                  <w:docPart w:val="1EF4D0D1681149EF80E3267C9B8E051D"/>
                </w:placeholder>
                <w:dropDownList>
                  <w:listItem w:value="Choose an item."/>
                  <w:listItem w:displayText="Alleged victim" w:value="Alleged victim"/>
                  <w:listItem w:displayText="Alleged victims" w:value="Alleged victims"/>
                </w:dropDownList>
              </w:sdtPr>
              <w:sdtEndPr/>
              <w:sdtContent>
                <w:r w:rsidR="000542A2" w:rsidRPr="007307F4">
                  <w:rPr>
                    <w:rFonts w:ascii="Cambria" w:hAnsi="Cambria" w:cstheme="majorBidi"/>
                    <w:b/>
                    <w:bCs/>
                    <w:color w:val="FFFFFF" w:themeColor="background1"/>
                    <w:lang w:val="en-US" w:eastAsia="en-US"/>
                  </w:rPr>
                  <w:t>Alleged victims</w:t>
                </w:r>
              </w:sdtContent>
            </w:sdt>
            <w:r w:rsidR="000542A2" w:rsidRPr="007307F4">
              <w:rPr>
                <w:rFonts w:ascii="Cambria" w:hAnsi="Cambria" w:cstheme="majorBidi"/>
                <w:b/>
                <w:bCs/>
                <w:color w:val="FFFFFF" w:themeColor="background1"/>
                <w:lang w:val="en-US" w:eastAsia="en-US"/>
              </w:rPr>
              <w:t>:</w:t>
            </w:r>
          </w:p>
        </w:tc>
        <w:tc>
          <w:tcPr>
            <w:tcW w:w="5670" w:type="dxa"/>
            <w:vAlign w:val="center"/>
          </w:tcPr>
          <w:p w14:paraId="19055D0C" w14:textId="29DD4CD5" w:rsidR="000542A2" w:rsidRPr="007307F4" w:rsidRDefault="00284B03" w:rsidP="000542A2">
            <w:pPr>
              <w:jc w:val="both"/>
              <w:rPr>
                <w:rFonts w:ascii="Cambria" w:hAnsi="Cambria" w:cstheme="majorBidi"/>
                <w:bCs/>
                <w:lang w:val="es-US" w:eastAsia="en-US"/>
              </w:rPr>
            </w:pPr>
            <w:r w:rsidRPr="007307F4">
              <w:rPr>
                <w:rFonts w:ascii="Cambria" w:hAnsi="Cambria" w:cstheme="majorBidi"/>
                <w:bCs/>
                <w:lang w:val="es-US" w:eastAsia="en-US"/>
              </w:rPr>
              <w:t>María Elia González Jiménez, Francisca Burciaga Monreal, María Elia Jiménez Burciaga, Filiberto González Mendoza and Martha Elizabeth González Jiménez</w:t>
            </w:r>
          </w:p>
        </w:tc>
      </w:tr>
      <w:tr w:rsidR="000542A2" w:rsidRPr="007307F4" w14:paraId="3BB1B550" w14:textId="77777777" w:rsidTr="00CC5FEC">
        <w:tc>
          <w:tcPr>
            <w:tcW w:w="3690" w:type="dxa"/>
            <w:tcBorders>
              <w:top w:val="single" w:sz="6" w:space="0" w:color="auto"/>
              <w:bottom w:val="single" w:sz="6" w:space="0" w:color="auto"/>
            </w:tcBorders>
            <w:shd w:val="clear" w:color="auto" w:fill="67AE3C"/>
            <w:vAlign w:val="center"/>
          </w:tcPr>
          <w:p w14:paraId="1876F9E3" w14:textId="77777777" w:rsidR="000542A2" w:rsidRPr="007307F4" w:rsidRDefault="000542A2" w:rsidP="000542A2">
            <w:pPr>
              <w:jc w:val="center"/>
              <w:rPr>
                <w:rFonts w:ascii="Cambria" w:hAnsi="Cambria" w:cstheme="majorBidi"/>
                <w:b/>
                <w:bCs/>
                <w:color w:val="FFFFFF" w:themeColor="background1"/>
                <w:lang w:val="en-US" w:eastAsia="en-US"/>
              </w:rPr>
            </w:pPr>
            <w:r w:rsidRPr="007307F4">
              <w:rPr>
                <w:rFonts w:ascii="Cambria" w:hAnsi="Cambria" w:cstheme="majorBidi"/>
                <w:b/>
                <w:bCs/>
                <w:color w:val="FFFFFF" w:themeColor="background1"/>
                <w:lang w:val="en-US" w:eastAsia="en-US"/>
              </w:rPr>
              <w:t>Respondent State:</w:t>
            </w:r>
          </w:p>
        </w:tc>
        <w:tc>
          <w:tcPr>
            <w:tcW w:w="5670" w:type="dxa"/>
            <w:vAlign w:val="center"/>
          </w:tcPr>
          <w:p w14:paraId="275D2719" w14:textId="242C116E" w:rsidR="000542A2" w:rsidRPr="007307F4" w:rsidRDefault="00284B03" w:rsidP="000542A2">
            <w:pPr>
              <w:jc w:val="both"/>
              <w:rPr>
                <w:rFonts w:ascii="Cambria" w:hAnsi="Cambria" w:cstheme="majorBidi"/>
                <w:bCs/>
                <w:lang w:val="en-US" w:eastAsia="en-US"/>
              </w:rPr>
            </w:pPr>
            <w:r w:rsidRPr="007307F4">
              <w:rPr>
                <w:rFonts w:ascii="Cambria" w:hAnsi="Cambria" w:cstheme="majorBidi"/>
                <w:bCs/>
                <w:lang w:val="en-US" w:eastAsia="en-US"/>
              </w:rPr>
              <w:t>Mexico</w:t>
            </w:r>
            <w:r w:rsidR="000542A2" w:rsidRPr="007307F4">
              <w:rPr>
                <w:rFonts w:ascii="Cambria" w:hAnsi="Cambria" w:cstheme="majorBidi"/>
                <w:bCs/>
                <w:vertAlign w:val="superscript"/>
                <w:lang w:val="en-US" w:eastAsia="en-US"/>
              </w:rPr>
              <w:footnoteReference w:id="1"/>
            </w:r>
          </w:p>
        </w:tc>
      </w:tr>
      <w:tr w:rsidR="000542A2" w:rsidRPr="007307F4" w14:paraId="6A1957AB" w14:textId="77777777" w:rsidTr="00CC5FEC">
        <w:tc>
          <w:tcPr>
            <w:tcW w:w="3690" w:type="dxa"/>
            <w:tcBorders>
              <w:top w:val="single" w:sz="6" w:space="0" w:color="auto"/>
              <w:bottom w:val="single" w:sz="6" w:space="0" w:color="auto"/>
            </w:tcBorders>
            <w:shd w:val="clear" w:color="auto" w:fill="67AE3C"/>
            <w:vAlign w:val="center"/>
          </w:tcPr>
          <w:p w14:paraId="2B857FA0" w14:textId="77777777" w:rsidR="000542A2" w:rsidRPr="007307F4" w:rsidRDefault="000542A2" w:rsidP="000542A2">
            <w:pPr>
              <w:jc w:val="center"/>
              <w:rPr>
                <w:rFonts w:ascii="Cambria" w:hAnsi="Cambria" w:cstheme="majorBidi"/>
                <w:b/>
                <w:bCs/>
                <w:color w:val="FFFFFF" w:themeColor="background1"/>
                <w:lang w:val="en-US" w:eastAsia="en-US"/>
              </w:rPr>
            </w:pPr>
            <w:r w:rsidRPr="007307F4">
              <w:rPr>
                <w:rFonts w:ascii="Cambria" w:hAnsi="Cambria" w:cstheme="majorBidi"/>
                <w:b/>
                <w:bCs/>
                <w:color w:val="FFFFFF" w:themeColor="background1"/>
                <w:lang w:val="en-US" w:eastAsia="en-US"/>
              </w:rPr>
              <w:t>Rights invoked:</w:t>
            </w:r>
          </w:p>
        </w:tc>
        <w:tc>
          <w:tcPr>
            <w:tcW w:w="5670" w:type="dxa"/>
            <w:vAlign w:val="center"/>
          </w:tcPr>
          <w:p w14:paraId="3B7DF47E" w14:textId="692013DE" w:rsidR="000542A2" w:rsidRPr="007307F4" w:rsidRDefault="001D1F25" w:rsidP="000542A2">
            <w:pPr>
              <w:jc w:val="both"/>
              <w:rPr>
                <w:rFonts w:ascii="Cambria" w:hAnsi="Cambria" w:cstheme="majorBidi"/>
                <w:bCs/>
                <w:lang w:val="en-US" w:eastAsia="en-US"/>
              </w:rPr>
            </w:pPr>
            <w:r w:rsidRPr="007307F4">
              <w:rPr>
                <w:rFonts w:ascii="Cambria" w:hAnsi="Cambria" w:cstheme="majorBidi"/>
                <w:bCs/>
                <w:lang w:val="en-US" w:eastAsia="en-US"/>
              </w:rPr>
              <w:t>Art</w:t>
            </w:r>
            <w:r w:rsidR="002A2DDC" w:rsidRPr="007307F4">
              <w:rPr>
                <w:rFonts w:ascii="Cambria" w:hAnsi="Cambria" w:cstheme="majorBidi"/>
                <w:bCs/>
                <w:lang w:val="en-US" w:eastAsia="en-US"/>
              </w:rPr>
              <w:t xml:space="preserve">icles </w:t>
            </w:r>
            <w:r w:rsidRPr="007307F4">
              <w:rPr>
                <w:rFonts w:ascii="Cambria" w:hAnsi="Cambria" w:cstheme="majorBidi"/>
                <w:bCs/>
                <w:lang w:val="en-US" w:eastAsia="en-US"/>
              </w:rPr>
              <w:t>5 (</w:t>
            </w:r>
            <w:r w:rsidR="006170BE" w:rsidRPr="007307F4">
              <w:rPr>
                <w:rFonts w:ascii="Cambria" w:hAnsi="Cambria" w:cstheme="majorBidi"/>
                <w:bCs/>
                <w:lang w:val="en-US" w:eastAsia="en-US"/>
              </w:rPr>
              <w:t>humane treatment</w:t>
            </w:r>
            <w:r w:rsidRPr="007307F4">
              <w:rPr>
                <w:rFonts w:ascii="Cambria" w:hAnsi="Cambria" w:cstheme="majorBidi"/>
                <w:bCs/>
                <w:lang w:val="en-US" w:eastAsia="en-US"/>
              </w:rPr>
              <w:t>), 7 (personal</w:t>
            </w:r>
            <w:r w:rsidR="006170BE" w:rsidRPr="007307F4">
              <w:rPr>
                <w:rFonts w:ascii="Cambria" w:hAnsi="Cambria" w:cstheme="majorBidi"/>
                <w:bCs/>
                <w:lang w:val="en-US" w:eastAsia="en-US"/>
              </w:rPr>
              <w:t xml:space="preserve"> liberty</w:t>
            </w:r>
            <w:r w:rsidRPr="007307F4">
              <w:rPr>
                <w:rFonts w:ascii="Cambria" w:hAnsi="Cambria" w:cstheme="majorBidi"/>
                <w:bCs/>
                <w:lang w:val="en-US" w:eastAsia="en-US"/>
              </w:rPr>
              <w:t>), 8 (</w:t>
            </w:r>
            <w:r w:rsidR="006170BE" w:rsidRPr="007307F4">
              <w:rPr>
                <w:rFonts w:ascii="Cambria" w:hAnsi="Cambria" w:cstheme="majorBidi"/>
                <w:bCs/>
                <w:lang w:val="en-US" w:eastAsia="en-US"/>
              </w:rPr>
              <w:t>judicial guarantees</w:t>
            </w:r>
            <w:r w:rsidRPr="007307F4">
              <w:rPr>
                <w:rFonts w:ascii="Cambria" w:hAnsi="Cambria" w:cstheme="majorBidi"/>
                <w:bCs/>
                <w:lang w:val="en-US" w:eastAsia="en-US"/>
              </w:rPr>
              <w:t>), 10 (</w:t>
            </w:r>
            <w:r w:rsidR="006170BE" w:rsidRPr="007307F4">
              <w:rPr>
                <w:rFonts w:ascii="Cambria" w:hAnsi="Cambria" w:cstheme="majorBidi"/>
                <w:bCs/>
                <w:lang w:val="en-US" w:eastAsia="en-US"/>
              </w:rPr>
              <w:t>right to compensation</w:t>
            </w:r>
            <w:r w:rsidRPr="007307F4">
              <w:rPr>
                <w:rFonts w:ascii="Cambria" w:hAnsi="Cambria" w:cstheme="majorBidi"/>
                <w:bCs/>
                <w:lang w:val="en-US" w:eastAsia="en-US"/>
              </w:rPr>
              <w:t>), 17 (</w:t>
            </w:r>
            <w:r w:rsidR="006170BE" w:rsidRPr="007307F4">
              <w:rPr>
                <w:rFonts w:ascii="Cambria" w:hAnsi="Cambria" w:cstheme="majorBidi"/>
                <w:bCs/>
                <w:lang w:val="en-US" w:eastAsia="en-US"/>
              </w:rPr>
              <w:t>protection of the family</w:t>
            </w:r>
            <w:r w:rsidRPr="007307F4">
              <w:rPr>
                <w:rFonts w:ascii="Cambria" w:hAnsi="Cambria" w:cstheme="majorBidi"/>
                <w:bCs/>
                <w:lang w:val="en-US" w:eastAsia="en-US"/>
              </w:rPr>
              <w:t>), 21 (</w:t>
            </w:r>
            <w:r w:rsidR="006170BE" w:rsidRPr="007307F4">
              <w:rPr>
                <w:rFonts w:ascii="Cambria" w:hAnsi="Cambria" w:cstheme="majorBidi"/>
                <w:bCs/>
                <w:lang w:val="en-US" w:eastAsia="en-US"/>
              </w:rPr>
              <w:t>right to private property</w:t>
            </w:r>
            <w:r w:rsidRPr="007307F4">
              <w:rPr>
                <w:rFonts w:ascii="Cambria" w:hAnsi="Cambria" w:cstheme="majorBidi"/>
                <w:bCs/>
                <w:lang w:val="en-US" w:eastAsia="en-US"/>
              </w:rPr>
              <w:t>), 24 (</w:t>
            </w:r>
            <w:r w:rsidR="006170BE" w:rsidRPr="007307F4">
              <w:rPr>
                <w:rFonts w:ascii="Cambria" w:hAnsi="Cambria" w:cstheme="majorBidi"/>
                <w:bCs/>
                <w:lang w:val="en-US" w:eastAsia="en-US"/>
              </w:rPr>
              <w:t>equality before the law</w:t>
            </w:r>
            <w:r w:rsidRPr="007307F4">
              <w:rPr>
                <w:rFonts w:ascii="Cambria" w:hAnsi="Cambria" w:cstheme="majorBidi"/>
                <w:bCs/>
                <w:lang w:val="en-US" w:eastAsia="en-US"/>
              </w:rPr>
              <w:t>), 25 (judicial</w:t>
            </w:r>
            <w:r w:rsidR="006170BE" w:rsidRPr="007307F4">
              <w:rPr>
                <w:rFonts w:ascii="Cambria" w:hAnsi="Cambria" w:cstheme="majorBidi"/>
                <w:bCs/>
                <w:lang w:val="en-US" w:eastAsia="en-US"/>
              </w:rPr>
              <w:t xml:space="preserve"> protection</w:t>
            </w:r>
            <w:r w:rsidRPr="007307F4">
              <w:rPr>
                <w:rFonts w:ascii="Cambria" w:hAnsi="Cambria" w:cstheme="majorBidi"/>
                <w:bCs/>
                <w:lang w:val="en-US" w:eastAsia="en-US"/>
              </w:rPr>
              <w:t xml:space="preserve">) </w:t>
            </w:r>
            <w:r w:rsidR="006170BE" w:rsidRPr="007307F4">
              <w:rPr>
                <w:rFonts w:ascii="Cambria" w:hAnsi="Cambria" w:cstheme="majorBidi"/>
                <w:bCs/>
                <w:lang w:val="en-US" w:eastAsia="en-US"/>
              </w:rPr>
              <w:t xml:space="preserve">and </w:t>
            </w:r>
            <w:r w:rsidRPr="007307F4">
              <w:rPr>
                <w:rFonts w:ascii="Cambria" w:hAnsi="Cambria" w:cstheme="majorBidi"/>
                <w:bCs/>
                <w:lang w:val="en-US" w:eastAsia="en-US"/>
              </w:rPr>
              <w:t>26 (econ</w:t>
            </w:r>
            <w:r w:rsidR="006170BE" w:rsidRPr="007307F4">
              <w:rPr>
                <w:rFonts w:ascii="Cambria" w:hAnsi="Cambria" w:cstheme="majorBidi"/>
                <w:bCs/>
                <w:lang w:val="en-US" w:eastAsia="en-US"/>
              </w:rPr>
              <w:t>o</w:t>
            </w:r>
            <w:r w:rsidRPr="007307F4">
              <w:rPr>
                <w:rFonts w:ascii="Cambria" w:hAnsi="Cambria" w:cstheme="majorBidi"/>
                <w:bCs/>
                <w:lang w:val="en-US" w:eastAsia="en-US"/>
              </w:rPr>
              <w:t>mics, social</w:t>
            </w:r>
            <w:r w:rsidR="006170BE" w:rsidRPr="007307F4">
              <w:rPr>
                <w:rFonts w:ascii="Cambria" w:hAnsi="Cambria" w:cstheme="majorBidi"/>
                <w:bCs/>
                <w:lang w:val="en-US" w:eastAsia="en-US"/>
              </w:rPr>
              <w:t xml:space="preserve"> and cultural rights</w:t>
            </w:r>
            <w:r w:rsidRPr="007307F4">
              <w:rPr>
                <w:rFonts w:ascii="Cambria" w:hAnsi="Cambria" w:cstheme="majorBidi"/>
                <w:bCs/>
                <w:lang w:val="en-US" w:eastAsia="en-US"/>
              </w:rPr>
              <w:t xml:space="preserve">) </w:t>
            </w:r>
            <w:r w:rsidR="006170BE" w:rsidRPr="007307F4">
              <w:rPr>
                <w:rFonts w:ascii="Cambria" w:hAnsi="Cambria" w:cstheme="majorBidi"/>
                <w:bCs/>
                <w:lang w:val="en-US" w:eastAsia="en-US"/>
              </w:rPr>
              <w:t xml:space="preserve">of the </w:t>
            </w:r>
            <w:r w:rsidRPr="007307F4">
              <w:rPr>
                <w:rFonts w:ascii="Cambria" w:hAnsi="Cambria" w:cstheme="majorBidi"/>
                <w:bCs/>
                <w:lang w:val="en-US" w:eastAsia="en-US"/>
              </w:rPr>
              <w:t>American</w:t>
            </w:r>
            <w:r w:rsidR="006170BE" w:rsidRPr="007307F4">
              <w:rPr>
                <w:rFonts w:ascii="Cambria" w:hAnsi="Cambria" w:cstheme="majorBidi"/>
                <w:bCs/>
                <w:lang w:val="en-US" w:eastAsia="en-US"/>
              </w:rPr>
              <w:t xml:space="preserve"> Convention on Human Rights</w:t>
            </w:r>
            <w:r w:rsidR="00C422F9" w:rsidRPr="007307F4">
              <w:rPr>
                <w:rStyle w:val="FootnoteReference"/>
                <w:rFonts w:ascii="Cambria" w:hAnsi="Cambria"/>
                <w:bCs/>
                <w:lang w:val="en-US" w:eastAsia="en-US"/>
              </w:rPr>
              <w:footnoteReference w:id="2"/>
            </w:r>
            <w:r w:rsidR="006170BE" w:rsidRPr="007307F4">
              <w:rPr>
                <w:rFonts w:ascii="Cambria" w:hAnsi="Cambria" w:cstheme="majorBidi"/>
                <w:bCs/>
                <w:lang w:val="en-US" w:eastAsia="en-US"/>
              </w:rPr>
              <w:t>, in relation to its Article 1</w:t>
            </w:r>
            <w:r w:rsidR="00BC49D4" w:rsidRPr="007307F4">
              <w:rPr>
                <w:rFonts w:ascii="Cambria" w:hAnsi="Cambria" w:cstheme="majorBidi"/>
                <w:bCs/>
                <w:lang w:val="en-US" w:eastAsia="en-US"/>
              </w:rPr>
              <w:t xml:space="preserve"> (1) </w:t>
            </w:r>
            <w:r w:rsidR="006170BE" w:rsidRPr="007307F4">
              <w:rPr>
                <w:rFonts w:ascii="Cambria" w:hAnsi="Cambria" w:cstheme="majorBidi"/>
                <w:bCs/>
                <w:lang w:val="en-US" w:eastAsia="en-US"/>
              </w:rPr>
              <w:t xml:space="preserve">(obligation to respect rights) </w:t>
            </w:r>
          </w:p>
        </w:tc>
      </w:tr>
    </w:tbl>
    <w:p w14:paraId="6945296A" w14:textId="77777777" w:rsidR="000542A2" w:rsidRPr="007307F4" w:rsidRDefault="000542A2" w:rsidP="000542A2">
      <w:pPr>
        <w:pBdr>
          <w:top w:val="nil"/>
          <w:left w:val="nil"/>
          <w:bottom w:val="nil"/>
          <w:right w:val="nil"/>
          <w:between w:val="nil"/>
          <w:bar w:val="nil"/>
        </w:pBdr>
        <w:spacing w:before="240" w:after="240" w:line="240" w:lineRule="auto"/>
        <w:ind w:firstLine="720"/>
        <w:jc w:val="both"/>
        <w:rPr>
          <w:rFonts w:ascii="Cambria" w:eastAsia="Arial Unicode MS" w:hAnsi="Cambria" w:cstheme="majorBidi"/>
          <w:b/>
          <w:bCs/>
          <w:kern w:val="0"/>
          <w:sz w:val="20"/>
          <w:szCs w:val="20"/>
          <w:bdr w:val="nil"/>
          <w:lang w:eastAsia="en-US"/>
        </w:rPr>
      </w:pPr>
      <w:r w:rsidRPr="007307F4">
        <w:rPr>
          <w:rFonts w:ascii="Cambria" w:eastAsia="Arial Unicode MS" w:hAnsi="Cambria" w:cstheme="majorBidi"/>
          <w:b/>
          <w:bCs/>
          <w:kern w:val="0"/>
          <w:sz w:val="20"/>
          <w:szCs w:val="20"/>
          <w:bdr w:val="nil"/>
          <w:lang w:eastAsia="en-US"/>
        </w:rPr>
        <w:t>II.</w:t>
      </w:r>
      <w:r w:rsidRPr="007307F4">
        <w:rPr>
          <w:rFonts w:ascii="Cambria" w:eastAsia="Arial Unicode MS" w:hAnsi="Cambria" w:cstheme="majorBidi"/>
          <w:b/>
          <w:bCs/>
          <w:kern w:val="0"/>
          <w:sz w:val="20"/>
          <w:szCs w:val="20"/>
          <w:bdr w:val="nil"/>
          <w:lang w:eastAsia="en-US"/>
        </w:rPr>
        <w:tab/>
        <w:t>PROCEEDINGS BEFORE THE IACHR</w:t>
      </w:r>
      <w:r w:rsidRPr="007307F4">
        <w:rPr>
          <w:rFonts w:ascii="Cambria" w:eastAsia="Arial Unicode MS" w:hAnsi="Cambria" w:cstheme="majorBidi"/>
          <w:b/>
          <w:kern w:val="0"/>
          <w:sz w:val="20"/>
          <w:szCs w:val="20"/>
          <w:bdr w:val="nil"/>
          <w:vertAlign w:val="superscript"/>
          <w:lang w:eastAsia="en-U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0542A2" w:rsidRPr="007307F4" w14:paraId="300A5BC3" w14:textId="77777777" w:rsidTr="00CC5FEC">
        <w:tc>
          <w:tcPr>
            <w:tcW w:w="3690" w:type="dxa"/>
            <w:tcBorders>
              <w:top w:val="single" w:sz="6" w:space="0" w:color="auto"/>
              <w:bottom w:val="single" w:sz="6" w:space="0" w:color="auto"/>
            </w:tcBorders>
            <w:shd w:val="clear" w:color="auto" w:fill="67AE3C"/>
            <w:vAlign w:val="center"/>
          </w:tcPr>
          <w:p w14:paraId="1D52AFBC" w14:textId="77777777" w:rsidR="000542A2" w:rsidRPr="007307F4" w:rsidRDefault="000542A2" w:rsidP="000542A2">
            <w:pPr>
              <w:jc w:val="center"/>
              <w:rPr>
                <w:rFonts w:ascii="Cambria" w:hAnsi="Cambria" w:cstheme="majorBidi"/>
                <w:b/>
                <w:bCs/>
                <w:color w:val="FFFFFF" w:themeColor="background1"/>
                <w:lang w:val="en-US" w:eastAsia="en-US"/>
              </w:rPr>
            </w:pPr>
            <w:r w:rsidRPr="007307F4">
              <w:rPr>
                <w:rFonts w:ascii="Cambria" w:hAnsi="Cambria" w:cstheme="majorBidi"/>
                <w:b/>
                <w:bCs/>
                <w:color w:val="FFFFFF" w:themeColor="background1"/>
                <w:lang w:val="en-US" w:eastAsia="en-US"/>
              </w:rPr>
              <w:t>Filing of the petition:</w:t>
            </w:r>
          </w:p>
        </w:tc>
        <w:tc>
          <w:tcPr>
            <w:tcW w:w="5670" w:type="dxa"/>
            <w:vAlign w:val="center"/>
          </w:tcPr>
          <w:p w14:paraId="082C8C2D" w14:textId="2356E4E3" w:rsidR="000542A2" w:rsidRPr="007307F4" w:rsidRDefault="005960DC" w:rsidP="000542A2">
            <w:pPr>
              <w:jc w:val="both"/>
              <w:rPr>
                <w:rFonts w:ascii="Cambria" w:hAnsi="Cambria" w:cstheme="majorBidi"/>
                <w:bCs/>
                <w:lang w:val="en-US" w:eastAsia="en-US"/>
              </w:rPr>
            </w:pPr>
            <w:r w:rsidRPr="007307F4">
              <w:rPr>
                <w:rFonts w:ascii="Cambria" w:hAnsi="Cambria" w:cstheme="majorBidi"/>
                <w:bCs/>
                <w:lang w:val="en-US" w:eastAsia="en-US"/>
              </w:rPr>
              <w:t>September 3, 2014</w:t>
            </w:r>
            <w:r w:rsidRPr="007307F4">
              <w:rPr>
                <w:rStyle w:val="FootnoteReference"/>
                <w:rFonts w:ascii="Cambria" w:hAnsi="Cambria"/>
                <w:bCs/>
                <w:lang w:val="en-US" w:eastAsia="en-US"/>
              </w:rPr>
              <w:footnoteReference w:id="4"/>
            </w:r>
            <w:r w:rsidR="000542A2" w:rsidRPr="007307F4">
              <w:rPr>
                <w:rFonts w:ascii="Cambria" w:hAnsi="Cambria" w:cstheme="majorBidi"/>
                <w:bCs/>
                <w:lang w:val="en-US" w:eastAsia="en-US"/>
              </w:rPr>
              <w:t xml:space="preserve"> </w:t>
            </w:r>
          </w:p>
        </w:tc>
      </w:tr>
      <w:tr w:rsidR="000542A2" w:rsidRPr="007307F4" w14:paraId="4188DE70" w14:textId="77777777" w:rsidTr="00CC5FEC">
        <w:tc>
          <w:tcPr>
            <w:tcW w:w="3690" w:type="dxa"/>
            <w:tcBorders>
              <w:top w:val="single" w:sz="6" w:space="0" w:color="auto"/>
              <w:bottom w:val="single" w:sz="6" w:space="0" w:color="auto"/>
            </w:tcBorders>
            <w:shd w:val="clear" w:color="auto" w:fill="67AE3C"/>
            <w:vAlign w:val="center"/>
          </w:tcPr>
          <w:p w14:paraId="186F1146" w14:textId="77777777" w:rsidR="000542A2" w:rsidRPr="007307F4" w:rsidRDefault="000542A2" w:rsidP="000542A2">
            <w:pPr>
              <w:jc w:val="center"/>
              <w:rPr>
                <w:rFonts w:ascii="Cambria" w:hAnsi="Cambria" w:cstheme="majorBidi"/>
                <w:b/>
                <w:bCs/>
                <w:color w:val="FFFFFF" w:themeColor="background1"/>
                <w:lang w:val="en-US" w:eastAsia="en-US"/>
              </w:rPr>
            </w:pPr>
            <w:r w:rsidRPr="007307F4">
              <w:rPr>
                <w:rFonts w:ascii="Cambria" w:hAnsi="Cambria" w:cstheme="majorBidi"/>
                <w:b/>
                <w:color w:val="FFFFFF" w:themeColor="background1"/>
                <w:lang w:val="en-US" w:eastAsia="en-US"/>
              </w:rPr>
              <w:t>Notification of the petition to the State:</w:t>
            </w:r>
          </w:p>
        </w:tc>
        <w:tc>
          <w:tcPr>
            <w:tcW w:w="5670" w:type="dxa"/>
            <w:vAlign w:val="center"/>
          </w:tcPr>
          <w:p w14:paraId="77F65E34" w14:textId="1690C008" w:rsidR="000542A2" w:rsidRPr="007307F4" w:rsidRDefault="00EA2C7A" w:rsidP="000542A2">
            <w:pPr>
              <w:jc w:val="both"/>
              <w:rPr>
                <w:rFonts w:ascii="Cambria" w:hAnsi="Cambria" w:cstheme="majorBidi"/>
                <w:bCs/>
                <w:lang w:val="en-US" w:eastAsia="en-US"/>
              </w:rPr>
            </w:pPr>
            <w:r w:rsidRPr="007307F4">
              <w:rPr>
                <w:rFonts w:ascii="Cambria" w:hAnsi="Cambria" w:cstheme="majorBidi"/>
                <w:bCs/>
                <w:lang w:val="en-US" w:eastAsia="en-US"/>
              </w:rPr>
              <w:t xml:space="preserve">June 10, </w:t>
            </w:r>
            <w:r w:rsidR="000542A2" w:rsidRPr="007307F4">
              <w:rPr>
                <w:rFonts w:ascii="Cambria" w:hAnsi="Cambria" w:cstheme="majorBidi"/>
                <w:bCs/>
                <w:lang w:val="en-US" w:eastAsia="en-US"/>
              </w:rPr>
              <w:t xml:space="preserve">2019 </w:t>
            </w:r>
          </w:p>
        </w:tc>
      </w:tr>
      <w:tr w:rsidR="000542A2" w:rsidRPr="007307F4" w14:paraId="184F825D" w14:textId="77777777" w:rsidTr="00CC5FEC">
        <w:trPr>
          <w:trHeight w:val="264"/>
        </w:trPr>
        <w:tc>
          <w:tcPr>
            <w:tcW w:w="3690" w:type="dxa"/>
            <w:tcBorders>
              <w:top w:val="single" w:sz="6" w:space="0" w:color="auto"/>
              <w:bottom w:val="single" w:sz="6" w:space="0" w:color="auto"/>
            </w:tcBorders>
            <w:shd w:val="clear" w:color="auto" w:fill="67AE3C"/>
            <w:vAlign w:val="center"/>
          </w:tcPr>
          <w:p w14:paraId="3ACA37BE" w14:textId="77777777" w:rsidR="000542A2" w:rsidRPr="007307F4" w:rsidRDefault="000542A2" w:rsidP="000542A2">
            <w:pPr>
              <w:jc w:val="center"/>
              <w:rPr>
                <w:rFonts w:ascii="Cambria" w:hAnsi="Cambria" w:cstheme="majorBidi"/>
                <w:b/>
                <w:bCs/>
                <w:color w:val="FFFFFF" w:themeColor="background1"/>
                <w:lang w:val="en-US" w:eastAsia="en-US"/>
              </w:rPr>
            </w:pPr>
            <w:r w:rsidRPr="007307F4">
              <w:rPr>
                <w:rFonts w:ascii="Cambria" w:hAnsi="Cambria" w:cstheme="majorBidi"/>
                <w:b/>
                <w:color w:val="FFFFFF" w:themeColor="background1"/>
                <w:lang w:val="en-US" w:eastAsia="en-US"/>
              </w:rPr>
              <w:t>State’s first response:</w:t>
            </w:r>
          </w:p>
        </w:tc>
        <w:tc>
          <w:tcPr>
            <w:tcW w:w="5670" w:type="dxa"/>
            <w:vAlign w:val="center"/>
          </w:tcPr>
          <w:p w14:paraId="7AC951AE" w14:textId="4162EA28" w:rsidR="000542A2" w:rsidRPr="007307F4" w:rsidRDefault="00EA2C7A" w:rsidP="000542A2">
            <w:pPr>
              <w:jc w:val="both"/>
              <w:rPr>
                <w:rFonts w:ascii="Cambria" w:hAnsi="Cambria" w:cstheme="majorBidi"/>
                <w:bCs/>
                <w:lang w:val="en-US" w:eastAsia="en-US"/>
              </w:rPr>
            </w:pPr>
            <w:r w:rsidRPr="007307F4">
              <w:rPr>
                <w:rFonts w:ascii="Cambria" w:hAnsi="Cambria" w:cstheme="majorBidi"/>
                <w:bCs/>
                <w:lang w:val="en-US" w:eastAsia="en-US"/>
              </w:rPr>
              <w:t xml:space="preserve">November 8, </w:t>
            </w:r>
            <w:r w:rsidR="000542A2" w:rsidRPr="007307F4">
              <w:rPr>
                <w:rFonts w:ascii="Cambria" w:hAnsi="Cambria" w:cstheme="majorBidi"/>
                <w:bCs/>
                <w:lang w:val="en-US" w:eastAsia="en-US"/>
              </w:rPr>
              <w:t>2019</w:t>
            </w:r>
          </w:p>
        </w:tc>
      </w:tr>
      <w:tr w:rsidR="000542A2" w:rsidRPr="007307F4" w14:paraId="7F721CD4" w14:textId="77777777" w:rsidTr="00CC5FEC">
        <w:tc>
          <w:tcPr>
            <w:tcW w:w="3690" w:type="dxa"/>
            <w:tcBorders>
              <w:top w:val="single" w:sz="6" w:space="0" w:color="auto"/>
              <w:bottom w:val="single" w:sz="6" w:space="0" w:color="auto"/>
            </w:tcBorders>
            <w:shd w:val="clear" w:color="auto" w:fill="67AE3C"/>
            <w:vAlign w:val="center"/>
          </w:tcPr>
          <w:p w14:paraId="3D48F0E5" w14:textId="77777777" w:rsidR="000542A2" w:rsidRPr="007307F4" w:rsidRDefault="000542A2" w:rsidP="000542A2">
            <w:pPr>
              <w:jc w:val="center"/>
              <w:rPr>
                <w:rFonts w:ascii="Cambria" w:hAnsi="Cambria" w:cstheme="majorBidi"/>
                <w:b/>
                <w:bCs/>
                <w:color w:val="FFFFFF" w:themeColor="background1"/>
                <w:lang w:val="en-US" w:eastAsia="en-US"/>
              </w:rPr>
            </w:pPr>
            <w:r w:rsidRPr="007307F4">
              <w:rPr>
                <w:rFonts w:ascii="Cambria" w:hAnsi="Cambria" w:cstheme="majorBidi"/>
                <w:b/>
                <w:bCs/>
                <w:color w:val="FFFFFF" w:themeColor="background1"/>
                <w:lang w:val="en-US" w:eastAsia="en-US"/>
              </w:rPr>
              <w:t>Additional observations from the petitioner:</w:t>
            </w:r>
          </w:p>
        </w:tc>
        <w:tc>
          <w:tcPr>
            <w:tcW w:w="5670" w:type="dxa"/>
            <w:vAlign w:val="center"/>
          </w:tcPr>
          <w:p w14:paraId="324E4321" w14:textId="566478DA" w:rsidR="000542A2" w:rsidRPr="007307F4" w:rsidRDefault="0086518B" w:rsidP="000542A2">
            <w:pPr>
              <w:jc w:val="both"/>
              <w:rPr>
                <w:rFonts w:ascii="Cambria" w:hAnsi="Cambria" w:cstheme="majorBidi"/>
                <w:bCs/>
                <w:lang w:val="en-US" w:eastAsia="en-US"/>
              </w:rPr>
            </w:pPr>
            <w:r w:rsidRPr="007307F4">
              <w:rPr>
                <w:rFonts w:ascii="Cambria" w:hAnsi="Cambria" w:cstheme="majorBidi"/>
                <w:bCs/>
                <w:lang w:val="en-US" w:eastAsia="en-US"/>
              </w:rPr>
              <w:t xml:space="preserve">February 16, 2021 </w:t>
            </w:r>
          </w:p>
        </w:tc>
      </w:tr>
      <w:tr w:rsidR="000542A2" w:rsidRPr="007307F4" w14:paraId="1B863943" w14:textId="77777777" w:rsidTr="00CC5FEC">
        <w:tc>
          <w:tcPr>
            <w:tcW w:w="3690" w:type="dxa"/>
            <w:tcBorders>
              <w:top w:val="single" w:sz="6" w:space="0" w:color="auto"/>
              <w:bottom w:val="single" w:sz="6" w:space="0" w:color="auto"/>
            </w:tcBorders>
            <w:shd w:val="clear" w:color="auto" w:fill="67AE3C"/>
            <w:vAlign w:val="center"/>
          </w:tcPr>
          <w:p w14:paraId="57C8FB08" w14:textId="3F5CBE77" w:rsidR="000542A2" w:rsidRPr="007307F4" w:rsidRDefault="004859F3" w:rsidP="000542A2">
            <w:pPr>
              <w:jc w:val="center"/>
              <w:rPr>
                <w:rFonts w:ascii="Cambria" w:hAnsi="Cambria" w:cstheme="majorBidi"/>
                <w:b/>
                <w:bCs/>
                <w:color w:val="FFFFFF" w:themeColor="background1"/>
                <w:lang w:val="en-US" w:eastAsia="en-US"/>
              </w:rPr>
            </w:pPr>
            <w:r w:rsidRPr="007307F4">
              <w:rPr>
                <w:rFonts w:ascii="Cambria" w:hAnsi="Cambria" w:cstheme="majorBidi"/>
                <w:b/>
                <w:bCs/>
                <w:color w:val="FFFFFF" w:themeColor="background1"/>
                <w:lang w:val="en-US" w:eastAsia="en-US"/>
              </w:rPr>
              <w:t>Warning of possible archiving</w:t>
            </w:r>
            <w:r w:rsidR="000542A2" w:rsidRPr="007307F4">
              <w:rPr>
                <w:rFonts w:ascii="Cambria" w:hAnsi="Cambria" w:cstheme="majorBidi"/>
                <w:b/>
                <w:bCs/>
                <w:color w:val="FFFFFF" w:themeColor="background1"/>
                <w:lang w:val="en-US" w:eastAsia="en-US"/>
              </w:rPr>
              <w:t>:</w:t>
            </w:r>
          </w:p>
        </w:tc>
        <w:tc>
          <w:tcPr>
            <w:tcW w:w="5670" w:type="dxa"/>
            <w:vAlign w:val="center"/>
          </w:tcPr>
          <w:p w14:paraId="54535239" w14:textId="4044474D" w:rsidR="000542A2" w:rsidRPr="007307F4" w:rsidRDefault="004859F3" w:rsidP="000542A2">
            <w:pPr>
              <w:jc w:val="both"/>
              <w:rPr>
                <w:rFonts w:ascii="Cambria" w:hAnsi="Cambria" w:cstheme="majorBidi"/>
                <w:bCs/>
                <w:lang w:val="en-US" w:eastAsia="en-US"/>
              </w:rPr>
            </w:pPr>
            <w:r w:rsidRPr="007307F4">
              <w:rPr>
                <w:rFonts w:ascii="Cambria" w:hAnsi="Cambria" w:cstheme="majorBidi"/>
                <w:bCs/>
                <w:lang w:val="en-US" w:eastAsia="en-US"/>
              </w:rPr>
              <w:t xml:space="preserve">August 17, 2018 </w:t>
            </w:r>
          </w:p>
        </w:tc>
      </w:tr>
      <w:tr w:rsidR="004859F3" w:rsidRPr="007307F4" w14:paraId="23090037" w14:textId="77777777" w:rsidTr="00CC5FEC">
        <w:tc>
          <w:tcPr>
            <w:tcW w:w="3690" w:type="dxa"/>
            <w:tcBorders>
              <w:top w:val="single" w:sz="6" w:space="0" w:color="auto"/>
              <w:bottom w:val="single" w:sz="6" w:space="0" w:color="auto"/>
            </w:tcBorders>
            <w:shd w:val="clear" w:color="auto" w:fill="67AE3C"/>
            <w:vAlign w:val="center"/>
          </w:tcPr>
          <w:p w14:paraId="6CDACD0F" w14:textId="48FFABC2" w:rsidR="004859F3" w:rsidRPr="007307F4" w:rsidRDefault="004859F3" w:rsidP="000542A2">
            <w:pPr>
              <w:jc w:val="center"/>
              <w:rPr>
                <w:rFonts w:ascii="Cambria" w:hAnsi="Cambria" w:cstheme="majorBidi"/>
                <w:b/>
                <w:bCs/>
                <w:color w:val="FFFFFF" w:themeColor="background1"/>
                <w:lang w:val="en-US" w:eastAsia="en-US"/>
              </w:rPr>
            </w:pPr>
            <w:r w:rsidRPr="007307F4">
              <w:rPr>
                <w:rFonts w:ascii="Cambria" w:hAnsi="Cambria" w:cstheme="majorBidi"/>
                <w:b/>
                <w:bCs/>
                <w:color w:val="FFFFFF" w:themeColor="background1"/>
                <w:lang w:val="en-US" w:eastAsia="en-US"/>
              </w:rPr>
              <w:t xml:space="preserve">Petitioner’s response to warning of </w:t>
            </w:r>
            <w:r w:rsidR="005B2690" w:rsidRPr="007307F4">
              <w:rPr>
                <w:rFonts w:ascii="Cambria" w:hAnsi="Cambria" w:cstheme="majorBidi"/>
                <w:b/>
                <w:bCs/>
                <w:color w:val="FFFFFF" w:themeColor="background1"/>
                <w:lang w:val="en-US" w:eastAsia="en-US"/>
              </w:rPr>
              <w:t>possible</w:t>
            </w:r>
            <w:r w:rsidRPr="007307F4">
              <w:rPr>
                <w:rFonts w:ascii="Cambria" w:hAnsi="Cambria" w:cstheme="majorBidi"/>
                <w:b/>
                <w:bCs/>
                <w:color w:val="FFFFFF" w:themeColor="background1"/>
                <w:lang w:val="en-US" w:eastAsia="en-US"/>
              </w:rPr>
              <w:t xml:space="preserve"> archiving</w:t>
            </w:r>
          </w:p>
        </w:tc>
        <w:tc>
          <w:tcPr>
            <w:tcW w:w="5670" w:type="dxa"/>
            <w:vAlign w:val="center"/>
          </w:tcPr>
          <w:p w14:paraId="20F99D01" w14:textId="7A83C3F2" w:rsidR="004859F3" w:rsidRPr="007307F4" w:rsidRDefault="00426E49" w:rsidP="000542A2">
            <w:pPr>
              <w:jc w:val="both"/>
              <w:rPr>
                <w:rFonts w:ascii="Cambria" w:hAnsi="Cambria" w:cstheme="majorBidi"/>
                <w:bCs/>
                <w:lang w:val="en-US" w:eastAsia="en-US"/>
              </w:rPr>
            </w:pPr>
            <w:r w:rsidRPr="007307F4">
              <w:rPr>
                <w:rFonts w:ascii="Cambria" w:hAnsi="Cambria" w:cstheme="majorBidi"/>
                <w:bCs/>
                <w:lang w:val="en-US" w:eastAsia="en-US"/>
              </w:rPr>
              <w:t>August 2</w:t>
            </w:r>
            <w:r w:rsidR="002E3B83" w:rsidRPr="007307F4">
              <w:rPr>
                <w:rFonts w:ascii="Cambria" w:hAnsi="Cambria" w:cstheme="majorBidi"/>
                <w:bCs/>
                <w:lang w:val="en-US" w:eastAsia="en-US"/>
              </w:rPr>
              <w:t>1</w:t>
            </w:r>
            <w:r w:rsidRPr="007307F4">
              <w:rPr>
                <w:rFonts w:ascii="Cambria" w:hAnsi="Cambria" w:cstheme="majorBidi"/>
                <w:bCs/>
                <w:lang w:val="en-US" w:eastAsia="en-US"/>
              </w:rPr>
              <w:t>, 2018</w:t>
            </w:r>
          </w:p>
        </w:tc>
      </w:tr>
    </w:tbl>
    <w:p w14:paraId="074F900B" w14:textId="77777777" w:rsidR="000542A2" w:rsidRPr="007307F4" w:rsidRDefault="000542A2" w:rsidP="000542A2">
      <w:pPr>
        <w:pBdr>
          <w:top w:val="nil"/>
          <w:left w:val="nil"/>
          <w:bottom w:val="nil"/>
          <w:right w:val="nil"/>
          <w:between w:val="nil"/>
          <w:bar w:val="nil"/>
        </w:pBdr>
        <w:spacing w:before="240" w:after="240" w:line="240" w:lineRule="auto"/>
        <w:ind w:firstLine="720"/>
        <w:jc w:val="both"/>
        <w:rPr>
          <w:rFonts w:ascii="Cambria" w:eastAsia="Arial Unicode MS" w:hAnsi="Cambria" w:cstheme="majorBidi"/>
          <w:b/>
          <w:bCs/>
          <w:kern w:val="0"/>
          <w:sz w:val="20"/>
          <w:szCs w:val="20"/>
          <w:bdr w:val="nil"/>
          <w:lang w:eastAsia="en-US"/>
        </w:rPr>
      </w:pPr>
      <w:r w:rsidRPr="007307F4">
        <w:rPr>
          <w:rFonts w:ascii="Cambria" w:eastAsia="Arial Unicode MS" w:hAnsi="Cambria" w:cstheme="majorBidi"/>
          <w:b/>
          <w:bCs/>
          <w:kern w:val="0"/>
          <w:sz w:val="20"/>
          <w:szCs w:val="20"/>
          <w:bdr w:val="nil"/>
          <w:lang w:eastAsia="en-US"/>
        </w:rPr>
        <w:t xml:space="preserve">III. </w:t>
      </w:r>
      <w:r w:rsidRPr="007307F4">
        <w:rPr>
          <w:rFonts w:ascii="Cambria" w:eastAsia="Arial Unicode MS" w:hAnsi="Cambria" w:cstheme="majorBidi"/>
          <w:b/>
          <w:bCs/>
          <w:kern w:val="0"/>
          <w:sz w:val="20"/>
          <w:szCs w:val="20"/>
          <w:bdr w:val="nil"/>
          <w:lang w:eastAsia="en-US"/>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0542A2" w:rsidRPr="007307F4" w14:paraId="00F2F0C4" w14:textId="77777777" w:rsidTr="00CC5FEC">
        <w:trPr>
          <w:cantSplit/>
        </w:trPr>
        <w:tc>
          <w:tcPr>
            <w:tcW w:w="3690" w:type="dxa"/>
            <w:tcBorders>
              <w:top w:val="single" w:sz="4" w:space="0" w:color="auto"/>
              <w:bottom w:val="single" w:sz="6" w:space="0" w:color="auto"/>
            </w:tcBorders>
            <w:shd w:val="clear" w:color="auto" w:fill="67AE3C"/>
            <w:vAlign w:val="center"/>
          </w:tcPr>
          <w:p w14:paraId="12559B2A" w14:textId="77777777" w:rsidR="000542A2" w:rsidRPr="007307F4" w:rsidRDefault="000542A2" w:rsidP="000542A2">
            <w:pPr>
              <w:jc w:val="center"/>
              <w:rPr>
                <w:rFonts w:ascii="Cambria" w:hAnsi="Cambria" w:cstheme="majorBidi"/>
                <w:b/>
                <w:bCs/>
                <w:i/>
                <w:color w:val="FFFFFF" w:themeColor="background1"/>
                <w:lang w:val="en-US" w:eastAsia="en-US"/>
              </w:rPr>
            </w:pPr>
            <w:r w:rsidRPr="007307F4">
              <w:rPr>
                <w:rFonts w:ascii="Cambria" w:hAnsi="Cambria" w:cstheme="majorBidi"/>
                <w:b/>
                <w:bCs/>
                <w:color w:val="FFFFFF" w:themeColor="background1"/>
                <w:lang w:val="en-US" w:eastAsia="en-US"/>
              </w:rPr>
              <w:t>Competence</w:t>
            </w:r>
            <w:r w:rsidRPr="007307F4">
              <w:rPr>
                <w:rFonts w:ascii="Cambria" w:hAnsi="Cambria" w:cstheme="majorBidi"/>
                <w:b/>
                <w:bCs/>
                <w:i/>
                <w:color w:val="FFFFFF" w:themeColor="background1"/>
                <w:lang w:val="en-US" w:eastAsia="en-US"/>
              </w:rPr>
              <w:t xml:space="preserve"> Ratione personae:</w:t>
            </w:r>
          </w:p>
        </w:tc>
        <w:tc>
          <w:tcPr>
            <w:tcW w:w="5670" w:type="dxa"/>
            <w:vAlign w:val="center"/>
          </w:tcPr>
          <w:p w14:paraId="792E5154" w14:textId="77777777" w:rsidR="000542A2" w:rsidRPr="007307F4" w:rsidRDefault="000542A2" w:rsidP="000542A2">
            <w:pPr>
              <w:rPr>
                <w:rFonts w:ascii="Cambria" w:hAnsi="Cambria" w:cstheme="majorBidi"/>
                <w:bCs/>
                <w:lang w:val="en-US" w:eastAsia="en-US"/>
              </w:rPr>
            </w:pPr>
            <w:r w:rsidRPr="007307F4">
              <w:rPr>
                <w:rFonts w:ascii="Cambria" w:hAnsi="Cambria" w:cstheme="majorBidi"/>
                <w:bCs/>
                <w:lang w:val="en-US" w:eastAsia="en-US"/>
              </w:rPr>
              <w:t>Yes</w:t>
            </w:r>
          </w:p>
        </w:tc>
      </w:tr>
      <w:tr w:rsidR="000542A2" w:rsidRPr="007307F4" w14:paraId="009DAA2E" w14:textId="77777777" w:rsidTr="00CC5FEC">
        <w:trPr>
          <w:cantSplit/>
        </w:trPr>
        <w:tc>
          <w:tcPr>
            <w:tcW w:w="3690" w:type="dxa"/>
            <w:tcBorders>
              <w:top w:val="single" w:sz="6" w:space="0" w:color="auto"/>
              <w:bottom w:val="single" w:sz="6" w:space="0" w:color="auto"/>
            </w:tcBorders>
            <w:shd w:val="clear" w:color="auto" w:fill="67AE3C"/>
            <w:vAlign w:val="center"/>
          </w:tcPr>
          <w:p w14:paraId="030B3C64" w14:textId="77777777" w:rsidR="000542A2" w:rsidRPr="007307F4" w:rsidRDefault="000542A2" w:rsidP="000542A2">
            <w:pPr>
              <w:jc w:val="center"/>
              <w:rPr>
                <w:rFonts w:ascii="Cambria" w:hAnsi="Cambria" w:cstheme="majorBidi"/>
                <w:b/>
                <w:bCs/>
                <w:color w:val="FFFFFF" w:themeColor="background1"/>
                <w:lang w:val="en-US" w:eastAsia="en-US"/>
              </w:rPr>
            </w:pPr>
            <w:r w:rsidRPr="007307F4">
              <w:rPr>
                <w:rFonts w:ascii="Cambria" w:hAnsi="Cambria" w:cstheme="majorBidi"/>
                <w:b/>
                <w:bCs/>
                <w:color w:val="FFFFFF" w:themeColor="background1"/>
                <w:lang w:val="en-US" w:eastAsia="en-US"/>
              </w:rPr>
              <w:t>Competence</w:t>
            </w:r>
            <w:r w:rsidRPr="007307F4">
              <w:rPr>
                <w:rFonts w:ascii="Cambria" w:hAnsi="Cambria" w:cstheme="majorBidi"/>
                <w:b/>
                <w:bCs/>
                <w:i/>
                <w:color w:val="FFFFFF" w:themeColor="background1"/>
                <w:lang w:val="en-US" w:eastAsia="en-US"/>
              </w:rPr>
              <w:t xml:space="preserve"> Ratione loci</w:t>
            </w:r>
            <w:r w:rsidRPr="007307F4">
              <w:rPr>
                <w:rFonts w:ascii="Cambria" w:hAnsi="Cambria" w:cstheme="majorBidi"/>
                <w:b/>
                <w:bCs/>
                <w:color w:val="FFFFFF" w:themeColor="background1"/>
                <w:lang w:val="en-US" w:eastAsia="en-US"/>
              </w:rPr>
              <w:t>:</w:t>
            </w:r>
          </w:p>
        </w:tc>
        <w:tc>
          <w:tcPr>
            <w:tcW w:w="5670" w:type="dxa"/>
            <w:vAlign w:val="center"/>
          </w:tcPr>
          <w:p w14:paraId="611869BF" w14:textId="77777777" w:rsidR="000542A2" w:rsidRPr="007307F4" w:rsidRDefault="000542A2" w:rsidP="000542A2">
            <w:pPr>
              <w:rPr>
                <w:rFonts w:ascii="Cambria" w:hAnsi="Cambria" w:cstheme="majorBidi"/>
                <w:bCs/>
                <w:lang w:val="en-US" w:eastAsia="en-US"/>
              </w:rPr>
            </w:pPr>
            <w:r w:rsidRPr="007307F4">
              <w:rPr>
                <w:rFonts w:ascii="Cambria" w:hAnsi="Cambria" w:cstheme="majorBidi"/>
                <w:bCs/>
                <w:lang w:val="en-US" w:eastAsia="en-US"/>
              </w:rPr>
              <w:t>Yes</w:t>
            </w:r>
          </w:p>
        </w:tc>
      </w:tr>
      <w:tr w:rsidR="000542A2" w:rsidRPr="007307F4" w14:paraId="656ADF0C" w14:textId="77777777" w:rsidTr="00CC5FEC">
        <w:trPr>
          <w:cantSplit/>
        </w:trPr>
        <w:tc>
          <w:tcPr>
            <w:tcW w:w="3690" w:type="dxa"/>
            <w:tcBorders>
              <w:top w:val="single" w:sz="6" w:space="0" w:color="auto"/>
              <w:bottom w:val="single" w:sz="6" w:space="0" w:color="auto"/>
            </w:tcBorders>
            <w:shd w:val="clear" w:color="auto" w:fill="67AE3C"/>
            <w:vAlign w:val="center"/>
          </w:tcPr>
          <w:p w14:paraId="3B964D26" w14:textId="77777777" w:rsidR="000542A2" w:rsidRPr="007307F4" w:rsidRDefault="000542A2" w:rsidP="000542A2">
            <w:pPr>
              <w:jc w:val="center"/>
              <w:rPr>
                <w:rFonts w:ascii="Cambria" w:hAnsi="Cambria" w:cstheme="majorBidi"/>
                <w:b/>
                <w:bCs/>
                <w:color w:val="FFFFFF" w:themeColor="background1"/>
                <w:lang w:val="en-US" w:eastAsia="en-US"/>
              </w:rPr>
            </w:pPr>
            <w:r w:rsidRPr="007307F4">
              <w:rPr>
                <w:rFonts w:ascii="Cambria" w:hAnsi="Cambria" w:cstheme="majorBidi"/>
                <w:b/>
                <w:bCs/>
                <w:color w:val="FFFFFF" w:themeColor="background1"/>
                <w:lang w:val="en-US" w:eastAsia="en-US"/>
              </w:rPr>
              <w:t>Competence</w:t>
            </w:r>
            <w:r w:rsidRPr="007307F4">
              <w:rPr>
                <w:rFonts w:ascii="Cambria" w:hAnsi="Cambria" w:cstheme="majorBidi"/>
                <w:b/>
                <w:bCs/>
                <w:i/>
                <w:color w:val="FFFFFF" w:themeColor="background1"/>
                <w:lang w:val="en-US" w:eastAsia="en-US"/>
              </w:rPr>
              <w:t xml:space="preserve"> Ratione temporis</w:t>
            </w:r>
            <w:r w:rsidRPr="007307F4">
              <w:rPr>
                <w:rFonts w:ascii="Cambria" w:hAnsi="Cambria" w:cstheme="majorBidi"/>
                <w:b/>
                <w:bCs/>
                <w:color w:val="FFFFFF" w:themeColor="background1"/>
                <w:lang w:val="en-US" w:eastAsia="en-US"/>
              </w:rPr>
              <w:t>:</w:t>
            </w:r>
          </w:p>
        </w:tc>
        <w:tc>
          <w:tcPr>
            <w:tcW w:w="5670" w:type="dxa"/>
            <w:vAlign w:val="center"/>
          </w:tcPr>
          <w:p w14:paraId="101A8B9E" w14:textId="77777777" w:rsidR="000542A2" w:rsidRPr="007307F4" w:rsidRDefault="000542A2" w:rsidP="000542A2">
            <w:pPr>
              <w:rPr>
                <w:rFonts w:ascii="Cambria" w:hAnsi="Cambria" w:cstheme="majorBidi"/>
                <w:bCs/>
                <w:lang w:val="en-US" w:eastAsia="en-US"/>
              </w:rPr>
            </w:pPr>
            <w:r w:rsidRPr="007307F4">
              <w:rPr>
                <w:rFonts w:ascii="Cambria" w:hAnsi="Cambria" w:cstheme="majorBidi"/>
                <w:bCs/>
                <w:lang w:val="en-US" w:eastAsia="en-US"/>
              </w:rPr>
              <w:t>Yes</w:t>
            </w:r>
          </w:p>
        </w:tc>
      </w:tr>
      <w:tr w:rsidR="000542A2" w:rsidRPr="007307F4" w14:paraId="318328BF" w14:textId="77777777" w:rsidTr="00CC5FEC">
        <w:trPr>
          <w:cantSplit/>
        </w:trPr>
        <w:tc>
          <w:tcPr>
            <w:tcW w:w="3690" w:type="dxa"/>
            <w:tcBorders>
              <w:top w:val="single" w:sz="6" w:space="0" w:color="auto"/>
              <w:bottom w:val="single" w:sz="6" w:space="0" w:color="auto"/>
            </w:tcBorders>
            <w:shd w:val="clear" w:color="auto" w:fill="67AE3C"/>
            <w:vAlign w:val="center"/>
          </w:tcPr>
          <w:p w14:paraId="4FFBC778" w14:textId="77777777" w:rsidR="000542A2" w:rsidRPr="007307F4" w:rsidRDefault="000542A2" w:rsidP="000542A2">
            <w:pPr>
              <w:jc w:val="center"/>
              <w:rPr>
                <w:rFonts w:ascii="Cambria" w:hAnsi="Cambria" w:cstheme="majorBidi"/>
                <w:b/>
                <w:bCs/>
                <w:color w:val="FFFFFF" w:themeColor="background1"/>
                <w:lang w:val="en-US" w:eastAsia="en-US"/>
              </w:rPr>
            </w:pPr>
            <w:r w:rsidRPr="007307F4">
              <w:rPr>
                <w:rFonts w:ascii="Cambria" w:hAnsi="Cambria" w:cstheme="majorBidi"/>
                <w:b/>
                <w:bCs/>
                <w:color w:val="FFFFFF" w:themeColor="background1"/>
                <w:lang w:val="en-US" w:eastAsia="en-US"/>
              </w:rPr>
              <w:t>Competence</w:t>
            </w:r>
            <w:r w:rsidRPr="007307F4">
              <w:rPr>
                <w:rFonts w:ascii="Cambria" w:hAnsi="Cambria" w:cstheme="majorBidi"/>
                <w:b/>
                <w:bCs/>
                <w:i/>
                <w:color w:val="FFFFFF" w:themeColor="background1"/>
                <w:lang w:val="en-US" w:eastAsia="en-US"/>
              </w:rPr>
              <w:t xml:space="preserve"> Ratione materiae</w:t>
            </w:r>
            <w:r w:rsidRPr="007307F4">
              <w:rPr>
                <w:rFonts w:ascii="Cambria" w:hAnsi="Cambria" w:cstheme="majorBidi"/>
                <w:b/>
                <w:bCs/>
                <w:color w:val="FFFFFF" w:themeColor="background1"/>
                <w:lang w:val="en-US" w:eastAsia="en-US"/>
              </w:rPr>
              <w:t>:</w:t>
            </w:r>
          </w:p>
        </w:tc>
        <w:tc>
          <w:tcPr>
            <w:tcW w:w="5670" w:type="dxa"/>
            <w:vAlign w:val="center"/>
          </w:tcPr>
          <w:p w14:paraId="092026F5" w14:textId="7166D2A4" w:rsidR="000542A2" w:rsidRPr="007307F4" w:rsidRDefault="000542A2" w:rsidP="000542A2">
            <w:pPr>
              <w:jc w:val="both"/>
              <w:rPr>
                <w:rFonts w:ascii="Cambria" w:hAnsi="Cambria" w:cstheme="majorBidi"/>
                <w:bCs/>
                <w:lang w:val="en-US" w:eastAsia="en-US"/>
              </w:rPr>
            </w:pPr>
            <w:r w:rsidRPr="007307F4">
              <w:rPr>
                <w:rFonts w:ascii="Cambria" w:hAnsi="Cambria" w:cstheme="majorBidi"/>
                <w:bCs/>
                <w:lang w:val="en-US" w:eastAsia="en-US"/>
              </w:rPr>
              <w:t xml:space="preserve">Yes, American Convention (deposit of instrument of </w:t>
            </w:r>
            <w:r w:rsidR="002E3B83" w:rsidRPr="007307F4">
              <w:rPr>
                <w:rFonts w:ascii="Cambria" w:hAnsi="Cambria" w:cstheme="majorBidi"/>
                <w:bCs/>
                <w:lang w:val="en-US" w:eastAsia="en-US"/>
              </w:rPr>
              <w:t xml:space="preserve">accession </w:t>
            </w:r>
            <w:r w:rsidRPr="007307F4">
              <w:rPr>
                <w:rFonts w:ascii="Cambria" w:hAnsi="Cambria" w:cstheme="majorBidi"/>
                <w:bCs/>
                <w:lang w:val="en-US" w:eastAsia="en-US"/>
              </w:rPr>
              <w:t xml:space="preserve">done </w:t>
            </w:r>
            <w:r w:rsidR="002E3B83" w:rsidRPr="007307F4">
              <w:rPr>
                <w:rFonts w:ascii="Cambria" w:hAnsi="Cambria" w:cstheme="majorBidi"/>
                <w:bCs/>
                <w:lang w:val="en-US" w:eastAsia="en-US"/>
              </w:rPr>
              <w:t>March 24, 1981</w:t>
            </w:r>
            <w:r w:rsidR="00AE12E1" w:rsidRPr="007307F4">
              <w:rPr>
                <w:rFonts w:ascii="Cambria" w:hAnsi="Cambria" w:cstheme="majorBidi"/>
                <w:bCs/>
                <w:lang w:val="en-US" w:eastAsia="en-US"/>
              </w:rPr>
              <w:t>)</w:t>
            </w:r>
            <w:r w:rsidR="002E3B83" w:rsidRPr="007307F4">
              <w:rPr>
                <w:rFonts w:ascii="Cambria" w:hAnsi="Cambria" w:cstheme="majorBidi"/>
                <w:bCs/>
                <w:lang w:val="en-US" w:eastAsia="en-US"/>
              </w:rPr>
              <w:t xml:space="preserve"> </w:t>
            </w:r>
          </w:p>
        </w:tc>
      </w:tr>
    </w:tbl>
    <w:p w14:paraId="0FBEF384" w14:textId="77777777" w:rsidR="000542A2" w:rsidRPr="007307F4" w:rsidRDefault="000542A2" w:rsidP="000542A2">
      <w:pPr>
        <w:pBdr>
          <w:top w:val="nil"/>
          <w:left w:val="nil"/>
          <w:bottom w:val="nil"/>
          <w:right w:val="nil"/>
          <w:between w:val="nil"/>
          <w:bar w:val="nil"/>
        </w:pBdr>
        <w:spacing w:before="240" w:after="240" w:line="240" w:lineRule="auto"/>
        <w:ind w:firstLine="720"/>
        <w:jc w:val="both"/>
        <w:rPr>
          <w:rFonts w:ascii="Cambria" w:eastAsia="Arial Unicode MS" w:hAnsi="Cambria" w:cstheme="majorBidi"/>
          <w:b/>
          <w:bCs/>
          <w:kern w:val="0"/>
          <w:sz w:val="20"/>
          <w:szCs w:val="20"/>
          <w:bdr w:val="nil"/>
          <w:lang w:eastAsia="en-US"/>
        </w:rPr>
      </w:pPr>
      <w:r w:rsidRPr="007307F4">
        <w:rPr>
          <w:rFonts w:ascii="Cambria" w:eastAsia="Arial Unicode MS" w:hAnsi="Cambria" w:cstheme="majorBidi"/>
          <w:b/>
          <w:bCs/>
          <w:kern w:val="0"/>
          <w:sz w:val="20"/>
          <w:szCs w:val="20"/>
          <w:bdr w:val="nil"/>
          <w:lang w:eastAsia="en-US"/>
        </w:rPr>
        <w:t xml:space="preserve">IV. </w:t>
      </w:r>
      <w:r w:rsidRPr="007307F4">
        <w:rPr>
          <w:rFonts w:ascii="Cambria" w:eastAsia="Arial Unicode MS" w:hAnsi="Cambria" w:cstheme="majorBidi"/>
          <w:b/>
          <w:bCs/>
          <w:kern w:val="0"/>
          <w:sz w:val="20"/>
          <w:szCs w:val="20"/>
          <w:bdr w:val="nil"/>
          <w:lang w:eastAsia="en-US"/>
        </w:rPr>
        <w:tab/>
        <w:t xml:space="preserve">DUPLICATION OF PROCEDURES AND INTERNATIONAL </w:t>
      </w:r>
      <w:r w:rsidRPr="007307F4">
        <w:rPr>
          <w:rFonts w:ascii="Cambria" w:eastAsia="Arial Unicode MS" w:hAnsi="Cambria" w:cstheme="majorBidi"/>
          <w:b/>
          <w:bCs/>
          <w:i/>
          <w:kern w:val="0"/>
          <w:sz w:val="20"/>
          <w:szCs w:val="20"/>
          <w:bdr w:val="nil"/>
          <w:lang w:eastAsia="en-US"/>
        </w:rPr>
        <w:t>RES JUDICATA</w:t>
      </w:r>
      <w:r w:rsidRPr="007307F4">
        <w:rPr>
          <w:rFonts w:ascii="Cambria" w:eastAsia="Arial Unicode MS" w:hAnsi="Cambria" w:cstheme="majorBidi"/>
          <w:b/>
          <w:bCs/>
          <w:kern w:val="0"/>
          <w:sz w:val="20"/>
          <w:szCs w:val="20"/>
          <w:bdr w:val="nil"/>
          <w:lang w:eastAsia="en-US"/>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0"/>
        <w:gridCol w:w="5592"/>
      </w:tblGrid>
      <w:tr w:rsidR="000542A2" w:rsidRPr="007307F4" w14:paraId="3D1E3CA1" w14:textId="77777777" w:rsidTr="00CC5FEC">
        <w:trPr>
          <w:cantSplit/>
        </w:trPr>
        <w:tc>
          <w:tcPr>
            <w:tcW w:w="3690" w:type="dxa"/>
            <w:tcBorders>
              <w:top w:val="single" w:sz="4" w:space="0" w:color="auto"/>
              <w:bottom w:val="single" w:sz="6" w:space="0" w:color="auto"/>
            </w:tcBorders>
            <w:shd w:val="clear" w:color="auto" w:fill="67AE3C"/>
            <w:vAlign w:val="center"/>
          </w:tcPr>
          <w:p w14:paraId="2B90D769" w14:textId="77777777" w:rsidR="000542A2" w:rsidRPr="007307F4" w:rsidRDefault="000542A2" w:rsidP="000542A2">
            <w:pPr>
              <w:jc w:val="center"/>
              <w:rPr>
                <w:rFonts w:ascii="Cambria" w:hAnsi="Cambria" w:cstheme="majorBidi"/>
                <w:b/>
                <w:bCs/>
                <w:color w:val="FFFFFF" w:themeColor="background1"/>
                <w:lang w:val="en-US" w:eastAsia="en-US"/>
              </w:rPr>
            </w:pPr>
            <w:r w:rsidRPr="007307F4">
              <w:rPr>
                <w:rFonts w:ascii="Cambria" w:hAnsi="Cambria" w:cstheme="majorBidi"/>
                <w:b/>
                <w:bCs/>
                <w:color w:val="FFFFFF" w:themeColor="background1"/>
                <w:lang w:val="en-US" w:eastAsia="en-US"/>
              </w:rPr>
              <w:t xml:space="preserve">Duplication of procedures and International </w:t>
            </w:r>
            <w:r w:rsidRPr="007307F4">
              <w:rPr>
                <w:rFonts w:ascii="Cambria" w:hAnsi="Cambria" w:cstheme="majorBidi"/>
                <w:b/>
                <w:bCs/>
                <w:i/>
                <w:color w:val="FFFFFF" w:themeColor="background1"/>
                <w:lang w:val="en-US" w:eastAsia="en-US"/>
              </w:rPr>
              <w:t>res judicata</w:t>
            </w:r>
            <w:r w:rsidRPr="007307F4">
              <w:rPr>
                <w:rFonts w:ascii="Cambria" w:hAnsi="Cambria" w:cstheme="majorBidi"/>
                <w:b/>
                <w:bCs/>
                <w:color w:val="FFFFFF" w:themeColor="background1"/>
                <w:lang w:val="en-US" w:eastAsia="en-US"/>
              </w:rPr>
              <w:t>:</w:t>
            </w:r>
          </w:p>
        </w:tc>
        <w:tc>
          <w:tcPr>
            <w:tcW w:w="5670" w:type="dxa"/>
            <w:vAlign w:val="center"/>
          </w:tcPr>
          <w:p w14:paraId="6EA4A36B" w14:textId="77777777" w:rsidR="000542A2" w:rsidRPr="007307F4" w:rsidRDefault="000542A2" w:rsidP="000542A2">
            <w:pPr>
              <w:jc w:val="both"/>
              <w:rPr>
                <w:rFonts w:ascii="Cambria" w:hAnsi="Cambria" w:cstheme="majorBidi"/>
                <w:bCs/>
                <w:lang w:val="en-US" w:eastAsia="en-US"/>
              </w:rPr>
            </w:pPr>
            <w:r w:rsidRPr="007307F4">
              <w:rPr>
                <w:rFonts w:ascii="Cambria" w:hAnsi="Cambria" w:cstheme="majorBidi"/>
                <w:bCs/>
                <w:lang w:val="en-US" w:eastAsia="en-US"/>
              </w:rPr>
              <w:t>No</w:t>
            </w:r>
          </w:p>
        </w:tc>
      </w:tr>
      <w:tr w:rsidR="000542A2" w:rsidRPr="007307F4" w14:paraId="340C5489" w14:textId="77777777" w:rsidTr="00CC5FEC">
        <w:trPr>
          <w:cantSplit/>
        </w:trPr>
        <w:tc>
          <w:tcPr>
            <w:tcW w:w="3690" w:type="dxa"/>
            <w:tcBorders>
              <w:top w:val="single" w:sz="6" w:space="0" w:color="auto"/>
              <w:bottom w:val="single" w:sz="6" w:space="0" w:color="auto"/>
            </w:tcBorders>
            <w:shd w:val="clear" w:color="auto" w:fill="67AE3C"/>
            <w:vAlign w:val="center"/>
          </w:tcPr>
          <w:p w14:paraId="4C08B099" w14:textId="77777777" w:rsidR="000542A2" w:rsidRPr="007307F4" w:rsidRDefault="000542A2" w:rsidP="000542A2">
            <w:pPr>
              <w:jc w:val="center"/>
              <w:rPr>
                <w:rFonts w:ascii="Cambria" w:hAnsi="Cambria" w:cstheme="majorBidi"/>
                <w:b/>
                <w:bCs/>
                <w:i/>
                <w:color w:val="FFFFFF" w:themeColor="background1"/>
                <w:lang w:val="en-US" w:eastAsia="en-US"/>
              </w:rPr>
            </w:pPr>
            <w:r w:rsidRPr="007307F4">
              <w:rPr>
                <w:rFonts w:ascii="Cambria" w:hAnsi="Cambria" w:cstheme="majorBidi"/>
                <w:b/>
                <w:bCs/>
                <w:color w:val="FFFFFF" w:themeColor="background1"/>
                <w:lang w:val="en-US" w:eastAsia="en-US"/>
              </w:rPr>
              <w:t>Rights declared admissible</w:t>
            </w:r>
          </w:p>
        </w:tc>
        <w:tc>
          <w:tcPr>
            <w:tcW w:w="5670" w:type="dxa"/>
            <w:vAlign w:val="center"/>
          </w:tcPr>
          <w:p w14:paraId="046BBBB2" w14:textId="520E8667" w:rsidR="000542A2" w:rsidRPr="007307F4" w:rsidRDefault="000542A2" w:rsidP="000542A2">
            <w:pPr>
              <w:jc w:val="both"/>
              <w:rPr>
                <w:rFonts w:ascii="Cambria" w:hAnsi="Cambria" w:cstheme="majorBidi"/>
                <w:bCs/>
                <w:lang w:val="en-US" w:eastAsia="en-US"/>
              </w:rPr>
            </w:pPr>
            <w:r w:rsidRPr="007307F4">
              <w:rPr>
                <w:rFonts w:ascii="Cambria" w:hAnsi="Cambria"/>
                <w:bCs/>
                <w:lang w:val="en-US" w:eastAsia="en-US"/>
              </w:rPr>
              <w:t>Articles 8 (judicial guarantees), 2</w:t>
            </w:r>
            <w:r w:rsidR="00B87985" w:rsidRPr="007307F4">
              <w:rPr>
                <w:rFonts w:ascii="Cambria" w:hAnsi="Cambria"/>
                <w:bCs/>
                <w:lang w:val="en-US" w:eastAsia="en-US"/>
              </w:rPr>
              <w:t>1</w:t>
            </w:r>
            <w:r w:rsidRPr="007307F4">
              <w:rPr>
                <w:rFonts w:ascii="Cambria" w:hAnsi="Cambria"/>
                <w:bCs/>
                <w:lang w:val="en-US" w:eastAsia="en-US"/>
              </w:rPr>
              <w:t xml:space="preserve"> (</w:t>
            </w:r>
            <w:r w:rsidR="00B87985" w:rsidRPr="007307F4">
              <w:rPr>
                <w:rFonts w:ascii="Cambria" w:hAnsi="Cambria"/>
                <w:bCs/>
                <w:lang w:val="en-US" w:eastAsia="en-US"/>
              </w:rPr>
              <w:t>property</w:t>
            </w:r>
            <w:r w:rsidRPr="007307F4">
              <w:rPr>
                <w:rFonts w:ascii="Cambria" w:hAnsi="Cambria"/>
                <w:bCs/>
                <w:lang w:val="en-US" w:eastAsia="en-US"/>
              </w:rPr>
              <w:t xml:space="preserve">), </w:t>
            </w:r>
            <w:r w:rsidRPr="007307F4">
              <w:rPr>
                <w:rFonts w:ascii="Cambria" w:hAnsi="Cambria"/>
                <w:lang w:val="en-US" w:eastAsia="en-US"/>
              </w:rPr>
              <w:t xml:space="preserve">24 (equality before the law), </w:t>
            </w:r>
            <w:r w:rsidRPr="007307F4">
              <w:rPr>
                <w:rFonts w:ascii="Cambria" w:hAnsi="Cambria"/>
                <w:bCs/>
                <w:lang w:val="en-US" w:eastAsia="en-US"/>
              </w:rPr>
              <w:t>25 (judicial protection) and 26 (</w:t>
            </w:r>
            <w:r w:rsidR="00B87985" w:rsidRPr="007307F4">
              <w:rPr>
                <w:rFonts w:ascii="Cambria" w:hAnsi="Cambria"/>
                <w:bCs/>
                <w:lang w:val="en-US" w:eastAsia="en-US"/>
              </w:rPr>
              <w:t>economic, social and cultural rights</w:t>
            </w:r>
            <w:r w:rsidRPr="007307F4">
              <w:rPr>
                <w:rFonts w:ascii="Cambria" w:hAnsi="Cambria"/>
                <w:bCs/>
                <w:lang w:val="en-US" w:eastAsia="en-US"/>
              </w:rPr>
              <w:t xml:space="preserve">) of the American Convention in conjunction with its Article 1(1) (obligation to respect rights) </w:t>
            </w:r>
          </w:p>
        </w:tc>
      </w:tr>
      <w:tr w:rsidR="000542A2" w:rsidRPr="007307F4" w14:paraId="45F4F9A8" w14:textId="77777777" w:rsidTr="00CC5FEC">
        <w:trPr>
          <w:cantSplit/>
        </w:trPr>
        <w:tc>
          <w:tcPr>
            <w:tcW w:w="3690" w:type="dxa"/>
            <w:tcBorders>
              <w:top w:val="single" w:sz="6" w:space="0" w:color="auto"/>
              <w:bottom w:val="single" w:sz="6" w:space="0" w:color="auto"/>
            </w:tcBorders>
            <w:shd w:val="clear" w:color="auto" w:fill="67AE3C"/>
            <w:vAlign w:val="center"/>
          </w:tcPr>
          <w:p w14:paraId="5813E070" w14:textId="77777777" w:rsidR="000542A2" w:rsidRPr="007307F4" w:rsidRDefault="000542A2" w:rsidP="000542A2">
            <w:pPr>
              <w:jc w:val="center"/>
              <w:rPr>
                <w:rFonts w:ascii="Cambria" w:hAnsi="Cambria" w:cstheme="majorBidi"/>
                <w:b/>
                <w:bCs/>
                <w:color w:val="FFFFFF" w:themeColor="background1"/>
                <w:lang w:val="en-US" w:eastAsia="en-US"/>
              </w:rPr>
            </w:pPr>
            <w:r w:rsidRPr="007307F4">
              <w:rPr>
                <w:rFonts w:ascii="Cambria" w:hAnsi="Cambria" w:cstheme="majorBidi"/>
                <w:b/>
                <w:bCs/>
                <w:color w:val="FFFFFF" w:themeColor="background1"/>
                <w:lang w:val="en-US" w:eastAsia="en-US"/>
              </w:rPr>
              <w:lastRenderedPageBreak/>
              <w:t>Exhaustion of domestic remedies or applicability of an exception to the rule:</w:t>
            </w:r>
          </w:p>
        </w:tc>
        <w:tc>
          <w:tcPr>
            <w:tcW w:w="5670" w:type="dxa"/>
            <w:vAlign w:val="center"/>
          </w:tcPr>
          <w:p w14:paraId="0D960C45" w14:textId="6F521393" w:rsidR="000542A2" w:rsidRPr="007307F4" w:rsidRDefault="000542A2" w:rsidP="000542A2">
            <w:pPr>
              <w:rPr>
                <w:rFonts w:ascii="Cambria" w:hAnsi="Cambria" w:cstheme="majorBidi"/>
                <w:bCs/>
                <w:lang w:val="en-US" w:eastAsia="en-US"/>
              </w:rPr>
            </w:pPr>
            <w:r w:rsidRPr="007307F4">
              <w:rPr>
                <w:rFonts w:ascii="Cambria" w:hAnsi="Cambria" w:cstheme="majorBidi"/>
                <w:bCs/>
                <w:lang w:val="en-US" w:eastAsia="en-US"/>
              </w:rPr>
              <w:t xml:space="preserve">Yes, </w:t>
            </w:r>
            <w:r w:rsidR="00A146D9" w:rsidRPr="007307F4">
              <w:rPr>
                <w:rFonts w:ascii="Cambria" w:hAnsi="Cambria" w:cstheme="majorBidi"/>
                <w:bCs/>
                <w:lang w:val="en-US" w:eastAsia="en-US"/>
              </w:rPr>
              <w:t xml:space="preserve">on March 20, 2014 </w:t>
            </w:r>
          </w:p>
          <w:p w14:paraId="506175E7" w14:textId="77777777" w:rsidR="000542A2" w:rsidRPr="007307F4" w:rsidRDefault="000542A2" w:rsidP="000542A2">
            <w:pPr>
              <w:rPr>
                <w:rFonts w:ascii="Cambria" w:hAnsi="Cambria" w:cstheme="majorBidi"/>
                <w:bCs/>
                <w:lang w:val="en-US" w:eastAsia="en-US"/>
              </w:rPr>
            </w:pPr>
          </w:p>
        </w:tc>
      </w:tr>
      <w:tr w:rsidR="000542A2" w:rsidRPr="007307F4" w14:paraId="5DC769D2" w14:textId="77777777" w:rsidTr="00CC5FEC">
        <w:trPr>
          <w:cantSplit/>
        </w:trPr>
        <w:tc>
          <w:tcPr>
            <w:tcW w:w="3690" w:type="dxa"/>
            <w:tcBorders>
              <w:top w:val="single" w:sz="6" w:space="0" w:color="auto"/>
              <w:bottom w:val="single" w:sz="6" w:space="0" w:color="auto"/>
            </w:tcBorders>
            <w:shd w:val="clear" w:color="auto" w:fill="67AE3C"/>
            <w:vAlign w:val="center"/>
          </w:tcPr>
          <w:p w14:paraId="621A7A98" w14:textId="77777777" w:rsidR="000542A2" w:rsidRPr="007307F4" w:rsidRDefault="000542A2" w:rsidP="000542A2">
            <w:pPr>
              <w:jc w:val="center"/>
              <w:rPr>
                <w:rFonts w:ascii="Cambria" w:hAnsi="Cambria" w:cstheme="majorBidi"/>
                <w:b/>
                <w:bCs/>
                <w:color w:val="FFFFFF" w:themeColor="background1"/>
                <w:lang w:val="en-US" w:eastAsia="en-US"/>
              </w:rPr>
            </w:pPr>
            <w:r w:rsidRPr="007307F4">
              <w:rPr>
                <w:rFonts w:ascii="Cambria" w:hAnsi="Cambria" w:cstheme="majorBidi"/>
                <w:b/>
                <w:bCs/>
                <w:color w:val="FFFFFF" w:themeColor="background1"/>
                <w:lang w:val="en-US" w:eastAsia="en-US"/>
              </w:rPr>
              <w:t>Timeliness of the petition:</w:t>
            </w:r>
          </w:p>
        </w:tc>
        <w:tc>
          <w:tcPr>
            <w:tcW w:w="5670" w:type="dxa"/>
            <w:vAlign w:val="center"/>
          </w:tcPr>
          <w:p w14:paraId="2CDE0DE2" w14:textId="537C9767" w:rsidR="000542A2" w:rsidRPr="007307F4" w:rsidRDefault="000542A2" w:rsidP="000542A2">
            <w:pPr>
              <w:rPr>
                <w:rFonts w:ascii="Cambria" w:hAnsi="Cambria" w:cstheme="majorBidi"/>
                <w:bCs/>
                <w:lang w:val="en-US" w:eastAsia="en-US"/>
              </w:rPr>
            </w:pPr>
            <w:r w:rsidRPr="007307F4">
              <w:rPr>
                <w:rFonts w:ascii="Cambria" w:hAnsi="Cambria" w:cstheme="majorBidi"/>
                <w:bCs/>
                <w:lang w:val="en-US" w:eastAsia="en-US"/>
              </w:rPr>
              <w:t xml:space="preserve">Yes, </w:t>
            </w:r>
            <w:r w:rsidR="00A146D9" w:rsidRPr="007307F4">
              <w:rPr>
                <w:rFonts w:ascii="Cambria" w:hAnsi="Cambria" w:cstheme="majorBidi"/>
                <w:bCs/>
                <w:lang w:val="en-US" w:eastAsia="en-US"/>
              </w:rPr>
              <w:t xml:space="preserve">on September 3, 2014 </w:t>
            </w:r>
          </w:p>
        </w:tc>
      </w:tr>
    </w:tbl>
    <w:p w14:paraId="46338B82" w14:textId="77777777" w:rsidR="000542A2" w:rsidRPr="007307F4" w:rsidRDefault="000542A2" w:rsidP="000542A2">
      <w:pPr>
        <w:pBdr>
          <w:top w:val="nil"/>
          <w:left w:val="nil"/>
          <w:bottom w:val="nil"/>
          <w:right w:val="nil"/>
          <w:between w:val="nil"/>
          <w:bar w:val="nil"/>
        </w:pBdr>
        <w:spacing w:after="0" w:line="240" w:lineRule="auto"/>
        <w:rPr>
          <w:rFonts w:ascii="Cambria" w:eastAsia="Arial Unicode MS" w:hAnsi="Cambria" w:cs="Times New Roman"/>
          <w:kern w:val="0"/>
          <w:bdr w:val="nil"/>
          <w:lang w:eastAsia="en-US"/>
        </w:rPr>
      </w:pPr>
    </w:p>
    <w:p w14:paraId="04521C72" w14:textId="77777777" w:rsidR="0012720B" w:rsidRPr="007307F4" w:rsidRDefault="0012720B" w:rsidP="005907AA">
      <w:pPr>
        <w:spacing w:after="0"/>
        <w:ind w:firstLine="720"/>
        <w:jc w:val="both"/>
        <w:rPr>
          <w:rFonts w:ascii="Cambria" w:hAnsi="Cambria"/>
          <w:b/>
          <w:sz w:val="20"/>
          <w:szCs w:val="20"/>
        </w:rPr>
      </w:pPr>
      <w:r w:rsidRPr="007307F4">
        <w:rPr>
          <w:rFonts w:ascii="Cambria" w:hAnsi="Cambria"/>
          <w:b/>
          <w:sz w:val="20"/>
          <w:szCs w:val="20"/>
        </w:rPr>
        <w:t xml:space="preserve">V. </w:t>
      </w:r>
      <w:r w:rsidRPr="007307F4">
        <w:rPr>
          <w:rFonts w:ascii="Cambria" w:hAnsi="Cambria"/>
          <w:b/>
          <w:sz w:val="20"/>
          <w:szCs w:val="20"/>
        </w:rPr>
        <w:tab/>
        <w:t xml:space="preserve">THE PARTIES’ POSITIONS </w:t>
      </w:r>
    </w:p>
    <w:p w14:paraId="6887BC62" w14:textId="77777777" w:rsidR="005907AA" w:rsidRPr="007307F4" w:rsidRDefault="005907AA" w:rsidP="005907AA">
      <w:pPr>
        <w:spacing w:after="0"/>
        <w:ind w:firstLine="720"/>
        <w:jc w:val="both"/>
        <w:rPr>
          <w:rFonts w:ascii="Cambria" w:hAnsi="Cambria"/>
          <w:b/>
          <w:sz w:val="20"/>
          <w:szCs w:val="20"/>
        </w:rPr>
      </w:pPr>
    </w:p>
    <w:p w14:paraId="5D19FBEE" w14:textId="1BC826DD" w:rsidR="0012720B" w:rsidRPr="007307F4" w:rsidRDefault="0012720B" w:rsidP="005907AA">
      <w:pPr>
        <w:spacing w:after="0"/>
        <w:ind w:firstLine="720"/>
        <w:jc w:val="both"/>
        <w:rPr>
          <w:rFonts w:ascii="Cambria" w:hAnsi="Cambria"/>
          <w:b/>
          <w:sz w:val="20"/>
          <w:szCs w:val="20"/>
        </w:rPr>
      </w:pPr>
      <w:r w:rsidRPr="007307F4">
        <w:rPr>
          <w:rFonts w:ascii="Cambria" w:hAnsi="Cambria"/>
          <w:b/>
          <w:sz w:val="20"/>
          <w:szCs w:val="20"/>
        </w:rPr>
        <w:t xml:space="preserve">Petitioners </w:t>
      </w:r>
    </w:p>
    <w:p w14:paraId="17D2F637" w14:textId="4EDCADD5" w:rsidR="005907AA" w:rsidRPr="007307F4" w:rsidRDefault="005907AA" w:rsidP="005907AA">
      <w:pPr>
        <w:spacing w:after="0"/>
        <w:ind w:firstLine="720"/>
        <w:jc w:val="both"/>
        <w:rPr>
          <w:rFonts w:ascii="Cambria" w:hAnsi="Cambria"/>
          <w:b/>
          <w:sz w:val="20"/>
          <w:szCs w:val="20"/>
        </w:rPr>
      </w:pPr>
    </w:p>
    <w:p w14:paraId="48E2D458" w14:textId="586539AE"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bCs/>
          <w:sz w:val="20"/>
          <w:szCs w:val="20"/>
        </w:rPr>
      </w:pPr>
      <w:r w:rsidRPr="007307F4">
        <w:rPr>
          <w:rFonts w:ascii="Cambria" w:hAnsi="Cambria"/>
          <w:sz w:val="20"/>
          <w:szCs w:val="20"/>
        </w:rPr>
        <w:t>The petitioners, which in this case are also alleged victims, allege violations of their rights in the wake of floods that occurred in 2009, after extensive rains and the subsequent collapse of a tunnel carrying wastewater near their houses, which caused harm to their property. They consider that the authorities in charge of regulating rainwater tunnels did not carry out their supervis</w:t>
      </w:r>
      <w:r w:rsidR="005743FA" w:rsidRPr="007307F4">
        <w:rPr>
          <w:rFonts w:ascii="Cambria" w:hAnsi="Cambria"/>
          <w:sz w:val="20"/>
          <w:szCs w:val="20"/>
        </w:rPr>
        <w:t>ory</w:t>
      </w:r>
      <w:r w:rsidRPr="007307F4">
        <w:rPr>
          <w:rFonts w:ascii="Cambria" w:hAnsi="Cambria"/>
          <w:sz w:val="20"/>
          <w:szCs w:val="20"/>
        </w:rPr>
        <w:t xml:space="preserve"> obligations when they allowed the tunnel in question to also carry wastewater, though it was built for drinking water. They argue that it wasn’t maintained as necessary to keep it from rupturing. In addition, they allege that the domestic courts denied them their right to compensation, while third persons in the same circumstances were paid compensation for the State’s liability for harming their property. </w:t>
      </w:r>
    </w:p>
    <w:p w14:paraId="5E5FE6CA" w14:textId="77777777" w:rsidR="005907AA" w:rsidRPr="007307F4" w:rsidRDefault="005907AA" w:rsidP="005907AA">
      <w:pPr>
        <w:pStyle w:val="ListParagraph"/>
        <w:pBdr>
          <w:top w:val="nil"/>
          <w:left w:val="nil"/>
          <w:bottom w:val="nil"/>
          <w:right w:val="nil"/>
          <w:between w:val="nil"/>
          <w:bar w:val="nil"/>
        </w:pBdr>
        <w:spacing w:after="0" w:line="240" w:lineRule="auto"/>
        <w:contextualSpacing w:val="0"/>
        <w:jc w:val="both"/>
        <w:rPr>
          <w:rFonts w:ascii="Cambria" w:hAnsi="Cambria"/>
          <w:bCs/>
          <w:sz w:val="20"/>
          <w:szCs w:val="20"/>
        </w:rPr>
      </w:pPr>
    </w:p>
    <w:p w14:paraId="40F9099D" w14:textId="2A78B935"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According to them, on September 6, 2009, there was intense rainfall that provoked the collapse of one section of the water channel called “Túnel Emisor Poniente” (“West Discharge Tunnel”), resulting in flooding in the district of Valle Dorado, municipality of Tlalnepantla de Baz, in the state of México. The alleged victims resided in that district and reported material harm when the water current flooded their homes, reaching a height of 1.80 meters, result</w:t>
      </w:r>
      <w:r w:rsidR="00FF3D36" w:rsidRPr="007307F4">
        <w:rPr>
          <w:rFonts w:ascii="Cambria" w:hAnsi="Cambria"/>
          <w:sz w:val="20"/>
          <w:szCs w:val="20"/>
        </w:rPr>
        <w:t>ing</w:t>
      </w:r>
      <w:r w:rsidRPr="007307F4">
        <w:rPr>
          <w:rFonts w:ascii="Cambria" w:hAnsi="Cambria"/>
          <w:sz w:val="20"/>
          <w:szCs w:val="20"/>
        </w:rPr>
        <w:t xml:space="preserve"> in significant damage to their homes. In addition, the streets flooded, resulting in damage to the cars; and a strong fetid odor of wastewater lingered in the air.</w:t>
      </w:r>
    </w:p>
    <w:p w14:paraId="65417E07" w14:textId="723540D7" w:rsidR="005907AA" w:rsidRPr="007307F4" w:rsidRDefault="005907AA" w:rsidP="005907AA">
      <w:pPr>
        <w:pBdr>
          <w:top w:val="nil"/>
          <w:left w:val="nil"/>
          <w:bottom w:val="nil"/>
          <w:right w:val="nil"/>
          <w:between w:val="nil"/>
          <w:bar w:val="nil"/>
        </w:pBdr>
        <w:spacing w:after="0" w:line="240" w:lineRule="auto"/>
        <w:jc w:val="both"/>
        <w:rPr>
          <w:rFonts w:ascii="Cambria" w:hAnsi="Cambria"/>
          <w:sz w:val="20"/>
          <w:szCs w:val="20"/>
        </w:rPr>
      </w:pPr>
    </w:p>
    <w:p w14:paraId="2CF2971D" w14:textId="77777777" w:rsidR="0012720B" w:rsidRPr="007307F4" w:rsidRDefault="0012720B" w:rsidP="005907AA">
      <w:pPr>
        <w:pStyle w:val="ListParagraph"/>
        <w:spacing w:after="0"/>
        <w:jc w:val="both"/>
        <w:rPr>
          <w:rFonts w:ascii="Cambria" w:hAnsi="Cambria"/>
          <w:i/>
          <w:iCs/>
          <w:sz w:val="20"/>
          <w:szCs w:val="20"/>
        </w:rPr>
      </w:pPr>
      <w:r w:rsidRPr="007307F4">
        <w:rPr>
          <w:rFonts w:ascii="Cambria" w:hAnsi="Cambria"/>
          <w:i/>
          <w:iCs/>
          <w:sz w:val="20"/>
          <w:szCs w:val="20"/>
        </w:rPr>
        <w:t xml:space="preserve">Domestic remedies pursued </w:t>
      </w:r>
    </w:p>
    <w:p w14:paraId="0A077E5B" w14:textId="77777777" w:rsidR="00533085" w:rsidRPr="007307F4" w:rsidRDefault="00533085" w:rsidP="005907AA">
      <w:pPr>
        <w:pStyle w:val="ListParagraph"/>
        <w:spacing w:after="0"/>
        <w:jc w:val="both"/>
        <w:rPr>
          <w:rFonts w:ascii="Cambria" w:hAnsi="Cambria"/>
          <w:i/>
          <w:iCs/>
          <w:sz w:val="20"/>
          <w:szCs w:val="20"/>
        </w:rPr>
      </w:pPr>
    </w:p>
    <w:p w14:paraId="719C0D85" w14:textId="6D732A67"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On May 13, 2010, the alleged victims filed an administrative claim</w:t>
      </w:r>
      <w:r w:rsidRPr="007307F4">
        <w:rPr>
          <w:rStyle w:val="FootnoteReference"/>
          <w:rFonts w:ascii="Cambria" w:hAnsi="Cambria"/>
          <w:sz w:val="20"/>
          <w:szCs w:val="20"/>
        </w:rPr>
        <w:footnoteReference w:id="5"/>
      </w:r>
      <w:r w:rsidRPr="007307F4">
        <w:rPr>
          <w:rFonts w:ascii="Cambria" w:hAnsi="Cambria"/>
          <w:sz w:val="20"/>
          <w:szCs w:val="20"/>
        </w:rPr>
        <w:t xml:space="preserve"> for liability of the State for the negative impacts suffered to their property and their persons, seeking the sum of 1,045,756.20 Mexican pesos (approximately USD$84,097.12)</w:t>
      </w:r>
      <w:r w:rsidRPr="007307F4">
        <w:rPr>
          <w:rStyle w:val="FootnoteReference"/>
          <w:rFonts w:ascii="Cambria" w:hAnsi="Cambria"/>
          <w:sz w:val="20"/>
          <w:szCs w:val="20"/>
        </w:rPr>
        <w:footnoteReference w:id="6"/>
      </w:r>
      <w:r w:rsidRPr="007307F4">
        <w:rPr>
          <w:rFonts w:ascii="Cambria" w:hAnsi="Cambria"/>
          <w:sz w:val="20"/>
          <w:szCs w:val="20"/>
        </w:rPr>
        <w:t xml:space="preserve"> from the National Water Commission</w:t>
      </w:r>
      <w:r w:rsidRPr="007307F4">
        <w:rPr>
          <w:rStyle w:val="FootnoteReference"/>
          <w:rFonts w:ascii="Cambria" w:hAnsi="Cambria"/>
          <w:sz w:val="20"/>
          <w:szCs w:val="20"/>
        </w:rPr>
        <w:footnoteReference w:id="7"/>
      </w:r>
      <w:r w:rsidRPr="007307F4">
        <w:rPr>
          <w:rFonts w:ascii="Cambria" w:hAnsi="Cambria"/>
          <w:sz w:val="20"/>
          <w:szCs w:val="20"/>
        </w:rPr>
        <w:t xml:space="preserve"> (hereinafter “CONAGUA”: Comisión Nacional del Agua), which admitted the claim for processing, assigning it file No. 10-2101. During the procedure, the alleged victims showed documentary evidence consisting of expert reports issued by professionals in psychology and engineering by which they sought to show moral and material harm. Also offered into evidence is an expert report issued by the Engineering Institute of the Universidad Nacional Autónoma de México (hereinafter “UNAM”), with which they sought to argue the negligence of CONAGUA</w:t>
      </w:r>
      <w:r w:rsidR="00FD013C" w:rsidRPr="007307F4">
        <w:rPr>
          <w:rFonts w:ascii="Cambria" w:hAnsi="Cambria"/>
          <w:sz w:val="20"/>
          <w:szCs w:val="20"/>
        </w:rPr>
        <w:t>, as it</w:t>
      </w:r>
      <w:r w:rsidRPr="007307F4">
        <w:rPr>
          <w:rFonts w:ascii="Cambria" w:hAnsi="Cambria"/>
          <w:sz w:val="20"/>
          <w:szCs w:val="20"/>
        </w:rPr>
        <w:t xml:space="preserve"> </w:t>
      </w:r>
      <w:r w:rsidR="00FD013C" w:rsidRPr="007307F4">
        <w:rPr>
          <w:rFonts w:ascii="Cambria" w:hAnsi="Cambria"/>
          <w:sz w:val="20"/>
          <w:szCs w:val="20"/>
        </w:rPr>
        <w:t xml:space="preserve">failed to </w:t>
      </w:r>
      <w:r w:rsidRPr="007307F4">
        <w:rPr>
          <w:rFonts w:ascii="Cambria" w:hAnsi="Cambria"/>
          <w:sz w:val="20"/>
          <w:szCs w:val="20"/>
        </w:rPr>
        <w:t>monitor or maintai</w:t>
      </w:r>
      <w:r w:rsidR="00FD013C" w:rsidRPr="007307F4">
        <w:rPr>
          <w:rFonts w:ascii="Cambria" w:hAnsi="Cambria"/>
          <w:sz w:val="20"/>
          <w:szCs w:val="20"/>
        </w:rPr>
        <w:t>n</w:t>
      </w:r>
      <w:r w:rsidRPr="007307F4">
        <w:rPr>
          <w:rFonts w:ascii="Cambria" w:hAnsi="Cambria"/>
          <w:sz w:val="20"/>
          <w:szCs w:val="20"/>
        </w:rPr>
        <w:t xml:space="preserve"> the tunnel that collapsed. </w:t>
      </w:r>
    </w:p>
    <w:p w14:paraId="00E2077B" w14:textId="77777777" w:rsidR="00E368FA" w:rsidRPr="007307F4" w:rsidRDefault="00E368FA" w:rsidP="00E368FA">
      <w:pPr>
        <w:pStyle w:val="ListParagraph"/>
        <w:pBdr>
          <w:top w:val="nil"/>
          <w:left w:val="nil"/>
          <w:bottom w:val="nil"/>
          <w:right w:val="nil"/>
          <w:between w:val="nil"/>
          <w:bar w:val="nil"/>
        </w:pBdr>
        <w:spacing w:after="0" w:line="240" w:lineRule="auto"/>
        <w:contextualSpacing w:val="0"/>
        <w:jc w:val="both"/>
        <w:rPr>
          <w:rFonts w:ascii="Cambria" w:hAnsi="Cambria"/>
          <w:sz w:val="20"/>
          <w:szCs w:val="20"/>
        </w:rPr>
      </w:pPr>
    </w:p>
    <w:p w14:paraId="0ABFAD4B" w14:textId="5A5A9805"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lastRenderedPageBreak/>
        <w:t xml:space="preserve">Nonetheless, on July 21, 2011, the Office of the Assistant Counsel of CONAGUA, by official note BOO.00.02.03.1.1.04519, decided not to pay compensation for material </w:t>
      </w:r>
      <w:r w:rsidR="006D3E8E" w:rsidRPr="007307F4">
        <w:rPr>
          <w:rFonts w:ascii="Cambria" w:hAnsi="Cambria"/>
          <w:sz w:val="20"/>
          <w:szCs w:val="20"/>
        </w:rPr>
        <w:t xml:space="preserve">or </w:t>
      </w:r>
      <w:r w:rsidRPr="007307F4">
        <w:rPr>
          <w:rFonts w:ascii="Cambria" w:hAnsi="Cambria"/>
          <w:sz w:val="20"/>
          <w:szCs w:val="20"/>
        </w:rPr>
        <w:t>moral harm to the alleged victims. This office indicated that according to Article 22 of the Federal Law on the Economic Liability of the State</w:t>
      </w:r>
      <w:r w:rsidRPr="007307F4">
        <w:rPr>
          <w:rStyle w:val="FootnoteReference"/>
          <w:rFonts w:ascii="Cambria" w:hAnsi="Cambria"/>
          <w:sz w:val="20"/>
          <w:szCs w:val="20"/>
        </w:rPr>
        <w:footnoteReference w:id="8"/>
      </w:r>
      <w:r w:rsidRPr="007307F4">
        <w:rPr>
          <w:rFonts w:ascii="Cambria" w:hAnsi="Cambria"/>
          <w:sz w:val="20"/>
          <w:szCs w:val="20"/>
        </w:rPr>
        <w:t>, to lodge an administrative claim it is up to the claimant who considers he or she has suffered economic detriment to prove the alleged liability of the State; and that in the instant case an exception to liability was noted because the act was due to an act of God or force majeure. The Office of the Assistant Counsel upheld this argument in the same UNAM report, which indicated that th</w:t>
      </w:r>
      <w:r w:rsidR="003521FE" w:rsidRPr="007307F4">
        <w:rPr>
          <w:rFonts w:ascii="Cambria" w:hAnsi="Cambria"/>
          <w:sz w:val="20"/>
          <w:szCs w:val="20"/>
        </w:rPr>
        <w:t>e</w:t>
      </w:r>
      <w:r w:rsidRPr="007307F4">
        <w:rPr>
          <w:rFonts w:ascii="Cambria" w:hAnsi="Cambria"/>
          <w:sz w:val="20"/>
          <w:szCs w:val="20"/>
        </w:rPr>
        <w:t xml:space="preserve"> rainfall that gave rise to the floods was extraordinary based on historical information going back 90 to 100 years. In addition, it noted that another element that caused the rupture of the tunnel was the dense urbanization in the zone, but that it was not a situation for CONAGUA to prevent or supervise. Finally, it considered that the documentary evidence produced by the alleged victims did not show that the damages and losses to their property had been a consequence of any irregular administrative activity by the State in the form of its failure to maintain and ensure adequate oversight of the tunnel.  </w:t>
      </w:r>
    </w:p>
    <w:p w14:paraId="5AF78A42" w14:textId="77777777" w:rsidR="00E368FA" w:rsidRPr="007307F4" w:rsidRDefault="00E368FA" w:rsidP="00E368FA">
      <w:pPr>
        <w:pStyle w:val="ListParagraph"/>
        <w:pBdr>
          <w:top w:val="nil"/>
          <w:left w:val="nil"/>
          <w:bottom w:val="nil"/>
          <w:right w:val="nil"/>
          <w:between w:val="nil"/>
          <w:bar w:val="nil"/>
        </w:pBdr>
        <w:spacing w:after="0" w:line="240" w:lineRule="auto"/>
        <w:contextualSpacing w:val="0"/>
        <w:jc w:val="both"/>
        <w:rPr>
          <w:rFonts w:ascii="Cambria" w:hAnsi="Cambria"/>
          <w:sz w:val="20"/>
          <w:szCs w:val="20"/>
        </w:rPr>
      </w:pPr>
    </w:p>
    <w:p w14:paraId="752A6D10" w14:textId="6086EBCE" w:rsidR="00E368FA"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Then, on September 19, 2011, the alleged victims filed a lawsuit for economic liability</w:t>
      </w:r>
      <w:r w:rsidRPr="007307F4">
        <w:rPr>
          <w:rStyle w:val="FootnoteReference"/>
          <w:rFonts w:ascii="Cambria" w:hAnsi="Cambria"/>
          <w:sz w:val="20"/>
          <w:szCs w:val="20"/>
        </w:rPr>
        <w:footnoteReference w:id="9"/>
      </w:r>
      <w:r w:rsidRPr="007307F4">
        <w:rPr>
          <w:rFonts w:ascii="Cambria" w:hAnsi="Cambria"/>
          <w:sz w:val="20"/>
          <w:szCs w:val="20"/>
        </w:rPr>
        <w:t xml:space="preserve"> before the 12</w:t>
      </w:r>
      <w:r w:rsidRPr="007307F4">
        <w:rPr>
          <w:rFonts w:ascii="Cambria" w:hAnsi="Cambria"/>
          <w:sz w:val="20"/>
          <w:szCs w:val="20"/>
          <w:vertAlign w:val="superscript"/>
        </w:rPr>
        <w:t>th</w:t>
      </w:r>
      <w:r w:rsidRPr="007307F4">
        <w:rPr>
          <w:rFonts w:ascii="Cambria" w:hAnsi="Cambria"/>
          <w:sz w:val="20"/>
          <w:szCs w:val="20"/>
        </w:rPr>
        <w:t xml:space="preserve"> Metropolitan Regional Chamber of the Federal Court of Tax and Administrative Justice, seeking the annulment of official note BOO.00.02.03.1.1.04519 issued by CONAGUA. This lawsuit was subsequently put before the Second Auxiliary Chamber of the Federal Court of Tax and Administrative Justice</w:t>
      </w:r>
      <w:r w:rsidRPr="007307F4">
        <w:rPr>
          <w:rStyle w:val="FootnoteReference"/>
          <w:rFonts w:ascii="Cambria" w:hAnsi="Cambria"/>
          <w:sz w:val="20"/>
          <w:szCs w:val="20"/>
        </w:rPr>
        <w:footnoteReference w:id="10"/>
      </w:r>
      <w:r w:rsidRPr="007307F4">
        <w:rPr>
          <w:rFonts w:ascii="Cambria" w:hAnsi="Cambria"/>
          <w:sz w:val="20"/>
          <w:szCs w:val="20"/>
        </w:rPr>
        <w:t xml:space="preserve"> (file 22441/11-17-10-3/735/12-SSA-7). That chamber, by judgment of August 31, 2012, denied the compensation sought and recognized the validity of the resolution issued by CONAGUA. The chamber considered that the floods were caused by a natural hydrometeorological phenomenon, which was recognized in a declaration of disaster zone published by the official register Diario Oficial de la Federación on September 14, 2009. In other words, </w:t>
      </w:r>
      <w:r w:rsidR="00E13D2F" w:rsidRPr="007307F4">
        <w:rPr>
          <w:rFonts w:ascii="Cambria" w:hAnsi="Cambria"/>
          <w:sz w:val="20"/>
          <w:szCs w:val="20"/>
        </w:rPr>
        <w:t xml:space="preserve">the rupture of the tunnel </w:t>
      </w:r>
      <w:r w:rsidRPr="007307F4">
        <w:rPr>
          <w:rFonts w:ascii="Cambria" w:hAnsi="Cambria"/>
          <w:sz w:val="20"/>
          <w:szCs w:val="20"/>
        </w:rPr>
        <w:t xml:space="preserve">was </w:t>
      </w:r>
      <w:r w:rsidR="00E13D2F" w:rsidRPr="007307F4">
        <w:rPr>
          <w:rFonts w:ascii="Cambria" w:hAnsi="Cambria"/>
          <w:sz w:val="20"/>
          <w:szCs w:val="20"/>
        </w:rPr>
        <w:t xml:space="preserve">caused by </w:t>
      </w:r>
      <w:r w:rsidRPr="007307F4">
        <w:rPr>
          <w:rFonts w:ascii="Cambria" w:hAnsi="Cambria"/>
          <w:sz w:val="20"/>
          <w:szCs w:val="20"/>
        </w:rPr>
        <w:t>an extraordinary rainfall. Moreover, it considered that the alleged victims did not show that CONAGUA had acted negligently, nor that said alleged negligence had caused the rupture of the tunnel.</w:t>
      </w:r>
    </w:p>
    <w:p w14:paraId="7667C107" w14:textId="657FDC11" w:rsidR="0012720B" w:rsidRPr="007307F4" w:rsidRDefault="0012720B" w:rsidP="00E368FA">
      <w:pPr>
        <w:pBdr>
          <w:top w:val="nil"/>
          <w:left w:val="nil"/>
          <w:bottom w:val="nil"/>
          <w:right w:val="nil"/>
          <w:between w:val="nil"/>
          <w:bar w:val="nil"/>
        </w:pBdr>
        <w:spacing w:after="0" w:line="240" w:lineRule="auto"/>
        <w:jc w:val="both"/>
        <w:rPr>
          <w:rFonts w:ascii="Cambria" w:hAnsi="Cambria"/>
          <w:sz w:val="20"/>
          <w:szCs w:val="20"/>
        </w:rPr>
      </w:pPr>
      <w:r w:rsidRPr="007307F4">
        <w:rPr>
          <w:rFonts w:ascii="Cambria" w:hAnsi="Cambria"/>
          <w:sz w:val="20"/>
          <w:szCs w:val="20"/>
        </w:rPr>
        <w:t xml:space="preserve"> </w:t>
      </w:r>
    </w:p>
    <w:p w14:paraId="05651EE2" w14:textId="33111E92"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 xml:space="preserve">On June 11, 2013, the alleged victims brought a direct </w:t>
      </w:r>
      <w:r w:rsidRPr="007307F4">
        <w:rPr>
          <w:rFonts w:ascii="Cambria" w:hAnsi="Cambria"/>
          <w:i/>
          <w:iCs/>
          <w:sz w:val="20"/>
          <w:szCs w:val="20"/>
        </w:rPr>
        <w:t>amparo</w:t>
      </w:r>
      <w:r w:rsidRPr="007307F4">
        <w:rPr>
          <w:rFonts w:ascii="Cambria" w:hAnsi="Cambria"/>
          <w:sz w:val="20"/>
          <w:szCs w:val="20"/>
        </w:rPr>
        <w:t xml:space="preserve"> action against that judgment</w:t>
      </w:r>
      <w:r w:rsidRPr="007307F4">
        <w:rPr>
          <w:rStyle w:val="FootnoteReference"/>
          <w:rFonts w:ascii="Cambria" w:hAnsi="Cambria"/>
          <w:sz w:val="20"/>
          <w:szCs w:val="20"/>
        </w:rPr>
        <w:footnoteReference w:id="11"/>
      </w:r>
      <w:r w:rsidRPr="007307F4">
        <w:rPr>
          <w:rFonts w:ascii="Cambria" w:hAnsi="Cambria"/>
          <w:sz w:val="20"/>
          <w:szCs w:val="20"/>
        </w:rPr>
        <w:t xml:space="preserve"> before the Fifth Multijudge Court of the First Circuit for Administrative Matters, under case file number 54/2014. This </w:t>
      </w:r>
      <w:r w:rsidRPr="007307F4">
        <w:rPr>
          <w:rFonts w:ascii="Cambria" w:hAnsi="Cambria"/>
          <w:i/>
          <w:iCs/>
          <w:sz w:val="20"/>
          <w:szCs w:val="20"/>
        </w:rPr>
        <w:t>amparo</w:t>
      </w:r>
      <w:r w:rsidRPr="007307F4">
        <w:rPr>
          <w:rFonts w:ascii="Cambria" w:hAnsi="Cambria"/>
          <w:sz w:val="20"/>
          <w:szCs w:val="20"/>
        </w:rPr>
        <w:t xml:space="preserve"> action, however, was denied on March 20, 2014.</w:t>
      </w:r>
    </w:p>
    <w:p w14:paraId="249A9157" w14:textId="77777777" w:rsidR="00E368FA" w:rsidRPr="007307F4" w:rsidRDefault="00E368FA" w:rsidP="00E368FA">
      <w:pPr>
        <w:pBdr>
          <w:top w:val="nil"/>
          <w:left w:val="nil"/>
          <w:bottom w:val="nil"/>
          <w:right w:val="nil"/>
          <w:between w:val="nil"/>
          <w:bar w:val="nil"/>
        </w:pBdr>
        <w:spacing w:after="0" w:line="240" w:lineRule="auto"/>
        <w:jc w:val="both"/>
        <w:rPr>
          <w:rFonts w:ascii="Cambria" w:hAnsi="Cambria"/>
          <w:sz w:val="20"/>
          <w:szCs w:val="20"/>
        </w:rPr>
      </w:pPr>
    </w:p>
    <w:p w14:paraId="135E88F7" w14:textId="391BEAA6"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 xml:space="preserve">In the </w:t>
      </w:r>
      <w:r w:rsidRPr="007307F4">
        <w:rPr>
          <w:rFonts w:ascii="Cambria" w:hAnsi="Cambria"/>
          <w:i/>
          <w:iCs/>
          <w:sz w:val="20"/>
          <w:szCs w:val="20"/>
        </w:rPr>
        <w:t>amparo</w:t>
      </w:r>
      <w:r w:rsidRPr="007307F4">
        <w:rPr>
          <w:rFonts w:ascii="Cambria" w:hAnsi="Cambria"/>
          <w:sz w:val="20"/>
          <w:szCs w:val="20"/>
        </w:rPr>
        <w:t xml:space="preserve"> judgment the court did not find evidence </w:t>
      </w:r>
      <w:r w:rsidR="006A505D" w:rsidRPr="007307F4">
        <w:rPr>
          <w:rFonts w:ascii="Cambria" w:hAnsi="Cambria"/>
          <w:sz w:val="20"/>
          <w:szCs w:val="20"/>
        </w:rPr>
        <w:t xml:space="preserve">that </w:t>
      </w:r>
      <w:r w:rsidRPr="007307F4">
        <w:rPr>
          <w:rFonts w:ascii="Cambria" w:hAnsi="Cambria"/>
          <w:sz w:val="20"/>
          <w:szCs w:val="20"/>
        </w:rPr>
        <w:t xml:space="preserve">any irregular activity on the part of CONAGUA had caused the floods. And it recalled that according to the domestic legislation, in order for payment of compensation for irregular administrative activity to be in order there must be material imputability of the act to the State in the exercise of its functions; the existence of harm; and a causal nexus between the two. It considered that these requirements were not met in the case examined. </w:t>
      </w:r>
    </w:p>
    <w:p w14:paraId="391F4D51" w14:textId="77777777" w:rsidR="00EC724C" w:rsidRPr="007307F4" w:rsidRDefault="00EC724C" w:rsidP="00EC724C">
      <w:pPr>
        <w:pStyle w:val="ListParagraph"/>
        <w:rPr>
          <w:rFonts w:ascii="Cambria" w:hAnsi="Cambria"/>
          <w:sz w:val="20"/>
          <w:szCs w:val="20"/>
        </w:rPr>
      </w:pPr>
    </w:p>
    <w:p w14:paraId="2CB91C6F" w14:textId="178D1222" w:rsidR="0012720B" w:rsidRPr="007307F4" w:rsidRDefault="00EC724C"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I</w:t>
      </w:r>
      <w:r w:rsidR="0012720B" w:rsidRPr="007307F4">
        <w:rPr>
          <w:rFonts w:ascii="Cambria" w:hAnsi="Cambria"/>
          <w:sz w:val="20"/>
          <w:szCs w:val="20"/>
        </w:rPr>
        <w:t xml:space="preserve">n addition, the court said that according to the technical expert report of the UNAM the collapse of the tunnel had been caused by other factors such as: (i) the extraordinary rainfall in the area of the district of Valle Dorado; (ii) the </w:t>
      </w:r>
      <w:r w:rsidR="0012720B" w:rsidRPr="007307F4">
        <w:rPr>
          <w:rFonts w:ascii="Cambria" w:hAnsi="Cambria" w:cs="Times"/>
          <w:sz w:val="20"/>
          <w:szCs w:val="20"/>
        </w:rPr>
        <w:t xml:space="preserve">dense urbanization of the zone, which surpassed the capacity of the original tunnel design, on receiving larger discharges; </w:t>
      </w:r>
      <w:r w:rsidR="0012720B" w:rsidRPr="007307F4">
        <w:rPr>
          <w:rFonts w:ascii="Cambria" w:hAnsi="Cambria"/>
          <w:sz w:val="20"/>
          <w:szCs w:val="20"/>
        </w:rPr>
        <w:t>(iii) the loss in conduction capacity of the Los Remedios, Tlalnepantla, and San Javier rivers</w:t>
      </w:r>
      <w:r w:rsidR="0012720B" w:rsidRPr="007307F4">
        <w:rPr>
          <w:rFonts w:ascii="Cambria" w:hAnsi="Cambria" w:cs="Times"/>
          <w:sz w:val="20"/>
          <w:szCs w:val="20"/>
        </w:rPr>
        <w:t xml:space="preserve">, which was not considered when the tunnel construction was designed, </w:t>
      </w:r>
      <w:r w:rsidR="0012720B" w:rsidRPr="007307F4">
        <w:rPr>
          <w:rFonts w:ascii="Cambria" w:hAnsi="Cambria" w:cs="Times"/>
          <w:sz w:val="20"/>
          <w:szCs w:val="20"/>
        </w:rPr>
        <w:lastRenderedPageBreak/>
        <w:t>limit</w:t>
      </w:r>
      <w:r w:rsidR="005D4622" w:rsidRPr="007307F4">
        <w:rPr>
          <w:rFonts w:ascii="Cambria" w:hAnsi="Cambria" w:cs="Times"/>
          <w:sz w:val="20"/>
          <w:szCs w:val="20"/>
        </w:rPr>
        <w:t>ing</w:t>
      </w:r>
      <w:r w:rsidR="0012720B" w:rsidRPr="007307F4">
        <w:rPr>
          <w:rFonts w:ascii="Cambria" w:hAnsi="Cambria" w:cs="Times"/>
          <w:sz w:val="20"/>
          <w:szCs w:val="20"/>
        </w:rPr>
        <w:t xml:space="preserve"> the possibilit</w:t>
      </w:r>
      <w:r w:rsidR="003521FE" w:rsidRPr="007307F4">
        <w:rPr>
          <w:rFonts w:ascii="Cambria" w:hAnsi="Cambria" w:cs="Times"/>
          <w:sz w:val="20"/>
          <w:szCs w:val="20"/>
        </w:rPr>
        <w:t>y</w:t>
      </w:r>
      <w:r w:rsidR="0012720B" w:rsidRPr="007307F4">
        <w:rPr>
          <w:rFonts w:ascii="Cambria" w:hAnsi="Cambria" w:cs="Times"/>
          <w:sz w:val="20"/>
          <w:szCs w:val="20"/>
        </w:rPr>
        <w:t xml:space="preserve"> of </w:t>
      </w:r>
      <w:r w:rsidR="003521FE" w:rsidRPr="007307F4">
        <w:rPr>
          <w:rFonts w:ascii="Cambria" w:hAnsi="Cambria" w:cs="Times"/>
          <w:sz w:val="20"/>
          <w:szCs w:val="20"/>
        </w:rPr>
        <w:t xml:space="preserve">releases </w:t>
      </w:r>
      <w:r w:rsidR="0012720B" w:rsidRPr="007307F4">
        <w:rPr>
          <w:rFonts w:ascii="Cambria" w:hAnsi="Cambria" w:cs="Times"/>
          <w:sz w:val="20"/>
          <w:szCs w:val="20"/>
        </w:rPr>
        <w:t>to other channels and avoid</w:t>
      </w:r>
      <w:r w:rsidR="003521FE" w:rsidRPr="007307F4">
        <w:rPr>
          <w:rFonts w:ascii="Cambria" w:hAnsi="Cambria" w:cs="Times"/>
          <w:sz w:val="20"/>
          <w:szCs w:val="20"/>
        </w:rPr>
        <w:t>ing</w:t>
      </w:r>
      <w:r w:rsidR="0012720B" w:rsidRPr="007307F4">
        <w:rPr>
          <w:rFonts w:ascii="Cambria" w:hAnsi="Cambria" w:cs="Times"/>
          <w:sz w:val="20"/>
          <w:szCs w:val="20"/>
        </w:rPr>
        <w:t xml:space="preserve"> flooding urban areas; (</w:t>
      </w:r>
      <w:r w:rsidR="0012720B" w:rsidRPr="007307F4">
        <w:rPr>
          <w:rFonts w:ascii="Cambria" w:hAnsi="Cambria"/>
          <w:sz w:val="20"/>
          <w:szCs w:val="20"/>
        </w:rPr>
        <w:t>iv) the unregistered drainage of the municipalities of Tlalnepantla de Baz and Atizapán de Zaragoza; and (v) the delay in the construction of a parallel tunnel to expand the capacity of the open channel, proposed in the “Master Plan for Drainage of the Mexico City Metropolitan Area 1994-2010.”</w:t>
      </w:r>
      <w:r w:rsidR="0012720B" w:rsidRPr="007307F4">
        <w:rPr>
          <w:rStyle w:val="FootnoteReference"/>
          <w:rFonts w:ascii="Cambria" w:hAnsi="Cambria"/>
          <w:sz w:val="20"/>
          <w:szCs w:val="20"/>
        </w:rPr>
        <w:footnoteReference w:id="12"/>
      </w:r>
    </w:p>
    <w:p w14:paraId="747491D6" w14:textId="77777777" w:rsidR="00EC724C" w:rsidRPr="007307F4" w:rsidRDefault="00EC724C" w:rsidP="00EC724C">
      <w:pPr>
        <w:pBdr>
          <w:top w:val="nil"/>
          <w:left w:val="nil"/>
          <w:bottom w:val="nil"/>
          <w:right w:val="nil"/>
          <w:between w:val="nil"/>
          <w:bar w:val="nil"/>
        </w:pBdr>
        <w:spacing w:after="0" w:line="240" w:lineRule="auto"/>
        <w:jc w:val="both"/>
        <w:rPr>
          <w:rFonts w:ascii="Cambria" w:hAnsi="Cambria"/>
          <w:sz w:val="20"/>
          <w:szCs w:val="20"/>
        </w:rPr>
      </w:pPr>
    </w:p>
    <w:p w14:paraId="5484AAB6" w14:textId="6B1490BD"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Nonetheless, the court considered that it was not shown that the housing density</w:t>
      </w:r>
      <w:r w:rsidR="00BB4027" w:rsidRPr="007307F4">
        <w:rPr>
          <w:rFonts w:ascii="Cambria" w:hAnsi="Cambria"/>
          <w:sz w:val="20"/>
          <w:szCs w:val="20"/>
        </w:rPr>
        <w:t>,</w:t>
      </w:r>
      <w:r w:rsidRPr="007307F4">
        <w:rPr>
          <w:rFonts w:ascii="Cambria" w:hAnsi="Cambria"/>
          <w:sz w:val="20"/>
          <w:szCs w:val="20"/>
        </w:rPr>
        <w:t xml:space="preserve"> the irregular connections to the Western Discharge Tunnel</w:t>
      </w:r>
      <w:r w:rsidR="00BB4027" w:rsidRPr="007307F4">
        <w:rPr>
          <w:rFonts w:ascii="Cambria" w:hAnsi="Cambria"/>
          <w:sz w:val="20"/>
          <w:szCs w:val="20"/>
        </w:rPr>
        <w:t>,</w:t>
      </w:r>
      <w:r w:rsidRPr="007307F4">
        <w:rPr>
          <w:rFonts w:ascii="Cambria" w:hAnsi="Cambria"/>
          <w:sz w:val="20"/>
          <w:szCs w:val="20"/>
        </w:rPr>
        <w:t xml:space="preserve"> the sinking or drying up of the natural channels of the area affected by the floods</w:t>
      </w:r>
      <w:r w:rsidR="00BB4027" w:rsidRPr="007307F4">
        <w:rPr>
          <w:rFonts w:ascii="Cambria" w:hAnsi="Cambria"/>
          <w:sz w:val="20"/>
          <w:szCs w:val="20"/>
        </w:rPr>
        <w:t>,</w:t>
      </w:r>
      <w:r w:rsidRPr="007307F4">
        <w:rPr>
          <w:rFonts w:ascii="Cambria" w:hAnsi="Cambria"/>
          <w:sz w:val="20"/>
          <w:szCs w:val="20"/>
        </w:rPr>
        <w:t xml:space="preserve"> or the extraordinary rainfall were attributable to CONAGUA, as they are natural or demographic phenomena, or ecological harm, that cannot be attributed directly and objectively to the authorities. Nor did the court consider that there was a causal nexus established by the petitioners in relation to the 1994 Master Plan, since they only mentioned it, without sufficient explanation of why they consider there was an irregular activity directly and objectively attributable to CONAGUA.</w:t>
      </w:r>
    </w:p>
    <w:p w14:paraId="417A9C42" w14:textId="77777777" w:rsidR="00EC724C" w:rsidRPr="007307F4" w:rsidRDefault="00EC724C" w:rsidP="00EC724C">
      <w:pPr>
        <w:pBdr>
          <w:top w:val="nil"/>
          <w:left w:val="nil"/>
          <w:bottom w:val="nil"/>
          <w:right w:val="nil"/>
          <w:between w:val="nil"/>
          <w:bar w:val="nil"/>
        </w:pBdr>
        <w:spacing w:after="0" w:line="240" w:lineRule="auto"/>
        <w:jc w:val="both"/>
        <w:rPr>
          <w:rFonts w:ascii="Cambria" w:hAnsi="Cambria"/>
          <w:sz w:val="20"/>
          <w:szCs w:val="20"/>
        </w:rPr>
      </w:pPr>
    </w:p>
    <w:p w14:paraId="0095E089" w14:textId="6CB87FC8" w:rsidR="0012720B" w:rsidRPr="007307F4" w:rsidRDefault="0012720B" w:rsidP="005907AA">
      <w:pPr>
        <w:pStyle w:val="ListParagraph"/>
        <w:spacing w:after="0"/>
        <w:jc w:val="both"/>
        <w:rPr>
          <w:rFonts w:ascii="Cambria" w:hAnsi="Cambria"/>
          <w:i/>
          <w:iCs/>
          <w:sz w:val="20"/>
          <w:szCs w:val="20"/>
        </w:rPr>
      </w:pPr>
      <w:r w:rsidRPr="007307F4">
        <w:rPr>
          <w:rFonts w:ascii="Cambria" w:hAnsi="Cambria"/>
          <w:i/>
          <w:iCs/>
          <w:sz w:val="20"/>
          <w:szCs w:val="20"/>
        </w:rPr>
        <w:t xml:space="preserve">Petitioner’s arguments </w:t>
      </w:r>
    </w:p>
    <w:p w14:paraId="2CFC66E5" w14:textId="77777777" w:rsidR="00EC724C" w:rsidRPr="007307F4" w:rsidRDefault="00EC724C" w:rsidP="005907AA">
      <w:pPr>
        <w:pStyle w:val="ListParagraph"/>
        <w:spacing w:after="0"/>
        <w:jc w:val="both"/>
        <w:rPr>
          <w:rFonts w:ascii="Cambria" w:hAnsi="Cambria"/>
          <w:sz w:val="20"/>
          <w:szCs w:val="20"/>
        </w:rPr>
      </w:pPr>
    </w:p>
    <w:p w14:paraId="10D3A823" w14:textId="63F40047"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 xml:space="preserve">The petitioners allege that the collapse of the discharge tunnel and the subsequent floods caused material damages to their homes, as well as psychological damages </w:t>
      </w:r>
      <w:r w:rsidR="00DC4DBD" w:rsidRPr="007307F4">
        <w:rPr>
          <w:rFonts w:ascii="Cambria" w:hAnsi="Cambria"/>
          <w:sz w:val="20"/>
          <w:szCs w:val="20"/>
        </w:rPr>
        <w:t>to</w:t>
      </w:r>
      <w:r w:rsidRPr="007307F4">
        <w:rPr>
          <w:rFonts w:ascii="Cambria" w:hAnsi="Cambria"/>
          <w:sz w:val="20"/>
          <w:szCs w:val="20"/>
        </w:rPr>
        <w:t xml:space="preserve"> them and their families, due to the negative impact </w:t>
      </w:r>
      <w:r w:rsidR="00854033" w:rsidRPr="007307F4">
        <w:rPr>
          <w:rFonts w:ascii="Cambria" w:hAnsi="Cambria"/>
          <w:sz w:val="20"/>
          <w:szCs w:val="20"/>
        </w:rPr>
        <w:t xml:space="preserve">they suffered as a result </w:t>
      </w:r>
      <w:r w:rsidRPr="007307F4">
        <w:rPr>
          <w:rFonts w:ascii="Cambria" w:hAnsi="Cambria"/>
          <w:sz w:val="20"/>
          <w:szCs w:val="20"/>
        </w:rPr>
        <w:t>of the loss of all their property. In addition, they argue they were exposed to insalubrious conditions as it was a flood of wastewater. They consider that these floods were the result of irregularities committed by the State, since the original design of the tunnel that collapsed was for handling rainwater, not wastewater. And they say that CONAGUA negligently and irregularly allowed th</w:t>
      </w:r>
      <w:r w:rsidR="00017673" w:rsidRPr="007307F4">
        <w:rPr>
          <w:rFonts w:ascii="Cambria" w:hAnsi="Cambria"/>
          <w:sz w:val="20"/>
          <w:szCs w:val="20"/>
        </w:rPr>
        <w:t>e</w:t>
      </w:r>
      <w:r w:rsidRPr="007307F4">
        <w:rPr>
          <w:rFonts w:ascii="Cambria" w:hAnsi="Cambria"/>
          <w:sz w:val="20"/>
          <w:szCs w:val="20"/>
        </w:rPr>
        <w:t xml:space="preserve"> tunnel to be used to carry wastewater, without</w:t>
      </w:r>
      <w:r w:rsidRPr="007307F4">
        <w:rPr>
          <w:rFonts w:ascii="Cambria" w:hAnsi="Cambria" w:cs="Times"/>
          <w:sz w:val="20"/>
          <w:szCs w:val="20"/>
        </w:rPr>
        <w:t xml:space="preserve"> making the technical adaptations necessary for that purpose, even though CONAGUA bears responsibility for surveillance, supervision, and maintenance of the rainwater tunnels. </w:t>
      </w:r>
    </w:p>
    <w:p w14:paraId="3EFB7A5B" w14:textId="77777777" w:rsidR="00EC724C" w:rsidRPr="007307F4" w:rsidRDefault="00EC724C" w:rsidP="00EC724C">
      <w:pPr>
        <w:pBdr>
          <w:top w:val="nil"/>
          <w:left w:val="nil"/>
          <w:bottom w:val="nil"/>
          <w:right w:val="nil"/>
          <w:between w:val="nil"/>
          <w:bar w:val="nil"/>
        </w:pBdr>
        <w:spacing w:after="0" w:line="240" w:lineRule="auto"/>
        <w:jc w:val="both"/>
        <w:rPr>
          <w:rFonts w:ascii="Cambria" w:hAnsi="Cambria"/>
          <w:sz w:val="20"/>
          <w:szCs w:val="20"/>
        </w:rPr>
      </w:pPr>
    </w:p>
    <w:p w14:paraId="22E5FB51" w14:textId="0492A07A"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 xml:space="preserve">Petitioners </w:t>
      </w:r>
      <w:r w:rsidR="00017673" w:rsidRPr="007307F4">
        <w:rPr>
          <w:rFonts w:ascii="Cambria" w:hAnsi="Cambria"/>
          <w:sz w:val="20"/>
          <w:szCs w:val="20"/>
        </w:rPr>
        <w:t xml:space="preserve">state </w:t>
      </w:r>
      <w:r w:rsidRPr="007307F4">
        <w:rPr>
          <w:rFonts w:ascii="Cambria" w:hAnsi="Cambria"/>
          <w:sz w:val="20"/>
          <w:szCs w:val="20"/>
        </w:rPr>
        <w:t xml:space="preserve">that they fully carried out their procedural obligations and also showed the irregular administrative activity of CONAGUA, as well as the nexus between it and the material and moral harm they suffered. In addition, they argue that adequate evidence for showing whether there was irregular administrative activity by the State was technical in nature, given the nature of the </w:t>
      </w:r>
      <w:r w:rsidR="00DB1034" w:rsidRPr="007307F4">
        <w:rPr>
          <w:rFonts w:ascii="Cambria" w:hAnsi="Cambria"/>
          <w:sz w:val="20"/>
          <w:szCs w:val="20"/>
        </w:rPr>
        <w:t xml:space="preserve">disaster; </w:t>
      </w:r>
      <w:r w:rsidRPr="007307F4">
        <w:rPr>
          <w:rFonts w:ascii="Cambria" w:hAnsi="Cambria"/>
          <w:sz w:val="20"/>
          <w:szCs w:val="20"/>
        </w:rPr>
        <w:t xml:space="preserve">in other words, that the expert reports on the subject (hydromechanics) were the suitable ones. Nonetheless, they state that the UNAM report, presented as documentary evidence of their claim for compensation, was not </w:t>
      </w:r>
      <w:r w:rsidRPr="007307F4">
        <w:rPr>
          <w:rFonts w:ascii="Cambria" w:hAnsi="Cambria" w:cs="Times"/>
          <w:sz w:val="20"/>
          <w:szCs w:val="20"/>
        </w:rPr>
        <w:t xml:space="preserve">considered. </w:t>
      </w:r>
    </w:p>
    <w:p w14:paraId="70777F04" w14:textId="77777777" w:rsidR="004C1655" w:rsidRPr="007307F4" w:rsidRDefault="004C1655" w:rsidP="004C1655">
      <w:pPr>
        <w:pBdr>
          <w:top w:val="nil"/>
          <w:left w:val="nil"/>
          <w:bottom w:val="nil"/>
          <w:right w:val="nil"/>
          <w:between w:val="nil"/>
          <w:bar w:val="nil"/>
        </w:pBdr>
        <w:spacing w:after="0" w:line="240" w:lineRule="auto"/>
        <w:jc w:val="both"/>
        <w:rPr>
          <w:rFonts w:ascii="Cambria" w:hAnsi="Cambria"/>
          <w:sz w:val="20"/>
          <w:szCs w:val="20"/>
        </w:rPr>
      </w:pPr>
    </w:p>
    <w:p w14:paraId="6BE72508" w14:textId="0F82C218" w:rsidR="0012720B" w:rsidRPr="007307F4" w:rsidRDefault="0012720B" w:rsidP="00EC2B85">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 xml:space="preserve">The petitioners also argue that other families affected by the same irregular administrative conduct obtained a favorable resolution by the federal judicial bodies. In this respect, they note that direct </w:t>
      </w:r>
      <w:r w:rsidRPr="007307F4">
        <w:rPr>
          <w:rFonts w:ascii="Cambria" w:hAnsi="Cambria"/>
          <w:i/>
          <w:iCs/>
          <w:sz w:val="20"/>
          <w:szCs w:val="20"/>
        </w:rPr>
        <w:t>amparo</w:t>
      </w:r>
      <w:r w:rsidRPr="007307F4">
        <w:rPr>
          <w:rFonts w:ascii="Cambria" w:hAnsi="Cambria"/>
          <w:sz w:val="20"/>
          <w:szCs w:val="20"/>
        </w:rPr>
        <w:t xml:space="preserve"> judgment No. 518/2012 determined that CONAGUA had indeed engaged in irregular administrative activit</w:t>
      </w:r>
      <w:r w:rsidR="00DB1034" w:rsidRPr="007307F4">
        <w:rPr>
          <w:rFonts w:ascii="Cambria" w:hAnsi="Cambria"/>
          <w:sz w:val="20"/>
          <w:szCs w:val="20"/>
        </w:rPr>
        <w:t>y</w:t>
      </w:r>
      <w:r w:rsidRPr="007307F4">
        <w:rPr>
          <w:rFonts w:ascii="Cambria" w:hAnsi="Cambria"/>
          <w:sz w:val="20"/>
          <w:szCs w:val="20"/>
        </w:rPr>
        <w:t xml:space="preserve"> and should compensate the third-party complainants.</w:t>
      </w:r>
      <w:r w:rsidRPr="007307F4">
        <w:rPr>
          <w:rStyle w:val="FootnoteReference"/>
          <w:rFonts w:ascii="Cambria" w:hAnsi="Cambria"/>
          <w:sz w:val="20"/>
          <w:szCs w:val="20"/>
        </w:rPr>
        <w:footnoteReference w:id="13"/>
      </w:r>
      <w:r w:rsidRPr="007307F4">
        <w:rPr>
          <w:rFonts w:ascii="Cambria" w:hAnsi="Cambria"/>
          <w:sz w:val="20"/>
          <w:szCs w:val="20"/>
        </w:rPr>
        <w:t xml:space="preserve"> Accordingly, they adduce that the same should have been decided in their case, since the matters presented “</w:t>
      </w:r>
      <w:r w:rsidRPr="007307F4">
        <w:rPr>
          <w:rFonts w:ascii="Cambria" w:hAnsi="Cambria"/>
          <w:i/>
          <w:iCs/>
          <w:sz w:val="20"/>
          <w:szCs w:val="20"/>
        </w:rPr>
        <w:t xml:space="preserve">the same circumstances of fact and of law, </w:t>
      </w:r>
      <w:r w:rsidRPr="007307F4">
        <w:rPr>
          <w:rFonts w:ascii="Cambria" w:hAnsi="Cambria"/>
          <w:sz w:val="20"/>
          <w:szCs w:val="20"/>
        </w:rPr>
        <w:t>[which]</w:t>
      </w:r>
      <w:r w:rsidRPr="007307F4">
        <w:rPr>
          <w:rFonts w:ascii="Cambria" w:hAnsi="Cambria"/>
          <w:i/>
          <w:iCs/>
          <w:sz w:val="20"/>
          <w:szCs w:val="20"/>
        </w:rPr>
        <w:t xml:space="preserve"> were put to the consideration of the administrative and judicial authorities of the State.”</w:t>
      </w:r>
      <w:r w:rsidRPr="007307F4">
        <w:rPr>
          <w:rFonts w:ascii="Cambria" w:hAnsi="Cambria"/>
          <w:sz w:val="20"/>
          <w:szCs w:val="20"/>
        </w:rPr>
        <w:t xml:space="preserve"> They underscore that </w:t>
      </w:r>
      <w:r w:rsidRPr="007307F4">
        <w:rPr>
          <w:rFonts w:ascii="Cambria" w:hAnsi="Cambria"/>
          <w:i/>
          <w:iCs/>
          <w:sz w:val="20"/>
          <w:szCs w:val="20"/>
        </w:rPr>
        <w:t>amparo</w:t>
      </w:r>
      <w:r w:rsidRPr="007307F4">
        <w:rPr>
          <w:rFonts w:ascii="Cambria" w:hAnsi="Cambria"/>
          <w:sz w:val="20"/>
          <w:szCs w:val="20"/>
        </w:rPr>
        <w:t xml:space="preserve"> resolution 518/2012 established that the rupture of the discharge tunnel was not caused only by the rain, but also by CONAGUA’s omission on not performing the work previously established in the “1994-2010 Master Plan” for improvements to the tunnel. Therefore, and considering that there is a resolution on the same facts, but positive</w:t>
      </w:r>
      <w:r w:rsidR="00EC2B85" w:rsidRPr="007307F4">
        <w:rPr>
          <w:rFonts w:ascii="Cambria" w:hAnsi="Cambria"/>
          <w:sz w:val="20"/>
          <w:szCs w:val="20"/>
        </w:rPr>
        <w:t>ly</w:t>
      </w:r>
      <w:r w:rsidRPr="007307F4">
        <w:rPr>
          <w:rFonts w:ascii="Cambria" w:hAnsi="Cambria"/>
          <w:sz w:val="20"/>
          <w:szCs w:val="20"/>
        </w:rPr>
        <w:t xml:space="preserve"> for third persons, the petitioners express their disagreement since, in their view, it is the same liability by the same administrative agency. </w:t>
      </w:r>
    </w:p>
    <w:p w14:paraId="722BE64B" w14:textId="148DCA2C" w:rsidR="004C1655" w:rsidRPr="007307F4" w:rsidRDefault="004C1655" w:rsidP="004C1655">
      <w:pPr>
        <w:pStyle w:val="ListParagraph"/>
        <w:pBdr>
          <w:top w:val="nil"/>
          <w:left w:val="nil"/>
          <w:bottom w:val="nil"/>
          <w:right w:val="nil"/>
          <w:between w:val="nil"/>
          <w:bar w:val="nil"/>
        </w:pBdr>
        <w:spacing w:after="0" w:line="240" w:lineRule="auto"/>
        <w:contextualSpacing w:val="0"/>
        <w:jc w:val="both"/>
        <w:rPr>
          <w:rFonts w:ascii="Cambria" w:hAnsi="Cambria"/>
          <w:sz w:val="20"/>
          <w:szCs w:val="20"/>
        </w:rPr>
      </w:pPr>
    </w:p>
    <w:p w14:paraId="1D849ADB" w14:textId="2DC4DDBE"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Thus the alleged victims conclude that CONAGUA’s failure to oversee and maintain the tunnel negatively affected their right to dignified housing, health, and a healthy environment, and they consider that the State did not fulfill its “</w:t>
      </w:r>
      <w:r w:rsidRPr="007307F4">
        <w:rPr>
          <w:rFonts w:ascii="Cambria" w:hAnsi="Cambria"/>
          <w:i/>
          <w:iCs/>
          <w:sz w:val="20"/>
          <w:szCs w:val="20"/>
        </w:rPr>
        <w:t xml:space="preserve">original and primary obligation to provide adequate public services to </w:t>
      </w:r>
      <w:r w:rsidR="00EC2B85" w:rsidRPr="007307F4">
        <w:rPr>
          <w:rFonts w:ascii="Cambria" w:hAnsi="Cambria"/>
          <w:i/>
          <w:iCs/>
          <w:sz w:val="20"/>
          <w:szCs w:val="20"/>
        </w:rPr>
        <w:t>its citizens</w:t>
      </w:r>
      <w:r w:rsidRPr="007307F4">
        <w:rPr>
          <w:rFonts w:ascii="Cambria" w:hAnsi="Cambria"/>
          <w:sz w:val="20"/>
          <w:szCs w:val="20"/>
        </w:rPr>
        <w:t>”); and that it was and is up to CONAGUA to “</w:t>
      </w:r>
      <w:r w:rsidRPr="007307F4">
        <w:rPr>
          <w:rFonts w:ascii="Cambria" w:hAnsi="Cambria"/>
          <w:i/>
          <w:iCs/>
          <w:sz w:val="20"/>
          <w:szCs w:val="20"/>
        </w:rPr>
        <w:t>deploy and execute every activity related to the surveillance, oversight, and maintenance of all water resources in the Republic of Mexico.</w:t>
      </w:r>
      <w:r w:rsidRPr="007307F4">
        <w:rPr>
          <w:rFonts w:ascii="Cambria" w:hAnsi="Cambria"/>
          <w:sz w:val="20"/>
          <w:szCs w:val="20"/>
        </w:rPr>
        <w:t xml:space="preserve">” Accordingly, they consider that they have the right to obtain compensation from the State since it engaged in an irregular administrative activity. </w:t>
      </w:r>
    </w:p>
    <w:p w14:paraId="3356CB7E" w14:textId="77777777" w:rsidR="004C1655" w:rsidRPr="007307F4" w:rsidRDefault="004C1655" w:rsidP="004C1655">
      <w:pPr>
        <w:pBdr>
          <w:top w:val="nil"/>
          <w:left w:val="nil"/>
          <w:bottom w:val="nil"/>
          <w:right w:val="nil"/>
          <w:between w:val="nil"/>
          <w:bar w:val="nil"/>
        </w:pBdr>
        <w:spacing w:after="0" w:line="240" w:lineRule="auto"/>
        <w:jc w:val="both"/>
        <w:rPr>
          <w:rFonts w:ascii="Cambria" w:hAnsi="Cambria"/>
          <w:sz w:val="20"/>
          <w:szCs w:val="20"/>
        </w:rPr>
      </w:pPr>
    </w:p>
    <w:p w14:paraId="033597DB" w14:textId="77777777" w:rsidR="0012720B" w:rsidRPr="007307F4" w:rsidRDefault="0012720B" w:rsidP="005907AA">
      <w:pPr>
        <w:pStyle w:val="ListParagraph"/>
        <w:spacing w:after="0"/>
        <w:ind w:left="0" w:firstLine="720"/>
        <w:jc w:val="both"/>
        <w:rPr>
          <w:rFonts w:ascii="Cambria" w:hAnsi="Cambria"/>
          <w:b/>
          <w:bCs/>
          <w:sz w:val="20"/>
          <w:szCs w:val="20"/>
        </w:rPr>
      </w:pPr>
      <w:r w:rsidRPr="007307F4">
        <w:rPr>
          <w:rFonts w:ascii="Cambria" w:hAnsi="Cambria"/>
          <w:b/>
          <w:bCs/>
          <w:sz w:val="20"/>
          <w:szCs w:val="20"/>
        </w:rPr>
        <w:t xml:space="preserve">The Mexican State </w:t>
      </w:r>
    </w:p>
    <w:p w14:paraId="64C4B6FB" w14:textId="77777777" w:rsidR="004C1655" w:rsidRPr="007307F4" w:rsidRDefault="004C1655" w:rsidP="005907AA">
      <w:pPr>
        <w:pStyle w:val="ListParagraph"/>
        <w:spacing w:after="0"/>
        <w:ind w:left="0" w:firstLine="720"/>
        <w:jc w:val="both"/>
        <w:rPr>
          <w:rFonts w:ascii="Cambria" w:hAnsi="Cambria"/>
          <w:b/>
          <w:bCs/>
          <w:sz w:val="20"/>
          <w:szCs w:val="20"/>
        </w:rPr>
      </w:pPr>
    </w:p>
    <w:p w14:paraId="3A0F6D4C" w14:textId="2413FC5F"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 xml:space="preserve">The State presents a recapitulation of the procedure that the alleged victims had before the domestic courts; and argues that the IACHR should find the petition inadmissible </w:t>
      </w:r>
      <w:r w:rsidR="00045286" w:rsidRPr="007307F4">
        <w:rPr>
          <w:rFonts w:ascii="Cambria" w:hAnsi="Cambria"/>
          <w:sz w:val="20"/>
          <w:szCs w:val="20"/>
        </w:rPr>
        <w:t>since, they are, it does not s</w:t>
      </w:r>
      <w:r w:rsidRPr="007307F4">
        <w:rPr>
          <w:rFonts w:ascii="Cambria" w:hAnsi="Cambria"/>
          <w:sz w:val="20"/>
          <w:szCs w:val="20"/>
        </w:rPr>
        <w:t xml:space="preserve">tate facts that tend to establish human rights violations. </w:t>
      </w:r>
    </w:p>
    <w:p w14:paraId="1D03372C" w14:textId="77777777" w:rsidR="004C1655" w:rsidRPr="007307F4" w:rsidRDefault="004C1655" w:rsidP="004C1655">
      <w:pPr>
        <w:pStyle w:val="ListParagraph"/>
        <w:pBdr>
          <w:top w:val="nil"/>
          <w:left w:val="nil"/>
          <w:bottom w:val="nil"/>
          <w:right w:val="nil"/>
          <w:between w:val="nil"/>
          <w:bar w:val="nil"/>
        </w:pBdr>
        <w:spacing w:after="0" w:line="240" w:lineRule="auto"/>
        <w:contextualSpacing w:val="0"/>
        <w:jc w:val="both"/>
        <w:rPr>
          <w:rFonts w:ascii="Cambria" w:hAnsi="Cambria"/>
          <w:sz w:val="20"/>
          <w:szCs w:val="20"/>
        </w:rPr>
      </w:pPr>
    </w:p>
    <w:p w14:paraId="7CE0D40D" w14:textId="29D91208"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It argues that under Article 47 of the American Convention the petition should be found inadmissible for failure to state facts that tend to establish violations of human rights. It adduces that the petitioners did not show irregularities attributable to CONAGUA</w:t>
      </w:r>
      <w:r w:rsidR="002F539D" w:rsidRPr="007307F4">
        <w:rPr>
          <w:rFonts w:ascii="Cambria" w:hAnsi="Cambria"/>
          <w:sz w:val="20"/>
          <w:szCs w:val="20"/>
        </w:rPr>
        <w:t xml:space="preserve"> in the domestic proceedings, </w:t>
      </w:r>
      <w:r w:rsidRPr="007307F4">
        <w:rPr>
          <w:rFonts w:ascii="Cambria" w:hAnsi="Cambria"/>
          <w:sz w:val="20"/>
          <w:szCs w:val="20"/>
        </w:rPr>
        <w:t xml:space="preserve">nor did they explain the damages that led to the claim for alleged economic liability. Mexico notes that the judgments handed down by the domestic courts coincided in that the facts of September 6, </w:t>
      </w:r>
      <w:r w:rsidR="00EB624E" w:rsidRPr="007307F4">
        <w:rPr>
          <w:rFonts w:ascii="Cambria" w:hAnsi="Cambria"/>
          <w:sz w:val="20"/>
          <w:szCs w:val="20"/>
        </w:rPr>
        <w:t>2009,</w:t>
      </w:r>
      <w:r w:rsidRPr="007307F4">
        <w:rPr>
          <w:rFonts w:ascii="Cambria" w:hAnsi="Cambria"/>
          <w:sz w:val="20"/>
          <w:szCs w:val="20"/>
        </w:rPr>
        <w:t xml:space="preserve"> are attributable to a force majeure event</w:t>
      </w:r>
      <w:r w:rsidR="006D1344" w:rsidRPr="007307F4">
        <w:rPr>
          <w:rFonts w:ascii="Cambria" w:hAnsi="Cambria"/>
          <w:sz w:val="20"/>
          <w:szCs w:val="20"/>
        </w:rPr>
        <w:t xml:space="preserve"> – an e</w:t>
      </w:r>
      <w:r w:rsidRPr="007307F4">
        <w:rPr>
          <w:rFonts w:ascii="Cambria" w:hAnsi="Cambria"/>
          <w:sz w:val="20"/>
          <w:szCs w:val="20"/>
        </w:rPr>
        <w:t>xtraordinary rainfall on a scale not seen for 90 years</w:t>
      </w:r>
      <w:r w:rsidR="006D1344" w:rsidRPr="007307F4">
        <w:rPr>
          <w:rFonts w:ascii="Cambria" w:hAnsi="Cambria"/>
          <w:sz w:val="20"/>
          <w:szCs w:val="20"/>
        </w:rPr>
        <w:t xml:space="preserve"> – </w:t>
      </w:r>
      <w:r w:rsidRPr="007307F4">
        <w:rPr>
          <w:rFonts w:ascii="Cambria" w:hAnsi="Cambria"/>
          <w:sz w:val="20"/>
          <w:szCs w:val="20"/>
        </w:rPr>
        <w:t>and to phenomena provoked by the excessive population growth and eco</w:t>
      </w:r>
      <w:r w:rsidR="00EC2B85" w:rsidRPr="007307F4">
        <w:rPr>
          <w:rFonts w:ascii="Cambria" w:hAnsi="Cambria"/>
          <w:sz w:val="20"/>
          <w:szCs w:val="20"/>
        </w:rPr>
        <w:t xml:space="preserve">logical </w:t>
      </w:r>
      <w:r w:rsidRPr="007307F4">
        <w:rPr>
          <w:rFonts w:ascii="Cambria" w:hAnsi="Cambria"/>
          <w:sz w:val="20"/>
          <w:szCs w:val="20"/>
        </w:rPr>
        <w:t xml:space="preserve">harm caused by contemporary society. </w:t>
      </w:r>
    </w:p>
    <w:p w14:paraId="01CAE75B" w14:textId="77777777" w:rsidR="004C1655" w:rsidRPr="007307F4" w:rsidRDefault="004C1655" w:rsidP="004C1655">
      <w:pPr>
        <w:pBdr>
          <w:top w:val="nil"/>
          <w:left w:val="nil"/>
          <w:bottom w:val="nil"/>
          <w:right w:val="nil"/>
          <w:between w:val="nil"/>
          <w:bar w:val="nil"/>
        </w:pBdr>
        <w:spacing w:after="0" w:line="240" w:lineRule="auto"/>
        <w:jc w:val="both"/>
        <w:rPr>
          <w:rFonts w:ascii="Cambria" w:hAnsi="Cambria"/>
          <w:sz w:val="20"/>
          <w:szCs w:val="20"/>
        </w:rPr>
      </w:pPr>
    </w:p>
    <w:p w14:paraId="5833E697" w14:textId="77777777"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 xml:space="preserve">Along these lines, the State indicates that the force majeure events exempt the State from the obligation of compensating damages, according to Article 3 of the Federal Law on the Economic Liability of the State, which indicates: </w:t>
      </w:r>
    </w:p>
    <w:p w14:paraId="690A4C37" w14:textId="77777777" w:rsidR="004C1655" w:rsidRPr="007307F4" w:rsidRDefault="004C1655" w:rsidP="004C1655">
      <w:pPr>
        <w:pBdr>
          <w:top w:val="nil"/>
          <w:left w:val="nil"/>
          <w:bottom w:val="nil"/>
          <w:right w:val="nil"/>
          <w:between w:val="nil"/>
          <w:bar w:val="nil"/>
        </w:pBdr>
        <w:spacing w:after="0" w:line="240" w:lineRule="auto"/>
        <w:jc w:val="both"/>
        <w:rPr>
          <w:rFonts w:ascii="Cambria" w:hAnsi="Cambria"/>
          <w:sz w:val="20"/>
          <w:szCs w:val="20"/>
        </w:rPr>
      </w:pPr>
    </w:p>
    <w:p w14:paraId="5A221009" w14:textId="0F6EF1D5" w:rsidR="0012720B" w:rsidRPr="007307F4" w:rsidRDefault="0012720B" w:rsidP="005907AA">
      <w:pPr>
        <w:pStyle w:val="ListParagraph"/>
        <w:spacing w:after="0"/>
        <w:ind w:right="720"/>
        <w:jc w:val="both"/>
        <w:rPr>
          <w:rFonts w:ascii="Cambria" w:hAnsi="Cambria"/>
          <w:sz w:val="18"/>
          <w:szCs w:val="18"/>
        </w:rPr>
      </w:pPr>
      <w:r w:rsidRPr="007307F4">
        <w:rPr>
          <w:rFonts w:ascii="Cambria" w:hAnsi="Cambria"/>
          <w:sz w:val="18"/>
          <w:szCs w:val="18"/>
        </w:rPr>
        <w:t xml:space="preserve">According to this Law, an exception is made to the obligation to pay compensation not only for acts of God and force majeure, </w:t>
      </w:r>
      <w:r w:rsidR="002A20A4" w:rsidRPr="007307F4">
        <w:rPr>
          <w:rFonts w:ascii="Cambria" w:hAnsi="Cambria"/>
          <w:sz w:val="18"/>
          <w:szCs w:val="18"/>
        </w:rPr>
        <w:t xml:space="preserve">but also </w:t>
      </w:r>
      <w:r w:rsidRPr="007307F4">
        <w:rPr>
          <w:rFonts w:ascii="Cambria" w:hAnsi="Cambria"/>
          <w:sz w:val="18"/>
          <w:szCs w:val="18"/>
        </w:rPr>
        <w:t xml:space="preserve">for those damages that are not the consequence of the irregular administrative activity of the State, as well as those that derive from facts or circumstances that could not be foreseen or prevented based on the state of scientific or technical knowledge existing at the time they occur, and in those cases in which the person seeking compensation was the only one who caused the damage. </w:t>
      </w:r>
    </w:p>
    <w:p w14:paraId="268F3B9F" w14:textId="77777777" w:rsidR="004C1655" w:rsidRPr="007307F4" w:rsidRDefault="004C1655" w:rsidP="005907AA">
      <w:pPr>
        <w:pStyle w:val="ListParagraph"/>
        <w:spacing w:after="0"/>
        <w:ind w:right="720"/>
        <w:jc w:val="both"/>
        <w:rPr>
          <w:rFonts w:ascii="Cambria" w:hAnsi="Cambria"/>
          <w:sz w:val="18"/>
          <w:szCs w:val="18"/>
        </w:rPr>
      </w:pPr>
    </w:p>
    <w:p w14:paraId="71BEE1E9" w14:textId="3B4A8201" w:rsidR="004C1655" w:rsidRPr="007307F4" w:rsidRDefault="0012720B" w:rsidP="004C1655">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 xml:space="preserve">In the analysis by the Fifth </w:t>
      </w:r>
      <w:r w:rsidR="00573C40" w:rsidRPr="007307F4">
        <w:rPr>
          <w:rFonts w:ascii="Cambria" w:hAnsi="Cambria"/>
          <w:sz w:val="20"/>
          <w:szCs w:val="20"/>
        </w:rPr>
        <w:t xml:space="preserve">Multijudge </w:t>
      </w:r>
      <w:r w:rsidRPr="007307F4">
        <w:rPr>
          <w:rFonts w:ascii="Cambria" w:hAnsi="Cambria"/>
          <w:sz w:val="20"/>
          <w:szCs w:val="20"/>
        </w:rPr>
        <w:t xml:space="preserve">Court of the First Circuit for Administrative Matters, in the </w:t>
      </w:r>
      <w:r w:rsidRPr="007307F4">
        <w:rPr>
          <w:rFonts w:ascii="Cambria" w:hAnsi="Cambria"/>
          <w:i/>
          <w:iCs/>
          <w:sz w:val="20"/>
          <w:szCs w:val="20"/>
        </w:rPr>
        <w:t>amparo</w:t>
      </w:r>
      <w:r w:rsidRPr="007307F4">
        <w:rPr>
          <w:rFonts w:ascii="Cambria" w:hAnsi="Cambria"/>
          <w:sz w:val="20"/>
          <w:szCs w:val="20"/>
        </w:rPr>
        <w:t xml:space="preserve"> judgment of June 2013, it was observed that the chamber only took into consideration one of the various motives for the flooding, according to the UNAM report, and failed to give any weight to the others; </w:t>
      </w:r>
      <w:r w:rsidR="00EB624E" w:rsidRPr="007307F4">
        <w:rPr>
          <w:rFonts w:ascii="Cambria" w:hAnsi="Cambria"/>
          <w:sz w:val="20"/>
          <w:szCs w:val="20"/>
        </w:rPr>
        <w:t>accordingly,</w:t>
      </w:r>
      <w:r w:rsidRPr="007307F4">
        <w:rPr>
          <w:rFonts w:ascii="Cambria" w:hAnsi="Cambria"/>
          <w:sz w:val="20"/>
          <w:szCs w:val="20"/>
        </w:rPr>
        <w:t xml:space="preserve"> the Multijudge Court did proceed to weigh them. Nonetheless, the documentary proof presented by the petitioner – consisting of receipts, invoices, expert reports on the damages to the real properties and psychological harm – was sufficient to attribute an irregular activity to the State. Accordingly, it concludes that the petitioner was unable to make a showing, before the domestic courts, of the existence of a causal nexus between the alleged irregular activity of the State and the harm suffered by the alleged victims, as required by the Federal Law on Economic Liability of the State at Article 21.</w:t>
      </w:r>
      <w:r w:rsidRPr="007307F4">
        <w:rPr>
          <w:rStyle w:val="FootnoteReference"/>
          <w:rFonts w:ascii="Cambria" w:hAnsi="Cambria"/>
          <w:sz w:val="20"/>
          <w:szCs w:val="20"/>
        </w:rPr>
        <w:footnoteReference w:id="14"/>
      </w:r>
    </w:p>
    <w:p w14:paraId="4CB23411" w14:textId="77777777" w:rsidR="00EB624E" w:rsidRPr="007307F4" w:rsidRDefault="00EB624E" w:rsidP="00EB624E">
      <w:pPr>
        <w:pStyle w:val="ListParagraph"/>
        <w:pBdr>
          <w:top w:val="nil"/>
          <w:left w:val="nil"/>
          <w:bottom w:val="nil"/>
          <w:right w:val="nil"/>
          <w:between w:val="nil"/>
          <w:bar w:val="nil"/>
        </w:pBdr>
        <w:spacing w:after="0" w:line="240" w:lineRule="auto"/>
        <w:contextualSpacing w:val="0"/>
        <w:jc w:val="both"/>
        <w:rPr>
          <w:rFonts w:ascii="Cambria" w:hAnsi="Cambria"/>
          <w:sz w:val="20"/>
          <w:szCs w:val="20"/>
        </w:rPr>
      </w:pPr>
    </w:p>
    <w:p w14:paraId="68BB53EA" w14:textId="77777777"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 xml:space="preserve">Finally, the State argues that the rulings by the domestic courts addressed the petitioners’ rights, even though they were not favorable to their claims, thus the Inter-American Commission could not sit as a court of fourth instance. </w:t>
      </w:r>
    </w:p>
    <w:p w14:paraId="1304002A" w14:textId="77777777" w:rsidR="004C1655" w:rsidRPr="007307F4" w:rsidRDefault="004C1655" w:rsidP="004C1655">
      <w:pPr>
        <w:pBdr>
          <w:top w:val="nil"/>
          <w:left w:val="nil"/>
          <w:bottom w:val="nil"/>
          <w:right w:val="nil"/>
          <w:between w:val="nil"/>
          <w:bar w:val="nil"/>
        </w:pBdr>
        <w:spacing w:after="0" w:line="240" w:lineRule="auto"/>
        <w:jc w:val="both"/>
        <w:rPr>
          <w:rFonts w:ascii="Cambria" w:hAnsi="Cambria"/>
          <w:sz w:val="20"/>
          <w:szCs w:val="20"/>
        </w:rPr>
      </w:pPr>
    </w:p>
    <w:p w14:paraId="758F2AF2" w14:textId="3B1E4464" w:rsidR="0012720B" w:rsidRPr="007307F4" w:rsidRDefault="0012720B" w:rsidP="005907AA">
      <w:pPr>
        <w:spacing w:after="0"/>
        <w:ind w:firstLine="720"/>
        <w:jc w:val="both"/>
        <w:rPr>
          <w:rFonts w:ascii="Cambria" w:hAnsi="Cambria"/>
          <w:b/>
          <w:bCs/>
          <w:sz w:val="20"/>
          <w:szCs w:val="20"/>
        </w:rPr>
      </w:pPr>
      <w:r w:rsidRPr="007307F4">
        <w:rPr>
          <w:rFonts w:ascii="Cambria" w:eastAsia="Cambria" w:hAnsi="Cambria" w:cs="Cambria"/>
          <w:b/>
          <w:bCs/>
          <w:color w:val="000000"/>
          <w:sz w:val="20"/>
          <w:szCs w:val="20"/>
          <w:u w:color="000000"/>
          <w:lang w:eastAsia="es-ES"/>
        </w:rPr>
        <w:lastRenderedPageBreak/>
        <w:t>VI.</w:t>
      </w:r>
      <w:r w:rsidRPr="007307F4">
        <w:rPr>
          <w:rFonts w:ascii="Cambria" w:eastAsia="Cambria" w:hAnsi="Cambria" w:cs="Cambria"/>
          <w:b/>
          <w:bCs/>
          <w:color w:val="000000"/>
          <w:sz w:val="20"/>
          <w:szCs w:val="20"/>
          <w:u w:color="000000"/>
          <w:lang w:eastAsia="es-ES"/>
        </w:rPr>
        <w:tab/>
      </w:r>
      <w:r w:rsidRPr="007307F4">
        <w:rPr>
          <w:rFonts w:ascii="Cambria" w:hAnsi="Cambria"/>
          <w:b/>
          <w:bCs/>
          <w:sz w:val="20"/>
          <w:szCs w:val="20"/>
        </w:rPr>
        <w:t xml:space="preserve">ANALYSIS OF EXHAUSTION OF DOMESTIC REMEDIES AND TIMELINESS OF THE PETITION </w:t>
      </w:r>
    </w:p>
    <w:p w14:paraId="37BE2FBE" w14:textId="77777777" w:rsidR="004C1655" w:rsidRPr="007307F4" w:rsidRDefault="004C1655" w:rsidP="004C1655">
      <w:pPr>
        <w:spacing w:after="0"/>
        <w:jc w:val="both"/>
        <w:rPr>
          <w:rFonts w:ascii="Cambria" w:hAnsi="Cambria"/>
          <w:sz w:val="20"/>
          <w:szCs w:val="20"/>
        </w:rPr>
      </w:pPr>
    </w:p>
    <w:p w14:paraId="106F782F" w14:textId="6B845939"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The IACHR recalls that according to its consolidated and reiterated practice, for the purposes of identifying the suitable remedies that should have been exhausted by a petitioner before turning to the inter-American system, the first methodological step of the analysis is to distinguish the claims made in the respective petition, so as to proceed to examine each individually.</w:t>
      </w:r>
      <w:r w:rsidRPr="007307F4">
        <w:rPr>
          <w:rStyle w:val="FootnoteReference"/>
          <w:rFonts w:ascii="Cambria" w:hAnsi="Cambria"/>
          <w:sz w:val="20"/>
          <w:szCs w:val="20"/>
        </w:rPr>
        <w:footnoteReference w:id="15"/>
      </w:r>
      <w:r w:rsidRPr="007307F4">
        <w:rPr>
          <w:rFonts w:ascii="Cambria" w:hAnsi="Cambria"/>
          <w:sz w:val="20"/>
          <w:szCs w:val="20"/>
        </w:rPr>
        <w:t xml:space="preserve"> In the instant case, the petitioners have presented two fundamental claims to the Commission: (i) the violation of their right to compensation for state liability for the damages caused after the September 2009 floods, which occurred after ferocious rains and due to the rupture of a tunnel carrying wastewater, which caused them economic damages; and (ii) unequal treatment in the decisions of the courts, since persons who were victims of the same facts, and who put forward a similar factual case to the courts, did receive compensation as it was found that CONAGUA bore responsibility for the rupture of the tunnel and the subsequent flooding. </w:t>
      </w:r>
    </w:p>
    <w:p w14:paraId="5A76948A" w14:textId="77777777" w:rsidR="004C1655" w:rsidRPr="007307F4" w:rsidRDefault="004C1655" w:rsidP="004C1655">
      <w:pPr>
        <w:pStyle w:val="ListParagraph"/>
        <w:pBdr>
          <w:top w:val="nil"/>
          <w:left w:val="nil"/>
          <w:bottom w:val="nil"/>
          <w:right w:val="nil"/>
          <w:between w:val="nil"/>
          <w:bar w:val="nil"/>
        </w:pBdr>
        <w:spacing w:after="0" w:line="240" w:lineRule="auto"/>
        <w:contextualSpacing w:val="0"/>
        <w:jc w:val="both"/>
        <w:rPr>
          <w:rFonts w:ascii="Cambria" w:hAnsi="Cambria"/>
          <w:sz w:val="20"/>
          <w:szCs w:val="20"/>
        </w:rPr>
      </w:pPr>
    </w:p>
    <w:p w14:paraId="1F6256B4" w14:textId="2BC576E3"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With respect to these claims, both parties agree that the alleged victims filed and exhausted the remedies available to them. Accordingly, one observes that on May 13, 2010, they filed an administrative claim with the Office of the Assistant Counsel of CONAGUA, adducing the economic liability of the State for the negative impacts suffered after the floods. On July 21, 2011</w:t>
      </w:r>
      <w:r w:rsidR="00172E96" w:rsidRPr="007307F4">
        <w:rPr>
          <w:rFonts w:ascii="Cambria" w:hAnsi="Cambria"/>
          <w:sz w:val="20"/>
          <w:szCs w:val="20"/>
        </w:rPr>
        <w:t>,</w:t>
      </w:r>
      <w:r w:rsidRPr="007307F4">
        <w:rPr>
          <w:rFonts w:ascii="Cambria" w:hAnsi="Cambria"/>
          <w:sz w:val="20"/>
          <w:szCs w:val="20"/>
        </w:rPr>
        <w:t xml:space="preserve"> the Office of the Assistant Counsel decided not to pay compensation for material and moral damages, considering that the incident was due to a situation of force majeure. Subsequently, on September 19, 2011, alleged victims filed a lawsuit for economic liability before the 12</w:t>
      </w:r>
      <w:r w:rsidRPr="007307F4">
        <w:rPr>
          <w:rFonts w:ascii="Cambria" w:hAnsi="Cambria"/>
          <w:sz w:val="20"/>
          <w:szCs w:val="20"/>
          <w:vertAlign w:val="superscript"/>
        </w:rPr>
        <w:t>th</w:t>
      </w:r>
      <w:r w:rsidRPr="007307F4">
        <w:rPr>
          <w:rFonts w:ascii="Cambria" w:hAnsi="Cambria"/>
          <w:sz w:val="20"/>
          <w:szCs w:val="20"/>
        </w:rPr>
        <w:t xml:space="preserve"> Metropolitan Regional Chamber of the Federal Court of Tax and Administrative </w:t>
      </w:r>
      <w:r w:rsidR="00EC2B85" w:rsidRPr="007307F4">
        <w:rPr>
          <w:rFonts w:ascii="Cambria" w:hAnsi="Cambria"/>
          <w:sz w:val="20"/>
          <w:szCs w:val="20"/>
        </w:rPr>
        <w:t>Justice</w:t>
      </w:r>
      <w:r w:rsidRPr="007307F4">
        <w:rPr>
          <w:rFonts w:ascii="Cambria" w:hAnsi="Cambria"/>
          <w:sz w:val="20"/>
          <w:szCs w:val="20"/>
        </w:rPr>
        <w:t xml:space="preserve">, which was subsequently lodged with the Second Auxiliary Chamber of that court, which on August 31, 2012, affirmed the resolution issued by CONAGUA. Finally, on June 11, 2013, the alleged victims brought direct </w:t>
      </w:r>
      <w:r w:rsidRPr="007307F4">
        <w:rPr>
          <w:rFonts w:ascii="Cambria" w:hAnsi="Cambria"/>
          <w:i/>
          <w:iCs/>
          <w:sz w:val="20"/>
          <w:szCs w:val="20"/>
        </w:rPr>
        <w:t>amparo</w:t>
      </w:r>
      <w:r w:rsidRPr="007307F4">
        <w:rPr>
          <w:rFonts w:ascii="Cambria" w:hAnsi="Cambria"/>
          <w:sz w:val="20"/>
          <w:szCs w:val="20"/>
        </w:rPr>
        <w:t xml:space="preserve"> action 54/2014 before the Fifth Multijudge Court of the First Circuit on Administrative Matters, which was denied on March 20, 2014. </w:t>
      </w:r>
    </w:p>
    <w:p w14:paraId="72AAF461" w14:textId="77777777" w:rsidR="004C1655" w:rsidRPr="007307F4" w:rsidRDefault="004C1655" w:rsidP="004C1655">
      <w:pPr>
        <w:pBdr>
          <w:top w:val="nil"/>
          <w:left w:val="nil"/>
          <w:bottom w:val="nil"/>
          <w:right w:val="nil"/>
          <w:between w:val="nil"/>
          <w:bar w:val="nil"/>
        </w:pBdr>
        <w:spacing w:after="0" w:line="240" w:lineRule="auto"/>
        <w:jc w:val="both"/>
        <w:rPr>
          <w:rFonts w:ascii="Cambria" w:hAnsi="Cambria"/>
          <w:sz w:val="20"/>
          <w:szCs w:val="20"/>
        </w:rPr>
      </w:pPr>
    </w:p>
    <w:p w14:paraId="1AA4F0A3" w14:textId="77777777"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 xml:space="preserve">In that regard – and considering that the State does not raise questions about the exhaustion of domestic remedies or the timeliness of the petition – the Commission considers that this matter meets the requirement at Article 46(1)(a) of the American Convention.  In addition, given that the petition was received by the IACHR by regular mail on September </w:t>
      </w:r>
      <w:r w:rsidRPr="007307F4">
        <w:rPr>
          <w:rFonts w:ascii="Cambria" w:hAnsi="Cambria"/>
          <w:bCs/>
          <w:sz w:val="20"/>
          <w:szCs w:val="20"/>
        </w:rPr>
        <w:t>3, 2014</w:t>
      </w:r>
      <w:r w:rsidRPr="007307F4">
        <w:rPr>
          <w:rFonts w:ascii="Cambria" w:hAnsi="Cambria"/>
          <w:sz w:val="20"/>
          <w:szCs w:val="20"/>
        </w:rPr>
        <w:t>, the IACHR also concludes that it meets the deadline provided for at Article 46(1)(b) of the Convention.</w:t>
      </w:r>
    </w:p>
    <w:p w14:paraId="593CE364" w14:textId="77777777" w:rsidR="004C1655" w:rsidRPr="007307F4" w:rsidRDefault="004C1655" w:rsidP="004C1655">
      <w:pPr>
        <w:pBdr>
          <w:top w:val="nil"/>
          <w:left w:val="nil"/>
          <w:bottom w:val="nil"/>
          <w:right w:val="nil"/>
          <w:between w:val="nil"/>
          <w:bar w:val="nil"/>
        </w:pBdr>
        <w:spacing w:after="0" w:line="240" w:lineRule="auto"/>
        <w:jc w:val="both"/>
        <w:rPr>
          <w:rFonts w:ascii="Cambria" w:hAnsi="Cambria"/>
          <w:sz w:val="20"/>
          <w:szCs w:val="20"/>
        </w:rPr>
      </w:pPr>
    </w:p>
    <w:p w14:paraId="64999531" w14:textId="77777777" w:rsidR="004C1655" w:rsidRPr="007307F4" w:rsidRDefault="0012720B" w:rsidP="005907AA">
      <w:pPr>
        <w:pStyle w:val="ListParagraph"/>
        <w:suppressAutoHyphens/>
        <w:spacing w:after="0"/>
        <w:ind w:left="0" w:firstLine="720"/>
        <w:jc w:val="both"/>
        <w:rPr>
          <w:rFonts w:ascii="Cambria" w:hAnsi="Cambria"/>
          <w:b/>
          <w:bCs/>
          <w:sz w:val="20"/>
          <w:szCs w:val="20"/>
        </w:rPr>
      </w:pPr>
      <w:r w:rsidRPr="007307F4">
        <w:rPr>
          <w:rFonts w:ascii="Cambria" w:hAnsi="Cambria"/>
          <w:b/>
          <w:bCs/>
          <w:sz w:val="20"/>
          <w:szCs w:val="20"/>
        </w:rPr>
        <w:t>VII.</w:t>
      </w:r>
      <w:r w:rsidRPr="007307F4">
        <w:rPr>
          <w:rFonts w:ascii="Cambria" w:hAnsi="Cambria"/>
          <w:b/>
          <w:bCs/>
          <w:sz w:val="20"/>
          <w:szCs w:val="20"/>
        </w:rPr>
        <w:tab/>
        <w:t>ANALYSIS OF COLORABLE CLAIM</w:t>
      </w:r>
    </w:p>
    <w:p w14:paraId="1E6BB84D" w14:textId="77777777" w:rsidR="005655BA" w:rsidRPr="007307F4" w:rsidRDefault="005655BA" w:rsidP="005907AA">
      <w:pPr>
        <w:pStyle w:val="ListParagraph"/>
        <w:suppressAutoHyphens/>
        <w:spacing w:after="0"/>
        <w:ind w:left="0" w:firstLine="720"/>
        <w:jc w:val="both"/>
        <w:rPr>
          <w:rFonts w:ascii="Cambria" w:hAnsi="Cambria"/>
          <w:b/>
          <w:bCs/>
          <w:sz w:val="20"/>
          <w:szCs w:val="20"/>
        </w:rPr>
      </w:pPr>
    </w:p>
    <w:p w14:paraId="3F86B4C3" w14:textId="348CE334" w:rsidR="0012720B" w:rsidRPr="007307F4" w:rsidRDefault="0012720B" w:rsidP="005907AA">
      <w:pPr>
        <w:numPr>
          <w:ilvl w:val="0"/>
          <w:numId w:val="2"/>
        </w:numPr>
        <w:suppressAutoHyphens/>
        <w:spacing w:after="0" w:line="240" w:lineRule="auto"/>
        <w:ind w:left="0" w:firstLine="720"/>
        <w:jc w:val="both"/>
        <w:rPr>
          <w:rFonts w:ascii="Cambria" w:hAnsi="Cambria"/>
          <w:sz w:val="20"/>
          <w:szCs w:val="20"/>
        </w:rPr>
      </w:pPr>
      <w:r w:rsidRPr="007307F4">
        <w:rPr>
          <w:rFonts w:ascii="Cambria" w:hAnsi="Cambria"/>
          <w:sz w:val="20"/>
          <w:szCs w:val="20"/>
        </w:rPr>
        <w:t xml:space="preserve">First, the Commission reiterates that the criterion for evaluation in the admissibility phase is different from that used to rule on the merits of a petition; the IACHR should, at this stage, undertake a </w:t>
      </w:r>
      <w:r w:rsidRPr="007307F4">
        <w:rPr>
          <w:rFonts w:ascii="Cambria" w:hAnsi="Cambria"/>
          <w:i/>
          <w:iCs/>
          <w:sz w:val="20"/>
          <w:szCs w:val="20"/>
        </w:rPr>
        <w:t>prima facie</w:t>
      </w:r>
      <w:r w:rsidRPr="007307F4">
        <w:rPr>
          <w:rFonts w:ascii="Cambria" w:hAnsi="Cambria"/>
          <w:sz w:val="20"/>
          <w:szCs w:val="20"/>
        </w:rPr>
        <w:t xml:space="preserve"> evaluation to determine whether the petition establishes the basis of a violation, possible or potential, of a right guaranteed by the Convention, but not to establish the existence of a violation of rights. Th</w:t>
      </w:r>
      <w:r w:rsidR="006A53BC" w:rsidRPr="007307F4">
        <w:rPr>
          <w:rFonts w:ascii="Cambria" w:hAnsi="Cambria"/>
          <w:sz w:val="20"/>
          <w:szCs w:val="20"/>
        </w:rPr>
        <w:t>e</w:t>
      </w:r>
      <w:r w:rsidRPr="007307F4">
        <w:rPr>
          <w:rFonts w:ascii="Cambria" w:hAnsi="Cambria"/>
          <w:sz w:val="20"/>
          <w:szCs w:val="20"/>
        </w:rPr>
        <w:t xml:space="preserve"> determination as to whether the facts stated tend to establish a violation of the American Convention is a primary analysis that does not entail prejudging the merits issues. For the purposes of admissibility, the Commission must decide whether the facts alleged tend to establish a violation, in the terms of Article 47(b) of the American Convention, or whether the petition is “manifestly groundless” or “obviously out of order,” in the terms of Article 47(c) of the American Convention.  </w:t>
      </w:r>
    </w:p>
    <w:p w14:paraId="3E17E66E" w14:textId="77777777" w:rsidR="005655BA" w:rsidRPr="007307F4" w:rsidRDefault="005655BA" w:rsidP="005655BA">
      <w:pPr>
        <w:suppressAutoHyphens/>
        <w:spacing w:after="0" w:line="240" w:lineRule="auto"/>
        <w:ind w:left="720"/>
        <w:jc w:val="both"/>
        <w:rPr>
          <w:rFonts w:ascii="Cambria" w:hAnsi="Cambria"/>
          <w:sz w:val="20"/>
          <w:szCs w:val="20"/>
        </w:rPr>
      </w:pPr>
    </w:p>
    <w:p w14:paraId="2DD1618D" w14:textId="77777777"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lastRenderedPageBreak/>
        <w:t xml:space="preserve">The alleged victims indicate that a tunnel by their homes broke after heavy rains in September 2009, flooding their houses with wastewater. They allege that this occurred due to the failure of CONAGUA to carry out its obligation to oversee and supervise tunnels, so they should be compensated. In addition, they argue that they were subjected to unequal treatment by the domestic courts, since in an </w:t>
      </w:r>
      <w:r w:rsidRPr="007307F4">
        <w:rPr>
          <w:rFonts w:ascii="Cambria" w:hAnsi="Cambria"/>
          <w:i/>
          <w:iCs/>
          <w:sz w:val="20"/>
          <w:szCs w:val="20"/>
        </w:rPr>
        <w:t>amparo</w:t>
      </w:r>
      <w:r w:rsidRPr="007307F4">
        <w:rPr>
          <w:rFonts w:ascii="Cambria" w:hAnsi="Cambria"/>
          <w:sz w:val="20"/>
          <w:szCs w:val="20"/>
        </w:rPr>
        <w:t xml:space="preserve"> proceeding with similar facts the court ruled in favor of third persons, declaring the economic liability of CONAGUA. They affirm that this alleged inequality impacted their right to proper compensation, due process, legal certainty, and juridical security. </w:t>
      </w:r>
    </w:p>
    <w:p w14:paraId="50E5EB6B" w14:textId="77777777" w:rsidR="005655BA" w:rsidRPr="007307F4" w:rsidRDefault="005655BA" w:rsidP="005655BA">
      <w:pPr>
        <w:pBdr>
          <w:top w:val="nil"/>
          <w:left w:val="nil"/>
          <w:bottom w:val="nil"/>
          <w:right w:val="nil"/>
          <w:between w:val="nil"/>
          <w:bar w:val="nil"/>
        </w:pBdr>
        <w:spacing w:after="0" w:line="240" w:lineRule="auto"/>
        <w:jc w:val="both"/>
        <w:rPr>
          <w:rFonts w:ascii="Cambria" w:hAnsi="Cambria"/>
          <w:sz w:val="20"/>
          <w:szCs w:val="20"/>
        </w:rPr>
      </w:pPr>
    </w:p>
    <w:p w14:paraId="5498275A" w14:textId="404A5A3C"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 xml:space="preserve">The State, for its part, asks that the petition be found inadmissible for failure to state facts that tend to establish a violation of rights, </w:t>
      </w:r>
      <w:r w:rsidR="003A6B3E" w:rsidRPr="007307F4">
        <w:rPr>
          <w:rFonts w:ascii="Cambria" w:hAnsi="Cambria"/>
          <w:sz w:val="20"/>
          <w:szCs w:val="20"/>
        </w:rPr>
        <w:t xml:space="preserve">affirming </w:t>
      </w:r>
      <w:r w:rsidRPr="007307F4">
        <w:rPr>
          <w:rFonts w:ascii="Cambria" w:hAnsi="Cambria"/>
          <w:sz w:val="20"/>
          <w:szCs w:val="20"/>
        </w:rPr>
        <w:t xml:space="preserve">that in the domestic decisions weight was given to the evidence corresponding to the administrative procedure and the direct </w:t>
      </w:r>
      <w:r w:rsidRPr="007307F4">
        <w:rPr>
          <w:rFonts w:ascii="Cambria" w:hAnsi="Cambria"/>
          <w:i/>
          <w:iCs/>
          <w:sz w:val="20"/>
          <w:szCs w:val="20"/>
        </w:rPr>
        <w:t>amparo</w:t>
      </w:r>
      <w:r w:rsidRPr="007307F4">
        <w:rPr>
          <w:rFonts w:ascii="Cambria" w:hAnsi="Cambria"/>
          <w:sz w:val="20"/>
          <w:szCs w:val="20"/>
        </w:rPr>
        <w:t xml:space="preserve"> action. </w:t>
      </w:r>
      <w:r w:rsidR="00EC2B85" w:rsidRPr="007307F4">
        <w:rPr>
          <w:rFonts w:ascii="Cambria" w:hAnsi="Cambria"/>
          <w:sz w:val="20"/>
          <w:szCs w:val="20"/>
        </w:rPr>
        <w:t xml:space="preserve">Accordingly, it explains that </w:t>
      </w:r>
      <w:r w:rsidRPr="007307F4">
        <w:rPr>
          <w:rFonts w:ascii="Cambria" w:hAnsi="Cambria"/>
          <w:sz w:val="20"/>
          <w:szCs w:val="20"/>
        </w:rPr>
        <w:t xml:space="preserve">the petitioner seeks to have the IACHR act as a court of fourth instance. In addition, it indicates that the courts that heard the case noted that the alleged victims did not show the existence of material or moral damages, nor did they show irregularities by CONAGUA. It should be noted that the Mexican State did not refer to the alleged unequal treatment due to the </w:t>
      </w:r>
      <w:r w:rsidRPr="007307F4">
        <w:rPr>
          <w:rFonts w:ascii="Cambria" w:hAnsi="Cambria"/>
          <w:i/>
          <w:iCs/>
          <w:sz w:val="20"/>
          <w:szCs w:val="20"/>
        </w:rPr>
        <w:t>amparo</w:t>
      </w:r>
      <w:r w:rsidRPr="007307F4">
        <w:rPr>
          <w:rFonts w:ascii="Cambria" w:hAnsi="Cambria"/>
          <w:sz w:val="20"/>
          <w:szCs w:val="20"/>
        </w:rPr>
        <w:t xml:space="preserve"> judgment in favor of third persons in similar factual circumstances. </w:t>
      </w:r>
    </w:p>
    <w:p w14:paraId="42C554B0" w14:textId="77777777" w:rsidR="005655BA" w:rsidRPr="007307F4" w:rsidRDefault="005655BA" w:rsidP="005655BA">
      <w:pPr>
        <w:pBdr>
          <w:top w:val="nil"/>
          <w:left w:val="nil"/>
          <w:bottom w:val="nil"/>
          <w:right w:val="nil"/>
          <w:between w:val="nil"/>
          <w:bar w:val="nil"/>
        </w:pBdr>
        <w:spacing w:after="0" w:line="240" w:lineRule="auto"/>
        <w:jc w:val="both"/>
        <w:rPr>
          <w:rFonts w:ascii="Cambria" w:hAnsi="Cambria"/>
          <w:sz w:val="20"/>
          <w:szCs w:val="20"/>
        </w:rPr>
      </w:pPr>
    </w:p>
    <w:p w14:paraId="6C2A8C52" w14:textId="6C8FC8EA"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With respect to the State’s argument invoking the “fourth instance formula,” the Commission emphasizes the complementary nature of the inter-American system and notes that, as the Inter-American Court has explained, for a “fourth instance” objection to be in order, it would be necessary “</w:t>
      </w:r>
      <w:r w:rsidR="009C0328" w:rsidRPr="007307F4">
        <w:rPr>
          <w:rFonts w:ascii="Cambria" w:hAnsi="Cambria"/>
          <w:i/>
          <w:iCs/>
          <w:sz w:val="20"/>
          <w:szCs w:val="20"/>
        </w:rPr>
        <w:t xml:space="preserve">to apply </w:t>
      </w:r>
      <w:r w:rsidR="00B96680" w:rsidRPr="007307F4">
        <w:rPr>
          <w:rFonts w:ascii="Cambria" w:hAnsi="Cambria"/>
          <w:i/>
          <w:iCs/>
          <w:sz w:val="20"/>
          <w:szCs w:val="20"/>
        </w:rPr>
        <w:t>to the Court to review the decision of the domestic court, based on its incorrect assessment of the evidence, the facts or domestic law without, in turn, alleging that such decision was a violation of international treaties….”</w:t>
      </w:r>
      <w:r w:rsidRPr="007307F4">
        <w:rPr>
          <w:rFonts w:ascii="Cambria" w:hAnsi="Cambria"/>
          <w:sz w:val="20"/>
          <w:szCs w:val="20"/>
          <w:vertAlign w:val="superscript"/>
        </w:rPr>
        <w:footnoteReference w:id="16"/>
      </w:r>
      <w:r w:rsidRPr="007307F4">
        <w:rPr>
          <w:rFonts w:ascii="Cambria" w:hAnsi="Cambria"/>
          <w:sz w:val="20"/>
          <w:szCs w:val="20"/>
        </w:rPr>
        <w:t xml:space="preserve"> In the instant case, the Commission observes that as the Inter-American Court has indicated, “</w:t>
      </w:r>
      <w:r w:rsidR="004C0B58" w:rsidRPr="007307F4">
        <w:rPr>
          <w:rFonts w:ascii="Cambria" w:hAnsi="Cambria"/>
          <w:i/>
          <w:iCs/>
          <w:sz w:val="20"/>
          <w:szCs w:val="20"/>
        </w:rPr>
        <w:t xml:space="preserve">it is up to the Court to ascertain whether or not the </w:t>
      </w:r>
      <w:r w:rsidR="003B7188" w:rsidRPr="007307F4">
        <w:rPr>
          <w:rFonts w:ascii="Cambria" w:hAnsi="Cambria"/>
          <w:i/>
          <w:iCs/>
          <w:sz w:val="20"/>
          <w:szCs w:val="20"/>
        </w:rPr>
        <w:t xml:space="preserve">State, in the </w:t>
      </w:r>
      <w:r w:rsidR="00E810B0" w:rsidRPr="007307F4">
        <w:rPr>
          <w:rFonts w:ascii="Cambria" w:hAnsi="Cambria"/>
          <w:i/>
          <w:iCs/>
          <w:sz w:val="20"/>
          <w:szCs w:val="20"/>
        </w:rPr>
        <w:t>steps effectively taken at the domestic level, violated its international obligations stemming from those inter-American instruments that grant authority to the Court</w:t>
      </w:r>
      <w:r w:rsidRPr="007307F4">
        <w:rPr>
          <w:rFonts w:ascii="Cambria" w:hAnsi="Cambria"/>
          <w:i/>
          <w:iCs/>
          <w:sz w:val="20"/>
          <w:szCs w:val="20"/>
        </w:rPr>
        <w:t>.</w:t>
      </w:r>
      <w:r w:rsidRPr="007307F4">
        <w:rPr>
          <w:rFonts w:ascii="Cambria" w:hAnsi="Cambria"/>
          <w:sz w:val="20"/>
          <w:szCs w:val="20"/>
        </w:rPr>
        <w:t>”</w:t>
      </w:r>
      <w:r w:rsidRPr="007307F4">
        <w:rPr>
          <w:rFonts w:ascii="Cambria" w:hAnsi="Cambria"/>
          <w:sz w:val="20"/>
          <w:szCs w:val="20"/>
          <w:vertAlign w:val="superscript"/>
        </w:rPr>
        <w:footnoteReference w:id="17"/>
      </w:r>
      <w:r w:rsidRPr="007307F4">
        <w:rPr>
          <w:rFonts w:ascii="Cambria" w:hAnsi="Cambria"/>
          <w:sz w:val="20"/>
          <w:szCs w:val="20"/>
        </w:rPr>
        <w:t xml:space="preserve"> In addition, it must examine “</w:t>
      </w:r>
      <w:r w:rsidR="0066611E" w:rsidRPr="007307F4">
        <w:rPr>
          <w:rFonts w:ascii="Cambria" w:hAnsi="Cambria"/>
          <w:i/>
          <w:iCs/>
          <w:sz w:val="20"/>
          <w:szCs w:val="20"/>
        </w:rPr>
        <w:t>whether … the actions of the judicial bodies constitute a violation of the State’s international obligations [, which] may lead the Court to examinate the corresponding domestic proceedings in order to establish their compatibility with the American Convention</w:t>
      </w:r>
      <w:r w:rsidRPr="007307F4">
        <w:rPr>
          <w:rFonts w:ascii="Cambria" w:hAnsi="Cambria"/>
          <w:i/>
          <w:iCs/>
          <w:sz w:val="20"/>
          <w:szCs w:val="20"/>
        </w:rPr>
        <w:t>.</w:t>
      </w:r>
      <w:r w:rsidRPr="007307F4">
        <w:rPr>
          <w:rFonts w:ascii="Cambria" w:hAnsi="Cambria"/>
          <w:sz w:val="20"/>
          <w:szCs w:val="20"/>
        </w:rPr>
        <w:t>”</w:t>
      </w:r>
      <w:r w:rsidRPr="007307F4">
        <w:rPr>
          <w:rFonts w:ascii="Cambria" w:hAnsi="Cambria"/>
          <w:sz w:val="20"/>
          <w:szCs w:val="20"/>
          <w:vertAlign w:val="superscript"/>
        </w:rPr>
        <w:footnoteReference w:id="18"/>
      </w:r>
      <w:r w:rsidRPr="007307F4">
        <w:rPr>
          <w:rFonts w:ascii="Cambria" w:hAnsi="Cambria"/>
          <w:sz w:val="20"/>
          <w:szCs w:val="20"/>
        </w:rPr>
        <w:t xml:space="preserve"> In this regard, the analysis as to whether the State violated that treaty is a matter that must be decided when considering the merits of this claim. Accordingly the IACHR, on admitting a petition, does not seek to supplant the domestic judicial authorities; rather, within its mandate, it is competent to find a petition admissible and rule on the merits when it refers to domestic proceedings that may be in violation of the rights guaranteed by the American Convention.  </w:t>
      </w:r>
    </w:p>
    <w:p w14:paraId="01BB1F7F" w14:textId="77777777" w:rsidR="00DE30BE" w:rsidRPr="007307F4" w:rsidRDefault="00DE30BE" w:rsidP="00DE30BE">
      <w:pPr>
        <w:pBdr>
          <w:top w:val="nil"/>
          <w:left w:val="nil"/>
          <w:bottom w:val="nil"/>
          <w:right w:val="nil"/>
          <w:between w:val="nil"/>
          <w:bar w:val="nil"/>
        </w:pBdr>
        <w:spacing w:after="0" w:line="240" w:lineRule="auto"/>
        <w:jc w:val="both"/>
        <w:rPr>
          <w:rFonts w:ascii="Cambria" w:hAnsi="Cambria"/>
          <w:sz w:val="20"/>
          <w:szCs w:val="20"/>
        </w:rPr>
      </w:pPr>
    </w:p>
    <w:p w14:paraId="375623D2" w14:textId="77777777"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 xml:space="preserve">As regards the petitioners’ allegation of a violation of Article 24 of the Americana Convention (right to equality before the law), on the basis of the courts having rejected their claims for compensation when in a similar proceeding brought by third persons they did receive such compensation, the Commission observes the following about the two proceedings: </w:t>
      </w:r>
    </w:p>
    <w:p w14:paraId="6302274E" w14:textId="77777777" w:rsidR="00DE30BE" w:rsidRPr="007307F4" w:rsidRDefault="00DE30BE" w:rsidP="00DE30BE">
      <w:pPr>
        <w:pBdr>
          <w:top w:val="nil"/>
          <w:left w:val="nil"/>
          <w:bottom w:val="nil"/>
          <w:right w:val="nil"/>
          <w:between w:val="nil"/>
          <w:bar w:val="nil"/>
        </w:pBdr>
        <w:spacing w:after="0" w:line="240" w:lineRule="auto"/>
        <w:jc w:val="both"/>
        <w:rPr>
          <w:rFonts w:ascii="Cambria" w:hAnsi="Cambria"/>
          <w:sz w:val="20"/>
          <w:szCs w:val="20"/>
        </w:rPr>
      </w:pPr>
    </w:p>
    <w:tbl>
      <w:tblPr>
        <w:tblStyle w:val="TableGrid"/>
        <w:tblW w:w="9350" w:type="dxa"/>
        <w:tblInd w:w="137" w:type="dxa"/>
        <w:tblLook w:val="04A0" w:firstRow="1" w:lastRow="0" w:firstColumn="1" w:lastColumn="0" w:noHBand="0" w:noVBand="1"/>
      </w:tblPr>
      <w:tblGrid>
        <w:gridCol w:w="4675"/>
        <w:gridCol w:w="4675"/>
      </w:tblGrid>
      <w:tr w:rsidR="0012720B" w:rsidRPr="007307F4" w14:paraId="6DCC279C" w14:textId="77777777" w:rsidTr="00CC5FEC">
        <w:trPr>
          <w:trHeight w:val="389"/>
        </w:trPr>
        <w:tc>
          <w:tcPr>
            <w:tcW w:w="4675" w:type="dxa"/>
          </w:tcPr>
          <w:p w14:paraId="7EA8F6D8"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8"/>
                <w:szCs w:val="18"/>
                <w:lang w:val="en-US"/>
              </w:rPr>
            </w:pPr>
            <w:r w:rsidRPr="007307F4">
              <w:rPr>
                <w:rFonts w:ascii="Cambria" w:hAnsi="Cambria"/>
                <w:b/>
                <w:bCs/>
                <w:sz w:val="18"/>
                <w:szCs w:val="18"/>
                <w:lang w:val="en-US"/>
              </w:rPr>
              <w:t xml:space="preserve">Proceeding with the alleged victims </w:t>
            </w:r>
          </w:p>
        </w:tc>
        <w:tc>
          <w:tcPr>
            <w:tcW w:w="4675" w:type="dxa"/>
          </w:tcPr>
          <w:p w14:paraId="3312A837"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b/>
                <w:bCs/>
                <w:sz w:val="18"/>
                <w:szCs w:val="18"/>
                <w:lang w:val="en-US"/>
              </w:rPr>
            </w:pPr>
            <w:r w:rsidRPr="007307F4">
              <w:rPr>
                <w:rFonts w:ascii="Cambria" w:hAnsi="Cambria"/>
                <w:b/>
                <w:bCs/>
                <w:sz w:val="18"/>
                <w:szCs w:val="18"/>
                <w:lang w:val="en-US"/>
              </w:rPr>
              <w:t xml:space="preserve">Proceeding with third persons </w:t>
            </w:r>
          </w:p>
        </w:tc>
      </w:tr>
      <w:tr w:rsidR="0012720B" w:rsidRPr="007307F4" w14:paraId="229EF995" w14:textId="77777777" w:rsidTr="00CC5FEC">
        <w:tc>
          <w:tcPr>
            <w:tcW w:w="4675" w:type="dxa"/>
          </w:tcPr>
          <w:p w14:paraId="4C187F83"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i/>
                <w:iCs/>
                <w:sz w:val="18"/>
                <w:szCs w:val="18"/>
                <w:lang w:val="en-US"/>
              </w:rPr>
            </w:pPr>
            <w:r w:rsidRPr="007307F4">
              <w:rPr>
                <w:rFonts w:ascii="Cambria" w:hAnsi="Cambria"/>
                <w:i/>
                <w:iCs/>
                <w:sz w:val="18"/>
                <w:szCs w:val="18"/>
                <w:lang w:val="en-US"/>
              </w:rPr>
              <w:t>Administrative Claim</w:t>
            </w:r>
          </w:p>
          <w:p w14:paraId="62E09789"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Cambria" w:hAnsi="Cambria"/>
                <w:sz w:val="18"/>
                <w:szCs w:val="18"/>
                <w:lang w:val="en-US"/>
              </w:rPr>
            </w:pPr>
            <w:r w:rsidRPr="007307F4">
              <w:rPr>
                <w:rFonts w:ascii="Cambria" w:hAnsi="Cambria"/>
                <w:sz w:val="18"/>
                <w:szCs w:val="18"/>
                <w:lang w:val="en-US"/>
              </w:rPr>
              <w:t xml:space="preserve">Before the Office of the Assistant Counsel of CONAGUA. </w:t>
            </w:r>
          </w:p>
          <w:p w14:paraId="5D223F88"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Cambria" w:hAnsi="Cambria"/>
                <w:sz w:val="18"/>
                <w:szCs w:val="18"/>
                <w:lang w:val="en-US"/>
              </w:rPr>
            </w:pPr>
          </w:p>
          <w:p w14:paraId="05EC194E" w14:textId="186846B7" w:rsidR="0012720B" w:rsidRPr="007307F4" w:rsidRDefault="0012720B" w:rsidP="005907AA">
            <w:pPr>
              <w:suppressAutoHyphens/>
              <w:snapToGrid w:val="0"/>
              <w:contextualSpacing/>
              <w:jc w:val="both"/>
              <w:rPr>
                <w:rFonts w:ascii="Cambria" w:hAnsi="Cambria"/>
                <w:sz w:val="18"/>
                <w:szCs w:val="18"/>
                <w:lang w:val="en-US"/>
              </w:rPr>
            </w:pPr>
            <w:r w:rsidRPr="007307F4">
              <w:rPr>
                <w:rFonts w:ascii="Cambria" w:hAnsi="Cambria"/>
                <w:sz w:val="18"/>
                <w:szCs w:val="18"/>
                <w:lang w:val="en-US"/>
              </w:rPr>
              <w:t xml:space="preserve">On July 21, </w:t>
            </w:r>
            <w:r w:rsidR="00EB624E" w:rsidRPr="007307F4">
              <w:rPr>
                <w:rFonts w:ascii="Cambria" w:hAnsi="Cambria"/>
                <w:sz w:val="18"/>
                <w:szCs w:val="18"/>
                <w:lang w:val="en-US"/>
              </w:rPr>
              <w:t>2011,</w:t>
            </w:r>
            <w:r w:rsidRPr="007307F4">
              <w:rPr>
                <w:rFonts w:ascii="Cambria" w:hAnsi="Cambria"/>
                <w:sz w:val="18"/>
                <w:szCs w:val="18"/>
                <w:lang w:val="en-US"/>
              </w:rPr>
              <w:t xml:space="preserve"> it decided not to pay compensation for economic harm through official note number BOO.00.02.03.1.1.04519. </w:t>
            </w:r>
          </w:p>
        </w:tc>
        <w:tc>
          <w:tcPr>
            <w:tcW w:w="4675" w:type="dxa"/>
          </w:tcPr>
          <w:p w14:paraId="4D937118"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i/>
                <w:iCs/>
                <w:sz w:val="18"/>
                <w:szCs w:val="18"/>
                <w:lang w:val="en-US"/>
              </w:rPr>
            </w:pPr>
            <w:r w:rsidRPr="007307F4">
              <w:rPr>
                <w:rFonts w:ascii="Cambria" w:hAnsi="Cambria"/>
                <w:i/>
                <w:iCs/>
                <w:sz w:val="18"/>
                <w:szCs w:val="18"/>
                <w:lang w:val="en-US"/>
              </w:rPr>
              <w:t>Administrative Claim</w:t>
            </w:r>
          </w:p>
          <w:p w14:paraId="2C66828E"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Cambria" w:hAnsi="Cambria"/>
                <w:color w:val="F1A983" w:themeColor="accent2" w:themeTint="99"/>
                <w:sz w:val="18"/>
                <w:szCs w:val="18"/>
                <w:lang w:val="en-US"/>
              </w:rPr>
            </w:pPr>
            <w:r w:rsidRPr="007307F4">
              <w:rPr>
                <w:rFonts w:ascii="Cambria" w:hAnsi="Cambria"/>
                <w:sz w:val="18"/>
                <w:szCs w:val="18"/>
                <w:lang w:val="en-US"/>
              </w:rPr>
              <w:t>Before the Office of the Assistant Counsel of CONAGUA.</w:t>
            </w:r>
          </w:p>
          <w:p w14:paraId="73AB5D72"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Cambria" w:hAnsi="Cambria"/>
                <w:color w:val="F1A983" w:themeColor="accent2" w:themeTint="99"/>
                <w:sz w:val="18"/>
                <w:szCs w:val="18"/>
                <w:lang w:val="en-US"/>
              </w:rPr>
            </w:pPr>
          </w:p>
          <w:p w14:paraId="102CD2C8" w14:textId="77777777" w:rsidR="0012720B" w:rsidRPr="007307F4" w:rsidRDefault="0012720B" w:rsidP="005907AA">
            <w:pPr>
              <w:pStyle w:val="BodyText"/>
              <w:snapToGrid w:val="0"/>
              <w:spacing w:after="0"/>
              <w:contextualSpacing/>
              <w:jc w:val="both"/>
              <w:rPr>
                <w:rFonts w:ascii="Cambria" w:hAnsi="Cambria"/>
                <w:sz w:val="18"/>
                <w:szCs w:val="18"/>
                <w:lang w:val="en-US"/>
              </w:rPr>
            </w:pPr>
            <w:r w:rsidRPr="007307F4">
              <w:rPr>
                <w:rFonts w:ascii="Cambria" w:hAnsi="Cambria"/>
                <w:sz w:val="18"/>
                <w:szCs w:val="18"/>
                <w:lang w:val="en-US"/>
              </w:rPr>
              <w:t>On July 8, 2011, it decided not to pay compensation for economic harm through official note number BOO.00.02.03.1.1.04235.</w:t>
            </w:r>
          </w:p>
        </w:tc>
      </w:tr>
      <w:tr w:rsidR="0012720B" w:rsidRPr="007307F4" w14:paraId="43DED527" w14:textId="77777777" w:rsidTr="00CC5FEC">
        <w:tc>
          <w:tcPr>
            <w:tcW w:w="4675" w:type="dxa"/>
          </w:tcPr>
          <w:p w14:paraId="47D98213" w14:textId="77777777" w:rsidR="0012720B" w:rsidRPr="007307F4" w:rsidRDefault="0012720B" w:rsidP="005907AA">
            <w:pPr>
              <w:jc w:val="center"/>
              <w:rPr>
                <w:rFonts w:ascii="Cambria" w:hAnsi="Cambria"/>
                <w:i/>
                <w:iCs/>
                <w:sz w:val="18"/>
                <w:szCs w:val="18"/>
                <w:lang w:val="en-US"/>
              </w:rPr>
            </w:pPr>
            <w:r w:rsidRPr="007307F4">
              <w:rPr>
                <w:rFonts w:ascii="Cambria" w:hAnsi="Cambria"/>
                <w:i/>
                <w:iCs/>
                <w:sz w:val="18"/>
                <w:szCs w:val="18"/>
                <w:lang w:val="en-US"/>
              </w:rPr>
              <w:t xml:space="preserve">Proceeding for economic liability </w:t>
            </w:r>
          </w:p>
          <w:p w14:paraId="7E5FEE89"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i/>
                <w:iCs/>
                <w:sz w:val="18"/>
                <w:szCs w:val="18"/>
                <w:lang w:val="en-US"/>
              </w:rPr>
            </w:pPr>
            <w:r w:rsidRPr="007307F4">
              <w:rPr>
                <w:rFonts w:ascii="Cambria" w:hAnsi="Cambria"/>
                <w:i/>
                <w:iCs/>
                <w:sz w:val="18"/>
                <w:szCs w:val="18"/>
                <w:lang w:val="en-US"/>
              </w:rPr>
              <w:t>22441/11-17-10-3/735/12-SSA-7</w:t>
            </w:r>
          </w:p>
          <w:p w14:paraId="414F0397"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Cambria" w:hAnsi="Cambria"/>
                <w:sz w:val="18"/>
                <w:szCs w:val="18"/>
                <w:lang w:val="en-US"/>
              </w:rPr>
            </w:pPr>
          </w:p>
          <w:p w14:paraId="0F49A195"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Cambria" w:hAnsi="Cambria"/>
                <w:sz w:val="18"/>
                <w:szCs w:val="18"/>
                <w:lang w:val="en-US"/>
              </w:rPr>
            </w:pPr>
            <w:r w:rsidRPr="007307F4">
              <w:rPr>
                <w:rFonts w:ascii="Cambria" w:hAnsi="Cambria"/>
                <w:sz w:val="18"/>
                <w:szCs w:val="18"/>
                <w:lang w:val="en-US"/>
              </w:rPr>
              <w:t>Before the Second Auxiliary Chamber of the Federal Court for Tax and Administrative Matters.</w:t>
            </w:r>
          </w:p>
          <w:p w14:paraId="16C88FEC"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Cambria" w:hAnsi="Cambria"/>
                <w:sz w:val="18"/>
                <w:szCs w:val="18"/>
                <w:lang w:val="en-US"/>
              </w:rPr>
            </w:pPr>
          </w:p>
          <w:p w14:paraId="27460C74"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Cambria" w:hAnsi="Cambria"/>
                <w:sz w:val="18"/>
                <w:szCs w:val="18"/>
                <w:lang w:val="en-US"/>
              </w:rPr>
            </w:pPr>
          </w:p>
          <w:p w14:paraId="45588F10" w14:textId="77777777" w:rsidR="0012720B" w:rsidRPr="007307F4" w:rsidRDefault="0012720B" w:rsidP="005907AA">
            <w:pPr>
              <w:suppressAutoHyphens/>
              <w:snapToGrid w:val="0"/>
              <w:contextualSpacing/>
              <w:jc w:val="both"/>
              <w:rPr>
                <w:rFonts w:ascii="Cambria" w:hAnsi="Cambria"/>
                <w:sz w:val="18"/>
                <w:szCs w:val="18"/>
                <w:lang w:val="en-US"/>
              </w:rPr>
            </w:pPr>
            <w:r w:rsidRPr="007307F4">
              <w:rPr>
                <w:rFonts w:ascii="Cambria" w:hAnsi="Cambria"/>
                <w:sz w:val="18"/>
                <w:szCs w:val="18"/>
                <w:lang w:val="en-US"/>
              </w:rPr>
              <w:t>On August 31, 2012, it was denied.</w:t>
            </w:r>
          </w:p>
        </w:tc>
        <w:tc>
          <w:tcPr>
            <w:tcW w:w="4675" w:type="dxa"/>
          </w:tcPr>
          <w:p w14:paraId="7175393E" w14:textId="77777777" w:rsidR="0012720B" w:rsidRPr="007307F4" w:rsidRDefault="0012720B" w:rsidP="005907AA">
            <w:pPr>
              <w:jc w:val="center"/>
              <w:rPr>
                <w:rFonts w:ascii="Cambria" w:hAnsi="Cambria"/>
                <w:i/>
                <w:iCs/>
                <w:sz w:val="18"/>
                <w:szCs w:val="18"/>
                <w:lang w:val="en-US"/>
              </w:rPr>
            </w:pPr>
            <w:r w:rsidRPr="007307F4">
              <w:rPr>
                <w:rFonts w:ascii="Cambria" w:hAnsi="Cambria"/>
                <w:i/>
                <w:iCs/>
                <w:sz w:val="18"/>
                <w:szCs w:val="18"/>
                <w:lang w:val="en-US"/>
              </w:rPr>
              <w:lastRenderedPageBreak/>
              <w:t xml:space="preserve">Proceeding for economic liability </w:t>
            </w:r>
          </w:p>
          <w:p w14:paraId="3921F6F6"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i/>
                <w:iCs/>
                <w:sz w:val="18"/>
                <w:szCs w:val="18"/>
                <w:lang w:val="en-US"/>
              </w:rPr>
            </w:pPr>
            <w:r w:rsidRPr="007307F4">
              <w:rPr>
                <w:rFonts w:ascii="Cambria" w:hAnsi="Cambria"/>
                <w:i/>
                <w:iCs/>
                <w:sz w:val="18"/>
                <w:szCs w:val="18"/>
                <w:lang w:val="en-US"/>
              </w:rPr>
              <w:t>22505/11-17-05-1</w:t>
            </w:r>
          </w:p>
          <w:p w14:paraId="670C0385"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Cambria" w:hAnsi="Cambria"/>
                <w:sz w:val="18"/>
                <w:szCs w:val="18"/>
                <w:lang w:val="en-US"/>
              </w:rPr>
            </w:pPr>
          </w:p>
          <w:p w14:paraId="52F00272"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Cambria" w:hAnsi="Cambria"/>
                <w:sz w:val="18"/>
                <w:szCs w:val="18"/>
                <w:lang w:val="en-US"/>
              </w:rPr>
            </w:pPr>
            <w:r w:rsidRPr="007307F4">
              <w:rPr>
                <w:rFonts w:ascii="Cambria" w:hAnsi="Cambria"/>
                <w:sz w:val="18"/>
                <w:szCs w:val="18"/>
                <w:lang w:val="en-US"/>
              </w:rPr>
              <w:t xml:space="preserve">Before the Fifth Metropolitan Regional Chamber of the Federal Court for Tax and Administrative Matters. </w:t>
            </w:r>
          </w:p>
          <w:p w14:paraId="5C9AB64A"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Cambria" w:hAnsi="Cambria"/>
                <w:sz w:val="18"/>
                <w:szCs w:val="18"/>
                <w:lang w:val="en-US"/>
              </w:rPr>
            </w:pPr>
          </w:p>
          <w:p w14:paraId="36501DC9" w14:textId="77777777" w:rsidR="0012720B" w:rsidRPr="007307F4" w:rsidRDefault="0012720B" w:rsidP="005907AA">
            <w:pPr>
              <w:pStyle w:val="BodyText"/>
              <w:snapToGrid w:val="0"/>
              <w:spacing w:after="0"/>
              <w:contextualSpacing/>
              <w:jc w:val="both"/>
              <w:rPr>
                <w:rFonts w:ascii="Cambria" w:hAnsi="Cambria"/>
                <w:sz w:val="18"/>
                <w:szCs w:val="18"/>
                <w:lang w:val="en-US"/>
              </w:rPr>
            </w:pPr>
          </w:p>
          <w:p w14:paraId="3A9366E3" w14:textId="77777777" w:rsidR="0012720B" w:rsidRPr="007307F4" w:rsidRDefault="0012720B" w:rsidP="005907AA">
            <w:pPr>
              <w:pStyle w:val="BodyText"/>
              <w:snapToGrid w:val="0"/>
              <w:spacing w:after="0"/>
              <w:contextualSpacing/>
              <w:jc w:val="both"/>
              <w:rPr>
                <w:rFonts w:ascii="Cambria" w:hAnsi="Cambria"/>
                <w:sz w:val="18"/>
                <w:szCs w:val="18"/>
                <w:lang w:val="en-US"/>
              </w:rPr>
            </w:pPr>
            <w:r w:rsidRPr="007307F4">
              <w:rPr>
                <w:rFonts w:ascii="Cambria" w:hAnsi="Cambria"/>
                <w:sz w:val="18"/>
                <w:szCs w:val="18"/>
                <w:lang w:val="en-US"/>
              </w:rPr>
              <w:t xml:space="preserve">On April 9, 2012, it was denied. </w:t>
            </w:r>
          </w:p>
        </w:tc>
      </w:tr>
      <w:tr w:rsidR="0012720B" w:rsidRPr="007307F4" w14:paraId="0B16E25E" w14:textId="77777777" w:rsidTr="00CC5FEC">
        <w:tc>
          <w:tcPr>
            <w:tcW w:w="4675" w:type="dxa"/>
          </w:tcPr>
          <w:p w14:paraId="56A405F8"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i/>
                <w:iCs/>
                <w:sz w:val="18"/>
                <w:szCs w:val="18"/>
                <w:lang w:val="en-US"/>
              </w:rPr>
            </w:pPr>
            <w:r w:rsidRPr="007307F4">
              <w:rPr>
                <w:rFonts w:ascii="Cambria" w:hAnsi="Cambria"/>
                <w:i/>
                <w:iCs/>
                <w:sz w:val="18"/>
                <w:szCs w:val="18"/>
                <w:lang w:val="en-US"/>
              </w:rPr>
              <w:lastRenderedPageBreak/>
              <w:t>Direct amparo proceeding 54/2014</w:t>
            </w:r>
          </w:p>
          <w:p w14:paraId="6D85DBE6"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Cambria" w:hAnsi="Cambria"/>
                <w:sz w:val="18"/>
                <w:szCs w:val="18"/>
                <w:lang w:val="en-US"/>
              </w:rPr>
            </w:pPr>
            <w:r w:rsidRPr="007307F4">
              <w:rPr>
                <w:rFonts w:ascii="Cambria" w:hAnsi="Cambria"/>
                <w:sz w:val="18"/>
                <w:szCs w:val="18"/>
                <w:lang w:val="en-US"/>
              </w:rPr>
              <w:t xml:space="preserve">Before the Fifth Multijudge Court of the First Circuit for Administrative Matters. </w:t>
            </w:r>
          </w:p>
          <w:p w14:paraId="4351FA78"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Cambria" w:hAnsi="Cambria"/>
                <w:sz w:val="18"/>
                <w:szCs w:val="18"/>
                <w:lang w:val="en-US"/>
              </w:rPr>
            </w:pPr>
          </w:p>
          <w:p w14:paraId="3B02A76F" w14:textId="77777777" w:rsidR="0012720B" w:rsidRPr="007307F4" w:rsidRDefault="0012720B" w:rsidP="005907AA">
            <w:pPr>
              <w:pStyle w:val="BodyText"/>
              <w:snapToGrid w:val="0"/>
              <w:spacing w:after="0"/>
              <w:contextualSpacing/>
              <w:jc w:val="both"/>
              <w:rPr>
                <w:rFonts w:ascii="Cambria" w:hAnsi="Cambria"/>
                <w:sz w:val="18"/>
                <w:szCs w:val="18"/>
                <w:lang w:val="en-US"/>
              </w:rPr>
            </w:pPr>
            <w:r w:rsidRPr="007307F4">
              <w:rPr>
                <w:rFonts w:ascii="Cambria" w:hAnsi="Cambria"/>
                <w:sz w:val="18"/>
                <w:szCs w:val="18"/>
                <w:lang w:val="en-US"/>
              </w:rPr>
              <w:t xml:space="preserve">On March 20, 2014, it was denied. </w:t>
            </w:r>
          </w:p>
          <w:p w14:paraId="6FDE1EFE" w14:textId="77777777" w:rsidR="0012720B" w:rsidRPr="007307F4" w:rsidRDefault="0012720B" w:rsidP="005907AA">
            <w:pPr>
              <w:pStyle w:val="BodyText"/>
              <w:snapToGrid w:val="0"/>
              <w:spacing w:after="0"/>
              <w:contextualSpacing/>
              <w:jc w:val="both"/>
              <w:rPr>
                <w:rFonts w:ascii="Cambria" w:hAnsi="Cambria"/>
                <w:sz w:val="18"/>
                <w:szCs w:val="18"/>
                <w:lang w:val="en-US"/>
              </w:rPr>
            </w:pPr>
          </w:p>
        </w:tc>
        <w:tc>
          <w:tcPr>
            <w:tcW w:w="4675" w:type="dxa"/>
          </w:tcPr>
          <w:p w14:paraId="3757F607"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i/>
                <w:iCs/>
                <w:sz w:val="18"/>
                <w:szCs w:val="18"/>
                <w:lang w:val="en-US"/>
              </w:rPr>
            </w:pPr>
            <w:r w:rsidRPr="007307F4">
              <w:rPr>
                <w:rFonts w:ascii="Cambria" w:hAnsi="Cambria"/>
                <w:i/>
                <w:iCs/>
                <w:sz w:val="18"/>
                <w:szCs w:val="18"/>
                <w:lang w:val="en-US"/>
              </w:rPr>
              <w:t>Direct amparo proceeding 518/2012</w:t>
            </w:r>
          </w:p>
          <w:p w14:paraId="448638D8"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Cambria" w:hAnsi="Cambria"/>
                <w:color w:val="F1A983" w:themeColor="accent2" w:themeTint="99"/>
                <w:sz w:val="18"/>
                <w:szCs w:val="18"/>
                <w:lang w:val="en-US"/>
              </w:rPr>
            </w:pPr>
            <w:r w:rsidRPr="007307F4">
              <w:rPr>
                <w:rFonts w:ascii="Cambria" w:hAnsi="Cambria"/>
                <w:sz w:val="18"/>
                <w:szCs w:val="18"/>
                <w:lang w:val="en-US"/>
              </w:rPr>
              <w:t xml:space="preserve">Before the Fourth Multijudge Court for Administrative Matters of the First Circuit. </w:t>
            </w:r>
          </w:p>
          <w:p w14:paraId="6C3F8930"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Cambria" w:hAnsi="Cambria"/>
                <w:sz w:val="18"/>
                <w:szCs w:val="18"/>
                <w:lang w:val="en-US"/>
              </w:rPr>
            </w:pPr>
          </w:p>
          <w:p w14:paraId="5C7EE4A8" w14:textId="77777777" w:rsidR="0012720B" w:rsidRPr="007307F4" w:rsidRDefault="0012720B" w:rsidP="005907AA">
            <w:pPr>
              <w:pStyle w:val="BodyText"/>
              <w:snapToGrid w:val="0"/>
              <w:spacing w:after="0"/>
              <w:contextualSpacing/>
              <w:jc w:val="both"/>
              <w:rPr>
                <w:rFonts w:ascii="Cambria" w:hAnsi="Cambria"/>
                <w:sz w:val="18"/>
                <w:szCs w:val="18"/>
                <w:lang w:val="en-US"/>
              </w:rPr>
            </w:pPr>
            <w:r w:rsidRPr="007307F4">
              <w:rPr>
                <w:rFonts w:ascii="Cambria" w:hAnsi="Cambria"/>
                <w:sz w:val="18"/>
                <w:szCs w:val="18"/>
                <w:lang w:val="en-US"/>
              </w:rPr>
              <w:t>On December 13, 2012, it was granted, asking the Fifth Chamber to issue another judgment in which it analyzed all of the evidence in the record, particularly the expert report by the UNAM.</w:t>
            </w:r>
          </w:p>
        </w:tc>
      </w:tr>
      <w:tr w:rsidR="0012720B" w:rsidRPr="007307F4" w14:paraId="2A40D8A8" w14:textId="77777777" w:rsidTr="00CC5FEC">
        <w:tc>
          <w:tcPr>
            <w:tcW w:w="4675" w:type="dxa"/>
          </w:tcPr>
          <w:p w14:paraId="07F6E1C1"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18"/>
                <w:szCs w:val="18"/>
                <w:lang w:val="en-US"/>
              </w:rPr>
            </w:pPr>
          </w:p>
        </w:tc>
        <w:tc>
          <w:tcPr>
            <w:tcW w:w="4675" w:type="dxa"/>
          </w:tcPr>
          <w:p w14:paraId="253F6608" w14:textId="77777777"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i/>
                <w:iCs/>
                <w:sz w:val="18"/>
                <w:szCs w:val="18"/>
                <w:lang w:val="en-US"/>
              </w:rPr>
            </w:pPr>
            <w:r w:rsidRPr="007307F4">
              <w:rPr>
                <w:rFonts w:ascii="Cambria" w:hAnsi="Cambria"/>
                <w:i/>
                <w:iCs/>
                <w:sz w:val="18"/>
                <w:szCs w:val="18"/>
                <w:lang w:val="en-US"/>
              </w:rPr>
              <w:t xml:space="preserve">Decision of the Fifth Metropolitan Regional Chamber </w:t>
            </w:r>
          </w:p>
          <w:p w14:paraId="0C3A0E3C" w14:textId="150B28E8" w:rsidR="0012720B" w:rsidRPr="007307F4" w:rsidRDefault="0012720B" w:rsidP="005907AA">
            <w:pPr>
              <w:pBdr>
                <w:top w:val="none" w:sz="0" w:space="0" w:color="auto"/>
                <w:left w:val="none" w:sz="0" w:space="0" w:color="auto"/>
                <w:bottom w:val="none" w:sz="0" w:space="0" w:color="auto"/>
                <w:right w:val="none" w:sz="0" w:space="0" w:color="auto"/>
                <w:between w:val="none" w:sz="0" w:space="0" w:color="auto"/>
                <w:bar w:val="none" w:sz="0" w:color="auto"/>
              </w:pBdr>
              <w:snapToGrid w:val="0"/>
              <w:contextualSpacing/>
              <w:jc w:val="both"/>
              <w:rPr>
                <w:rFonts w:ascii="Cambria" w:hAnsi="Cambria"/>
                <w:sz w:val="18"/>
                <w:szCs w:val="18"/>
                <w:lang w:val="en-US"/>
              </w:rPr>
            </w:pPr>
            <w:r w:rsidRPr="007307F4">
              <w:rPr>
                <w:rFonts w:ascii="Cambria" w:hAnsi="Cambria"/>
                <w:sz w:val="18"/>
                <w:szCs w:val="18"/>
                <w:lang w:val="en-US"/>
              </w:rPr>
              <w:t xml:space="preserve">On October 7, </w:t>
            </w:r>
            <w:r w:rsidR="003F3E2D" w:rsidRPr="007307F4">
              <w:rPr>
                <w:rFonts w:ascii="Cambria" w:hAnsi="Cambria"/>
                <w:sz w:val="18"/>
                <w:szCs w:val="18"/>
                <w:lang w:val="en-US"/>
              </w:rPr>
              <w:t>2013,</w:t>
            </w:r>
            <w:r w:rsidRPr="007307F4">
              <w:rPr>
                <w:rFonts w:ascii="Cambria" w:hAnsi="Cambria"/>
                <w:sz w:val="18"/>
                <w:szCs w:val="18"/>
                <w:lang w:val="en-US"/>
              </w:rPr>
              <w:t xml:space="preserve"> compensation was awarded to the third persons, finding that there was indeed irregular activity on the part of CONAGUA. </w:t>
            </w:r>
          </w:p>
        </w:tc>
      </w:tr>
    </w:tbl>
    <w:p w14:paraId="14C47C1A" w14:textId="77777777" w:rsidR="0012720B" w:rsidRPr="007307F4" w:rsidRDefault="0012720B" w:rsidP="005907AA">
      <w:pPr>
        <w:spacing w:after="0"/>
        <w:jc w:val="both"/>
        <w:rPr>
          <w:rFonts w:ascii="Cambria" w:hAnsi="Cambria"/>
          <w:sz w:val="20"/>
          <w:szCs w:val="20"/>
        </w:rPr>
      </w:pPr>
    </w:p>
    <w:p w14:paraId="50D9A778" w14:textId="0A9E4D9A"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 xml:space="preserve">In this respect, the IACHR recalls that in </w:t>
      </w:r>
      <w:r w:rsidR="00541509" w:rsidRPr="007307F4">
        <w:rPr>
          <w:rFonts w:ascii="Cambria" w:hAnsi="Cambria"/>
          <w:sz w:val="20"/>
          <w:szCs w:val="20"/>
        </w:rPr>
        <w:t xml:space="preserve">response to </w:t>
      </w:r>
      <w:r w:rsidRPr="007307F4">
        <w:rPr>
          <w:rFonts w:ascii="Cambria" w:hAnsi="Cambria"/>
          <w:sz w:val="20"/>
          <w:szCs w:val="20"/>
        </w:rPr>
        <w:t>this type of argument, it has already indicated that the right to equality before the law is not the same as the right to an equal outcome in judicial proceedings referring to the same subject matter.</w:t>
      </w:r>
      <w:bookmarkStart w:id="0" w:name="_Hlk3667545"/>
      <w:r w:rsidRPr="007307F4">
        <w:rPr>
          <w:rFonts w:ascii="Cambria" w:hAnsi="Cambria"/>
          <w:sz w:val="20"/>
          <w:szCs w:val="20"/>
          <w:vertAlign w:val="superscript"/>
        </w:rPr>
        <w:footnoteReference w:id="19"/>
      </w:r>
      <w:r w:rsidRPr="007307F4">
        <w:rPr>
          <w:rFonts w:ascii="Cambria" w:hAnsi="Cambria"/>
          <w:sz w:val="20"/>
          <w:szCs w:val="20"/>
        </w:rPr>
        <w:t xml:space="preserve"> The mere invocation of other judgments on the same subject matter with different outcomes is not sufficient to characterize </w:t>
      </w:r>
      <w:r w:rsidRPr="007307F4">
        <w:rPr>
          <w:rFonts w:ascii="Cambria" w:hAnsi="Cambria"/>
          <w:i/>
          <w:sz w:val="20"/>
          <w:szCs w:val="20"/>
        </w:rPr>
        <w:t>prima facie</w:t>
      </w:r>
      <w:r w:rsidRPr="007307F4">
        <w:rPr>
          <w:rFonts w:ascii="Cambria" w:hAnsi="Cambria"/>
          <w:sz w:val="20"/>
          <w:szCs w:val="20"/>
        </w:rPr>
        <w:t xml:space="preserve"> a possible violation of Article 24 of the Convention.</w:t>
      </w:r>
      <w:r w:rsidRPr="007307F4">
        <w:rPr>
          <w:rStyle w:val="FootnoteReference"/>
          <w:rFonts w:ascii="Cambria" w:hAnsi="Cambria"/>
          <w:sz w:val="20"/>
          <w:szCs w:val="20"/>
        </w:rPr>
        <w:footnoteReference w:id="20"/>
      </w:r>
      <w:bookmarkEnd w:id="0"/>
      <w:r w:rsidRPr="007307F4">
        <w:rPr>
          <w:rFonts w:ascii="Cambria" w:hAnsi="Cambria"/>
          <w:sz w:val="20"/>
          <w:szCs w:val="20"/>
        </w:rPr>
        <w:t xml:space="preserve"> The petitioner must produce other information and evidence that make it possible to show that the State, by act or omission of its judicial bodies, became internationally responsible for the breach of its duties to respect or guarantee the right to equality before the law. </w:t>
      </w:r>
    </w:p>
    <w:p w14:paraId="21E978C0" w14:textId="77777777" w:rsidR="00DE30BE" w:rsidRPr="007307F4" w:rsidRDefault="00DE30BE" w:rsidP="00DE30BE">
      <w:pPr>
        <w:pBdr>
          <w:top w:val="nil"/>
          <w:left w:val="nil"/>
          <w:bottom w:val="nil"/>
          <w:right w:val="nil"/>
          <w:between w:val="nil"/>
          <w:bar w:val="nil"/>
        </w:pBdr>
        <w:spacing w:after="0" w:line="240" w:lineRule="auto"/>
        <w:jc w:val="both"/>
        <w:rPr>
          <w:rFonts w:ascii="Cambria" w:hAnsi="Cambria"/>
          <w:sz w:val="20"/>
          <w:szCs w:val="20"/>
        </w:rPr>
      </w:pPr>
    </w:p>
    <w:p w14:paraId="48FA7F02" w14:textId="3CE1D04C"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sz w:val="20"/>
          <w:szCs w:val="20"/>
        </w:rPr>
        <w:t>Addressing these criteria, the IACHR observes that in the instant matter the alleged victims turned to the same administrative and judicial remedies as the third parties, who were given reparation</w:t>
      </w:r>
      <w:r w:rsidR="00F353B3" w:rsidRPr="007307F4">
        <w:rPr>
          <w:rFonts w:ascii="Cambria" w:hAnsi="Cambria"/>
          <w:sz w:val="20"/>
          <w:szCs w:val="20"/>
        </w:rPr>
        <w:t>s</w:t>
      </w:r>
      <w:r w:rsidRPr="007307F4">
        <w:rPr>
          <w:rFonts w:ascii="Cambria" w:hAnsi="Cambria"/>
          <w:sz w:val="20"/>
          <w:szCs w:val="20"/>
        </w:rPr>
        <w:t>; the facts behind both proce</w:t>
      </w:r>
      <w:r w:rsidR="00F353B3" w:rsidRPr="007307F4">
        <w:rPr>
          <w:rFonts w:ascii="Cambria" w:hAnsi="Cambria"/>
          <w:sz w:val="20"/>
          <w:szCs w:val="20"/>
        </w:rPr>
        <w:t>ed</w:t>
      </w:r>
      <w:r w:rsidR="00EC2B85" w:rsidRPr="007307F4">
        <w:rPr>
          <w:rFonts w:ascii="Cambria" w:hAnsi="Cambria"/>
          <w:sz w:val="20"/>
          <w:szCs w:val="20"/>
        </w:rPr>
        <w:t xml:space="preserve">ings </w:t>
      </w:r>
      <w:r w:rsidRPr="007307F4">
        <w:rPr>
          <w:rFonts w:ascii="Cambria" w:hAnsi="Cambria"/>
          <w:sz w:val="20"/>
          <w:szCs w:val="20"/>
        </w:rPr>
        <w:t xml:space="preserve">were the same (harm to their housing due to the natural events that occurred in 2009 and the alleged negligence of CONAGUA); and in both cases the decisive evidence was the above-cited report by the UNAM, which determined responsibility for the </w:t>
      </w:r>
      <w:r w:rsidR="00EC2B85" w:rsidRPr="007307F4">
        <w:rPr>
          <w:rFonts w:ascii="Cambria" w:hAnsi="Cambria"/>
          <w:sz w:val="20"/>
          <w:szCs w:val="20"/>
        </w:rPr>
        <w:t xml:space="preserve">breach by </w:t>
      </w:r>
      <w:r w:rsidRPr="007307F4">
        <w:rPr>
          <w:rFonts w:ascii="Cambria" w:hAnsi="Cambria"/>
          <w:sz w:val="20"/>
          <w:szCs w:val="20"/>
        </w:rPr>
        <w:t>the competent authorities</w:t>
      </w:r>
      <w:r w:rsidR="00EC2B85" w:rsidRPr="007307F4">
        <w:rPr>
          <w:rFonts w:ascii="Cambria" w:hAnsi="Cambria"/>
          <w:sz w:val="20"/>
          <w:szCs w:val="20"/>
        </w:rPr>
        <w:t xml:space="preserve"> of their duty to prevent</w:t>
      </w:r>
      <w:r w:rsidRPr="007307F4">
        <w:rPr>
          <w:rFonts w:ascii="Cambria" w:hAnsi="Cambria"/>
          <w:sz w:val="20"/>
          <w:szCs w:val="20"/>
        </w:rPr>
        <w:t xml:space="preserve">. Therefore, mindful of the similarities identified, the claim raised by the petitioners is not limited to merely invoking divergent judgments nor </w:t>
      </w:r>
      <w:r w:rsidR="0047299C" w:rsidRPr="007307F4">
        <w:rPr>
          <w:rFonts w:ascii="Cambria" w:hAnsi="Cambria"/>
          <w:sz w:val="20"/>
          <w:szCs w:val="20"/>
        </w:rPr>
        <w:t xml:space="preserve">is </w:t>
      </w:r>
      <w:r w:rsidRPr="007307F4">
        <w:rPr>
          <w:rFonts w:ascii="Cambria" w:hAnsi="Cambria"/>
          <w:sz w:val="20"/>
          <w:szCs w:val="20"/>
        </w:rPr>
        <w:t xml:space="preserve">it manifestly unfounded. Accordingly, the IACHR finds that the consideration as to whether the </w:t>
      </w:r>
      <w:r w:rsidR="000C2E24" w:rsidRPr="007307F4">
        <w:rPr>
          <w:rFonts w:ascii="Cambria" w:hAnsi="Cambria"/>
          <w:sz w:val="20"/>
          <w:szCs w:val="20"/>
        </w:rPr>
        <w:t xml:space="preserve">purported </w:t>
      </w:r>
      <w:r w:rsidRPr="007307F4">
        <w:rPr>
          <w:rFonts w:ascii="Cambria" w:hAnsi="Cambria"/>
          <w:sz w:val="20"/>
          <w:szCs w:val="20"/>
        </w:rPr>
        <w:t xml:space="preserve">differential treatment given the alleged victims should be analyzed in the merits phase of this case. </w:t>
      </w:r>
    </w:p>
    <w:p w14:paraId="77B415B2" w14:textId="77777777" w:rsidR="00DE30BE" w:rsidRPr="007307F4" w:rsidRDefault="00DE30BE" w:rsidP="00DE30BE">
      <w:pPr>
        <w:pStyle w:val="ListParagraph"/>
        <w:rPr>
          <w:rFonts w:ascii="Cambria" w:hAnsi="Cambria"/>
          <w:sz w:val="20"/>
          <w:szCs w:val="20"/>
        </w:rPr>
      </w:pPr>
    </w:p>
    <w:p w14:paraId="4CE75674" w14:textId="3E00CBF3"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cs="Calibri"/>
          <w:sz w:val="20"/>
          <w:szCs w:val="20"/>
        </w:rPr>
        <w:t xml:space="preserve">Thus, the IACHR concludes that the alleged </w:t>
      </w:r>
      <w:r w:rsidRPr="007307F4">
        <w:rPr>
          <w:rFonts w:ascii="Cambria" w:hAnsi="Cambria"/>
          <w:sz w:val="20"/>
          <w:szCs w:val="20"/>
        </w:rPr>
        <w:t xml:space="preserve">responsibility of the State in the cases that led to the collapse of the Western Discharge Tunnel, due to the alleged omissions on the part of CONAGUA in </w:t>
      </w:r>
      <w:r w:rsidR="000C2E24" w:rsidRPr="007307F4">
        <w:rPr>
          <w:rFonts w:ascii="Cambria" w:hAnsi="Cambria"/>
          <w:sz w:val="20"/>
          <w:szCs w:val="20"/>
        </w:rPr>
        <w:t xml:space="preserve">its </w:t>
      </w:r>
      <w:r w:rsidRPr="007307F4">
        <w:rPr>
          <w:rFonts w:ascii="Cambria" w:hAnsi="Cambria"/>
          <w:sz w:val="20"/>
          <w:szCs w:val="20"/>
        </w:rPr>
        <w:t xml:space="preserve">function of supervising and maintaining the water channel, which is said to have provoked flooding in the district of Valle Dorado and the negative impact on the alleged victims’ homes, without adequate judicial protection of their rights, could constitute violations of the rights protected </w:t>
      </w:r>
      <w:r w:rsidR="00854655" w:rsidRPr="007307F4">
        <w:rPr>
          <w:rFonts w:ascii="Cambria" w:hAnsi="Cambria"/>
          <w:sz w:val="20"/>
          <w:szCs w:val="20"/>
        </w:rPr>
        <w:t>at</w:t>
      </w:r>
      <w:r w:rsidRPr="007307F4">
        <w:rPr>
          <w:rFonts w:ascii="Cambria" w:hAnsi="Cambria"/>
          <w:sz w:val="20"/>
          <w:szCs w:val="20"/>
        </w:rPr>
        <w:t xml:space="preserve"> Articles 8 (judicial guarantees),</w:t>
      </w:r>
      <w:r w:rsidRPr="007307F4">
        <w:rPr>
          <w:rFonts w:ascii="Cambria" w:hAnsi="Cambria"/>
          <w:bCs/>
          <w:sz w:val="20"/>
          <w:szCs w:val="20"/>
        </w:rPr>
        <w:t xml:space="preserve"> 21 (right to private property), 24 (equality before the law), </w:t>
      </w:r>
      <w:r w:rsidRPr="007307F4">
        <w:rPr>
          <w:rFonts w:ascii="Cambria" w:hAnsi="Cambria"/>
          <w:sz w:val="20"/>
          <w:szCs w:val="20"/>
        </w:rPr>
        <w:t xml:space="preserve">25 (judicial protection), and </w:t>
      </w:r>
      <w:r w:rsidR="00854655" w:rsidRPr="007307F4">
        <w:rPr>
          <w:rFonts w:ascii="Cambria" w:hAnsi="Cambria"/>
          <w:sz w:val="20"/>
          <w:szCs w:val="20"/>
        </w:rPr>
        <w:t xml:space="preserve">26 </w:t>
      </w:r>
      <w:r w:rsidRPr="007307F4">
        <w:rPr>
          <w:rFonts w:ascii="Cambria" w:hAnsi="Cambria"/>
          <w:sz w:val="20"/>
          <w:szCs w:val="20"/>
        </w:rPr>
        <w:t xml:space="preserve">(economic, social, and cultural rights) of the American Convention, in conjunction with its Article 1(1) (obligation to respect rights), to the detriment of </w:t>
      </w:r>
      <w:r w:rsidRPr="007307F4">
        <w:rPr>
          <w:rFonts w:ascii="Cambria" w:hAnsi="Cambria"/>
          <w:bCs/>
          <w:sz w:val="20"/>
          <w:szCs w:val="20"/>
        </w:rPr>
        <w:t xml:space="preserve">María Elia González Jiménez, Francisca Burciaga Monreal, María Elia Jiménez Burciaga, Filiberto González Mendoza, and Martha Elizabeth González Jiménez. </w:t>
      </w:r>
    </w:p>
    <w:p w14:paraId="2151995A" w14:textId="77777777" w:rsidR="00DE30BE" w:rsidRPr="007307F4" w:rsidRDefault="00DE30BE" w:rsidP="00DE30BE">
      <w:pPr>
        <w:pBdr>
          <w:top w:val="nil"/>
          <w:left w:val="nil"/>
          <w:bottom w:val="nil"/>
          <w:right w:val="nil"/>
          <w:between w:val="nil"/>
          <w:bar w:val="nil"/>
        </w:pBdr>
        <w:spacing w:after="0" w:line="240" w:lineRule="auto"/>
        <w:jc w:val="both"/>
        <w:rPr>
          <w:rFonts w:ascii="Cambria" w:hAnsi="Cambria"/>
          <w:sz w:val="20"/>
          <w:szCs w:val="20"/>
        </w:rPr>
      </w:pPr>
    </w:p>
    <w:p w14:paraId="61EC7B1A" w14:textId="143CA8E9" w:rsidR="0012720B" w:rsidRPr="007307F4" w:rsidRDefault="0012720B" w:rsidP="005907AA">
      <w:pPr>
        <w:pStyle w:val="ListParagraph"/>
        <w:numPr>
          <w:ilvl w:val="0"/>
          <w:numId w:val="2"/>
        </w:numPr>
        <w:pBdr>
          <w:top w:val="nil"/>
          <w:left w:val="nil"/>
          <w:bottom w:val="nil"/>
          <w:right w:val="nil"/>
          <w:between w:val="nil"/>
          <w:bar w:val="nil"/>
        </w:pBdr>
        <w:spacing w:after="0" w:line="240" w:lineRule="auto"/>
        <w:ind w:left="0" w:firstLine="720"/>
        <w:contextualSpacing w:val="0"/>
        <w:jc w:val="both"/>
        <w:rPr>
          <w:rFonts w:ascii="Cambria" w:hAnsi="Cambria"/>
          <w:sz w:val="20"/>
          <w:szCs w:val="20"/>
        </w:rPr>
      </w:pPr>
      <w:r w:rsidRPr="007307F4">
        <w:rPr>
          <w:rFonts w:ascii="Cambria" w:hAnsi="Cambria"/>
          <w:bCs/>
          <w:sz w:val="20"/>
          <w:szCs w:val="20"/>
        </w:rPr>
        <w:t xml:space="preserve">Finally, as regards the alleged violation of Articles 5 (humane treatment), 7 (personal liberty), 10 (right to compensation), and 17 (protection of the family), the Commission notes that no information or evidence has been provided that makes it possible to determine, </w:t>
      </w:r>
      <w:r w:rsidRPr="007307F4">
        <w:rPr>
          <w:rFonts w:ascii="Cambria" w:hAnsi="Cambria"/>
          <w:bCs/>
          <w:i/>
          <w:iCs/>
          <w:sz w:val="20"/>
          <w:szCs w:val="20"/>
        </w:rPr>
        <w:t>prima facie</w:t>
      </w:r>
      <w:r w:rsidRPr="007307F4">
        <w:rPr>
          <w:rFonts w:ascii="Cambria" w:hAnsi="Cambria"/>
          <w:bCs/>
          <w:sz w:val="20"/>
          <w:szCs w:val="20"/>
        </w:rPr>
        <w:t xml:space="preserve">, their possible violation. </w:t>
      </w:r>
    </w:p>
    <w:p w14:paraId="3E2DD1D7" w14:textId="77777777" w:rsidR="00DE30BE" w:rsidRPr="007307F4" w:rsidRDefault="00DE30BE" w:rsidP="00DE30BE">
      <w:pPr>
        <w:pBdr>
          <w:top w:val="nil"/>
          <w:left w:val="nil"/>
          <w:bottom w:val="nil"/>
          <w:right w:val="nil"/>
          <w:between w:val="nil"/>
          <w:bar w:val="nil"/>
        </w:pBdr>
        <w:spacing w:after="0" w:line="240" w:lineRule="auto"/>
        <w:jc w:val="both"/>
        <w:rPr>
          <w:rFonts w:ascii="Cambria" w:hAnsi="Cambria"/>
          <w:sz w:val="20"/>
          <w:szCs w:val="20"/>
        </w:rPr>
      </w:pPr>
    </w:p>
    <w:p w14:paraId="6EA35452" w14:textId="77777777" w:rsidR="00BD67A7" w:rsidRPr="007307F4" w:rsidRDefault="00BD67A7" w:rsidP="00DE30BE">
      <w:pPr>
        <w:pBdr>
          <w:top w:val="nil"/>
          <w:left w:val="nil"/>
          <w:bottom w:val="nil"/>
          <w:right w:val="nil"/>
          <w:between w:val="nil"/>
          <w:bar w:val="nil"/>
        </w:pBdr>
        <w:spacing w:after="0" w:line="240" w:lineRule="auto"/>
        <w:jc w:val="both"/>
        <w:rPr>
          <w:rFonts w:ascii="Cambria" w:hAnsi="Cambria"/>
          <w:sz w:val="20"/>
          <w:szCs w:val="20"/>
        </w:rPr>
      </w:pPr>
    </w:p>
    <w:p w14:paraId="483B81EA" w14:textId="77777777" w:rsidR="0012720B" w:rsidRPr="007307F4" w:rsidRDefault="0012720B" w:rsidP="005907AA">
      <w:pPr>
        <w:pStyle w:val="ListParagraph"/>
        <w:spacing w:after="0"/>
        <w:ind w:left="0" w:firstLine="720"/>
        <w:jc w:val="both"/>
        <w:rPr>
          <w:rFonts w:ascii="Cambria" w:hAnsi="Cambria"/>
          <w:b/>
          <w:bCs/>
          <w:sz w:val="20"/>
          <w:szCs w:val="20"/>
        </w:rPr>
      </w:pPr>
      <w:r w:rsidRPr="007307F4">
        <w:rPr>
          <w:rFonts w:ascii="Cambria" w:hAnsi="Cambria"/>
          <w:b/>
          <w:bCs/>
          <w:sz w:val="20"/>
          <w:szCs w:val="20"/>
        </w:rPr>
        <w:t xml:space="preserve">VIII. </w:t>
      </w:r>
      <w:r w:rsidRPr="007307F4">
        <w:rPr>
          <w:rFonts w:ascii="Cambria" w:hAnsi="Cambria"/>
          <w:b/>
          <w:bCs/>
          <w:sz w:val="20"/>
          <w:szCs w:val="20"/>
        </w:rPr>
        <w:tab/>
        <w:t>DECISION</w:t>
      </w:r>
    </w:p>
    <w:p w14:paraId="3E2A8155" w14:textId="77777777" w:rsidR="00DE30BE" w:rsidRPr="007307F4" w:rsidRDefault="00DE30BE" w:rsidP="005907AA">
      <w:pPr>
        <w:pStyle w:val="ListParagraph"/>
        <w:spacing w:after="0"/>
        <w:ind w:left="0" w:firstLine="720"/>
        <w:jc w:val="both"/>
        <w:rPr>
          <w:rFonts w:ascii="Cambria" w:hAnsi="Cambria"/>
          <w:b/>
          <w:bCs/>
          <w:sz w:val="20"/>
          <w:szCs w:val="20"/>
        </w:rPr>
      </w:pPr>
    </w:p>
    <w:p w14:paraId="2DF3D64F" w14:textId="3F60D64C" w:rsidR="0012720B" w:rsidRPr="007307F4" w:rsidRDefault="0012720B" w:rsidP="005907AA">
      <w:pPr>
        <w:numPr>
          <w:ilvl w:val="0"/>
          <w:numId w:val="1"/>
        </w:numPr>
        <w:suppressAutoHyphens/>
        <w:spacing w:after="0" w:line="240" w:lineRule="auto"/>
        <w:jc w:val="both"/>
        <w:rPr>
          <w:rFonts w:ascii="Cambria" w:hAnsi="Cambria"/>
          <w:sz w:val="20"/>
          <w:szCs w:val="20"/>
        </w:rPr>
      </w:pPr>
      <w:r w:rsidRPr="007307F4">
        <w:rPr>
          <w:rFonts w:ascii="Cambria" w:hAnsi="Cambria"/>
          <w:sz w:val="20"/>
          <w:szCs w:val="20"/>
        </w:rPr>
        <w:t>The find the instant petition admissible in relation to Articles 8, 21, 24, 25, and 26 of the American Convention, in keeping with its Article 1(1)</w:t>
      </w:r>
      <w:r w:rsidR="007E2899" w:rsidRPr="007307F4">
        <w:rPr>
          <w:rFonts w:ascii="Cambria" w:hAnsi="Cambria"/>
          <w:sz w:val="20"/>
          <w:szCs w:val="20"/>
        </w:rPr>
        <w:t>.</w:t>
      </w:r>
    </w:p>
    <w:p w14:paraId="2BCD9420" w14:textId="77777777" w:rsidR="00DE30BE" w:rsidRPr="007307F4" w:rsidRDefault="00DE30BE" w:rsidP="00DE30BE">
      <w:pPr>
        <w:suppressAutoHyphens/>
        <w:spacing w:after="0" w:line="240" w:lineRule="auto"/>
        <w:ind w:left="720"/>
        <w:jc w:val="both"/>
        <w:rPr>
          <w:rFonts w:ascii="Cambria" w:hAnsi="Cambria"/>
          <w:sz w:val="20"/>
          <w:szCs w:val="20"/>
        </w:rPr>
      </w:pPr>
    </w:p>
    <w:p w14:paraId="7E71688A" w14:textId="2E3C9884" w:rsidR="0012720B" w:rsidRPr="007307F4" w:rsidRDefault="0012720B" w:rsidP="005907AA">
      <w:pPr>
        <w:numPr>
          <w:ilvl w:val="0"/>
          <w:numId w:val="1"/>
        </w:numPr>
        <w:suppressAutoHyphens/>
        <w:spacing w:after="0" w:line="240" w:lineRule="auto"/>
        <w:jc w:val="both"/>
        <w:rPr>
          <w:rFonts w:ascii="Cambria" w:hAnsi="Cambria"/>
          <w:sz w:val="20"/>
          <w:szCs w:val="20"/>
        </w:rPr>
      </w:pPr>
      <w:r w:rsidRPr="007307F4">
        <w:rPr>
          <w:rFonts w:ascii="Cambria" w:hAnsi="Cambria"/>
          <w:sz w:val="20"/>
          <w:szCs w:val="20"/>
        </w:rPr>
        <w:t>To find the instant petition inadmissible in relation to Articles 5, 7, 10, and 17 of the American Convention</w:t>
      </w:r>
      <w:r w:rsidR="007E2899" w:rsidRPr="007307F4">
        <w:rPr>
          <w:rFonts w:ascii="Cambria" w:hAnsi="Cambria"/>
          <w:sz w:val="20"/>
          <w:szCs w:val="20"/>
        </w:rPr>
        <w:t>.</w:t>
      </w:r>
    </w:p>
    <w:p w14:paraId="2414DE87" w14:textId="77777777" w:rsidR="00DE30BE" w:rsidRPr="007307F4" w:rsidRDefault="00DE30BE" w:rsidP="00DE30BE">
      <w:pPr>
        <w:suppressAutoHyphens/>
        <w:spacing w:after="0" w:line="240" w:lineRule="auto"/>
        <w:jc w:val="both"/>
        <w:rPr>
          <w:rFonts w:ascii="Cambria" w:hAnsi="Cambria"/>
          <w:sz w:val="20"/>
          <w:szCs w:val="20"/>
        </w:rPr>
      </w:pPr>
    </w:p>
    <w:p w14:paraId="5FC48026" w14:textId="77777777" w:rsidR="0012720B" w:rsidRPr="007307F4" w:rsidRDefault="0012720B" w:rsidP="005907AA">
      <w:pPr>
        <w:numPr>
          <w:ilvl w:val="0"/>
          <w:numId w:val="1"/>
        </w:numPr>
        <w:suppressAutoHyphens/>
        <w:spacing w:after="0" w:line="240" w:lineRule="auto"/>
        <w:jc w:val="both"/>
        <w:rPr>
          <w:rFonts w:ascii="Cambria" w:hAnsi="Cambria"/>
          <w:sz w:val="20"/>
          <w:szCs w:val="20"/>
        </w:rPr>
      </w:pPr>
      <w:r w:rsidRPr="007307F4">
        <w:rPr>
          <w:rFonts w:ascii="Cambria" w:hAnsi="Cambria"/>
          <w:sz w:val="20"/>
          <w:szCs w:val="20"/>
        </w:rPr>
        <w:t xml:space="preserve">To notify the parties of this decision; to continue with the analysis on the merits; and to publish this decision and include it in its Annual Report to the General Assembly of the Organization of American States. </w:t>
      </w:r>
    </w:p>
    <w:p w14:paraId="512C159B" w14:textId="77777777" w:rsidR="00BD67A7" w:rsidRPr="007307F4" w:rsidRDefault="00BD67A7" w:rsidP="005907AA">
      <w:pPr>
        <w:spacing w:after="0"/>
        <w:rPr>
          <w:rFonts w:ascii="Cambria" w:hAnsi="Cambria"/>
        </w:rPr>
      </w:pPr>
    </w:p>
    <w:p w14:paraId="323AA6A2" w14:textId="48A4B36E" w:rsidR="00DE2DD3" w:rsidRPr="007307F4" w:rsidRDefault="00DE2DD3" w:rsidP="00DE2DD3">
      <w:pPr>
        <w:suppressAutoHyphens/>
        <w:ind w:firstLine="720"/>
        <w:jc w:val="both"/>
        <w:rPr>
          <w:rStyle w:val="normaltextrun"/>
          <w:rFonts w:ascii="Cambria" w:hAnsi="Cambria" w:cs="Segoe UI"/>
          <w:sz w:val="20"/>
          <w:szCs w:val="20"/>
        </w:rPr>
      </w:pPr>
      <w:r w:rsidRPr="007307F4">
        <w:rPr>
          <w:rFonts w:ascii="Cambria" w:hAnsi="Cambria"/>
          <w:spacing w:val="-2"/>
          <w:sz w:val="20"/>
        </w:rPr>
        <w:t xml:space="preserve">Approved by the Inter-American Commission on Human Rights on the </w:t>
      </w:r>
      <w:r w:rsidR="00F1781A" w:rsidRPr="007307F4">
        <w:rPr>
          <w:rFonts w:ascii="Cambria" w:hAnsi="Cambria"/>
          <w:spacing w:val="-2"/>
          <w:sz w:val="20"/>
        </w:rPr>
        <w:t>5</w:t>
      </w:r>
      <w:r w:rsidR="00F1781A" w:rsidRPr="007307F4">
        <w:rPr>
          <w:rFonts w:ascii="Cambria" w:hAnsi="Cambria"/>
          <w:spacing w:val="-2"/>
          <w:sz w:val="20"/>
          <w:vertAlign w:val="superscript"/>
        </w:rPr>
        <w:t>th</w:t>
      </w:r>
      <w:r w:rsidR="00F1781A" w:rsidRPr="007307F4">
        <w:rPr>
          <w:rFonts w:ascii="Cambria" w:hAnsi="Cambria"/>
          <w:spacing w:val="-2"/>
          <w:sz w:val="20"/>
        </w:rPr>
        <w:t xml:space="preserve"> </w:t>
      </w:r>
      <w:r w:rsidRPr="007307F4">
        <w:rPr>
          <w:rFonts w:ascii="Cambria" w:hAnsi="Cambria"/>
          <w:spacing w:val="-2"/>
          <w:sz w:val="20"/>
        </w:rPr>
        <w:t xml:space="preserve">day of the month of </w:t>
      </w:r>
      <w:r w:rsidR="00F1781A" w:rsidRPr="007307F4">
        <w:rPr>
          <w:rFonts w:ascii="Cambria" w:hAnsi="Cambria"/>
          <w:spacing w:val="-2"/>
          <w:sz w:val="20"/>
        </w:rPr>
        <w:t>December</w:t>
      </w:r>
      <w:r w:rsidRPr="007307F4">
        <w:rPr>
          <w:rFonts w:ascii="Cambria" w:hAnsi="Cambria"/>
          <w:spacing w:val="-2"/>
          <w:sz w:val="20"/>
        </w:rPr>
        <w:t xml:space="preserve">, 2024.  (Signed:) </w:t>
      </w:r>
      <w:r w:rsidRPr="007307F4">
        <w:rPr>
          <w:rStyle w:val="normaltextrun"/>
          <w:rFonts w:ascii="Cambria" w:hAnsi="Cambria" w:cs="Segoe UI"/>
          <w:sz w:val="20"/>
          <w:szCs w:val="20"/>
        </w:rPr>
        <w:t>Roberta Clarke, President; Arif Bulkan, Andrea Pochak, and Gloria Monique de Mees, Commissioners.</w:t>
      </w:r>
    </w:p>
    <w:p w14:paraId="04C3FEBB" w14:textId="0AE6BEA2" w:rsidR="003A491E" w:rsidRPr="007307F4" w:rsidRDefault="00D112B8" w:rsidP="005907AA">
      <w:pPr>
        <w:spacing w:after="0"/>
        <w:rPr>
          <w:rFonts w:ascii="Cambria" w:hAnsi="Cambria"/>
        </w:rPr>
      </w:pPr>
      <w:r w:rsidRPr="007307F4">
        <w:rPr>
          <w:rFonts w:ascii="Cambria" w:hAnsi="Cambria"/>
          <w:noProof/>
        </w:rPr>
        <mc:AlternateContent>
          <mc:Choice Requires="wps">
            <w:drawing>
              <wp:anchor distT="0" distB="0" distL="114300" distR="114300" simplePos="0" relativeHeight="251662336" behindDoc="0" locked="1" layoutInCell="1" allowOverlap="1" wp14:anchorId="65F1DEF3" wp14:editId="1075A20C">
                <wp:simplePos x="0" y="0"/>
                <wp:positionH relativeFrom="column">
                  <wp:posOffset>-91440</wp:posOffset>
                </wp:positionH>
                <wp:positionV relativeFrom="page">
                  <wp:posOffset>9144000</wp:posOffset>
                </wp:positionV>
                <wp:extent cx="3383280" cy="228600"/>
                <wp:effectExtent l="3810" t="0" r="3810" b="0"/>
                <wp:wrapNone/>
                <wp:docPr id="64438517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506FE" w14:textId="3CD6A843" w:rsidR="004557E3" w:rsidRPr="004557E3" w:rsidRDefault="004557E3">
                            <w:pPr>
                              <w:rPr>
                                <w:rFonts w:ascii="Times New Roman" w:hAnsi="Times New Roman" w:cs="Times New Roman"/>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1DEF3" id="Text Box 11" o:spid="_x0000_s1034" type="#_x0000_t202" style="position:absolute;margin-left:-7.2pt;margin-top:10in;width:266.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" filled="f" stroked="f">
                <v:textbox>
                  <w:txbxContent>
                    <w:p w14:paraId="0DA506FE" w14:textId="3CD6A843" w:rsidR="004557E3" w:rsidRPr="004557E3" w:rsidRDefault="004557E3">
                      <w:pPr>
                        <w:rPr>
                          <w:rFonts w:ascii="Times New Roman" w:hAnsi="Times New Roman" w:cs="Times New Roman"/>
                          <w:sz w:val="18"/>
                        </w:rPr>
                      </w:pPr>
                    </w:p>
                  </w:txbxContent>
                </v:textbox>
                <w10:wrap anchory="page"/>
                <w10:anchorlock/>
              </v:shape>
            </w:pict>
          </mc:Fallback>
        </mc:AlternateContent>
      </w:r>
    </w:p>
    <w:p w14:paraId="474D71BE" w14:textId="77777777" w:rsidR="007307F4" w:rsidRPr="00426E49" w:rsidRDefault="007307F4">
      <w:pPr>
        <w:spacing w:after="0"/>
      </w:pPr>
    </w:p>
    <w:sectPr w:rsidR="007307F4" w:rsidRPr="00426E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CF8B" w14:textId="77777777" w:rsidR="002D13DE" w:rsidRDefault="002D13DE" w:rsidP="000542A2">
      <w:pPr>
        <w:spacing w:after="0" w:line="240" w:lineRule="auto"/>
      </w:pPr>
      <w:r>
        <w:separator/>
      </w:r>
    </w:p>
  </w:endnote>
  <w:endnote w:type="continuationSeparator" w:id="0">
    <w:p w14:paraId="44367B2B" w14:textId="77777777" w:rsidR="002D13DE" w:rsidRDefault="002D13DE" w:rsidP="00054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Times">
    <w:altName w:val="Sylfae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C4DABC9" w14:textId="77777777" w:rsidR="000542A2" w:rsidRPr="006311DA" w:rsidRDefault="000542A2">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14:paraId="7AC42232" w14:textId="77777777" w:rsidR="000542A2" w:rsidRDefault="00054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A978" w14:textId="77777777" w:rsidR="000542A2" w:rsidRDefault="000542A2">
    <w:pPr>
      <w:pStyle w:val="Footer"/>
      <w:jc w:val="center"/>
    </w:pPr>
  </w:p>
  <w:p w14:paraId="1E6618A4" w14:textId="77777777" w:rsidR="000542A2" w:rsidRDefault="00054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2317" w14:textId="77777777" w:rsidR="002D13DE" w:rsidRDefault="002D13DE" w:rsidP="000542A2">
      <w:pPr>
        <w:spacing w:after="0" w:line="240" w:lineRule="auto"/>
      </w:pPr>
      <w:r>
        <w:separator/>
      </w:r>
    </w:p>
  </w:footnote>
  <w:footnote w:type="continuationSeparator" w:id="0">
    <w:p w14:paraId="5A648714" w14:textId="77777777" w:rsidR="002D13DE" w:rsidRDefault="002D13DE" w:rsidP="000542A2">
      <w:pPr>
        <w:spacing w:after="0" w:line="240" w:lineRule="auto"/>
      </w:pPr>
      <w:r>
        <w:continuationSeparator/>
      </w:r>
    </w:p>
  </w:footnote>
  <w:footnote w:id="1">
    <w:p w14:paraId="427BDB7C" w14:textId="56D5816E" w:rsidR="000542A2" w:rsidRPr="004557E3" w:rsidRDefault="00BF15BD" w:rsidP="00BF15BD">
      <w:pPr>
        <w:pStyle w:val="FootnoteText"/>
        <w:ind w:firstLine="720"/>
        <w:rPr>
          <w:rFonts w:ascii="Cambria" w:hAnsi="Cambria"/>
          <w:sz w:val="16"/>
          <w:szCs w:val="16"/>
        </w:rPr>
      </w:pPr>
      <w:r>
        <w:rPr>
          <w:rStyle w:val="FootnoteReference"/>
        </w:rPr>
        <w:footnoteRef/>
      </w:r>
      <w:r>
        <w:rPr>
          <w:rFonts w:ascii="Cambria" w:hAnsi="Cambria"/>
          <w:sz w:val="16"/>
          <w:szCs w:val="16"/>
        </w:rPr>
        <w:t xml:space="preserve"> </w:t>
      </w:r>
      <w:r w:rsidRPr="004557E3">
        <w:rPr>
          <w:rFonts w:ascii="Cambria" w:hAnsi="Cambria"/>
          <w:sz w:val="16"/>
          <w:szCs w:val="16"/>
        </w:rPr>
        <w:t xml:space="preserve">In keeping with Article 17(2)(a) of the Commission’s Rules of Procedure, Commissioner José Luis Caballero Ochoa, of Mexican nationality, did not participate in the decision in the instant matter. </w:t>
      </w:r>
      <w:r>
        <w:rPr>
          <w:rFonts w:ascii="Cambria" w:hAnsi="Cambria"/>
          <w:sz w:val="16"/>
          <w:szCs w:val="16"/>
        </w:rPr>
        <w:t xml:space="preserve"> </w:t>
      </w:r>
    </w:p>
  </w:footnote>
  <w:footnote w:id="2">
    <w:p w14:paraId="35E98B0D" w14:textId="522773F3" w:rsidR="00C422F9" w:rsidRPr="004557E3" w:rsidRDefault="00C422F9" w:rsidP="001445A7">
      <w:pPr>
        <w:pStyle w:val="FootnoteText"/>
        <w:ind w:firstLine="720"/>
        <w:rPr>
          <w:rFonts w:ascii="Cambria" w:hAnsi="Cambria"/>
          <w:sz w:val="16"/>
          <w:szCs w:val="16"/>
        </w:rPr>
      </w:pPr>
      <w:r w:rsidRPr="002C2750">
        <w:rPr>
          <w:rStyle w:val="FootnoteReference"/>
        </w:rPr>
        <w:footnoteRef/>
      </w:r>
      <w:r w:rsidRPr="004557E3">
        <w:rPr>
          <w:sz w:val="16"/>
          <w:szCs w:val="16"/>
        </w:rPr>
        <w:t xml:space="preserve"> </w:t>
      </w:r>
      <w:r w:rsidR="00831A16" w:rsidRPr="004557E3">
        <w:rPr>
          <w:rFonts w:ascii="Cambria" w:hAnsi="Cambria"/>
          <w:sz w:val="16"/>
          <w:szCs w:val="16"/>
        </w:rPr>
        <w:t>Hereinafter “the American Convention” or “the Convention.”</w:t>
      </w:r>
    </w:p>
  </w:footnote>
  <w:footnote w:id="3">
    <w:p w14:paraId="27888E66" w14:textId="4E982364" w:rsidR="000542A2" w:rsidRPr="004557E3" w:rsidRDefault="000542A2" w:rsidP="001445A7">
      <w:pPr>
        <w:pStyle w:val="FootnoteText"/>
        <w:ind w:firstLine="720"/>
        <w:jc w:val="both"/>
        <w:rPr>
          <w:rFonts w:ascii="Cambria" w:hAnsi="Cambria"/>
          <w:sz w:val="16"/>
          <w:szCs w:val="16"/>
        </w:rPr>
      </w:pPr>
      <w:r w:rsidRPr="009D0520">
        <w:rPr>
          <w:rStyle w:val="FootnoteReference"/>
        </w:rPr>
        <w:footnoteRef/>
      </w:r>
      <w:r w:rsidRPr="004557E3">
        <w:rPr>
          <w:rFonts w:ascii="Cambria" w:hAnsi="Cambria"/>
          <w:sz w:val="16"/>
          <w:szCs w:val="16"/>
        </w:rPr>
        <w:t xml:space="preserve"> Each party’s observations were duly forwarded to the other party. In communications of February 23 and August 13, 2015, the petitioner expressed his interest in the petition being considered. </w:t>
      </w:r>
    </w:p>
  </w:footnote>
  <w:footnote w:id="4">
    <w:p w14:paraId="5797AAA9" w14:textId="784DBA64" w:rsidR="005960DC" w:rsidRPr="004557E3" w:rsidRDefault="005960DC" w:rsidP="001445A7">
      <w:pPr>
        <w:pStyle w:val="FootnoteText"/>
        <w:ind w:firstLine="720"/>
        <w:rPr>
          <w:rFonts w:ascii="Cambria" w:hAnsi="Cambria"/>
          <w:sz w:val="16"/>
          <w:szCs w:val="16"/>
        </w:rPr>
      </w:pPr>
      <w:r w:rsidRPr="00BE4EA7">
        <w:rPr>
          <w:rStyle w:val="FootnoteReference"/>
        </w:rPr>
        <w:footnoteRef/>
      </w:r>
      <w:r w:rsidR="00E85AB1">
        <w:rPr>
          <w:rStyle w:val="FootnoteReference"/>
        </w:rPr>
        <w:t xml:space="preserve"> </w:t>
      </w:r>
      <w:r w:rsidR="00FB1669">
        <w:rPr>
          <w:rStyle w:val="FootnoteReference"/>
        </w:rPr>
        <w:t xml:space="preserve"> </w:t>
      </w:r>
      <w:r w:rsidR="004115C5" w:rsidRPr="004557E3">
        <w:rPr>
          <w:rFonts w:ascii="Cambria" w:hAnsi="Cambria"/>
          <w:sz w:val="16"/>
          <w:szCs w:val="16"/>
        </w:rPr>
        <w:t>The petition was received by the IACHR by regular mail on September 3, 2014.</w:t>
      </w:r>
    </w:p>
  </w:footnote>
  <w:footnote w:id="5">
    <w:p w14:paraId="10752220" w14:textId="5910020E" w:rsidR="0012720B" w:rsidRPr="004557E3" w:rsidRDefault="0012720B" w:rsidP="001445A7">
      <w:pPr>
        <w:pStyle w:val="NormalWeb"/>
        <w:ind w:firstLine="720"/>
        <w:jc w:val="both"/>
        <w:rPr>
          <w:rFonts w:ascii="Cambria" w:hAnsi="Cambria"/>
          <w:sz w:val="16"/>
          <w:szCs w:val="16"/>
        </w:rPr>
      </w:pPr>
      <w:r w:rsidRPr="00DC250A">
        <w:rPr>
          <w:rStyle w:val="FootnoteReference"/>
          <w:rFonts w:asciiTheme="minorHAnsi" w:eastAsiaTheme="minorEastAsia" w:hAnsiTheme="minorHAnsi"/>
          <w:kern w:val="2"/>
          <w:sz w:val="20"/>
          <w:szCs w:val="20"/>
          <w:bdr w:val="none" w:sz="0" w:space="0" w:color="auto"/>
          <w:lang w:eastAsia="zh-TW"/>
        </w:rPr>
        <w:footnoteRef/>
      </w:r>
      <w:r w:rsidRPr="00DC250A">
        <w:rPr>
          <w:rStyle w:val="FootnoteReference"/>
          <w:rFonts w:asciiTheme="minorHAnsi" w:eastAsiaTheme="minorEastAsia" w:hAnsiTheme="minorHAnsi"/>
          <w:kern w:val="2"/>
          <w:sz w:val="20"/>
          <w:szCs w:val="20"/>
          <w:bdr w:val="none" w:sz="0" w:space="0" w:color="auto"/>
          <w:lang w:eastAsia="zh-TW"/>
        </w:rPr>
        <w:t xml:space="preserve"> </w:t>
      </w:r>
      <w:r w:rsidR="003770FC">
        <w:rPr>
          <w:rStyle w:val="FootnoteReference"/>
          <w:rFonts w:asciiTheme="minorHAnsi" w:eastAsiaTheme="minorEastAsia" w:hAnsiTheme="minorHAnsi"/>
          <w:kern w:val="2"/>
          <w:sz w:val="20"/>
          <w:szCs w:val="20"/>
          <w:bdr w:val="none" w:sz="0" w:space="0" w:color="auto"/>
          <w:lang w:eastAsia="zh-TW"/>
        </w:rPr>
        <w:t xml:space="preserve"> </w:t>
      </w:r>
      <w:r w:rsidRPr="004557E3">
        <w:rPr>
          <w:rFonts w:ascii="Cambria" w:hAnsi="Cambria"/>
          <w:sz w:val="16"/>
          <w:szCs w:val="16"/>
        </w:rPr>
        <w:t xml:space="preserve">Based on Articles 17 and 18 of the Federal Law on </w:t>
      </w:r>
      <w:r w:rsidR="000340BE" w:rsidRPr="004557E3">
        <w:rPr>
          <w:rFonts w:ascii="Cambria" w:hAnsi="Cambria"/>
          <w:sz w:val="16"/>
          <w:szCs w:val="16"/>
        </w:rPr>
        <w:t xml:space="preserve">Economic Liability </w:t>
      </w:r>
      <w:r w:rsidRPr="004557E3">
        <w:rPr>
          <w:rFonts w:ascii="Cambria" w:hAnsi="Cambria"/>
          <w:sz w:val="16"/>
          <w:szCs w:val="16"/>
        </w:rPr>
        <w:t xml:space="preserve">of the Mexican State: </w:t>
      </w:r>
    </w:p>
    <w:p w14:paraId="78AAE3D0" w14:textId="77777777" w:rsidR="0012720B" w:rsidRPr="004557E3" w:rsidRDefault="0012720B" w:rsidP="001445A7">
      <w:pPr>
        <w:pStyle w:val="NormalWeb"/>
        <w:ind w:right="720" w:firstLine="720"/>
        <w:jc w:val="both"/>
        <w:rPr>
          <w:rFonts w:ascii="Cambria" w:hAnsi="Cambria"/>
          <w:sz w:val="16"/>
          <w:szCs w:val="16"/>
        </w:rPr>
      </w:pPr>
      <w:r w:rsidRPr="004557E3">
        <w:rPr>
          <w:rFonts w:ascii="Cambria" w:hAnsi="Cambria"/>
          <w:sz w:val="16"/>
          <w:szCs w:val="16"/>
        </w:rPr>
        <w:t xml:space="preserve">Article 17 – The procedures for economic liability of the federal public agencies shall be initiated by a claim filed by the interested party. </w:t>
      </w:r>
    </w:p>
    <w:p w14:paraId="4EF2999F" w14:textId="77777777" w:rsidR="0012720B" w:rsidRPr="004557E3" w:rsidRDefault="0012720B" w:rsidP="001445A7">
      <w:pPr>
        <w:pStyle w:val="NormalWeb"/>
        <w:ind w:right="720" w:firstLine="720"/>
        <w:jc w:val="both"/>
        <w:rPr>
          <w:rFonts w:ascii="Cambria" w:hAnsi="Cambria"/>
          <w:sz w:val="16"/>
          <w:szCs w:val="16"/>
        </w:rPr>
      </w:pPr>
      <w:r w:rsidRPr="004557E3">
        <w:rPr>
          <w:rFonts w:ascii="Cambria" w:hAnsi="Cambria"/>
          <w:sz w:val="16"/>
          <w:szCs w:val="16"/>
        </w:rPr>
        <w:t xml:space="preserve">Article 18 – The interested party shall file his or her claim before the office or entity presumably responsible, or autonomous constitutional agency, as established in the Federal Law on Administrative Procedure. </w:t>
      </w:r>
    </w:p>
    <w:p w14:paraId="4BFC5ABA" w14:textId="77777777" w:rsidR="0012720B" w:rsidRPr="004557E3" w:rsidRDefault="0012720B" w:rsidP="001445A7">
      <w:pPr>
        <w:pStyle w:val="NormalWeb"/>
        <w:ind w:right="720" w:firstLine="720"/>
        <w:jc w:val="both"/>
        <w:rPr>
          <w:rFonts w:ascii="Cambria" w:hAnsi="Cambria"/>
          <w:sz w:val="16"/>
          <w:szCs w:val="16"/>
        </w:rPr>
      </w:pPr>
      <w:r w:rsidRPr="004557E3">
        <w:rPr>
          <w:rFonts w:ascii="Cambria" w:hAnsi="Cambria"/>
          <w:sz w:val="16"/>
          <w:szCs w:val="16"/>
        </w:rPr>
        <w:t xml:space="preserve">Private persons, in their action, should indicate, as the case may be, the public servant or servants involved in the administrative activity considered irregular. </w:t>
      </w:r>
    </w:p>
    <w:p w14:paraId="111D5332" w14:textId="62ACAAA7" w:rsidR="00C6251C" w:rsidRPr="004557E3" w:rsidRDefault="0012720B" w:rsidP="001445A7">
      <w:pPr>
        <w:pStyle w:val="NormalWeb"/>
        <w:ind w:right="720" w:firstLine="720"/>
        <w:jc w:val="both"/>
        <w:rPr>
          <w:rFonts w:ascii="Cambria" w:hAnsi="Cambria"/>
          <w:sz w:val="16"/>
          <w:szCs w:val="16"/>
        </w:rPr>
      </w:pPr>
      <w:r w:rsidRPr="004557E3">
        <w:rPr>
          <w:rFonts w:ascii="Cambria" w:hAnsi="Cambria"/>
          <w:sz w:val="16"/>
          <w:szCs w:val="16"/>
        </w:rPr>
        <w:t>If once the proceeding on economic liability of the State has begun, any of the procedures for which the private person has challenged the act of authority that is considered harmful is found to be pending, then the proceeding on the economic liability of the State shall be suspended until such time as the competent authority, in the other, has issued a final resolution  in the other proceedings.</w:t>
      </w:r>
    </w:p>
  </w:footnote>
  <w:footnote w:id="6">
    <w:p w14:paraId="2A02B327" w14:textId="47814411" w:rsidR="008F4E96" w:rsidRPr="008F4E96" w:rsidRDefault="0012720B" w:rsidP="008F4E96">
      <w:pPr>
        <w:pStyle w:val="FootnoteText"/>
        <w:ind w:firstLine="720"/>
        <w:rPr>
          <w:rFonts w:ascii="Cambria" w:hAnsi="Cambria"/>
          <w:sz w:val="16"/>
          <w:szCs w:val="16"/>
        </w:rPr>
      </w:pPr>
      <w:r w:rsidRPr="002A4A5B">
        <w:rPr>
          <w:rStyle w:val="FootnoteReference"/>
        </w:rPr>
        <w:footnoteRef/>
      </w:r>
      <w:r w:rsidRPr="002A4A5B">
        <w:rPr>
          <w:rStyle w:val="FootnoteReference"/>
        </w:rPr>
        <w:t xml:space="preserve"> </w:t>
      </w:r>
      <w:r w:rsidR="002A4A5B">
        <w:t xml:space="preserve"> </w:t>
      </w:r>
      <w:r w:rsidRPr="004557E3">
        <w:rPr>
          <w:rFonts w:ascii="Cambria" w:hAnsi="Cambria"/>
          <w:sz w:val="16"/>
          <w:szCs w:val="16"/>
        </w:rPr>
        <w:t>Depending on the exchange rate on the date, according to the webpage of the Diario Oficial de la Federación of the Ministry of Interior on October 27, 2024, available at:</w:t>
      </w:r>
      <w:r w:rsidR="00FB1669">
        <w:rPr>
          <w:rFonts w:ascii="Cambria" w:hAnsi="Cambria"/>
          <w:sz w:val="16"/>
          <w:szCs w:val="16"/>
        </w:rPr>
        <w:t xml:space="preserve"> </w:t>
      </w:r>
      <w:r w:rsidRPr="004557E3">
        <w:rPr>
          <w:rFonts w:ascii="Cambria" w:hAnsi="Cambria"/>
          <w:sz w:val="16"/>
          <w:szCs w:val="16"/>
        </w:rPr>
        <w:t xml:space="preserve"> </w:t>
      </w:r>
      <w:hyperlink r:id="rId1" w:anchor="gsc.tab=0" w:history="1">
        <w:r w:rsidR="008F4E96" w:rsidRPr="00535A1F">
          <w:rPr>
            <w:rStyle w:val="Hyperlink"/>
            <w:rFonts w:ascii="Cambria" w:hAnsi="Cambria"/>
            <w:sz w:val="16"/>
            <w:szCs w:val="16"/>
          </w:rPr>
          <w:t>https://dof.gob.mx/indicadores_detalle.php?cod_tipo_indicador=158&amp;dfecha=01/01/2010&amp;hfecha=31/12/2010#gsc.tab=0</w:t>
        </w:r>
      </w:hyperlink>
    </w:p>
  </w:footnote>
  <w:footnote w:id="7">
    <w:p w14:paraId="290DB9E7" w14:textId="785ED17A" w:rsidR="0012720B" w:rsidRPr="004557E3" w:rsidRDefault="0012720B" w:rsidP="001445A7">
      <w:pPr>
        <w:spacing w:after="0" w:line="240" w:lineRule="auto"/>
        <w:ind w:firstLine="720"/>
        <w:jc w:val="both"/>
        <w:rPr>
          <w:rFonts w:ascii="Cambria" w:hAnsi="Cambria"/>
          <w:sz w:val="16"/>
          <w:szCs w:val="16"/>
        </w:rPr>
      </w:pPr>
      <w:r w:rsidRPr="008A4F72">
        <w:rPr>
          <w:rStyle w:val="FootnoteReference"/>
          <w:sz w:val="20"/>
          <w:szCs w:val="20"/>
        </w:rPr>
        <w:footnoteRef/>
      </w:r>
      <w:r w:rsidRPr="004557E3">
        <w:rPr>
          <w:rFonts w:ascii="Cambria" w:hAnsi="Cambria"/>
          <w:sz w:val="16"/>
          <w:szCs w:val="16"/>
        </w:rPr>
        <w:t xml:space="preserve"> CONAGUA is a deconcentrated agency of the Ministry of Environment and Natural Resources (SEMARNAT: Secretaría de Medio Ambiente y Recursos Naturales), established in 1989 with the responsibility of administering, regulating, overseeing, and protecting the nation’s waters through three main operational areas – management, basin agencies, and technical assistance – with the aim of guaranteeing the sustainable use of this natural resource and the inherent public interests. </w:t>
      </w:r>
    </w:p>
  </w:footnote>
  <w:footnote w:id="8">
    <w:p w14:paraId="0EA1893F" w14:textId="719E6BFC" w:rsidR="0012720B" w:rsidRPr="004557E3" w:rsidRDefault="0012720B" w:rsidP="001445A7">
      <w:pPr>
        <w:pStyle w:val="FootnoteText"/>
        <w:ind w:firstLine="720"/>
        <w:jc w:val="both"/>
        <w:rPr>
          <w:rFonts w:ascii="Cambria" w:hAnsi="Cambria"/>
          <w:sz w:val="16"/>
          <w:szCs w:val="16"/>
        </w:rPr>
      </w:pPr>
      <w:r w:rsidRPr="00BC69BE">
        <w:rPr>
          <w:rStyle w:val="FootnoteReference"/>
        </w:rPr>
        <w:footnoteRef/>
      </w:r>
      <w:r w:rsidRPr="00BC69BE">
        <w:rPr>
          <w:rStyle w:val="FootnoteReference"/>
        </w:rPr>
        <w:t xml:space="preserve"> </w:t>
      </w:r>
      <w:r w:rsidR="00BC69BE">
        <w:rPr>
          <w:rStyle w:val="FootnoteReference"/>
        </w:rPr>
        <w:t xml:space="preserve"> </w:t>
      </w:r>
      <w:r w:rsidRPr="004557E3">
        <w:rPr>
          <w:rFonts w:ascii="Cambria" w:hAnsi="Cambria"/>
          <w:sz w:val="16"/>
          <w:szCs w:val="16"/>
        </w:rPr>
        <w:t xml:space="preserve">Article 22 of the Federal Law on Economic Liability of the State provides: </w:t>
      </w:r>
    </w:p>
    <w:p w14:paraId="661ADD72" w14:textId="2B228BF0" w:rsidR="0012720B" w:rsidRPr="004557E3" w:rsidRDefault="0012720B" w:rsidP="004D35A2">
      <w:pPr>
        <w:pStyle w:val="FootnoteText"/>
        <w:ind w:left="90" w:firstLine="720"/>
        <w:jc w:val="both"/>
        <w:rPr>
          <w:rFonts w:ascii="Cambria" w:hAnsi="Cambria"/>
          <w:sz w:val="16"/>
          <w:szCs w:val="16"/>
        </w:rPr>
      </w:pPr>
      <w:r w:rsidRPr="004557E3">
        <w:rPr>
          <w:rFonts w:ascii="Cambria" w:hAnsi="Cambria"/>
          <w:sz w:val="16"/>
          <w:szCs w:val="16"/>
        </w:rPr>
        <w:t xml:space="preserve">The responsibility of the State should be proven by a claimant who considers he or she has suffered economic harm, due to not having the legal obligation to bear it. For its part, it shall be up to the State to prove, as the case may be, the participation of third persons or of the claimant in causing the damages suffered; that the damages are not the consequence of the irregular administrative activity of the State; that the damages stem from unforeseeable or inevitable acts or circumstances, based on the knowledge of science or technique at the time of its occurrence, or the existence of a force majeure that would exempt it from economic liability. </w:t>
      </w:r>
    </w:p>
  </w:footnote>
  <w:footnote w:id="9">
    <w:p w14:paraId="2FAE5B05" w14:textId="3B8FB91E" w:rsidR="0012720B" w:rsidRPr="004557E3" w:rsidRDefault="0012720B" w:rsidP="001445A7">
      <w:pPr>
        <w:pStyle w:val="FootnoteText"/>
        <w:ind w:firstLine="720"/>
        <w:jc w:val="both"/>
        <w:rPr>
          <w:rFonts w:ascii="Cambria" w:hAnsi="Cambria"/>
          <w:sz w:val="16"/>
          <w:szCs w:val="16"/>
        </w:rPr>
      </w:pPr>
      <w:r w:rsidRPr="007778BF">
        <w:rPr>
          <w:rStyle w:val="FootnoteReference"/>
        </w:rPr>
        <w:footnoteRef/>
      </w:r>
      <w:r w:rsidRPr="007778BF">
        <w:rPr>
          <w:rStyle w:val="FootnoteReference"/>
        </w:rPr>
        <w:t xml:space="preserve"> </w:t>
      </w:r>
      <w:r w:rsidR="007778BF">
        <w:rPr>
          <w:rFonts w:asciiTheme="majorHAnsi" w:hAnsiTheme="majorHAnsi"/>
          <w:sz w:val="16"/>
          <w:szCs w:val="16"/>
        </w:rPr>
        <w:t xml:space="preserve"> </w:t>
      </w:r>
      <w:r w:rsidRPr="004557E3">
        <w:rPr>
          <w:rFonts w:ascii="Cambria" w:hAnsi="Cambria"/>
          <w:sz w:val="16"/>
          <w:szCs w:val="16"/>
        </w:rPr>
        <w:t xml:space="preserve">According to Article 24 of the Federal law on Economic Liability of the State: </w:t>
      </w:r>
      <w:r w:rsidRPr="004557E3">
        <w:rPr>
          <w:rFonts w:ascii="Cambria" w:hAnsi="Cambria"/>
          <w:i/>
          <w:iCs/>
          <w:sz w:val="16"/>
          <w:szCs w:val="16"/>
        </w:rPr>
        <w:t>“The resolutions of the administrative authority that deny compensation, or which, due to the amount, do not satisfy the interested person, may be challenged by a motion for review before the administrative courts, or directly in the courts before the Federal Court of Tax and Administrative Justice.</w:t>
      </w:r>
      <w:r w:rsidRPr="004557E3">
        <w:rPr>
          <w:rFonts w:ascii="Cambria" w:hAnsi="Cambria"/>
          <w:sz w:val="16"/>
          <w:szCs w:val="16"/>
        </w:rPr>
        <w:t xml:space="preserve">” </w:t>
      </w:r>
    </w:p>
  </w:footnote>
  <w:footnote w:id="10">
    <w:p w14:paraId="4EE6AB47" w14:textId="6F929E14" w:rsidR="0012720B" w:rsidRPr="004557E3" w:rsidRDefault="0012720B" w:rsidP="001445A7">
      <w:pPr>
        <w:pStyle w:val="FootnoteText"/>
        <w:ind w:firstLine="720"/>
        <w:jc w:val="both"/>
        <w:rPr>
          <w:rFonts w:ascii="Cambria" w:hAnsi="Cambria"/>
          <w:sz w:val="16"/>
          <w:szCs w:val="16"/>
        </w:rPr>
      </w:pPr>
      <w:r w:rsidRPr="00BC69BE">
        <w:rPr>
          <w:rStyle w:val="FootnoteReference"/>
        </w:rPr>
        <w:footnoteRef/>
      </w:r>
      <w:r w:rsidRPr="00BC69BE">
        <w:rPr>
          <w:rStyle w:val="FootnoteReference"/>
        </w:rPr>
        <w:t xml:space="preserve"> </w:t>
      </w:r>
      <w:r w:rsidR="007778BF">
        <w:t xml:space="preserve"> </w:t>
      </w:r>
      <w:r w:rsidRPr="004557E3">
        <w:rPr>
          <w:rFonts w:ascii="Cambria" w:hAnsi="Cambria"/>
          <w:sz w:val="16"/>
          <w:szCs w:val="16"/>
        </w:rPr>
        <w:t xml:space="preserve">In the copy of the judgment on economic liability of August 31, 2012, filed by the petitioner, it was found that on July 4, 2012, the Investigative Judge communicated to the parties the referral to the Second Auxiliary Chamber for handing down the judgment. And according to direct </w:t>
      </w:r>
      <w:r w:rsidRPr="004557E3">
        <w:rPr>
          <w:rFonts w:ascii="Cambria" w:hAnsi="Cambria"/>
          <w:i/>
          <w:iCs/>
          <w:sz w:val="16"/>
          <w:szCs w:val="16"/>
        </w:rPr>
        <w:t>amparo</w:t>
      </w:r>
      <w:r w:rsidRPr="004557E3">
        <w:rPr>
          <w:rFonts w:ascii="Cambria" w:hAnsi="Cambria"/>
          <w:sz w:val="16"/>
          <w:szCs w:val="16"/>
        </w:rPr>
        <w:t xml:space="preserve"> judgment 54/2014 of March 20, 2014, this change was made with </w:t>
      </w:r>
      <w:r w:rsidR="00573C40" w:rsidRPr="004557E3">
        <w:rPr>
          <w:rFonts w:ascii="Cambria" w:hAnsi="Cambria"/>
          <w:sz w:val="16"/>
          <w:szCs w:val="16"/>
        </w:rPr>
        <w:t xml:space="preserve">the </w:t>
      </w:r>
      <w:r w:rsidRPr="004557E3">
        <w:rPr>
          <w:rFonts w:ascii="Cambria" w:hAnsi="Cambria"/>
          <w:sz w:val="16"/>
          <w:szCs w:val="16"/>
        </w:rPr>
        <w:t>“</w:t>
      </w:r>
      <w:r w:rsidRPr="004557E3">
        <w:rPr>
          <w:rFonts w:ascii="Cambria" w:hAnsi="Cambria"/>
          <w:i/>
          <w:iCs/>
          <w:sz w:val="16"/>
          <w:szCs w:val="16"/>
        </w:rPr>
        <w:t xml:space="preserve">Procedure for Redistribution of Cases for the purpose of creating the </w:t>
      </w:r>
      <w:r w:rsidR="00EB624E" w:rsidRPr="004557E3">
        <w:rPr>
          <w:rFonts w:ascii="Cambria" w:hAnsi="Cambria"/>
          <w:i/>
          <w:iCs/>
          <w:sz w:val="16"/>
          <w:szCs w:val="16"/>
        </w:rPr>
        <w:t>Chamber Specialized</w:t>
      </w:r>
      <w:r w:rsidRPr="004557E3">
        <w:rPr>
          <w:rFonts w:ascii="Cambria" w:hAnsi="Cambria"/>
          <w:i/>
          <w:iCs/>
          <w:sz w:val="16"/>
          <w:szCs w:val="16"/>
        </w:rPr>
        <w:t xml:space="preserve"> in Resolutions of Regulatory Bodies for the Activity of the State.” </w:t>
      </w:r>
    </w:p>
  </w:footnote>
  <w:footnote w:id="11">
    <w:p w14:paraId="0245A22E" w14:textId="44139D6D" w:rsidR="0012720B" w:rsidRPr="004557E3" w:rsidRDefault="0012720B" w:rsidP="001445A7">
      <w:pPr>
        <w:pStyle w:val="FootnoteText"/>
        <w:ind w:firstLine="720"/>
        <w:jc w:val="both"/>
        <w:rPr>
          <w:rFonts w:ascii="Cambria" w:hAnsi="Cambria"/>
          <w:sz w:val="16"/>
          <w:szCs w:val="16"/>
        </w:rPr>
      </w:pPr>
      <w:r w:rsidRPr="00BC69BE">
        <w:rPr>
          <w:rStyle w:val="FootnoteReference"/>
        </w:rPr>
        <w:footnoteRef/>
      </w:r>
      <w:r w:rsidRPr="00BC69BE">
        <w:rPr>
          <w:rStyle w:val="FootnoteReference"/>
        </w:rPr>
        <w:t xml:space="preserve"> </w:t>
      </w:r>
      <w:r w:rsidR="00BC69BE">
        <w:t xml:space="preserve"> </w:t>
      </w:r>
      <w:r w:rsidRPr="004557E3">
        <w:rPr>
          <w:rFonts w:ascii="Cambria" w:hAnsi="Cambria"/>
          <w:sz w:val="16"/>
          <w:szCs w:val="16"/>
        </w:rPr>
        <w:t xml:space="preserve">According to the uncertified copy of direct </w:t>
      </w:r>
      <w:r w:rsidRPr="004557E3">
        <w:rPr>
          <w:rFonts w:ascii="Cambria" w:hAnsi="Cambria"/>
          <w:i/>
          <w:iCs/>
          <w:sz w:val="16"/>
          <w:szCs w:val="16"/>
        </w:rPr>
        <w:t>amparo</w:t>
      </w:r>
      <w:r w:rsidRPr="004557E3">
        <w:rPr>
          <w:rFonts w:ascii="Cambria" w:hAnsi="Cambria"/>
          <w:sz w:val="16"/>
          <w:szCs w:val="16"/>
        </w:rPr>
        <w:t xml:space="preserve"> judgment 54/2014 of March 20, 2014, sent to the IACHR by the petitioners, they were given notice of the judgment appealed on May 27, 2013.</w:t>
      </w:r>
    </w:p>
  </w:footnote>
  <w:footnote w:id="12">
    <w:p w14:paraId="446B7AF4" w14:textId="7E1FAF41" w:rsidR="0012720B" w:rsidRPr="004557E3" w:rsidRDefault="0012720B" w:rsidP="001445A7">
      <w:pPr>
        <w:pStyle w:val="FootnoteText"/>
        <w:ind w:firstLine="720"/>
        <w:jc w:val="both"/>
        <w:rPr>
          <w:rFonts w:ascii="Cambria" w:hAnsi="Cambria"/>
          <w:sz w:val="16"/>
          <w:szCs w:val="16"/>
        </w:rPr>
      </w:pPr>
      <w:r w:rsidRPr="001E5DD6">
        <w:rPr>
          <w:rStyle w:val="FootnoteReference"/>
        </w:rPr>
        <w:footnoteRef/>
      </w:r>
      <w:r w:rsidRPr="004557E3">
        <w:rPr>
          <w:rFonts w:ascii="Cambria" w:hAnsi="Cambria"/>
          <w:sz w:val="16"/>
          <w:szCs w:val="16"/>
        </w:rPr>
        <w:t xml:space="preserve"> According to </w:t>
      </w:r>
      <w:r w:rsidRPr="004557E3">
        <w:rPr>
          <w:rFonts w:ascii="Cambria" w:hAnsi="Cambria"/>
          <w:i/>
          <w:iCs/>
          <w:sz w:val="16"/>
          <w:szCs w:val="16"/>
        </w:rPr>
        <w:t>amparo</w:t>
      </w:r>
      <w:r w:rsidRPr="004557E3">
        <w:rPr>
          <w:rFonts w:ascii="Cambria" w:hAnsi="Cambria"/>
          <w:sz w:val="16"/>
          <w:szCs w:val="16"/>
        </w:rPr>
        <w:t xml:space="preserve"> judgment 518/2012, presented in the attachments to the petition by the petitioner, paragraph 68 indicates that: “</w:t>
      </w:r>
      <w:r w:rsidRPr="004557E3">
        <w:rPr>
          <w:rFonts w:ascii="Cambria" w:hAnsi="Cambria"/>
          <w:i/>
          <w:iCs/>
          <w:sz w:val="16"/>
          <w:szCs w:val="16"/>
        </w:rPr>
        <w:t>The Master Plan for Draining of the Mexico City Metropolitan Area 1994-2010 is a reference document for the planning and development of drainage infrastructure that unifies a global assessment of the conditions of its operation and prospection, which is made up of a physical-urban context  updated as regards population growth and growth of the urban footprint, as well as a description of works for drainage and flood control.</w:t>
      </w:r>
      <w:r w:rsidRPr="004557E3">
        <w:rPr>
          <w:rFonts w:ascii="Cambria" w:hAnsi="Cambria"/>
          <w:sz w:val="16"/>
          <w:szCs w:val="16"/>
        </w:rPr>
        <w:t>”</w:t>
      </w:r>
    </w:p>
  </w:footnote>
  <w:footnote w:id="13">
    <w:p w14:paraId="6A58BDFA" w14:textId="027D7450" w:rsidR="0012720B" w:rsidRPr="004557E3" w:rsidRDefault="0012720B" w:rsidP="001445A7">
      <w:pPr>
        <w:pStyle w:val="FootnoteText"/>
        <w:ind w:firstLine="720"/>
        <w:jc w:val="both"/>
        <w:rPr>
          <w:rFonts w:ascii="Cambria" w:hAnsi="Cambria"/>
          <w:sz w:val="16"/>
          <w:szCs w:val="16"/>
        </w:rPr>
      </w:pPr>
      <w:r w:rsidRPr="001E5DD6">
        <w:rPr>
          <w:rStyle w:val="FootnoteReference"/>
        </w:rPr>
        <w:footnoteRef/>
      </w:r>
      <w:r w:rsidRPr="001E5DD6">
        <w:rPr>
          <w:rStyle w:val="FootnoteReference"/>
        </w:rPr>
        <w:t xml:space="preserve"> </w:t>
      </w:r>
      <w:r w:rsidR="001E5DD6">
        <w:rPr>
          <w:rFonts w:ascii="Cambria" w:hAnsi="Cambria"/>
          <w:sz w:val="16"/>
          <w:szCs w:val="16"/>
        </w:rPr>
        <w:t xml:space="preserve"> </w:t>
      </w:r>
      <w:r w:rsidRPr="004557E3">
        <w:rPr>
          <w:rFonts w:ascii="Cambria" w:hAnsi="Cambria"/>
          <w:sz w:val="16"/>
          <w:szCs w:val="16"/>
        </w:rPr>
        <w:t xml:space="preserve">In this respect, according to </w:t>
      </w:r>
      <w:r w:rsidRPr="004557E3">
        <w:rPr>
          <w:rFonts w:ascii="Cambria" w:hAnsi="Cambria"/>
          <w:i/>
          <w:iCs/>
          <w:sz w:val="16"/>
          <w:szCs w:val="16"/>
        </w:rPr>
        <w:t>amparo</w:t>
      </w:r>
      <w:r w:rsidRPr="004557E3">
        <w:rPr>
          <w:rFonts w:ascii="Cambria" w:hAnsi="Cambria"/>
          <w:sz w:val="16"/>
          <w:szCs w:val="16"/>
        </w:rPr>
        <w:t xml:space="preserve"> judgment 518/2012, third persons, after damages in their homes due to flooding on September 6, </w:t>
      </w:r>
      <w:r w:rsidR="00EB624E" w:rsidRPr="004557E3">
        <w:rPr>
          <w:rFonts w:ascii="Cambria" w:hAnsi="Cambria"/>
          <w:sz w:val="16"/>
          <w:szCs w:val="16"/>
        </w:rPr>
        <w:t>2009, brought</w:t>
      </w:r>
      <w:r w:rsidRPr="004557E3">
        <w:rPr>
          <w:rFonts w:ascii="Cambria" w:hAnsi="Cambria"/>
          <w:sz w:val="16"/>
          <w:szCs w:val="16"/>
        </w:rPr>
        <w:t xml:space="preserve"> lawsuit for economic liability 22505/11-17-05-1 before the Fifth Metropolitan Regional Chamber of the Federal Court of Tax and Administrative Justice, which denied their claims for compensation on April 9, 2012. So on May 31, 2012, they filed direct </w:t>
      </w:r>
      <w:r w:rsidRPr="004557E3">
        <w:rPr>
          <w:rFonts w:ascii="Cambria" w:hAnsi="Cambria"/>
          <w:i/>
          <w:iCs/>
          <w:sz w:val="16"/>
          <w:szCs w:val="16"/>
        </w:rPr>
        <w:t>amparo</w:t>
      </w:r>
      <w:r w:rsidRPr="004557E3">
        <w:rPr>
          <w:rFonts w:ascii="Cambria" w:hAnsi="Cambria"/>
          <w:sz w:val="16"/>
          <w:szCs w:val="16"/>
        </w:rPr>
        <w:t xml:space="preserve"> action 518/2012, in which they identified, as the responsible authorities, the judges of the Fifth Regional Chamber. Unlike the case of the alleged victims, this </w:t>
      </w:r>
      <w:r w:rsidRPr="004557E3">
        <w:rPr>
          <w:rFonts w:ascii="Cambria" w:hAnsi="Cambria"/>
          <w:i/>
          <w:iCs/>
          <w:sz w:val="16"/>
          <w:szCs w:val="16"/>
        </w:rPr>
        <w:t>amparo</w:t>
      </w:r>
      <w:r w:rsidRPr="004557E3">
        <w:rPr>
          <w:rFonts w:ascii="Cambria" w:hAnsi="Cambria"/>
          <w:sz w:val="16"/>
          <w:szCs w:val="16"/>
        </w:rPr>
        <w:t xml:space="preserve"> was granted on December 13, 2012, asking that another judgment he handed down </w:t>
      </w:r>
      <w:r w:rsidR="00573C40" w:rsidRPr="004557E3">
        <w:rPr>
          <w:rFonts w:ascii="Cambria" w:hAnsi="Cambria"/>
          <w:sz w:val="16"/>
          <w:szCs w:val="16"/>
        </w:rPr>
        <w:t xml:space="preserve">that </w:t>
      </w:r>
      <w:r w:rsidRPr="004557E3">
        <w:rPr>
          <w:rFonts w:ascii="Cambria" w:hAnsi="Cambria"/>
          <w:sz w:val="16"/>
          <w:szCs w:val="16"/>
        </w:rPr>
        <w:t>includ</w:t>
      </w:r>
      <w:r w:rsidR="00573C40" w:rsidRPr="004557E3">
        <w:rPr>
          <w:rFonts w:ascii="Cambria" w:hAnsi="Cambria"/>
          <w:sz w:val="16"/>
          <w:szCs w:val="16"/>
        </w:rPr>
        <w:t>es</w:t>
      </w:r>
      <w:r w:rsidRPr="004557E3">
        <w:rPr>
          <w:rFonts w:ascii="Cambria" w:hAnsi="Cambria"/>
          <w:sz w:val="16"/>
          <w:szCs w:val="16"/>
        </w:rPr>
        <w:t xml:space="preserve"> an analysis of the UNAM expert report, and it established that the cause-and-effect relationship between the economic injury and the purported irregular activity of the State by omission</w:t>
      </w:r>
      <w:r w:rsidR="00573C40" w:rsidRPr="004557E3">
        <w:rPr>
          <w:rFonts w:ascii="Cambria" w:hAnsi="Cambria"/>
          <w:sz w:val="16"/>
          <w:szCs w:val="16"/>
        </w:rPr>
        <w:t xml:space="preserve"> should be analyzed</w:t>
      </w:r>
      <w:r w:rsidRPr="004557E3">
        <w:rPr>
          <w:rFonts w:ascii="Cambria" w:hAnsi="Cambria"/>
          <w:sz w:val="16"/>
          <w:szCs w:val="16"/>
        </w:rPr>
        <w:t xml:space="preserve">. On October 7, 2013, the chamber concluded that there was irregular activity on the part of the State, because CONAGUA </w:t>
      </w:r>
      <w:r w:rsidRPr="004557E3">
        <w:rPr>
          <w:rFonts w:ascii="Cambria" w:hAnsi="Cambria"/>
          <w:i/>
          <w:iCs/>
          <w:sz w:val="16"/>
          <w:szCs w:val="16"/>
        </w:rPr>
        <w:t xml:space="preserve">“did not observe the rules that regulate its </w:t>
      </w:r>
      <w:r w:rsidR="00EB624E" w:rsidRPr="004557E3">
        <w:rPr>
          <w:rFonts w:ascii="Cambria" w:hAnsi="Cambria"/>
          <w:i/>
          <w:iCs/>
          <w:sz w:val="16"/>
          <w:szCs w:val="16"/>
        </w:rPr>
        <w:t>operations,</w:t>
      </w:r>
      <w:r w:rsidRPr="004557E3">
        <w:rPr>
          <w:rFonts w:ascii="Cambria" w:hAnsi="Cambria"/>
          <w:i/>
          <w:iCs/>
          <w:sz w:val="16"/>
          <w:szCs w:val="16"/>
        </w:rPr>
        <w:t xml:space="preserve"> nor did it act with due diligence to see to it that the public service provided met the parameters established for its correct operation.” </w:t>
      </w:r>
    </w:p>
  </w:footnote>
  <w:footnote w:id="14">
    <w:p w14:paraId="697D20C5" w14:textId="012A9B33" w:rsidR="0012720B" w:rsidRPr="004557E3" w:rsidRDefault="0012720B" w:rsidP="001445A7">
      <w:pPr>
        <w:pStyle w:val="FootnoteText"/>
        <w:ind w:firstLine="720"/>
        <w:jc w:val="both"/>
        <w:rPr>
          <w:rFonts w:ascii="Cambria" w:hAnsi="Cambria"/>
          <w:i/>
          <w:iCs/>
          <w:sz w:val="16"/>
          <w:szCs w:val="16"/>
        </w:rPr>
      </w:pPr>
      <w:r w:rsidRPr="009F25A3">
        <w:rPr>
          <w:rStyle w:val="FootnoteReference"/>
        </w:rPr>
        <w:footnoteRef/>
      </w:r>
      <w:r w:rsidRPr="009F25A3">
        <w:rPr>
          <w:rStyle w:val="FootnoteReference"/>
        </w:rPr>
        <w:t xml:space="preserve"> </w:t>
      </w:r>
      <w:r w:rsidRPr="004557E3">
        <w:rPr>
          <w:rFonts w:ascii="Cambria" w:hAnsi="Cambria"/>
          <w:sz w:val="16"/>
          <w:szCs w:val="16"/>
        </w:rPr>
        <w:t xml:space="preserve">Article 21- </w:t>
      </w:r>
      <w:r w:rsidRPr="004557E3">
        <w:rPr>
          <w:rFonts w:ascii="Cambria" w:hAnsi="Cambria"/>
          <w:i/>
          <w:iCs/>
          <w:sz w:val="16"/>
          <w:szCs w:val="16"/>
        </w:rPr>
        <w:t xml:space="preserve">The harm that is caused to the economic interests of private persons due to the irregular administrative activity must be shown mindful of the following criteria: </w:t>
      </w:r>
    </w:p>
    <w:p w14:paraId="005F1690" w14:textId="1045B1CA" w:rsidR="0012720B" w:rsidRPr="004557E3" w:rsidRDefault="0012720B" w:rsidP="001445A7">
      <w:pPr>
        <w:pStyle w:val="FootnoteText"/>
        <w:ind w:firstLine="720"/>
        <w:jc w:val="both"/>
        <w:rPr>
          <w:rFonts w:ascii="Cambria" w:hAnsi="Cambria"/>
          <w:i/>
          <w:iCs/>
          <w:sz w:val="16"/>
          <w:szCs w:val="16"/>
        </w:rPr>
      </w:pPr>
      <w:r w:rsidRPr="004557E3">
        <w:rPr>
          <w:rFonts w:ascii="Cambria" w:hAnsi="Cambria"/>
          <w:i/>
          <w:iCs/>
          <w:sz w:val="16"/>
          <w:szCs w:val="16"/>
        </w:rPr>
        <w:t>(a)</w:t>
      </w:r>
      <w:r w:rsidR="004D6802">
        <w:rPr>
          <w:rFonts w:ascii="Cambria" w:hAnsi="Cambria"/>
          <w:i/>
          <w:iCs/>
          <w:sz w:val="16"/>
          <w:szCs w:val="16"/>
        </w:rPr>
        <w:t xml:space="preserve"> </w:t>
      </w:r>
      <w:r w:rsidRPr="004557E3">
        <w:rPr>
          <w:rFonts w:ascii="Cambria" w:hAnsi="Cambria"/>
          <w:i/>
          <w:iCs/>
          <w:sz w:val="16"/>
          <w:szCs w:val="16"/>
        </w:rPr>
        <w:t xml:space="preserve">In those </w:t>
      </w:r>
      <w:r w:rsidR="00EB624E" w:rsidRPr="004557E3">
        <w:rPr>
          <w:rFonts w:ascii="Cambria" w:hAnsi="Cambria"/>
          <w:i/>
          <w:iCs/>
          <w:sz w:val="16"/>
          <w:szCs w:val="16"/>
        </w:rPr>
        <w:t>cases,</w:t>
      </w:r>
      <w:r w:rsidRPr="004557E3">
        <w:rPr>
          <w:rFonts w:ascii="Cambria" w:hAnsi="Cambria"/>
          <w:i/>
          <w:iCs/>
          <w:sz w:val="16"/>
          <w:szCs w:val="16"/>
        </w:rPr>
        <w:t xml:space="preserve"> in which the cause of causes producing the Arm are identifiable, the cause-and-effect relationship between the economic injury and the irregular administrative action imputable to the State must be proven conclusively, and </w:t>
      </w:r>
    </w:p>
    <w:p w14:paraId="5AF1427D" w14:textId="5CC255D1" w:rsidR="0012720B" w:rsidRPr="004557E3" w:rsidRDefault="0012720B" w:rsidP="001445A7">
      <w:pPr>
        <w:pStyle w:val="FootnoteText"/>
        <w:ind w:firstLine="720"/>
        <w:jc w:val="both"/>
        <w:rPr>
          <w:rFonts w:ascii="Cambria" w:hAnsi="Cambria"/>
          <w:sz w:val="16"/>
          <w:szCs w:val="16"/>
        </w:rPr>
      </w:pPr>
      <w:r w:rsidRPr="004557E3">
        <w:rPr>
          <w:rFonts w:ascii="Cambria" w:hAnsi="Cambria"/>
          <w:i/>
          <w:iCs/>
          <w:sz w:val="16"/>
          <w:szCs w:val="16"/>
        </w:rPr>
        <w:t>(b) In its absence, sole causality or the concurrence of facts and causal conditions, as well as the participation of other actors in generating the injury claimed, should be proven through precisely identifying the acts that produced the final outcome, rigorously examining the original or supervening conditions or circumstances that may have attenuating or aggravated the economic injury claimed.</w:t>
      </w:r>
    </w:p>
  </w:footnote>
  <w:footnote w:id="15">
    <w:p w14:paraId="7490ADBE" w14:textId="462F23D5" w:rsidR="0012720B" w:rsidRPr="004557E3" w:rsidRDefault="0012720B" w:rsidP="001445A7">
      <w:pPr>
        <w:pStyle w:val="FootnoteText"/>
        <w:ind w:firstLine="720"/>
        <w:jc w:val="both"/>
        <w:rPr>
          <w:rFonts w:ascii="Cambria" w:hAnsi="Cambria"/>
          <w:sz w:val="16"/>
          <w:szCs w:val="16"/>
        </w:rPr>
      </w:pPr>
      <w:r w:rsidRPr="00C15490">
        <w:rPr>
          <w:rStyle w:val="FootnoteReference"/>
        </w:rPr>
        <w:footnoteRef/>
      </w:r>
      <w:r w:rsidRPr="00C15490">
        <w:rPr>
          <w:rStyle w:val="FootnoteReference"/>
        </w:rPr>
        <w:t xml:space="preserve"> </w:t>
      </w:r>
      <w:r w:rsidRPr="004557E3">
        <w:rPr>
          <w:rFonts w:ascii="Cambria" w:hAnsi="Cambria"/>
          <w:sz w:val="16"/>
          <w:szCs w:val="16"/>
        </w:rPr>
        <w:t xml:space="preserve">For example, see the following reports by the IACHR: Report No. 117/19, Petition 833-11. Admissibility. Workers released from the Boa-Fé Caru Plantation. Brazil. </w:t>
      </w:r>
      <w:r w:rsidRPr="004557E3">
        <w:rPr>
          <w:rFonts w:ascii="Cambria" w:hAnsi="Cambria"/>
          <w:sz w:val="16"/>
          <w:szCs w:val="16"/>
          <w:lang w:val="pt-BR"/>
        </w:rPr>
        <w:t xml:space="preserve">June 7, 2019, paras. 11 and 12; Report No. 4/19. Petition 673-11. Admissibility. Fernando Alcântara de Figueiredo and Laci Marinho de Araújo. Brazil. January 3, 2019, paras. 19 ff.; Report No. 164/17. Admissibility. Santiago Adolfo Villegas Delgado. Venezuela. November 30, 2017, para. 12; Report No. 57/17. Petition 406-04. Admissibility. Washington David Espino Muñoz. </w:t>
      </w:r>
      <w:r w:rsidRPr="004557E3">
        <w:rPr>
          <w:rFonts w:ascii="Cambria" w:hAnsi="Cambria"/>
          <w:sz w:val="16"/>
          <w:szCs w:val="16"/>
        </w:rPr>
        <w:t xml:space="preserve">Dominican Republic. June 5, 2017, paras. 26 and 27; Report No. 168/17. Admissibility. Miguel Ángel Morales Morales. Peru. December 1, 2017, paras. 15 and 16; Report No. 122/17. Petition 156-08. Admissibility. Williams Mariano Paría Tapia. Peru. September 7, 2017, paras. 12 ff.; Report No. 167/17. Admissibility. Alberto Patishtán Gómez. Mexico. December 1, 2017, paras. 13 ff.; and Report No. 114/19. Petition 1403-09. Admissibility. Carlos Pizarro Leongómez, María José Pizarro Rodríguez and family members. Colombia. June 7, 2019, paras. 20 ff.. </w:t>
      </w:r>
    </w:p>
    <w:p w14:paraId="6D6655AC" w14:textId="77777777" w:rsidR="0012720B" w:rsidRPr="004557E3" w:rsidRDefault="0012720B" w:rsidP="001445A7">
      <w:pPr>
        <w:pStyle w:val="FootnoteText"/>
        <w:ind w:firstLine="720"/>
        <w:jc w:val="both"/>
        <w:rPr>
          <w:rFonts w:ascii="Cambria" w:hAnsi="Cambria"/>
          <w:sz w:val="16"/>
          <w:szCs w:val="16"/>
        </w:rPr>
      </w:pPr>
    </w:p>
  </w:footnote>
  <w:footnote w:id="16">
    <w:p w14:paraId="09F186DF" w14:textId="4AA219B8" w:rsidR="0012720B" w:rsidRPr="004557E3" w:rsidRDefault="0012720B" w:rsidP="001445A7">
      <w:pPr>
        <w:pStyle w:val="FootnoteText"/>
        <w:ind w:firstLine="720"/>
        <w:jc w:val="both"/>
        <w:rPr>
          <w:rFonts w:ascii="Cambria" w:hAnsi="Cambria"/>
          <w:sz w:val="16"/>
          <w:szCs w:val="16"/>
        </w:rPr>
      </w:pPr>
      <w:r w:rsidRPr="00B5305E">
        <w:rPr>
          <w:rStyle w:val="FootnoteReference"/>
        </w:rPr>
        <w:footnoteRef/>
      </w:r>
      <w:r w:rsidRPr="00B5305E">
        <w:rPr>
          <w:rStyle w:val="FootnoteReference"/>
        </w:rPr>
        <w:t xml:space="preserve"> </w:t>
      </w:r>
      <w:r w:rsidRPr="004557E3">
        <w:rPr>
          <w:rFonts w:ascii="Cambria" w:hAnsi="Cambria"/>
          <w:sz w:val="16"/>
          <w:szCs w:val="16"/>
        </w:rPr>
        <w:t>I/A Court HR, Case of Cabrera García and Montiel Flores v. Mexico, Preliminary Objection, Merits, Reparations and Costs, Judgment of November 26, 2010, Series C No. 220, para. 18.</w:t>
      </w:r>
    </w:p>
  </w:footnote>
  <w:footnote w:id="17">
    <w:p w14:paraId="11CFD555" w14:textId="47C17D30" w:rsidR="0012720B" w:rsidRPr="004557E3" w:rsidRDefault="0012720B" w:rsidP="001445A7">
      <w:pPr>
        <w:pStyle w:val="FootnoteText"/>
        <w:ind w:firstLine="720"/>
        <w:jc w:val="both"/>
        <w:rPr>
          <w:rFonts w:ascii="Cambria" w:hAnsi="Cambria"/>
          <w:sz w:val="16"/>
          <w:szCs w:val="16"/>
        </w:rPr>
      </w:pPr>
      <w:r w:rsidRPr="00B5305E">
        <w:rPr>
          <w:rStyle w:val="FootnoteReference"/>
        </w:rPr>
        <w:footnoteRef/>
      </w:r>
      <w:r w:rsidRPr="00B5305E">
        <w:rPr>
          <w:rStyle w:val="FootnoteReference"/>
        </w:rPr>
        <w:t xml:space="preserve"> </w:t>
      </w:r>
      <w:r w:rsidRPr="004557E3">
        <w:rPr>
          <w:rFonts w:ascii="Cambria" w:hAnsi="Cambria"/>
          <w:sz w:val="16"/>
          <w:szCs w:val="16"/>
        </w:rPr>
        <w:t>I/A Court HR, Case of Cabrera García and Montiel Flores v. México, Preliminary Objection, Merits, Reparations and Costs, Judgment of November 26, 2010, Series C No. 220, para. 19.</w:t>
      </w:r>
    </w:p>
  </w:footnote>
  <w:footnote w:id="18">
    <w:p w14:paraId="6D37D9D2" w14:textId="64EC7001" w:rsidR="0012720B" w:rsidRPr="004557E3" w:rsidRDefault="0012720B" w:rsidP="001445A7">
      <w:pPr>
        <w:pStyle w:val="FootnoteText"/>
        <w:ind w:firstLine="720"/>
        <w:jc w:val="both"/>
        <w:rPr>
          <w:rFonts w:ascii="Cambria" w:hAnsi="Cambria"/>
          <w:sz w:val="16"/>
          <w:szCs w:val="16"/>
        </w:rPr>
      </w:pPr>
      <w:r w:rsidRPr="00B5305E">
        <w:rPr>
          <w:rStyle w:val="FootnoteReference"/>
        </w:rPr>
        <w:footnoteRef/>
      </w:r>
      <w:r w:rsidRPr="00B5305E">
        <w:rPr>
          <w:rStyle w:val="FootnoteReference"/>
        </w:rPr>
        <w:t xml:space="preserve"> </w:t>
      </w:r>
      <w:r w:rsidRPr="004557E3">
        <w:rPr>
          <w:rFonts w:ascii="Cambria" w:hAnsi="Cambria"/>
          <w:sz w:val="16"/>
          <w:szCs w:val="16"/>
        </w:rPr>
        <w:t>I/A Court HR, Case of Palma Mendoza et al. v. Ecuador, Preliminary Objection and Merits, Judgment of September 3, 2012, Series C No. 247, para. 18; Case of Rosadio Villavicencio v. Peru, Preliminary Objections, Merits, Reparations and Costs, Judgment of October 14, 2019, Series C No. 388, para. 24; Case of Cabrera García and Montiel Flores v. Mexico, Preliminary Objection, Merits, Reparations and Costs, Judgment of November 26, 2010, Series C No. 220, para. 19.</w:t>
      </w:r>
    </w:p>
  </w:footnote>
  <w:footnote w:id="19">
    <w:p w14:paraId="12AC331F" w14:textId="11415466" w:rsidR="0012720B" w:rsidRPr="004557E3" w:rsidRDefault="0012720B" w:rsidP="001445A7">
      <w:pPr>
        <w:pStyle w:val="FootnoteText"/>
        <w:ind w:firstLine="720"/>
        <w:jc w:val="both"/>
        <w:rPr>
          <w:rFonts w:ascii="Cambria" w:hAnsi="Cambria"/>
          <w:sz w:val="16"/>
          <w:szCs w:val="16"/>
          <w:highlight w:val="yellow"/>
          <w:lang w:val="pt-BR"/>
        </w:rPr>
      </w:pPr>
      <w:r w:rsidRPr="001335CB">
        <w:rPr>
          <w:rStyle w:val="FootnoteReference"/>
        </w:rPr>
        <w:footnoteRef/>
      </w:r>
      <w:r w:rsidRPr="001335CB">
        <w:rPr>
          <w:rStyle w:val="FootnoteReference"/>
        </w:rPr>
        <w:t xml:space="preserve"> </w:t>
      </w:r>
      <w:r w:rsidRPr="004557E3">
        <w:rPr>
          <w:rFonts w:ascii="Cambria" w:hAnsi="Cambria"/>
          <w:sz w:val="16"/>
          <w:szCs w:val="16"/>
        </w:rPr>
        <w:t xml:space="preserve">IACHR, Report No. 39/96, Case 11,673, Admissibility, Santiago Marzioni, Argentina, October 15, 1996, published in the 1996 Annual Report of the IACHR, para. </w:t>
      </w:r>
      <w:r w:rsidRPr="004557E3">
        <w:rPr>
          <w:rFonts w:ascii="Cambria" w:hAnsi="Cambria"/>
          <w:sz w:val="16"/>
          <w:szCs w:val="16"/>
          <w:lang w:val="pt-BR"/>
        </w:rPr>
        <w:t>43; and IACHR, Report No. 221/19, Admissibility, Francisco Pompeyo Ramos Marrau, Argentina, October 24, 2019, para. 17.</w:t>
      </w:r>
    </w:p>
  </w:footnote>
  <w:footnote w:id="20">
    <w:p w14:paraId="7331DA0A" w14:textId="74824831" w:rsidR="0012720B" w:rsidRPr="00095222" w:rsidRDefault="0012720B" w:rsidP="001445A7">
      <w:pPr>
        <w:pStyle w:val="FootnoteText"/>
        <w:ind w:firstLine="720"/>
        <w:rPr>
          <w:rFonts w:ascii="Cambria" w:hAnsi="Cambria"/>
          <w:sz w:val="16"/>
          <w:szCs w:val="16"/>
          <w:lang w:val="pt-BR"/>
        </w:rPr>
      </w:pPr>
      <w:r w:rsidRPr="001335CB">
        <w:rPr>
          <w:rStyle w:val="FootnoteReference"/>
        </w:rPr>
        <w:footnoteRef/>
      </w:r>
      <w:r w:rsidRPr="007C2B17">
        <w:rPr>
          <w:rStyle w:val="FootnoteReference"/>
          <w:lang w:val="pt-BR"/>
        </w:rPr>
        <w:t xml:space="preserve"> </w:t>
      </w:r>
      <w:r w:rsidRPr="004557E3">
        <w:rPr>
          <w:rFonts w:ascii="Cambria" w:hAnsi="Cambria"/>
          <w:sz w:val="16"/>
          <w:szCs w:val="16"/>
          <w:lang w:val="pt-BR"/>
        </w:rPr>
        <w:t xml:space="preserve">IAHCR, Report No. 221/19, Admissibility, Francisco Pompeyo Ramos Marrau, Argentina, October 24, 2019, para. </w:t>
      </w:r>
      <w:r w:rsidRPr="00095222">
        <w:rPr>
          <w:rFonts w:ascii="Cambria" w:hAnsi="Cambria"/>
          <w:sz w:val="16"/>
          <w:szCs w:val="16"/>
          <w:lang w:val="pt-BR"/>
        </w:rPr>
        <w:t>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911B" w14:textId="7C39010F" w:rsidR="000542A2" w:rsidRDefault="000542A2"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FF1015">
      <w:rPr>
        <w:rStyle w:val="PageNumber"/>
        <w:rFonts w:eastAsia="Trebuchet MS"/>
        <w:noProof/>
      </w:rPr>
      <w:t>1</w:t>
    </w:r>
    <w:r>
      <w:rPr>
        <w:rStyle w:val="PageNumber"/>
        <w:rFonts w:eastAsia="Trebuchet MS"/>
      </w:rPr>
      <w:fldChar w:fldCharType="end"/>
    </w:r>
  </w:p>
  <w:p w14:paraId="4DD5A47B" w14:textId="77777777" w:rsidR="000542A2" w:rsidRDefault="00054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910F" w14:textId="77777777" w:rsidR="000542A2" w:rsidRDefault="000542A2" w:rsidP="002C1641">
    <w:pPr>
      <w:pStyle w:val="Header"/>
      <w:jc w:val="center"/>
      <w:rPr>
        <w:sz w:val="22"/>
        <w:szCs w:val="22"/>
      </w:rPr>
    </w:pPr>
    <w:r>
      <w:rPr>
        <w:noProof/>
        <w:sz w:val="22"/>
        <w:szCs w:val="22"/>
      </w:rPr>
      <w:drawing>
        <wp:inline distT="0" distB="0" distL="0" distR="0" wp14:anchorId="2B00D457" wp14:editId="59DECC52">
          <wp:extent cx="2209800" cy="117396"/>
          <wp:effectExtent l="0" t="0" r="0" b="0"/>
          <wp:docPr id="535908323" name="Picture 535908323"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BF5C2FD" w14:textId="77777777" w:rsidR="000542A2" w:rsidRPr="00EC7D62" w:rsidRDefault="00D21B96" w:rsidP="002C1641">
    <w:pPr>
      <w:pStyle w:val="Header"/>
      <w:jc w:val="center"/>
      <w:rPr>
        <w:sz w:val="22"/>
        <w:szCs w:val="22"/>
      </w:rPr>
    </w:pPr>
    <w:r>
      <w:rPr>
        <w:noProof/>
        <w:sz w:val="22"/>
        <w:szCs w:val="22"/>
      </w:rPr>
      <w:pict w14:anchorId="3CCBAC0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D0467A5"/>
    <w:multiLevelType w:val="hybridMultilevel"/>
    <w:tmpl w:val="A53EC6A6"/>
    <w:lvl w:ilvl="0" w:tplc="6A00DA44">
      <w:start w:val="1"/>
      <w:numFmt w:val="decimal"/>
      <w:lvlText w:val="%1."/>
      <w:lvlJc w:val="left"/>
      <w:pPr>
        <w:ind w:left="3555" w:hanging="360"/>
      </w:pPr>
      <w:rPr>
        <w:color w:val="auto"/>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num w:numId="1" w16cid:durableId="1930308158">
    <w:abstractNumId w:val="0"/>
  </w:num>
  <w:num w:numId="2" w16cid:durableId="1590966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A2"/>
    <w:rsid w:val="00017673"/>
    <w:rsid w:val="000340BE"/>
    <w:rsid w:val="00045286"/>
    <w:rsid w:val="00053121"/>
    <w:rsid w:val="0005338D"/>
    <w:rsid w:val="000542A2"/>
    <w:rsid w:val="000870BC"/>
    <w:rsid w:val="00095222"/>
    <w:rsid w:val="000A2482"/>
    <w:rsid w:val="000A6F52"/>
    <w:rsid w:val="000B45E3"/>
    <w:rsid w:val="000C2E24"/>
    <w:rsid w:val="00111881"/>
    <w:rsid w:val="0012720B"/>
    <w:rsid w:val="001335CB"/>
    <w:rsid w:val="001445A7"/>
    <w:rsid w:val="00172E96"/>
    <w:rsid w:val="001A0495"/>
    <w:rsid w:val="001D1F25"/>
    <w:rsid w:val="001E5DD6"/>
    <w:rsid w:val="00284B03"/>
    <w:rsid w:val="002A20A4"/>
    <w:rsid w:val="002A2DDC"/>
    <w:rsid w:val="002A4A5B"/>
    <w:rsid w:val="002A724D"/>
    <w:rsid w:val="002C2750"/>
    <w:rsid w:val="002D13DE"/>
    <w:rsid w:val="002E3B83"/>
    <w:rsid w:val="002F539D"/>
    <w:rsid w:val="003521FE"/>
    <w:rsid w:val="003770FC"/>
    <w:rsid w:val="003933B6"/>
    <w:rsid w:val="00393657"/>
    <w:rsid w:val="003A491E"/>
    <w:rsid w:val="003A6B3E"/>
    <w:rsid w:val="003B7188"/>
    <w:rsid w:val="003C1603"/>
    <w:rsid w:val="003F3E2D"/>
    <w:rsid w:val="004115C5"/>
    <w:rsid w:val="00426E49"/>
    <w:rsid w:val="00433E18"/>
    <w:rsid w:val="004557E3"/>
    <w:rsid w:val="00465CA9"/>
    <w:rsid w:val="00465DAA"/>
    <w:rsid w:val="0047299C"/>
    <w:rsid w:val="004859F3"/>
    <w:rsid w:val="004907A8"/>
    <w:rsid w:val="004B2C18"/>
    <w:rsid w:val="004C0B58"/>
    <w:rsid w:val="004C1655"/>
    <w:rsid w:val="004C22C6"/>
    <w:rsid w:val="004D35A2"/>
    <w:rsid w:val="004D6802"/>
    <w:rsid w:val="00501A46"/>
    <w:rsid w:val="005162E3"/>
    <w:rsid w:val="00525D5B"/>
    <w:rsid w:val="00533085"/>
    <w:rsid w:val="00541509"/>
    <w:rsid w:val="005655BA"/>
    <w:rsid w:val="00573C40"/>
    <w:rsid w:val="005743FA"/>
    <w:rsid w:val="005907AA"/>
    <w:rsid w:val="005960DC"/>
    <w:rsid w:val="005B2690"/>
    <w:rsid w:val="005C348C"/>
    <w:rsid w:val="005D4622"/>
    <w:rsid w:val="006170BE"/>
    <w:rsid w:val="00634845"/>
    <w:rsid w:val="0066611E"/>
    <w:rsid w:val="006A505D"/>
    <w:rsid w:val="006A53BC"/>
    <w:rsid w:val="006B3135"/>
    <w:rsid w:val="006C23FC"/>
    <w:rsid w:val="006D1344"/>
    <w:rsid w:val="006D3E8E"/>
    <w:rsid w:val="006D7310"/>
    <w:rsid w:val="007116F4"/>
    <w:rsid w:val="007307F4"/>
    <w:rsid w:val="00740E59"/>
    <w:rsid w:val="00753084"/>
    <w:rsid w:val="00755630"/>
    <w:rsid w:val="007778BF"/>
    <w:rsid w:val="00783EA6"/>
    <w:rsid w:val="007C2B17"/>
    <w:rsid w:val="007E2899"/>
    <w:rsid w:val="00823F7C"/>
    <w:rsid w:val="00831A16"/>
    <w:rsid w:val="00854033"/>
    <w:rsid w:val="00854655"/>
    <w:rsid w:val="0086518B"/>
    <w:rsid w:val="00867969"/>
    <w:rsid w:val="00881D2C"/>
    <w:rsid w:val="008A4F72"/>
    <w:rsid w:val="008A63C9"/>
    <w:rsid w:val="008B0B4E"/>
    <w:rsid w:val="008F4E96"/>
    <w:rsid w:val="00935C16"/>
    <w:rsid w:val="00935C42"/>
    <w:rsid w:val="0097676B"/>
    <w:rsid w:val="0098027E"/>
    <w:rsid w:val="00980618"/>
    <w:rsid w:val="009C0328"/>
    <w:rsid w:val="009D0520"/>
    <w:rsid w:val="009F25A3"/>
    <w:rsid w:val="00A06C8B"/>
    <w:rsid w:val="00A146D9"/>
    <w:rsid w:val="00A14E7B"/>
    <w:rsid w:val="00A213C4"/>
    <w:rsid w:val="00A552B9"/>
    <w:rsid w:val="00A64A93"/>
    <w:rsid w:val="00AD4B2C"/>
    <w:rsid w:val="00AE062F"/>
    <w:rsid w:val="00AE12E1"/>
    <w:rsid w:val="00AE1927"/>
    <w:rsid w:val="00B46035"/>
    <w:rsid w:val="00B5305E"/>
    <w:rsid w:val="00B80E0C"/>
    <w:rsid w:val="00B82B29"/>
    <w:rsid w:val="00B87985"/>
    <w:rsid w:val="00B96680"/>
    <w:rsid w:val="00BB4027"/>
    <w:rsid w:val="00BB53EF"/>
    <w:rsid w:val="00BC49D4"/>
    <w:rsid w:val="00BC69BE"/>
    <w:rsid w:val="00BD67A7"/>
    <w:rsid w:val="00BE4EA7"/>
    <w:rsid w:val="00BF15BD"/>
    <w:rsid w:val="00C15490"/>
    <w:rsid w:val="00C422F9"/>
    <w:rsid w:val="00C4482B"/>
    <w:rsid w:val="00C6251C"/>
    <w:rsid w:val="00C811C0"/>
    <w:rsid w:val="00D112B8"/>
    <w:rsid w:val="00D21B96"/>
    <w:rsid w:val="00D64880"/>
    <w:rsid w:val="00DB1034"/>
    <w:rsid w:val="00DC250A"/>
    <w:rsid w:val="00DC4DBD"/>
    <w:rsid w:val="00DE2DD3"/>
    <w:rsid w:val="00DE30BE"/>
    <w:rsid w:val="00E13D2F"/>
    <w:rsid w:val="00E22591"/>
    <w:rsid w:val="00E368FA"/>
    <w:rsid w:val="00E52845"/>
    <w:rsid w:val="00E810B0"/>
    <w:rsid w:val="00E8492A"/>
    <w:rsid w:val="00E85AB1"/>
    <w:rsid w:val="00EA2C7A"/>
    <w:rsid w:val="00EA3CFE"/>
    <w:rsid w:val="00EB24BB"/>
    <w:rsid w:val="00EB624E"/>
    <w:rsid w:val="00EC2B85"/>
    <w:rsid w:val="00EC6E5A"/>
    <w:rsid w:val="00EC724C"/>
    <w:rsid w:val="00F01079"/>
    <w:rsid w:val="00F037B8"/>
    <w:rsid w:val="00F0471B"/>
    <w:rsid w:val="00F06068"/>
    <w:rsid w:val="00F11E6E"/>
    <w:rsid w:val="00F1781A"/>
    <w:rsid w:val="00F30CDF"/>
    <w:rsid w:val="00F31258"/>
    <w:rsid w:val="00F353B3"/>
    <w:rsid w:val="00F415D4"/>
    <w:rsid w:val="00F640A4"/>
    <w:rsid w:val="00FB1669"/>
    <w:rsid w:val="00FD013C"/>
    <w:rsid w:val="00FF1015"/>
    <w:rsid w:val="00FF3D36"/>
    <w:rsid w:val="00FF763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AD2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2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2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2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2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2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2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2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2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2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2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2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2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2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2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2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2A2"/>
    <w:rPr>
      <w:rFonts w:eastAsiaTheme="majorEastAsia" w:cstheme="majorBidi"/>
      <w:color w:val="272727" w:themeColor="text1" w:themeTint="D8"/>
    </w:rPr>
  </w:style>
  <w:style w:type="paragraph" w:styleId="Title">
    <w:name w:val="Title"/>
    <w:basedOn w:val="Normal"/>
    <w:next w:val="Normal"/>
    <w:link w:val="TitleChar"/>
    <w:uiPriority w:val="10"/>
    <w:qFormat/>
    <w:rsid w:val="00054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2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2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2A2"/>
    <w:pPr>
      <w:spacing w:before="160"/>
      <w:jc w:val="center"/>
    </w:pPr>
    <w:rPr>
      <w:i/>
      <w:iCs/>
      <w:color w:val="404040" w:themeColor="text1" w:themeTint="BF"/>
    </w:rPr>
  </w:style>
  <w:style w:type="character" w:customStyle="1" w:styleId="QuoteChar">
    <w:name w:val="Quote Char"/>
    <w:basedOn w:val="DefaultParagraphFont"/>
    <w:link w:val="Quote"/>
    <w:uiPriority w:val="29"/>
    <w:rsid w:val="000542A2"/>
    <w:rPr>
      <w:i/>
      <w:iCs/>
      <w:color w:val="404040" w:themeColor="text1" w:themeTint="BF"/>
    </w:rPr>
  </w:style>
  <w:style w:type="paragraph" w:styleId="ListParagraph">
    <w:name w:val="List Paragraph"/>
    <w:basedOn w:val="Normal"/>
    <w:uiPriority w:val="99"/>
    <w:qFormat/>
    <w:rsid w:val="000542A2"/>
    <w:pPr>
      <w:ind w:left="720"/>
      <w:contextualSpacing/>
    </w:pPr>
  </w:style>
  <w:style w:type="character" w:styleId="IntenseEmphasis">
    <w:name w:val="Intense Emphasis"/>
    <w:basedOn w:val="DefaultParagraphFont"/>
    <w:uiPriority w:val="21"/>
    <w:qFormat/>
    <w:rsid w:val="000542A2"/>
    <w:rPr>
      <w:i/>
      <w:iCs/>
      <w:color w:val="0F4761" w:themeColor="accent1" w:themeShade="BF"/>
    </w:rPr>
  </w:style>
  <w:style w:type="paragraph" w:styleId="IntenseQuote">
    <w:name w:val="Intense Quote"/>
    <w:basedOn w:val="Normal"/>
    <w:next w:val="Normal"/>
    <w:link w:val="IntenseQuoteChar"/>
    <w:uiPriority w:val="30"/>
    <w:qFormat/>
    <w:rsid w:val="00054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2A2"/>
    <w:rPr>
      <w:i/>
      <w:iCs/>
      <w:color w:val="0F4761" w:themeColor="accent1" w:themeShade="BF"/>
    </w:rPr>
  </w:style>
  <w:style w:type="character" w:styleId="IntenseReference">
    <w:name w:val="Intense Reference"/>
    <w:basedOn w:val="DefaultParagraphFont"/>
    <w:uiPriority w:val="32"/>
    <w:qFormat/>
    <w:rsid w:val="000542A2"/>
    <w:rPr>
      <w:b/>
      <w:bCs/>
      <w:smallCaps/>
      <w:color w:val="0F4761" w:themeColor="accent1" w:themeShade="BF"/>
      <w:spacing w:val="5"/>
    </w:rPr>
  </w:style>
  <w:style w:type="paragraph" w:styleId="Footer">
    <w:name w:val="footer"/>
    <w:basedOn w:val="Normal"/>
    <w:link w:val="FooterChar"/>
    <w:uiPriority w:val="99"/>
    <w:unhideWhenUsed/>
    <w:rsid w:val="00054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2A2"/>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basedOn w:val="Normal"/>
    <w:link w:val="FootnoteTextChar"/>
    <w:uiPriority w:val="99"/>
    <w:unhideWhenUsed/>
    <w:qFormat/>
    <w:rsid w:val="000542A2"/>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qFormat/>
    <w:rsid w:val="000542A2"/>
    <w:rPr>
      <w:sz w:val="20"/>
      <w:szCs w:val="20"/>
    </w:rPr>
  </w:style>
  <w:style w:type="paragraph" w:styleId="Header">
    <w:name w:val="header"/>
    <w:basedOn w:val="Normal"/>
    <w:link w:val="HeaderChar"/>
    <w:uiPriority w:val="99"/>
    <w:unhideWhenUsed/>
    <w:rsid w:val="00054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2A2"/>
  </w:style>
  <w:style w:type="character" w:styleId="PageNumber">
    <w:name w:val="page number"/>
    <w:basedOn w:val="DefaultParagraphFont"/>
    <w:rsid w:val="000542A2"/>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link w:val="4GChar"/>
    <w:uiPriority w:val="99"/>
    <w:qFormat/>
    <w:rsid w:val="000542A2"/>
    <w:rPr>
      <w:rFonts w:cs="Times New Roman"/>
      <w:vertAlign w:val="superscript"/>
    </w:rPr>
  </w:style>
  <w:style w:type="table" w:styleId="TableGrid">
    <w:name w:val="Table Grid"/>
    <w:basedOn w:val="TableNormal"/>
    <w:uiPriority w:val="59"/>
    <w:rsid w:val="000542A2"/>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0542A2"/>
    <w:pPr>
      <w:spacing w:after="0" w:line="240" w:lineRule="auto"/>
      <w:jc w:val="both"/>
    </w:pPr>
    <w:rPr>
      <w:rFonts w:cs="Times New Roman"/>
      <w:vertAlign w:val="superscript"/>
    </w:rPr>
  </w:style>
  <w:style w:type="paragraph" w:styleId="BodyText">
    <w:name w:val="Body Text"/>
    <w:basedOn w:val="Normal"/>
    <w:link w:val="BodyTextChar"/>
    <w:uiPriority w:val="99"/>
    <w:unhideWhenUsed/>
    <w:rsid w:val="0012720B"/>
    <w:pPr>
      <w:pBdr>
        <w:top w:val="nil"/>
        <w:left w:val="nil"/>
        <w:bottom w:val="nil"/>
        <w:right w:val="nil"/>
        <w:between w:val="nil"/>
        <w:bar w:val="nil"/>
      </w:pBdr>
      <w:spacing w:after="120" w:line="240" w:lineRule="auto"/>
    </w:pPr>
    <w:rPr>
      <w:rFonts w:ascii="Times New Roman" w:eastAsia="Arial Unicode MS" w:hAnsi="Times New Roman" w:cs="Times New Roman"/>
      <w:kern w:val="0"/>
      <w:bdr w:val="nil"/>
      <w:lang w:eastAsia="en-US"/>
    </w:rPr>
  </w:style>
  <w:style w:type="character" w:customStyle="1" w:styleId="BodyTextChar">
    <w:name w:val="Body Text Char"/>
    <w:basedOn w:val="DefaultParagraphFont"/>
    <w:link w:val="BodyText"/>
    <w:uiPriority w:val="99"/>
    <w:rsid w:val="0012720B"/>
    <w:rPr>
      <w:rFonts w:ascii="Times New Roman" w:eastAsia="Arial Unicode MS" w:hAnsi="Times New Roman" w:cs="Times New Roman"/>
      <w:kern w:val="0"/>
      <w:bdr w:val="nil"/>
      <w:lang w:eastAsia="en-US"/>
    </w:rPr>
  </w:style>
  <w:style w:type="paragraph" w:styleId="NormalWeb">
    <w:name w:val="Normal (Web)"/>
    <w:basedOn w:val="Normal"/>
    <w:uiPriority w:val="99"/>
    <w:unhideWhenUsed/>
    <w:rsid w:val="0012720B"/>
    <w:pPr>
      <w:pBdr>
        <w:top w:val="nil"/>
        <w:left w:val="nil"/>
        <w:bottom w:val="nil"/>
        <w:right w:val="nil"/>
        <w:between w:val="nil"/>
        <w:bar w:val="nil"/>
      </w:pBdr>
      <w:spacing w:after="0" w:line="240" w:lineRule="auto"/>
    </w:pPr>
    <w:rPr>
      <w:rFonts w:ascii="Times New Roman" w:eastAsia="Arial Unicode MS" w:hAnsi="Times New Roman" w:cs="Times New Roman"/>
      <w:kern w:val="0"/>
      <w:bdr w:val="nil"/>
      <w:lang w:eastAsia="en-US"/>
    </w:rPr>
  </w:style>
  <w:style w:type="paragraph" w:customStyle="1" w:styleId="Char2">
    <w:name w:val="Char2"/>
    <w:basedOn w:val="Normal"/>
    <w:uiPriority w:val="99"/>
    <w:rsid w:val="0012720B"/>
    <w:pPr>
      <w:spacing w:line="240" w:lineRule="exact"/>
    </w:pPr>
    <w:rPr>
      <w:rFonts w:ascii="Times New Roman" w:eastAsia="Arial Unicode MS" w:hAnsi="Times New Roman" w:cs="Times New Roman"/>
      <w:kern w:val="0"/>
      <w:sz w:val="20"/>
      <w:szCs w:val="20"/>
      <w:bdr w:val="nil"/>
      <w:vertAlign w:val="superscript"/>
      <w:lang w:val="es-ES" w:eastAsia="es-ES"/>
    </w:rPr>
  </w:style>
  <w:style w:type="character" w:customStyle="1" w:styleId="normaltextrun">
    <w:name w:val="normaltextrun"/>
    <w:basedOn w:val="DefaultParagraphFont"/>
    <w:rsid w:val="00DE2DD3"/>
  </w:style>
  <w:style w:type="character" w:styleId="Hyperlink">
    <w:name w:val="Hyperlink"/>
    <w:basedOn w:val="DefaultParagraphFont"/>
    <w:uiPriority w:val="99"/>
    <w:unhideWhenUsed/>
    <w:rsid w:val="008F4E96"/>
    <w:rPr>
      <w:color w:val="467886" w:themeColor="hyperlink"/>
      <w:u w:val="single"/>
    </w:rPr>
  </w:style>
  <w:style w:type="character" w:styleId="UnresolvedMention">
    <w:name w:val="Unresolved Mention"/>
    <w:basedOn w:val="DefaultParagraphFont"/>
    <w:uiPriority w:val="99"/>
    <w:semiHidden/>
    <w:unhideWhenUsed/>
    <w:rsid w:val="008F4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f.gob.mx/indicadores_detalle.php?cod_tipo_indicador=158&amp;dfecha=01/01/2010&amp;hfecha=31/12/20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F4D0D1681149EF80E3267C9B8E051D"/>
        <w:category>
          <w:name w:val="General"/>
          <w:gallery w:val="placeholder"/>
        </w:category>
        <w:types>
          <w:type w:val="bbPlcHdr"/>
        </w:types>
        <w:behaviors>
          <w:behavior w:val="content"/>
        </w:behaviors>
        <w:guid w:val="{60C78C53-AB2B-4942-A117-79825F1A604F}"/>
      </w:docPartPr>
      <w:docPartBody>
        <w:p w:rsidR="00126508" w:rsidRDefault="00126508" w:rsidP="00126508">
          <w:pPr>
            <w:pStyle w:val="1EF4D0D1681149EF80E3267C9B8E051D"/>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Times">
    <w:altName w:val="Sylfae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08"/>
    <w:rsid w:val="00126508"/>
    <w:rsid w:val="00212DE0"/>
    <w:rsid w:val="00241371"/>
    <w:rsid w:val="00755630"/>
    <w:rsid w:val="008B290E"/>
    <w:rsid w:val="00935C42"/>
    <w:rsid w:val="00A06C8B"/>
    <w:rsid w:val="00BB53EF"/>
    <w:rsid w:val="00CA4D89"/>
    <w:rsid w:val="00E6645C"/>
    <w:rsid w:val="00F30CDF"/>
    <w:rsid w:val="00F415D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508"/>
    <w:rPr>
      <w:color w:val="808080"/>
    </w:rPr>
  </w:style>
  <w:style w:type="paragraph" w:customStyle="1" w:styleId="1EF4D0D1681149EF80E3267C9B8E051D">
    <w:name w:val="1EF4D0D1681149EF80E3267C9B8E051D"/>
    <w:rsid w:val="00126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EAEFD-59BE-4E5D-9AFF-4F866326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4124</Words>
  <Characters>23510</Characters>
  <Application>Microsoft Office Word</Application>
  <DocSecurity>0</DocSecurity>
  <Lines>195</Lines>
  <Paragraphs>55</Paragraphs>
  <ScaleCrop>false</ScaleCrop>
  <Company/>
  <LinksUpToDate>false</LinksUpToDate>
  <CharactersWithSpaces>27579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2025-01-28T15:14:00Z</dcterms:created>
  <dcterms:modified xsi:type="dcterms:W3CDTF">2025-01-28T15:14:00Z</dcterms:modified>
</cp:coreProperties>
</file>